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DEA" w:rsidRDefault="00546DEA" w:rsidP="00546DEA"/>
    <w:p w:rsidR="00546DEA" w:rsidRDefault="00546DEA" w:rsidP="00546DEA"/>
    <w:p w:rsidR="00546DEA" w:rsidRDefault="00546DEA" w:rsidP="00546DEA"/>
    <w:p w:rsidR="00546DEA" w:rsidRDefault="00546DEA" w:rsidP="00546DEA">
      <w:pPr>
        <w:pStyle w:val="WW-BodyTextIndent2"/>
        <w:ind w:firstLine="0"/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Opatrenia pre prípad havárie pri nakladaní s nebezpečným odpadom</w:t>
      </w:r>
      <w:bookmarkEnd w:id="0"/>
    </w:p>
    <w:p w:rsidR="00546DEA" w:rsidRDefault="00546DEA" w:rsidP="00546DEA">
      <w:pPr>
        <w:pStyle w:val="Nadpis1"/>
        <w:keepNext w:val="0"/>
        <w:tabs>
          <w:tab w:val="left" w:pos="0"/>
        </w:tabs>
        <w:spacing w:before="0" w:after="0"/>
        <w:jc w:val="both"/>
        <w:rPr>
          <w:rFonts w:ascii="Times New Roman" w:hAnsi="Times New Roman"/>
          <w:b w:val="0"/>
          <w:sz w:val="24"/>
          <w:szCs w:val="24"/>
          <w:u w:val="single"/>
        </w:rPr>
      </w:pPr>
    </w:p>
    <w:p w:rsidR="00546DEA" w:rsidRDefault="00546DEA" w:rsidP="00546DEA">
      <w:pPr>
        <w:pStyle w:val="Nadpis1"/>
        <w:keepNext w:val="0"/>
        <w:tabs>
          <w:tab w:val="left" w:pos="0"/>
        </w:tabs>
        <w:spacing w:before="0" w:after="0"/>
        <w:ind w:left="432" w:hanging="432"/>
        <w:jc w:val="both"/>
        <w:rPr>
          <w:rFonts w:ascii="Times New Roman" w:hAnsi="Times New Roman"/>
          <w:bCs w:val="0"/>
          <w:sz w:val="20"/>
          <w:szCs w:val="20"/>
          <w:u w:val="single"/>
        </w:rPr>
      </w:pPr>
      <w:r>
        <w:rPr>
          <w:rFonts w:ascii="Times New Roman" w:hAnsi="Times New Roman"/>
          <w:bCs w:val="0"/>
          <w:sz w:val="20"/>
          <w:szCs w:val="20"/>
          <w:u w:val="single"/>
        </w:rPr>
        <w:t>Úvod</w:t>
      </w:r>
    </w:p>
    <w:p w:rsidR="00546DEA" w:rsidRDefault="00546DEA" w:rsidP="00546DEA">
      <w:pPr>
        <w:jc w:val="both"/>
        <w:rPr>
          <w:sz w:val="20"/>
          <w:szCs w:val="20"/>
        </w:rPr>
      </w:pPr>
      <w:r>
        <w:rPr>
          <w:sz w:val="20"/>
          <w:szCs w:val="20"/>
        </w:rPr>
        <w:t>Opatrenia pre prípad havárie sú zamerané na likvidáciu následkov havárie, ktorá môže vzniknúť pri nakladaní s nebezpečnýmodpadom z liekov.</w:t>
      </w:r>
    </w:p>
    <w:p w:rsidR="00546DEA" w:rsidRDefault="00546DEA" w:rsidP="00546DEA">
      <w:pPr>
        <w:pStyle w:val="Nadpis7"/>
        <w:keepLines/>
        <w:tabs>
          <w:tab w:val="left" w:pos="0"/>
          <w:tab w:val="left" w:pos="360"/>
          <w:tab w:val="left" w:pos="720"/>
        </w:tabs>
        <w:suppressAutoHyphens/>
        <w:overflowPunct w:val="0"/>
        <w:autoSpaceDE w:val="0"/>
        <w:autoSpaceDN w:val="0"/>
        <w:adjustRightInd w:val="0"/>
        <w:spacing w:before="120" w:after="120"/>
        <w:jc w:val="both"/>
        <w:rPr>
          <w:bCs/>
          <w:sz w:val="20"/>
          <w:szCs w:val="20"/>
          <w:u w:val="single"/>
        </w:rPr>
      </w:pPr>
      <w:proofErr w:type="spellStart"/>
      <w:r>
        <w:rPr>
          <w:b w:val="0"/>
          <w:bCs/>
          <w:sz w:val="20"/>
          <w:szCs w:val="20"/>
          <w:u w:val="single"/>
        </w:rPr>
        <w:t>Havária</w:t>
      </w:r>
      <w:proofErr w:type="spellEnd"/>
      <w:r>
        <w:rPr>
          <w:b w:val="0"/>
          <w:bCs/>
          <w:sz w:val="20"/>
          <w:szCs w:val="20"/>
          <w:u w:val="single"/>
        </w:rPr>
        <w:t xml:space="preserve"> – </w:t>
      </w:r>
      <w:proofErr w:type="spellStart"/>
      <w:r>
        <w:rPr>
          <w:b w:val="0"/>
          <w:bCs/>
          <w:sz w:val="20"/>
          <w:szCs w:val="20"/>
          <w:u w:val="single"/>
        </w:rPr>
        <w:t>definícia</w:t>
      </w:r>
      <w:proofErr w:type="spellEnd"/>
    </w:p>
    <w:p w:rsidR="00546DEA" w:rsidRDefault="00546DEA" w:rsidP="00546DEA">
      <w:pPr>
        <w:pStyle w:val="WW-BodyTextIndent2"/>
        <w:ind w:firstLine="0"/>
        <w:rPr>
          <w:sz w:val="20"/>
        </w:rPr>
      </w:pPr>
      <w:r>
        <w:rPr>
          <w:sz w:val="20"/>
        </w:rPr>
        <w:t>Za haváriu možno považovať mimoriadnu udalosť spôsobenú ľudskou činnosťou alebo živelnými pohromami, čiastočne alebo úplne neovládateľnú, časovo a priestorovo neohraničenú, ktorá má nepriaznivé dopady na život, zdravie ľudí a životné prostredie.</w:t>
      </w:r>
    </w:p>
    <w:p w:rsidR="00546DEA" w:rsidRDefault="00546DEA" w:rsidP="00546DEA">
      <w:pPr>
        <w:numPr>
          <w:ilvl w:val="1"/>
          <w:numId w:val="1"/>
        </w:numPr>
        <w:tabs>
          <w:tab w:val="num" w:pos="360"/>
        </w:tabs>
        <w:spacing w:before="120" w:after="120"/>
        <w:ind w:left="1797" w:hanging="1797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Všeobecná časť</w:t>
      </w:r>
    </w:p>
    <w:p w:rsidR="00546DEA" w:rsidRDefault="00546DEA" w:rsidP="00546DEA">
      <w:pPr>
        <w:jc w:val="both"/>
        <w:rPr>
          <w:i/>
          <w:color w:val="0070C0"/>
          <w:sz w:val="20"/>
          <w:szCs w:val="20"/>
        </w:rPr>
      </w:pPr>
      <w:r>
        <w:rPr>
          <w:sz w:val="20"/>
          <w:szCs w:val="20"/>
          <w:u w:val="single"/>
        </w:rPr>
        <w:t>Základné údaje</w:t>
      </w:r>
      <w:r>
        <w:rPr>
          <w:sz w:val="20"/>
          <w:szCs w:val="20"/>
        </w:rPr>
        <w:t>: </w:t>
      </w:r>
      <w:r>
        <w:rPr>
          <w:i/>
          <w:color w:val="0070C0"/>
          <w:sz w:val="20"/>
          <w:szCs w:val="20"/>
        </w:rPr>
        <w:t>Adresa držiteľa povolenia na poskytovanie lekárenskej starostlivosti</w:t>
      </w:r>
    </w:p>
    <w:p w:rsidR="00546DEA" w:rsidRDefault="00546DEA" w:rsidP="00546DEA">
      <w:pPr>
        <w:spacing w:before="120" w:after="120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Adresy miest výkonu činnosti, v ktorých sa nakladá s nebezpečným odpadom: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2"/>
        <w:gridCol w:w="6030"/>
      </w:tblGrid>
      <w:tr w:rsidR="00546DEA" w:rsidTr="00661ECC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EA" w:rsidRDefault="00546DEA" w:rsidP="00661ECC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EA" w:rsidRDefault="00546DEA" w:rsidP="00661ECC">
            <w:pPr>
              <w:spacing w:before="120" w:after="120"/>
              <w:jc w:val="both"/>
              <w:rPr>
                <w:i/>
                <w:color w:val="0070C0"/>
                <w:sz w:val="20"/>
                <w:szCs w:val="20"/>
              </w:rPr>
            </w:pPr>
          </w:p>
        </w:tc>
      </w:tr>
      <w:tr w:rsidR="00546DEA" w:rsidTr="00661ECC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EA" w:rsidRDefault="00546DEA" w:rsidP="00661ECC">
            <w:pPr>
              <w:spacing w:before="120" w:after="120"/>
              <w:jc w:val="both"/>
              <w:rPr>
                <w:i/>
                <w:color w:val="0070C0"/>
                <w:sz w:val="20"/>
                <w:szCs w:val="20"/>
              </w:rPr>
            </w:pP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EA" w:rsidRDefault="00546DEA" w:rsidP="00661ECC">
            <w:pPr>
              <w:spacing w:before="120" w:after="120"/>
              <w:jc w:val="both"/>
              <w:rPr>
                <w:i/>
                <w:color w:val="0070C0"/>
                <w:sz w:val="20"/>
                <w:szCs w:val="20"/>
              </w:rPr>
            </w:pPr>
          </w:p>
        </w:tc>
      </w:tr>
      <w:tr w:rsidR="00546DEA" w:rsidTr="00661ECC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EA" w:rsidRDefault="00546DEA" w:rsidP="00661ECC">
            <w:pPr>
              <w:spacing w:before="120" w:after="120"/>
              <w:jc w:val="both"/>
              <w:rPr>
                <w:i/>
                <w:color w:val="0070C0"/>
                <w:sz w:val="20"/>
                <w:szCs w:val="20"/>
              </w:rPr>
            </w:pP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EA" w:rsidRDefault="00546DEA" w:rsidP="00661ECC">
            <w:pPr>
              <w:spacing w:before="120" w:after="120"/>
              <w:jc w:val="both"/>
              <w:rPr>
                <w:i/>
                <w:color w:val="0070C0"/>
                <w:sz w:val="20"/>
                <w:szCs w:val="20"/>
              </w:rPr>
            </w:pPr>
          </w:p>
        </w:tc>
      </w:tr>
    </w:tbl>
    <w:p w:rsidR="00546DEA" w:rsidRDefault="00546DEA" w:rsidP="00546DEA">
      <w:pPr>
        <w:numPr>
          <w:ilvl w:val="1"/>
          <w:numId w:val="1"/>
        </w:numPr>
        <w:tabs>
          <w:tab w:val="num" w:pos="360"/>
        </w:tabs>
        <w:spacing w:before="120" w:after="120"/>
        <w:ind w:left="357" w:hanging="357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Pohotovostná časť</w:t>
      </w:r>
    </w:p>
    <w:p w:rsidR="00546DEA" w:rsidRDefault="00546DEA" w:rsidP="00546DEA">
      <w:pPr>
        <w:spacing w:before="120" w:after="120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Priestory s potenciálom nebezpečenstva vzniku havárie pri nakladaní s nebezpečným odpadom</w:t>
      </w:r>
    </w:p>
    <w:p w:rsidR="00546DEA" w:rsidRDefault="00546DEA" w:rsidP="00546DEA">
      <w:pPr>
        <w:jc w:val="both"/>
        <w:rPr>
          <w:sz w:val="20"/>
          <w:szCs w:val="20"/>
        </w:rPr>
      </w:pPr>
      <w:r>
        <w:rPr>
          <w:sz w:val="20"/>
          <w:szCs w:val="20"/>
        </w:rPr>
        <w:t>Priestor vo verejnej lekárni, kde sa zhromažďuje nebezpečný odpad (lieky nespotrebované fyzickými osobami).</w:t>
      </w:r>
    </w:p>
    <w:p w:rsidR="00546DEA" w:rsidRDefault="00546DEA" w:rsidP="00546DEA">
      <w:pPr>
        <w:spacing w:before="120"/>
        <w:jc w:val="both"/>
        <w:rPr>
          <w:sz w:val="20"/>
          <w:szCs w:val="20"/>
        </w:rPr>
      </w:pPr>
      <w:r>
        <w:rPr>
          <w:sz w:val="20"/>
          <w:szCs w:val="20"/>
          <w:u w:val="single"/>
        </w:rPr>
        <w:t>Ohlasovacia povinnosť externým organizáciám je v nasledovnom rozsahu:</w:t>
      </w:r>
    </w:p>
    <w:p w:rsidR="00546DEA" w:rsidRDefault="00546DEA" w:rsidP="00546DEA">
      <w:pPr>
        <w:numPr>
          <w:ilvl w:val="0"/>
          <w:numId w:val="2"/>
        </w:numPr>
        <w:ind w:left="567" w:hanging="283"/>
        <w:jc w:val="both"/>
        <w:rPr>
          <w:i/>
          <w:color w:val="0070C0"/>
          <w:sz w:val="20"/>
          <w:szCs w:val="20"/>
        </w:rPr>
      </w:pPr>
      <w:r>
        <w:rPr>
          <w:sz w:val="20"/>
          <w:szCs w:val="20"/>
        </w:rPr>
        <w:t xml:space="preserve">SIŽP – Slovenský inšpektorát životného prostredia, </w:t>
      </w:r>
      <w:r>
        <w:rPr>
          <w:i/>
          <w:color w:val="0070C0"/>
          <w:sz w:val="20"/>
          <w:szCs w:val="20"/>
        </w:rPr>
        <w:t>adresa a kontaktné údaje na príslušný inšpektorát</w:t>
      </w:r>
    </w:p>
    <w:p w:rsidR="00546DEA" w:rsidRDefault="00546DEA" w:rsidP="00546DEA">
      <w:pPr>
        <w:numPr>
          <w:ilvl w:val="0"/>
          <w:numId w:val="2"/>
        </w:numPr>
        <w:ind w:left="567" w:hanging="283"/>
        <w:jc w:val="both"/>
        <w:rPr>
          <w:i/>
          <w:color w:val="0070C0"/>
          <w:sz w:val="20"/>
          <w:szCs w:val="20"/>
        </w:rPr>
      </w:pPr>
      <w:r>
        <w:rPr>
          <w:sz w:val="20"/>
          <w:szCs w:val="20"/>
        </w:rPr>
        <w:t xml:space="preserve">Okresný úrad </w:t>
      </w:r>
      <w:r>
        <w:rPr>
          <w:i/>
          <w:color w:val="0070C0"/>
          <w:sz w:val="20"/>
          <w:szCs w:val="20"/>
        </w:rPr>
        <w:t>adresa a kontaktné údaje na príslušný okresný úrad</w:t>
      </w:r>
    </w:p>
    <w:p w:rsidR="00546DEA" w:rsidRDefault="00546DEA" w:rsidP="00546DEA">
      <w:pPr>
        <w:numPr>
          <w:ilvl w:val="0"/>
          <w:numId w:val="2"/>
        </w:numPr>
        <w:ind w:left="567" w:hanging="283"/>
        <w:jc w:val="both"/>
        <w:rPr>
          <w:sz w:val="20"/>
          <w:szCs w:val="20"/>
        </w:rPr>
      </w:pPr>
      <w:r>
        <w:rPr>
          <w:sz w:val="20"/>
          <w:szCs w:val="20"/>
        </w:rPr>
        <w:t>Štátny ústav pre kontrolu liečiv, Kvetná 11, 825 05 Bratislava, tel. č. 02/507 01 111</w:t>
      </w:r>
    </w:p>
    <w:p w:rsidR="00546DEA" w:rsidRDefault="00546DEA" w:rsidP="00546DEA">
      <w:pPr>
        <w:numPr>
          <w:ilvl w:val="0"/>
          <w:numId w:val="2"/>
        </w:numPr>
        <w:ind w:left="567" w:hanging="28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Modrá Planéta spol. s.r.o., Hraničná 18, 821 05 Bratislava, tel. č. </w:t>
      </w:r>
      <w:hyperlink r:id="rId7" w:history="1">
        <w:r w:rsidRPr="00225F18">
          <w:rPr>
            <w:rStyle w:val="Hypertextovprepojenie"/>
            <w:sz w:val="20"/>
            <w:szCs w:val="20"/>
            <w:shd w:val="clear" w:color="auto" w:fill="FFFFFF"/>
          </w:rPr>
          <w:t>0915 945 444</w:t>
        </w:r>
      </w:hyperlink>
      <w:r w:rsidRPr="00225F18">
        <w:rPr>
          <w:sz w:val="20"/>
          <w:szCs w:val="20"/>
        </w:rPr>
        <w:t xml:space="preserve">, </w:t>
      </w:r>
      <w:hyperlink r:id="rId8" w:history="1">
        <w:r w:rsidRPr="00225F18">
          <w:rPr>
            <w:rStyle w:val="Hypertextovprepojenie"/>
            <w:sz w:val="20"/>
            <w:szCs w:val="20"/>
            <w:shd w:val="clear" w:color="auto" w:fill="FFFFFF"/>
          </w:rPr>
          <w:t>0907 259 380</w:t>
        </w:r>
      </w:hyperlink>
    </w:p>
    <w:p w:rsidR="00546DEA" w:rsidRDefault="00546DEA" w:rsidP="00546DEA">
      <w:pPr>
        <w:spacing w:before="120" w:after="120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Možné prípady únikov odpadov do prostredia:</w:t>
      </w:r>
    </w:p>
    <w:p w:rsidR="00546DEA" w:rsidRDefault="00546DEA" w:rsidP="00546DEA">
      <w:pPr>
        <w:numPr>
          <w:ilvl w:val="0"/>
          <w:numId w:val="3"/>
        </w:numPr>
        <w:ind w:left="567" w:hanging="28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neovládateľný náhodný únik NO do pôdy a do prostredia súvisiaceho s povrchovými alebo  </w:t>
      </w:r>
    </w:p>
    <w:p w:rsidR="00546DEA" w:rsidRDefault="00546DEA" w:rsidP="00546DEA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podzemnými vodami</w:t>
      </w:r>
    </w:p>
    <w:p w:rsidR="00546DEA" w:rsidRDefault="00546DEA" w:rsidP="00546DEA">
      <w:pPr>
        <w:numPr>
          <w:ilvl w:val="0"/>
          <w:numId w:val="3"/>
        </w:numPr>
        <w:ind w:left="567" w:hanging="283"/>
        <w:jc w:val="both"/>
        <w:rPr>
          <w:sz w:val="20"/>
          <w:szCs w:val="20"/>
        </w:rPr>
      </w:pPr>
      <w:r>
        <w:rPr>
          <w:sz w:val="20"/>
          <w:szCs w:val="20"/>
        </w:rPr>
        <w:t>únik NO pri možných poruchách a haváriách dopravnej techniky, ktorý môže byť príčinou následného znečistenia pôdy alebo vody</w:t>
      </w:r>
    </w:p>
    <w:p w:rsidR="00546DEA" w:rsidRDefault="00546DEA" w:rsidP="00546DEA">
      <w:pPr>
        <w:numPr>
          <w:ilvl w:val="0"/>
          <w:numId w:val="4"/>
        </w:numPr>
        <w:ind w:left="567" w:hanging="283"/>
        <w:jc w:val="both"/>
        <w:rPr>
          <w:sz w:val="20"/>
          <w:szCs w:val="20"/>
        </w:rPr>
      </w:pPr>
      <w:r>
        <w:rPr>
          <w:sz w:val="20"/>
          <w:szCs w:val="20"/>
        </w:rPr>
        <w:t>únik NO pri nezodpovednej manipulácii s nim, čo môže byť príčinou znečistenia pôdy alebo vody</w:t>
      </w:r>
    </w:p>
    <w:p w:rsidR="00546DEA" w:rsidRDefault="00546DEA" w:rsidP="00546DEA">
      <w:pPr>
        <w:numPr>
          <w:ilvl w:val="0"/>
          <w:numId w:val="4"/>
        </w:numPr>
        <w:ind w:left="567" w:hanging="283"/>
        <w:jc w:val="both"/>
        <w:rPr>
          <w:sz w:val="20"/>
          <w:szCs w:val="20"/>
        </w:rPr>
      </w:pPr>
      <w:r>
        <w:rPr>
          <w:sz w:val="20"/>
          <w:szCs w:val="20"/>
        </w:rPr>
        <w:t>pri porušení obalov (papierových a plastových), v ktorých sú odpady umiestnené</w:t>
      </w:r>
    </w:p>
    <w:p w:rsidR="00546DEA" w:rsidRDefault="00546DEA" w:rsidP="00546DEA">
      <w:pPr>
        <w:numPr>
          <w:ilvl w:val="0"/>
          <w:numId w:val="4"/>
        </w:numPr>
        <w:ind w:left="567" w:hanging="283"/>
        <w:jc w:val="both"/>
        <w:rPr>
          <w:sz w:val="20"/>
          <w:szCs w:val="20"/>
        </w:rPr>
      </w:pPr>
      <w:r>
        <w:rPr>
          <w:sz w:val="20"/>
          <w:szCs w:val="20"/>
        </w:rPr>
        <w:t>dopravná nehoda</w:t>
      </w:r>
    </w:p>
    <w:p w:rsidR="00546DEA" w:rsidRDefault="00546DEA" w:rsidP="00546DEA">
      <w:pPr>
        <w:numPr>
          <w:ilvl w:val="0"/>
          <w:numId w:val="4"/>
        </w:numPr>
        <w:ind w:left="567" w:hanging="283"/>
        <w:jc w:val="both"/>
        <w:rPr>
          <w:sz w:val="20"/>
          <w:szCs w:val="20"/>
        </w:rPr>
      </w:pPr>
      <w:r>
        <w:rPr>
          <w:sz w:val="20"/>
          <w:szCs w:val="20"/>
        </w:rPr>
        <w:t>nepredvídateľné živelné pohromy – udalosti</w:t>
      </w:r>
    </w:p>
    <w:p w:rsidR="00546DEA" w:rsidRDefault="00546DEA" w:rsidP="00546DEA">
      <w:pPr>
        <w:pStyle w:val="Nadpis7"/>
        <w:keepLines/>
        <w:tabs>
          <w:tab w:val="left" w:pos="0"/>
          <w:tab w:val="left" w:pos="360"/>
          <w:tab w:val="left" w:pos="720"/>
        </w:tabs>
        <w:suppressAutoHyphens/>
        <w:overflowPunct w:val="0"/>
        <w:autoSpaceDE w:val="0"/>
        <w:autoSpaceDN w:val="0"/>
        <w:adjustRightInd w:val="0"/>
        <w:ind w:firstLine="0"/>
        <w:jc w:val="both"/>
        <w:rPr>
          <w:sz w:val="20"/>
          <w:szCs w:val="20"/>
          <w:u w:val="single"/>
        </w:rPr>
      </w:pPr>
    </w:p>
    <w:p w:rsidR="00546DEA" w:rsidRDefault="00546DEA" w:rsidP="00546DEA">
      <w:pPr>
        <w:pStyle w:val="Nadpis7"/>
        <w:keepLines/>
        <w:tabs>
          <w:tab w:val="left" w:pos="0"/>
          <w:tab w:val="left" w:pos="360"/>
          <w:tab w:val="left" w:pos="720"/>
        </w:tabs>
        <w:suppressAutoHyphens/>
        <w:overflowPunct w:val="0"/>
        <w:autoSpaceDE w:val="0"/>
        <w:autoSpaceDN w:val="0"/>
        <w:adjustRightInd w:val="0"/>
        <w:jc w:val="both"/>
        <w:rPr>
          <w:sz w:val="20"/>
          <w:szCs w:val="20"/>
          <w:u w:val="single"/>
        </w:rPr>
      </w:pPr>
      <w:proofErr w:type="spellStart"/>
      <w:r>
        <w:rPr>
          <w:sz w:val="20"/>
          <w:szCs w:val="20"/>
          <w:u w:val="single"/>
        </w:rPr>
        <w:t>Zoznam</w:t>
      </w:r>
      <w:proofErr w:type="spellEnd"/>
      <w:r>
        <w:rPr>
          <w:sz w:val="20"/>
          <w:szCs w:val="20"/>
          <w:u w:val="single"/>
        </w:rPr>
        <w:t xml:space="preserve"> nebezpečných </w:t>
      </w:r>
      <w:proofErr w:type="spellStart"/>
      <w:r>
        <w:rPr>
          <w:sz w:val="20"/>
          <w:szCs w:val="20"/>
          <w:u w:val="single"/>
        </w:rPr>
        <w:t>odpadov</w:t>
      </w:r>
      <w:proofErr w:type="spellEnd"/>
      <w:r>
        <w:rPr>
          <w:sz w:val="20"/>
          <w:szCs w:val="20"/>
          <w:u w:val="single"/>
        </w:rPr>
        <w:t xml:space="preserve">, </w:t>
      </w:r>
      <w:proofErr w:type="spellStart"/>
      <w:r>
        <w:rPr>
          <w:sz w:val="20"/>
          <w:szCs w:val="20"/>
          <w:u w:val="single"/>
        </w:rPr>
        <w:t>ktoré</w:t>
      </w:r>
      <w:proofErr w:type="spellEnd"/>
      <w:r>
        <w:rPr>
          <w:sz w:val="20"/>
          <w:szCs w:val="20"/>
          <w:u w:val="single"/>
        </w:rPr>
        <w:t xml:space="preserve"> </w:t>
      </w:r>
      <w:proofErr w:type="spellStart"/>
      <w:r>
        <w:rPr>
          <w:sz w:val="20"/>
          <w:szCs w:val="20"/>
          <w:u w:val="single"/>
        </w:rPr>
        <w:t>sa</w:t>
      </w:r>
      <w:proofErr w:type="spellEnd"/>
      <w:r>
        <w:rPr>
          <w:sz w:val="20"/>
          <w:szCs w:val="20"/>
          <w:u w:val="single"/>
        </w:rPr>
        <w:t xml:space="preserve"> </w:t>
      </w:r>
      <w:proofErr w:type="spellStart"/>
      <w:r>
        <w:rPr>
          <w:sz w:val="20"/>
          <w:szCs w:val="20"/>
          <w:u w:val="single"/>
        </w:rPr>
        <w:t>zhromažďujú</w:t>
      </w:r>
      <w:proofErr w:type="spellEnd"/>
      <w:r>
        <w:rPr>
          <w:sz w:val="20"/>
          <w:szCs w:val="20"/>
          <w:u w:val="single"/>
        </w:rPr>
        <w:t xml:space="preserve"> v </w:t>
      </w:r>
      <w:proofErr w:type="spellStart"/>
      <w:r>
        <w:rPr>
          <w:sz w:val="20"/>
          <w:szCs w:val="20"/>
          <w:u w:val="single"/>
        </w:rPr>
        <w:t>miestach</w:t>
      </w:r>
      <w:proofErr w:type="spellEnd"/>
      <w:r>
        <w:rPr>
          <w:sz w:val="20"/>
          <w:szCs w:val="20"/>
          <w:u w:val="single"/>
        </w:rPr>
        <w:t xml:space="preserve"> výkonu činnosti:</w:t>
      </w:r>
    </w:p>
    <w:p w:rsidR="00546DEA" w:rsidRDefault="00546DEA" w:rsidP="00546DE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2"/>
        <w:gridCol w:w="7002"/>
      </w:tblGrid>
      <w:tr w:rsidR="00546DEA" w:rsidTr="00661ECC"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DEA" w:rsidRDefault="00546DEA" w:rsidP="00661ECC">
            <w:pPr>
              <w:pStyle w:val="ZkladntextIMP"/>
              <w:suppressAutoHyphens w:val="0"/>
              <w:spacing w:line="240" w:lineRule="auto"/>
              <w:jc w:val="both"/>
              <w:rPr>
                <w:b/>
                <w:bCs/>
                <w:sz w:val="20"/>
                <w:lang w:val="sk-SK"/>
              </w:rPr>
            </w:pPr>
            <w:r>
              <w:rPr>
                <w:b/>
                <w:bCs/>
                <w:sz w:val="20"/>
                <w:lang w:val="sk-SK"/>
              </w:rPr>
              <w:t>Katalógové číslo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DEA" w:rsidRDefault="00546DEA" w:rsidP="00661ECC">
            <w:pPr>
              <w:pStyle w:val="ZkladntextIMP"/>
              <w:suppressAutoHyphens w:val="0"/>
              <w:spacing w:line="240" w:lineRule="auto"/>
              <w:jc w:val="both"/>
              <w:rPr>
                <w:b/>
                <w:bCs/>
                <w:sz w:val="20"/>
                <w:lang w:val="sk-SK"/>
              </w:rPr>
            </w:pPr>
            <w:r>
              <w:rPr>
                <w:b/>
                <w:bCs/>
                <w:sz w:val="20"/>
                <w:lang w:val="sk-SK"/>
              </w:rPr>
              <w:t>Názov skupiny</w:t>
            </w:r>
          </w:p>
        </w:tc>
      </w:tr>
      <w:tr w:rsidR="00546DEA" w:rsidTr="00661ECC"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DEA" w:rsidRDefault="00546DEA" w:rsidP="00661ECC">
            <w:pPr>
              <w:pStyle w:val="ZkladntextIMP"/>
              <w:suppressAutoHyphens w:val="0"/>
              <w:spacing w:line="240" w:lineRule="auto"/>
              <w:jc w:val="both"/>
              <w:rPr>
                <w:b/>
                <w:bCs/>
                <w:sz w:val="20"/>
                <w:lang w:val="sk-SK"/>
              </w:rPr>
            </w:pPr>
            <w:r>
              <w:rPr>
                <w:b/>
                <w:sz w:val="20"/>
                <w:lang w:val="sk-SK"/>
              </w:rPr>
              <w:t>200131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DEA" w:rsidRDefault="00546DEA" w:rsidP="00661ECC">
            <w:pPr>
              <w:pStyle w:val="ZkladntextIMP"/>
              <w:suppressAutoHyphens w:val="0"/>
              <w:spacing w:line="240" w:lineRule="auto"/>
              <w:jc w:val="both"/>
              <w:rPr>
                <w:b/>
                <w:bCs/>
                <w:sz w:val="20"/>
                <w:lang w:val="sk-SK"/>
              </w:rPr>
            </w:pPr>
            <w:proofErr w:type="spellStart"/>
            <w:r>
              <w:rPr>
                <w:bCs/>
                <w:sz w:val="20"/>
                <w:lang w:val="sk-SK"/>
              </w:rPr>
              <w:t>cytotoxické</w:t>
            </w:r>
            <w:proofErr w:type="spellEnd"/>
            <w:r>
              <w:rPr>
                <w:bCs/>
                <w:sz w:val="20"/>
                <w:lang w:val="sk-SK"/>
              </w:rPr>
              <w:t xml:space="preserve"> a </w:t>
            </w:r>
            <w:proofErr w:type="spellStart"/>
            <w:r>
              <w:rPr>
                <w:bCs/>
                <w:sz w:val="20"/>
                <w:lang w:val="sk-SK"/>
              </w:rPr>
              <w:t>cytostatické</w:t>
            </w:r>
            <w:proofErr w:type="spellEnd"/>
            <w:r>
              <w:rPr>
                <w:bCs/>
                <w:sz w:val="20"/>
                <w:lang w:val="sk-SK"/>
              </w:rPr>
              <w:t xml:space="preserve"> liečivá</w:t>
            </w:r>
          </w:p>
        </w:tc>
      </w:tr>
    </w:tbl>
    <w:p w:rsidR="00546DEA" w:rsidRDefault="00546DEA" w:rsidP="00546DEA">
      <w:pPr>
        <w:jc w:val="both"/>
        <w:rPr>
          <w:b/>
          <w:sz w:val="20"/>
          <w:szCs w:val="20"/>
        </w:rPr>
      </w:pPr>
    </w:p>
    <w:p w:rsidR="00546DEA" w:rsidRDefault="00546DEA" w:rsidP="00546DEA">
      <w:pPr>
        <w:numPr>
          <w:ilvl w:val="1"/>
          <w:numId w:val="1"/>
        </w:numPr>
        <w:ind w:left="357" w:hanging="357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Operatívna časť</w:t>
      </w:r>
    </w:p>
    <w:p w:rsidR="00546DEA" w:rsidRDefault="00546DEA" w:rsidP="00546DEA">
      <w:pPr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Havárie, ktoré môžu zapríčiniť jednotlivé odpady:</w:t>
      </w:r>
    </w:p>
    <w:p w:rsidR="00546DEA" w:rsidRDefault="00546DEA" w:rsidP="00546DEA">
      <w:pPr>
        <w:numPr>
          <w:ilvl w:val="0"/>
          <w:numId w:val="5"/>
        </w:numPr>
        <w:tabs>
          <w:tab w:val="left" w:pos="567"/>
        </w:tabs>
        <w:ind w:left="709" w:hanging="425"/>
        <w:jc w:val="both"/>
        <w:rPr>
          <w:sz w:val="20"/>
          <w:szCs w:val="20"/>
        </w:rPr>
      </w:pPr>
      <w:r>
        <w:rPr>
          <w:sz w:val="20"/>
          <w:szCs w:val="20"/>
        </w:rPr>
        <w:t>únik látok do pôdy a podzemnej vody (kat. č. 200131).</w:t>
      </w:r>
    </w:p>
    <w:p w:rsidR="00546DEA" w:rsidRDefault="00546DEA" w:rsidP="00546DEA">
      <w:pPr>
        <w:rPr>
          <w:sz w:val="20"/>
          <w:szCs w:val="20"/>
          <w:u w:val="single"/>
        </w:rPr>
        <w:sectPr w:rsidR="00546DEA" w:rsidSect="00D909FC">
          <w:headerReference w:type="default" r:id="rId9"/>
          <w:pgSz w:w="11906" w:h="16838"/>
          <w:pgMar w:top="1417" w:right="1417" w:bottom="1417" w:left="1417" w:header="850" w:footer="709" w:gutter="0"/>
          <w:cols w:space="708"/>
          <w:docGrid w:linePitch="326"/>
        </w:sectPr>
      </w:pPr>
    </w:p>
    <w:p w:rsidR="00546DEA" w:rsidRDefault="00546DEA" w:rsidP="00546DEA">
      <w:pPr>
        <w:pStyle w:val="Nadpis7"/>
        <w:keepLines/>
        <w:tabs>
          <w:tab w:val="left" w:pos="0"/>
          <w:tab w:val="left" w:pos="360"/>
          <w:tab w:val="left" w:pos="720"/>
        </w:tabs>
        <w:suppressAutoHyphens/>
        <w:overflowPunct w:val="0"/>
        <w:autoSpaceDE w:val="0"/>
        <w:autoSpaceDN w:val="0"/>
        <w:adjustRightInd w:val="0"/>
        <w:spacing w:before="120"/>
        <w:jc w:val="both"/>
        <w:rPr>
          <w:sz w:val="20"/>
          <w:szCs w:val="20"/>
          <w:u w:val="single"/>
        </w:rPr>
      </w:pPr>
      <w:proofErr w:type="spellStart"/>
      <w:r>
        <w:rPr>
          <w:b w:val="0"/>
          <w:sz w:val="20"/>
          <w:szCs w:val="20"/>
          <w:u w:val="single"/>
        </w:rPr>
        <w:lastRenderedPageBreak/>
        <w:t>Prevencia</w:t>
      </w:r>
      <w:proofErr w:type="spellEnd"/>
      <w:r>
        <w:rPr>
          <w:b w:val="0"/>
          <w:sz w:val="20"/>
          <w:szCs w:val="20"/>
          <w:u w:val="single"/>
        </w:rPr>
        <w:t xml:space="preserve"> vzniku jednotlivých </w:t>
      </w:r>
      <w:proofErr w:type="spellStart"/>
      <w:r>
        <w:rPr>
          <w:b w:val="0"/>
          <w:sz w:val="20"/>
          <w:szCs w:val="20"/>
          <w:u w:val="single"/>
        </w:rPr>
        <w:t>druhov</w:t>
      </w:r>
      <w:proofErr w:type="spellEnd"/>
      <w:r>
        <w:rPr>
          <w:b w:val="0"/>
          <w:sz w:val="20"/>
          <w:szCs w:val="20"/>
          <w:u w:val="single"/>
        </w:rPr>
        <w:t xml:space="preserve"> havárii</w:t>
      </w:r>
    </w:p>
    <w:p w:rsidR="00546DEA" w:rsidRDefault="00546DEA" w:rsidP="00546DEA"/>
    <w:p w:rsidR="00546DEA" w:rsidRDefault="00546DEA" w:rsidP="00546DEA">
      <w:pPr>
        <w:keepLines/>
        <w:tabs>
          <w:tab w:val="left" w:pos="1146"/>
        </w:tabs>
        <w:suppressAutoHyphens/>
        <w:overflowPunct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Nebezpečný odpad je skladovaný tak, aby pri bežnej manipulácii s nim a jeho uložení bol vylúčený únik do vonkajšieho prostredia. Manipulovať s nebezpečnýmodpadom môžu iba zamestnanci verejnej lekárne.</w:t>
      </w:r>
    </w:p>
    <w:p w:rsidR="00546DEA" w:rsidRDefault="00546DEA" w:rsidP="00546DEA">
      <w:pPr>
        <w:keepLines/>
        <w:tabs>
          <w:tab w:val="left" w:pos="1146"/>
        </w:tabs>
        <w:suppressAutoHyphens/>
        <w:overflowPunct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546DEA" w:rsidRDefault="00546DEA" w:rsidP="00546DEA">
      <w:pPr>
        <w:pStyle w:val="WW-BodyText21"/>
        <w:rPr>
          <w:sz w:val="20"/>
          <w:u w:val="single"/>
        </w:rPr>
      </w:pPr>
      <w:r>
        <w:rPr>
          <w:sz w:val="20"/>
          <w:u w:val="single"/>
        </w:rPr>
        <w:t>S nebezpečnými odpadmi je potrebné manipulovať tak, aby:</w:t>
      </w:r>
    </w:p>
    <w:p w:rsidR="00546DEA" w:rsidRDefault="00546DEA" w:rsidP="00546DEA">
      <w:pPr>
        <w:keepLines/>
        <w:numPr>
          <w:ilvl w:val="0"/>
          <w:numId w:val="6"/>
        </w:numPr>
        <w:tabs>
          <w:tab w:val="left" w:pos="360"/>
        </w:tabs>
        <w:suppressAutoHyphens/>
        <w:overflowPunct w:val="0"/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nedošlo k  úniku škodlivých látok mimo obal,</w:t>
      </w:r>
    </w:p>
    <w:p w:rsidR="00546DEA" w:rsidRDefault="00546DEA" w:rsidP="00546DEA">
      <w:pPr>
        <w:keepLines/>
        <w:numPr>
          <w:ilvl w:val="0"/>
          <w:numId w:val="6"/>
        </w:numPr>
        <w:tabs>
          <w:tab w:val="left" w:pos="360"/>
        </w:tabs>
        <w:suppressAutoHyphens/>
        <w:overflowPunct w:val="0"/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nedošlo k preplneniu zberných obalov,</w:t>
      </w:r>
    </w:p>
    <w:p w:rsidR="00546DEA" w:rsidRDefault="00546DEA" w:rsidP="00546DEA">
      <w:pPr>
        <w:keepLines/>
        <w:numPr>
          <w:ilvl w:val="0"/>
          <w:numId w:val="6"/>
        </w:numPr>
        <w:tabs>
          <w:tab w:val="left" w:pos="360"/>
        </w:tabs>
        <w:suppressAutoHyphens/>
        <w:overflowPunct w:val="0"/>
        <w:autoSpaceDE w:val="0"/>
        <w:autoSpaceDN w:val="0"/>
        <w:adjustRightInd w:val="0"/>
        <w:ind w:left="360"/>
        <w:rPr>
          <w:sz w:val="20"/>
          <w:szCs w:val="20"/>
        </w:rPr>
      </w:pPr>
      <w:r>
        <w:rPr>
          <w:sz w:val="20"/>
          <w:szCs w:val="20"/>
        </w:rPr>
        <w:t>boli zhromažďované vo vhodných obaloch,</w:t>
      </w:r>
    </w:p>
    <w:p w:rsidR="00546DEA" w:rsidRDefault="00546DEA" w:rsidP="00546DEA">
      <w:pPr>
        <w:keepLines/>
        <w:numPr>
          <w:ilvl w:val="0"/>
          <w:numId w:val="6"/>
        </w:numPr>
        <w:tabs>
          <w:tab w:val="left" w:pos="360"/>
        </w:tabs>
        <w:suppressAutoHyphens/>
        <w:overflowPunct w:val="0"/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boli prepravené bezpečným spôsobom,</w:t>
      </w:r>
    </w:p>
    <w:p w:rsidR="00546DEA" w:rsidRDefault="00546DEA" w:rsidP="00546DEA">
      <w:pPr>
        <w:keepLines/>
        <w:numPr>
          <w:ilvl w:val="0"/>
          <w:numId w:val="6"/>
        </w:numPr>
        <w:tabs>
          <w:tab w:val="left" w:pos="360"/>
        </w:tabs>
        <w:suppressAutoHyphens/>
        <w:overflowPunct w:val="0"/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boli zhodnotené alebo zneškodnené vhodným spôsobom.</w:t>
      </w:r>
    </w:p>
    <w:p w:rsidR="00546DEA" w:rsidRDefault="00546DEA" w:rsidP="00546DEA">
      <w:pPr>
        <w:spacing w:before="120"/>
        <w:jc w:val="both"/>
        <w:rPr>
          <w:sz w:val="20"/>
          <w:szCs w:val="20"/>
        </w:rPr>
      </w:pPr>
      <w:r>
        <w:rPr>
          <w:sz w:val="20"/>
          <w:szCs w:val="20"/>
        </w:rPr>
        <w:t>Fyzikálno-chemické a nebezpečné vlastnosti jednotlivých druhov NO, opatrenia pri manipulácii a skladovaní, odporúčané spôsoby zneškodňovania, opatrenia pri nehodách a požiaroch, návod na poskytnutie prvej pomoci v prípade zasiahnutia škodlivými látkami sú zapísané v </w:t>
      </w:r>
      <w:r>
        <w:rPr>
          <w:i/>
          <w:sz w:val="20"/>
          <w:szCs w:val="20"/>
        </w:rPr>
        <w:t>Identifikačných listoch NO</w:t>
      </w:r>
      <w:r>
        <w:rPr>
          <w:sz w:val="20"/>
          <w:szCs w:val="20"/>
        </w:rPr>
        <w:t>, ktorými sú označené priestory, kde sa zhromažďuje NO.</w:t>
      </w:r>
    </w:p>
    <w:p w:rsidR="00546DEA" w:rsidRDefault="00546DEA" w:rsidP="00546DEA">
      <w:pPr>
        <w:jc w:val="both"/>
        <w:rPr>
          <w:sz w:val="20"/>
          <w:szCs w:val="20"/>
        </w:rPr>
      </w:pPr>
    </w:p>
    <w:p w:rsidR="00546DEA" w:rsidRDefault="00546DEA" w:rsidP="00546DEA">
      <w:pPr>
        <w:keepLines/>
        <w:suppressAutoHyphens/>
        <w:overflowPunct w:val="0"/>
        <w:autoSpaceDE w:val="0"/>
        <w:autoSpaceDN w:val="0"/>
        <w:adjustRightInd w:val="0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Opatrenia na zneškodnenie následkov havárie a zabránenie ďalšiemu úniku nebezpečných látok:</w:t>
      </w:r>
    </w:p>
    <w:p w:rsidR="00546DEA" w:rsidRDefault="00546DEA" w:rsidP="00546DEA">
      <w:pPr>
        <w:keepLines/>
        <w:numPr>
          <w:ilvl w:val="0"/>
          <w:numId w:val="7"/>
        </w:numPr>
        <w:tabs>
          <w:tab w:val="clear" w:pos="720"/>
          <w:tab w:val="num" w:pos="360"/>
          <w:tab w:val="left" w:pos="1146"/>
        </w:tabs>
        <w:suppressAutoHyphens/>
        <w:overflowPunct w:val="0"/>
        <w:autoSpaceDE w:val="0"/>
        <w:autoSpaceDN w:val="0"/>
        <w:adjustRightInd w:val="0"/>
        <w:ind w:hanging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neodkladne ohlásiť haváriu </w:t>
      </w:r>
    </w:p>
    <w:p w:rsidR="00546DEA" w:rsidRDefault="00546DEA" w:rsidP="00546DEA">
      <w:pPr>
        <w:keepLines/>
        <w:numPr>
          <w:ilvl w:val="0"/>
          <w:numId w:val="7"/>
        </w:numPr>
        <w:tabs>
          <w:tab w:val="clear" w:pos="720"/>
          <w:tab w:val="num" w:pos="360"/>
          <w:tab w:val="left" w:pos="1146"/>
        </w:tabs>
        <w:suppressAutoHyphens/>
        <w:overflowPunct w:val="0"/>
        <w:autoSpaceDE w:val="0"/>
        <w:autoSpaceDN w:val="0"/>
        <w:adjustRightInd w:val="0"/>
        <w:ind w:hanging="720"/>
        <w:jc w:val="both"/>
        <w:rPr>
          <w:sz w:val="20"/>
          <w:szCs w:val="20"/>
        </w:rPr>
      </w:pPr>
      <w:r>
        <w:rPr>
          <w:sz w:val="20"/>
          <w:szCs w:val="20"/>
        </w:rPr>
        <w:t>odstrániť príčinu havárie,</w:t>
      </w:r>
    </w:p>
    <w:p w:rsidR="00546DEA" w:rsidRDefault="00546DEA" w:rsidP="00546DEA">
      <w:pPr>
        <w:keepLines/>
        <w:numPr>
          <w:ilvl w:val="0"/>
          <w:numId w:val="7"/>
        </w:numPr>
        <w:tabs>
          <w:tab w:val="clear" w:pos="720"/>
          <w:tab w:val="num" w:pos="360"/>
          <w:tab w:val="left" w:pos="1146"/>
        </w:tabs>
        <w:suppressAutoHyphens/>
        <w:overflowPunct w:val="0"/>
        <w:autoSpaceDE w:val="0"/>
        <w:autoSpaceDN w:val="0"/>
        <w:adjustRightInd w:val="0"/>
        <w:ind w:hanging="720"/>
        <w:jc w:val="both"/>
        <w:rPr>
          <w:sz w:val="20"/>
          <w:szCs w:val="20"/>
        </w:rPr>
      </w:pPr>
      <w:r>
        <w:rPr>
          <w:sz w:val="20"/>
          <w:szCs w:val="20"/>
        </w:rPr>
        <w:t>zabrániť vzniku škodlivých následkov havárie,</w:t>
      </w:r>
    </w:p>
    <w:p w:rsidR="00546DEA" w:rsidRDefault="00546DEA" w:rsidP="00546DEA">
      <w:pPr>
        <w:keepLines/>
        <w:numPr>
          <w:ilvl w:val="0"/>
          <w:numId w:val="7"/>
        </w:numPr>
        <w:tabs>
          <w:tab w:val="clear" w:pos="720"/>
          <w:tab w:val="num" w:pos="360"/>
          <w:tab w:val="left" w:pos="1146"/>
        </w:tabs>
        <w:suppressAutoHyphens/>
        <w:overflowPunct w:val="0"/>
        <w:autoSpaceDE w:val="0"/>
        <w:autoSpaceDN w:val="0"/>
        <w:adjustRightInd w:val="0"/>
        <w:ind w:hanging="720"/>
        <w:jc w:val="both"/>
        <w:rPr>
          <w:sz w:val="20"/>
          <w:szCs w:val="20"/>
        </w:rPr>
      </w:pPr>
      <w:r>
        <w:rPr>
          <w:sz w:val="20"/>
          <w:szCs w:val="20"/>
        </w:rPr>
        <w:t>okamžite pozbierať zvyšky škodlivých látok, resp. nasiaknutého sorpčného materiálu,</w:t>
      </w:r>
    </w:p>
    <w:p w:rsidR="00546DEA" w:rsidRDefault="00546DEA" w:rsidP="00546DEA">
      <w:pPr>
        <w:keepLines/>
        <w:numPr>
          <w:ilvl w:val="0"/>
          <w:numId w:val="7"/>
        </w:numPr>
        <w:tabs>
          <w:tab w:val="clear" w:pos="720"/>
          <w:tab w:val="num" w:pos="360"/>
          <w:tab w:val="left" w:pos="1146"/>
        </w:tabs>
        <w:suppressAutoHyphens/>
        <w:overflowPunct w:val="0"/>
        <w:autoSpaceDE w:val="0"/>
        <w:autoSpaceDN w:val="0"/>
        <w:adjustRightInd w:val="0"/>
        <w:ind w:hanging="720"/>
        <w:jc w:val="both"/>
        <w:rPr>
          <w:sz w:val="20"/>
          <w:szCs w:val="20"/>
        </w:rPr>
      </w:pPr>
      <w:r>
        <w:rPr>
          <w:sz w:val="20"/>
          <w:szCs w:val="20"/>
        </w:rPr>
        <w:t>varovať užívateľov objektu, ktorí by mohli byť haváriou ohrození;</w:t>
      </w:r>
    </w:p>
    <w:p w:rsidR="00546DEA" w:rsidRDefault="00546DEA" w:rsidP="00546DEA">
      <w:pPr>
        <w:keepLines/>
        <w:numPr>
          <w:ilvl w:val="0"/>
          <w:numId w:val="7"/>
        </w:numPr>
        <w:tabs>
          <w:tab w:val="clear" w:pos="720"/>
          <w:tab w:val="num" w:pos="360"/>
          <w:tab w:val="left" w:pos="1146"/>
        </w:tabs>
        <w:suppressAutoHyphens/>
        <w:overflowPunct w:val="0"/>
        <w:autoSpaceDE w:val="0"/>
        <w:autoSpaceDN w:val="0"/>
        <w:adjustRightInd w:val="0"/>
        <w:ind w:hanging="720"/>
        <w:jc w:val="both"/>
        <w:rPr>
          <w:sz w:val="20"/>
          <w:szCs w:val="20"/>
        </w:rPr>
      </w:pPr>
      <w:r>
        <w:rPr>
          <w:sz w:val="20"/>
          <w:szCs w:val="20"/>
        </w:rPr>
        <w:t>zistiť plošný rozsah havárie odmeraním plochy, na ktorej boli rozliate škodlivé látky,</w:t>
      </w:r>
    </w:p>
    <w:p w:rsidR="00546DEA" w:rsidRDefault="00546DEA" w:rsidP="00546DEA">
      <w:pPr>
        <w:keepLines/>
        <w:numPr>
          <w:ilvl w:val="0"/>
          <w:numId w:val="7"/>
        </w:numPr>
        <w:tabs>
          <w:tab w:val="clear" w:pos="720"/>
          <w:tab w:val="num" w:pos="360"/>
          <w:tab w:val="left" w:pos="1146"/>
        </w:tabs>
        <w:suppressAutoHyphens/>
        <w:overflowPunct w:val="0"/>
        <w:autoSpaceDE w:val="0"/>
        <w:autoSpaceDN w:val="0"/>
        <w:adjustRightInd w:val="0"/>
        <w:ind w:hanging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zistiť hĺbkový rozsah havárie, </w:t>
      </w:r>
    </w:p>
    <w:p w:rsidR="00546DEA" w:rsidRDefault="00546DEA" w:rsidP="00546DEA">
      <w:pPr>
        <w:keepLines/>
        <w:numPr>
          <w:ilvl w:val="0"/>
          <w:numId w:val="7"/>
        </w:numPr>
        <w:tabs>
          <w:tab w:val="left" w:pos="0"/>
          <w:tab w:val="num" w:pos="360"/>
        </w:tabs>
        <w:suppressAutoHyphens/>
        <w:overflowPunct w:val="0"/>
        <w:autoSpaceDE w:val="0"/>
        <w:autoSpaceDN w:val="0"/>
        <w:adjustRightInd w:val="0"/>
        <w:ind w:hanging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zneškodniť kontaminovaný materiál prostredníctvom oprávnenej organizácie. </w:t>
      </w:r>
    </w:p>
    <w:p w:rsidR="00546DEA" w:rsidRDefault="00546DEA" w:rsidP="00546DEA">
      <w:pPr>
        <w:keepLines/>
        <w:tabs>
          <w:tab w:val="left" w:pos="0"/>
        </w:tabs>
        <w:suppressAutoHyphens/>
        <w:overflowPunct w:val="0"/>
        <w:autoSpaceDE w:val="0"/>
        <w:autoSpaceDN w:val="0"/>
        <w:adjustRightInd w:val="0"/>
        <w:spacing w:before="120"/>
        <w:jc w:val="both"/>
        <w:rPr>
          <w:sz w:val="20"/>
          <w:szCs w:val="20"/>
        </w:rPr>
      </w:pPr>
      <w:r>
        <w:rPr>
          <w:sz w:val="20"/>
          <w:szCs w:val="20"/>
        </w:rPr>
        <w:t>Opatrenia na zneškodnenie následkov havárie a zabránenie ďalšieho úniku škodlivých látok majú čo najviac vylúčiť alebo znížiť následky vzniknuté únikom škodlivých látok do okolitého prostredia.</w:t>
      </w:r>
    </w:p>
    <w:p w:rsidR="00546DEA" w:rsidRDefault="00546DEA" w:rsidP="00546DEA">
      <w:pPr>
        <w:keepLines/>
        <w:tabs>
          <w:tab w:val="left" w:pos="0"/>
        </w:tabs>
        <w:suppressAutoHyphens/>
        <w:overflowPunct w:val="0"/>
        <w:autoSpaceDE w:val="0"/>
        <w:autoSpaceDN w:val="0"/>
        <w:adjustRightInd w:val="0"/>
        <w:jc w:val="both"/>
        <w:rPr>
          <w:sz w:val="20"/>
          <w:szCs w:val="20"/>
          <w:u w:val="single"/>
        </w:rPr>
      </w:pPr>
    </w:p>
    <w:p w:rsidR="00546DEA" w:rsidRDefault="00546DEA" w:rsidP="00546DEA">
      <w:pPr>
        <w:keepLines/>
        <w:tabs>
          <w:tab w:val="left" w:pos="0"/>
        </w:tabs>
        <w:suppressAutoHyphens/>
        <w:overflowPunct w:val="0"/>
        <w:autoSpaceDE w:val="0"/>
        <w:autoSpaceDN w:val="0"/>
        <w:adjustRightInd w:val="0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Prvá zdravotná pomoc</w:t>
      </w:r>
    </w:p>
    <w:p w:rsidR="00546DEA" w:rsidRDefault="00546DEA" w:rsidP="00546DEA">
      <w:pPr>
        <w:keepLines/>
        <w:suppressAutoHyphens/>
        <w:overflowPunct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V prípade, že pri havárii došlo k úrazu, príp. aj k poškodeniam zdravia, podľa povahy zranenia, je potrebné okamžite privolať rýchlu lekársku pomoc (</w:t>
      </w:r>
      <w:r>
        <w:rPr>
          <w:b/>
          <w:sz w:val="20"/>
          <w:szCs w:val="20"/>
        </w:rPr>
        <w:t>tel. č. 155 prípadne č. 112</w:t>
      </w:r>
      <w:r>
        <w:rPr>
          <w:sz w:val="20"/>
          <w:szCs w:val="20"/>
        </w:rPr>
        <w:t>).</w:t>
      </w:r>
    </w:p>
    <w:p w:rsidR="00546DEA" w:rsidRDefault="00546DEA" w:rsidP="00546DEA">
      <w:pPr>
        <w:keepLines/>
        <w:suppressAutoHyphens/>
        <w:overflowPunct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546DEA" w:rsidRDefault="00546DEA" w:rsidP="00546DEA">
      <w:pPr>
        <w:pStyle w:val="Nadpis7"/>
        <w:keepLines/>
        <w:tabs>
          <w:tab w:val="left" w:pos="0"/>
          <w:tab w:val="left" w:pos="360"/>
          <w:tab w:val="left" w:pos="720"/>
        </w:tabs>
        <w:suppressAutoHyphens/>
        <w:overflowPunct w:val="0"/>
        <w:autoSpaceDE w:val="0"/>
        <w:autoSpaceDN w:val="0"/>
        <w:adjustRightInd w:val="0"/>
        <w:jc w:val="both"/>
        <w:rPr>
          <w:sz w:val="20"/>
          <w:szCs w:val="20"/>
          <w:u w:val="single"/>
        </w:rPr>
      </w:pPr>
      <w:proofErr w:type="spellStart"/>
      <w:r>
        <w:rPr>
          <w:sz w:val="20"/>
          <w:szCs w:val="20"/>
          <w:u w:val="single"/>
        </w:rPr>
        <w:t>Zoznam</w:t>
      </w:r>
      <w:proofErr w:type="spellEnd"/>
      <w:r>
        <w:rPr>
          <w:sz w:val="20"/>
          <w:szCs w:val="20"/>
          <w:u w:val="single"/>
        </w:rPr>
        <w:t xml:space="preserve"> </w:t>
      </w:r>
      <w:proofErr w:type="spellStart"/>
      <w:r>
        <w:rPr>
          <w:sz w:val="20"/>
          <w:szCs w:val="20"/>
          <w:u w:val="single"/>
        </w:rPr>
        <w:t>pomôcok</w:t>
      </w:r>
      <w:proofErr w:type="spellEnd"/>
      <w:r>
        <w:rPr>
          <w:sz w:val="20"/>
          <w:szCs w:val="20"/>
          <w:u w:val="single"/>
        </w:rPr>
        <w:t xml:space="preserve"> a </w:t>
      </w:r>
      <w:proofErr w:type="spellStart"/>
      <w:r>
        <w:rPr>
          <w:sz w:val="20"/>
          <w:szCs w:val="20"/>
          <w:u w:val="single"/>
        </w:rPr>
        <w:t>materiálov</w:t>
      </w:r>
      <w:proofErr w:type="spellEnd"/>
      <w:r>
        <w:rPr>
          <w:sz w:val="20"/>
          <w:szCs w:val="20"/>
          <w:u w:val="single"/>
        </w:rPr>
        <w:t xml:space="preserve"> na </w:t>
      </w:r>
      <w:proofErr w:type="spellStart"/>
      <w:r>
        <w:rPr>
          <w:sz w:val="20"/>
          <w:szCs w:val="20"/>
          <w:u w:val="single"/>
        </w:rPr>
        <w:t>bezprostredný</w:t>
      </w:r>
      <w:proofErr w:type="spellEnd"/>
      <w:r>
        <w:rPr>
          <w:sz w:val="20"/>
          <w:szCs w:val="20"/>
          <w:u w:val="single"/>
        </w:rPr>
        <w:t xml:space="preserve"> zásah:</w:t>
      </w:r>
    </w:p>
    <w:p w:rsidR="00546DEA" w:rsidRDefault="00546DEA" w:rsidP="00546DEA">
      <w:pPr>
        <w:jc w:val="both"/>
        <w:rPr>
          <w:sz w:val="20"/>
          <w:szCs w:val="20"/>
        </w:rPr>
      </w:pPr>
      <w:r>
        <w:rPr>
          <w:caps/>
          <w:sz w:val="20"/>
          <w:szCs w:val="20"/>
        </w:rPr>
        <w:t>O</w:t>
      </w:r>
      <w:r>
        <w:rPr>
          <w:sz w:val="20"/>
          <w:szCs w:val="20"/>
        </w:rPr>
        <w:t>baly:</w:t>
      </w:r>
    </w:p>
    <w:p w:rsidR="00546DEA" w:rsidRDefault="00546DEA" w:rsidP="00546DEA">
      <w:pPr>
        <w:keepLines/>
        <w:numPr>
          <w:ilvl w:val="0"/>
          <w:numId w:val="8"/>
        </w:numPr>
        <w:tabs>
          <w:tab w:val="clear" w:pos="1440"/>
          <w:tab w:val="num" w:pos="360"/>
          <w:tab w:val="left" w:pos="1080"/>
          <w:tab w:val="left" w:pos="5387"/>
        </w:tabs>
        <w:suppressAutoHyphens/>
        <w:overflowPunct w:val="0"/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záchytné vrecia - na znehodnotený havarijný materiál,</w:t>
      </w:r>
    </w:p>
    <w:p w:rsidR="00546DEA" w:rsidRDefault="00546DEA" w:rsidP="00546DEA">
      <w:pPr>
        <w:keepLines/>
        <w:numPr>
          <w:ilvl w:val="0"/>
          <w:numId w:val="8"/>
        </w:numPr>
        <w:tabs>
          <w:tab w:val="clear" w:pos="1440"/>
          <w:tab w:val="num" w:pos="360"/>
          <w:tab w:val="left" w:pos="1069"/>
          <w:tab w:val="left" w:pos="5387"/>
        </w:tabs>
        <w:suppressAutoHyphens/>
        <w:overflowPunct w:val="0"/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pozinkované vedro.</w:t>
      </w:r>
    </w:p>
    <w:p w:rsidR="00546DEA" w:rsidRDefault="00546DEA" w:rsidP="00546DEA">
      <w:pPr>
        <w:tabs>
          <w:tab w:val="left" w:pos="1069"/>
        </w:tabs>
        <w:jc w:val="both"/>
        <w:rPr>
          <w:sz w:val="20"/>
          <w:szCs w:val="20"/>
        </w:rPr>
      </w:pPr>
      <w:r>
        <w:rPr>
          <w:caps/>
          <w:sz w:val="20"/>
          <w:szCs w:val="20"/>
        </w:rPr>
        <w:t>P</w:t>
      </w:r>
      <w:r>
        <w:rPr>
          <w:sz w:val="20"/>
          <w:szCs w:val="20"/>
        </w:rPr>
        <w:t>racovné pomôcky: lopata, metla.</w:t>
      </w:r>
    </w:p>
    <w:p w:rsidR="00546DEA" w:rsidRDefault="00546DEA" w:rsidP="00546DEA">
      <w:pPr>
        <w:jc w:val="both"/>
        <w:rPr>
          <w:sz w:val="20"/>
          <w:szCs w:val="20"/>
        </w:rPr>
      </w:pPr>
    </w:p>
    <w:p w:rsidR="00546DEA" w:rsidRDefault="00546DEA" w:rsidP="00546DEA">
      <w:pPr>
        <w:pStyle w:val="Nadpis7"/>
        <w:keepLines/>
        <w:tabs>
          <w:tab w:val="left" w:pos="0"/>
          <w:tab w:val="left" w:pos="360"/>
          <w:tab w:val="left" w:pos="720"/>
        </w:tabs>
        <w:suppressAutoHyphens/>
        <w:overflowPunct w:val="0"/>
        <w:autoSpaceDE w:val="0"/>
        <w:autoSpaceDN w:val="0"/>
        <w:adjustRightInd w:val="0"/>
        <w:jc w:val="both"/>
        <w:rPr>
          <w:sz w:val="20"/>
          <w:szCs w:val="20"/>
          <w:u w:val="single"/>
        </w:rPr>
      </w:pPr>
      <w:proofErr w:type="spellStart"/>
      <w:r>
        <w:rPr>
          <w:sz w:val="20"/>
          <w:szCs w:val="20"/>
          <w:u w:val="single"/>
        </w:rPr>
        <w:t>Platnosť</w:t>
      </w:r>
      <w:proofErr w:type="spellEnd"/>
      <w:r>
        <w:rPr>
          <w:sz w:val="20"/>
          <w:szCs w:val="20"/>
          <w:u w:val="single"/>
        </w:rPr>
        <w:t xml:space="preserve"> </w:t>
      </w:r>
      <w:proofErr w:type="spellStart"/>
      <w:r>
        <w:rPr>
          <w:sz w:val="20"/>
          <w:szCs w:val="20"/>
          <w:u w:val="single"/>
        </w:rPr>
        <w:t>havarijných</w:t>
      </w:r>
      <w:proofErr w:type="spellEnd"/>
      <w:r>
        <w:rPr>
          <w:sz w:val="20"/>
          <w:szCs w:val="20"/>
          <w:u w:val="single"/>
        </w:rPr>
        <w:t xml:space="preserve"> </w:t>
      </w:r>
      <w:proofErr w:type="spellStart"/>
      <w:r>
        <w:rPr>
          <w:sz w:val="20"/>
          <w:szCs w:val="20"/>
          <w:u w:val="single"/>
        </w:rPr>
        <w:t>opatrení</w:t>
      </w:r>
      <w:proofErr w:type="spellEnd"/>
    </w:p>
    <w:p w:rsidR="00546DEA" w:rsidRDefault="00546DEA" w:rsidP="00546DEA">
      <w:pPr>
        <w:jc w:val="both"/>
        <w:rPr>
          <w:sz w:val="20"/>
          <w:szCs w:val="20"/>
        </w:rPr>
      </w:pPr>
      <w:r>
        <w:rPr>
          <w:sz w:val="20"/>
          <w:szCs w:val="20"/>
        </w:rPr>
        <w:t>Havarijné opatrenia sú platné odo dňa ich podpisu až do ich zrušenia, alebo zmeny.</w:t>
      </w:r>
    </w:p>
    <w:p w:rsidR="00546DEA" w:rsidRDefault="00546DEA" w:rsidP="00546DEA">
      <w:pPr>
        <w:pStyle w:val="Nadpis7"/>
        <w:keepLines/>
        <w:tabs>
          <w:tab w:val="left" w:pos="0"/>
          <w:tab w:val="left" w:pos="360"/>
          <w:tab w:val="left" w:pos="720"/>
        </w:tabs>
        <w:suppressAutoHyphens/>
        <w:overflowPunct w:val="0"/>
        <w:autoSpaceDE w:val="0"/>
        <w:autoSpaceDN w:val="0"/>
        <w:adjustRightInd w:val="0"/>
        <w:jc w:val="both"/>
        <w:rPr>
          <w:sz w:val="20"/>
          <w:szCs w:val="20"/>
          <w:u w:val="single"/>
        </w:rPr>
      </w:pPr>
    </w:p>
    <w:p w:rsidR="00546DEA" w:rsidRDefault="00546DEA" w:rsidP="00546DEA">
      <w:pPr>
        <w:pStyle w:val="Nadpis7"/>
        <w:keepLines/>
        <w:tabs>
          <w:tab w:val="left" w:pos="0"/>
          <w:tab w:val="left" w:pos="360"/>
          <w:tab w:val="left" w:pos="720"/>
        </w:tabs>
        <w:suppressAutoHyphens/>
        <w:overflowPunct w:val="0"/>
        <w:autoSpaceDE w:val="0"/>
        <w:autoSpaceDN w:val="0"/>
        <w:adjustRightInd w:val="0"/>
        <w:jc w:val="both"/>
        <w:rPr>
          <w:sz w:val="20"/>
          <w:szCs w:val="20"/>
          <w:u w:val="single"/>
        </w:rPr>
      </w:pPr>
      <w:proofErr w:type="spellStart"/>
      <w:r>
        <w:rPr>
          <w:sz w:val="20"/>
          <w:szCs w:val="20"/>
          <w:u w:val="single"/>
        </w:rPr>
        <w:t>Miesto</w:t>
      </w:r>
      <w:proofErr w:type="spellEnd"/>
      <w:r>
        <w:rPr>
          <w:sz w:val="20"/>
          <w:szCs w:val="20"/>
          <w:u w:val="single"/>
        </w:rPr>
        <w:t xml:space="preserve"> </w:t>
      </w:r>
      <w:proofErr w:type="spellStart"/>
      <w:r>
        <w:rPr>
          <w:sz w:val="20"/>
          <w:szCs w:val="20"/>
          <w:u w:val="single"/>
        </w:rPr>
        <w:t>umiestnenia</w:t>
      </w:r>
      <w:proofErr w:type="spellEnd"/>
      <w:r>
        <w:rPr>
          <w:sz w:val="20"/>
          <w:szCs w:val="20"/>
          <w:u w:val="single"/>
        </w:rPr>
        <w:t xml:space="preserve"> </w:t>
      </w:r>
      <w:proofErr w:type="spellStart"/>
      <w:r>
        <w:rPr>
          <w:sz w:val="20"/>
          <w:szCs w:val="20"/>
          <w:u w:val="single"/>
        </w:rPr>
        <w:t>havarijných</w:t>
      </w:r>
      <w:proofErr w:type="spellEnd"/>
      <w:r>
        <w:rPr>
          <w:sz w:val="20"/>
          <w:szCs w:val="20"/>
          <w:u w:val="single"/>
        </w:rPr>
        <w:t xml:space="preserve"> </w:t>
      </w:r>
      <w:proofErr w:type="spellStart"/>
      <w:r>
        <w:rPr>
          <w:sz w:val="20"/>
          <w:szCs w:val="20"/>
          <w:u w:val="single"/>
        </w:rPr>
        <w:t>opatrení</w:t>
      </w:r>
      <w:proofErr w:type="spellEnd"/>
    </w:p>
    <w:p w:rsidR="00546DEA" w:rsidRDefault="00546DEA" w:rsidP="00546DEA">
      <w:pPr>
        <w:jc w:val="both"/>
        <w:rPr>
          <w:color w:val="000000"/>
          <w:sz w:val="20"/>
          <w:szCs w:val="20"/>
        </w:rPr>
      </w:pPr>
      <w:r>
        <w:rPr>
          <w:sz w:val="20"/>
          <w:szCs w:val="20"/>
        </w:rPr>
        <w:t>Havarijné opatrenia sú umiestnené vo všetkých priestoroch, kde sa nakladá s </w:t>
      </w:r>
      <w:r>
        <w:rPr>
          <w:color w:val="000000"/>
          <w:sz w:val="20"/>
          <w:szCs w:val="20"/>
        </w:rPr>
        <w:t>NO.</w:t>
      </w:r>
    </w:p>
    <w:p w:rsidR="00546DEA" w:rsidRDefault="00546DEA" w:rsidP="00546DEA">
      <w:pPr>
        <w:pStyle w:val="Nadpis7"/>
        <w:keepLines/>
        <w:tabs>
          <w:tab w:val="left" w:pos="0"/>
          <w:tab w:val="left" w:pos="360"/>
          <w:tab w:val="left" w:pos="720"/>
        </w:tabs>
        <w:suppressAutoHyphens/>
        <w:overflowPunct w:val="0"/>
        <w:autoSpaceDE w:val="0"/>
        <w:autoSpaceDN w:val="0"/>
        <w:adjustRightInd w:val="0"/>
        <w:ind w:left="0" w:firstLine="0"/>
        <w:jc w:val="both"/>
        <w:rPr>
          <w:sz w:val="20"/>
          <w:szCs w:val="20"/>
          <w:u w:val="single"/>
        </w:rPr>
      </w:pPr>
    </w:p>
    <w:p w:rsidR="00546DEA" w:rsidRDefault="00546DEA" w:rsidP="00546DEA">
      <w:pPr>
        <w:pStyle w:val="Nadpis7"/>
        <w:keepLines/>
        <w:tabs>
          <w:tab w:val="left" w:pos="0"/>
          <w:tab w:val="left" w:pos="360"/>
          <w:tab w:val="left" w:pos="720"/>
        </w:tabs>
        <w:suppressAutoHyphens/>
        <w:overflowPunct w:val="0"/>
        <w:autoSpaceDE w:val="0"/>
        <w:autoSpaceDN w:val="0"/>
        <w:adjustRightInd w:val="0"/>
        <w:jc w:val="both"/>
        <w:rPr>
          <w:sz w:val="20"/>
          <w:szCs w:val="20"/>
          <w:u w:val="single"/>
        </w:rPr>
      </w:pPr>
      <w:proofErr w:type="spellStart"/>
      <w:r>
        <w:rPr>
          <w:sz w:val="20"/>
          <w:szCs w:val="20"/>
          <w:u w:val="single"/>
        </w:rPr>
        <w:t>Aktualizácia</w:t>
      </w:r>
      <w:proofErr w:type="spellEnd"/>
      <w:r>
        <w:rPr>
          <w:sz w:val="20"/>
          <w:szCs w:val="20"/>
          <w:u w:val="single"/>
        </w:rPr>
        <w:t xml:space="preserve"> </w:t>
      </w:r>
      <w:proofErr w:type="spellStart"/>
      <w:r>
        <w:rPr>
          <w:sz w:val="20"/>
          <w:szCs w:val="20"/>
          <w:u w:val="single"/>
        </w:rPr>
        <w:t>havarijných</w:t>
      </w:r>
      <w:proofErr w:type="spellEnd"/>
      <w:r>
        <w:rPr>
          <w:sz w:val="20"/>
          <w:szCs w:val="20"/>
          <w:u w:val="single"/>
        </w:rPr>
        <w:t xml:space="preserve"> </w:t>
      </w:r>
      <w:proofErr w:type="spellStart"/>
      <w:r>
        <w:rPr>
          <w:sz w:val="20"/>
          <w:szCs w:val="20"/>
          <w:u w:val="single"/>
        </w:rPr>
        <w:t>opatrení</w:t>
      </w:r>
      <w:proofErr w:type="spellEnd"/>
    </w:p>
    <w:p w:rsidR="00546DEA" w:rsidRDefault="00546DEA" w:rsidP="00546DEA">
      <w:pPr>
        <w:pStyle w:val="Standarnpsmoodstavce"/>
        <w:rPr>
          <w:sz w:val="20"/>
        </w:rPr>
      </w:pPr>
      <w:r>
        <w:rPr>
          <w:sz w:val="20"/>
        </w:rPr>
        <w:t>Za aktualizáciu havarijných opatrení zodpovedá poverený zamestnanec.</w:t>
      </w:r>
    </w:p>
    <w:p w:rsidR="00546DEA" w:rsidRDefault="00546DEA" w:rsidP="00546DEA">
      <w:pPr>
        <w:pStyle w:val="Standarnpsmoodstavce"/>
        <w:rPr>
          <w:sz w:val="20"/>
        </w:rPr>
      </w:pPr>
    </w:p>
    <w:p w:rsidR="00546DEA" w:rsidRDefault="00546DEA" w:rsidP="00546DEA">
      <w:pPr>
        <w:pStyle w:val="Standarnpsmoodstavce"/>
        <w:rPr>
          <w:sz w:val="20"/>
        </w:rPr>
      </w:pPr>
    </w:p>
    <w:p w:rsidR="00546DEA" w:rsidRDefault="00546DEA" w:rsidP="00546DEA">
      <w:pPr>
        <w:pStyle w:val="Standarnpsmoodstavce"/>
        <w:rPr>
          <w:sz w:val="20"/>
        </w:rPr>
      </w:pPr>
      <w:r>
        <w:rPr>
          <w:sz w:val="20"/>
        </w:rPr>
        <w:t>Dátum: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546DEA" w:rsidRDefault="00546DEA" w:rsidP="00546DEA">
      <w:pPr>
        <w:pStyle w:val="Standarnpsmoodstavce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546DEA" w:rsidRDefault="00546DEA" w:rsidP="00546DEA">
      <w:pPr>
        <w:pStyle w:val="Standarnpsmoodstavce"/>
        <w:ind w:left="708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________________________________________</w:t>
      </w:r>
    </w:p>
    <w:p w:rsidR="00123C82" w:rsidRDefault="00546DEA" w:rsidP="00546DEA">
      <w:pPr>
        <w:pStyle w:val="Standarnpsmoodstavce"/>
        <w:ind w:left="4253" w:hanging="142"/>
      </w:pPr>
      <w:r w:rsidRPr="0002106A">
        <w:rPr>
          <w:i/>
          <w:sz w:val="20"/>
        </w:rPr>
        <w:t xml:space="preserve">     Meno a</w:t>
      </w:r>
      <w:r>
        <w:rPr>
          <w:i/>
          <w:sz w:val="20"/>
        </w:rPr>
        <w:t> </w:t>
      </w:r>
      <w:r w:rsidRPr="0002106A">
        <w:rPr>
          <w:i/>
          <w:sz w:val="20"/>
        </w:rPr>
        <w:t>priezvisko</w:t>
      </w:r>
      <w:r>
        <w:rPr>
          <w:i/>
          <w:sz w:val="20"/>
        </w:rPr>
        <w:t xml:space="preserve"> konateľa</w:t>
      </w:r>
      <w:r w:rsidRPr="0002106A">
        <w:rPr>
          <w:i/>
          <w:sz w:val="20"/>
        </w:rPr>
        <w:t>,  podpis</w:t>
      </w:r>
      <w:r w:rsidRPr="00461CAA">
        <w:rPr>
          <w:i/>
          <w:sz w:val="20"/>
        </w:rPr>
        <w:t xml:space="preserve"> a pečiatka</w:t>
      </w:r>
    </w:p>
    <w:sectPr w:rsidR="00123C82">
      <w:head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DEA" w:rsidRDefault="00546DEA" w:rsidP="00546DEA">
      <w:r>
        <w:separator/>
      </w:r>
    </w:p>
  </w:endnote>
  <w:endnote w:type="continuationSeparator" w:id="0">
    <w:p w:rsidR="00546DEA" w:rsidRDefault="00546DEA" w:rsidP="00546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DEA" w:rsidRDefault="00546DEA" w:rsidP="00546DEA">
      <w:r>
        <w:separator/>
      </w:r>
    </w:p>
  </w:footnote>
  <w:footnote w:type="continuationSeparator" w:id="0">
    <w:p w:rsidR="00546DEA" w:rsidRDefault="00546DEA" w:rsidP="00546D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79B0" w:rsidRDefault="00546DEA" w:rsidP="00A33283">
    <w:pPr>
      <w:pStyle w:val="Hlavika"/>
      <w:tabs>
        <w:tab w:val="clear" w:pos="4536"/>
        <w:tab w:val="clear" w:pos="9072"/>
        <w:tab w:val="left" w:pos="4030"/>
      </w:tabs>
      <w:rPr>
        <w:sz w:val="16"/>
        <w:szCs w:val="16"/>
        <w:lang w:val="sk-SK"/>
      </w:rPr>
    </w:pPr>
  </w:p>
  <w:p w:rsidR="00B179B0" w:rsidRPr="00177105" w:rsidRDefault="00546DEA" w:rsidP="00B179B0">
    <w:pPr>
      <w:jc w:val="center"/>
      <w:rPr>
        <w:rFonts w:ascii="Arial" w:hAnsi="Arial" w:cs="Arial"/>
        <w:i/>
        <w:color w:val="0070C0"/>
        <w:sz w:val="18"/>
        <w:szCs w:val="18"/>
        <w:u w:val="single"/>
      </w:rPr>
    </w:pPr>
    <w:r w:rsidRPr="00177105">
      <w:rPr>
        <w:rFonts w:ascii="Arial" w:hAnsi="Arial" w:cs="Arial"/>
        <w:i/>
        <w:color w:val="0070C0"/>
        <w:sz w:val="18"/>
        <w:szCs w:val="18"/>
        <w:u w:val="single"/>
      </w:rPr>
      <w:t>Adresa držiteľa povolenia na poskytovanie lekáre</w:t>
    </w:r>
    <w:r w:rsidRPr="00177105">
      <w:rPr>
        <w:rFonts w:ascii="Arial" w:hAnsi="Arial" w:cs="Arial"/>
        <w:i/>
        <w:color w:val="0070C0"/>
        <w:sz w:val="18"/>
        <w:szCs w:val="18"/>
        <w:u w:val="single"/>
      </w:rPr>
      <w:t>nskej starostlivosti</w:t>
    </w:r>
  </w:p>
  <w:p w:rsidR="00225F18" w:rsidRDefault="00546DEA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5F18" w:rsidRPr="00177105" w:rsidRDefault="00546DEA" w:rsidP="00225F18">
    <w:pPr>
      <w:jc w:val="center"/>
      <w:rPr>
        <w:rFonts w:ascii="Arial" w:hAnsi="Arial" w:cs="Arial"/>
        <w:i/>
        <w:color w:val="0070C0"/>
        <w:sz w:val="18"/>
        <w:szCs w:val="18"/>
        <w:u w:val="single"/>
      </w:rPr>
    </w:pPr>
    <w:r w:rsidRPr="00177105">
      <w:rPr>
        <w:rFonts w:ascii="Arial" w:hAnsi="Arial" w:cs="Arial"/>
        <w:i/>
        <w:color w:val="0070C0"/>
        <w:sz w:val="18"/>
        <w:szCs w:val="18"/>
        <w:u w:val="single"/>
      </w:rPr>
      <w:t>Adresa držiteľa povolenia na poskytovanie lekárenskej starostlivosti</w:t>
    </w:r>
  </w:p>
  <w:p w:rsidR="00225F18" w:rsidRDefault="00546DEA" w:rsidP="00B179B0">
    <w:pPr>
      <w:pStyle w:val="Hlavika"/>
      <w:tabs>
        <w:tab w:val="clear" w:pos="4536"/>
        <w:tab w:val="clear" w:pos="9072"/>
        <w:tab w:val="left" w:pos="8380"/>
      </w:tabs>
    </w:pPr>
  </w:p>
  <w:p w:rsidR="00225F18" w:rsidRPr="00225F18" w:rsidRDefault="00546DEA" w:rsidP="00225F18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B57B2"/>
    <w:multiLevelType w:val="hybridMultilevel"/>
    <w:tmpl w:val="1EFE7BC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516D99"/>
    <w:multiLevelType w:val="hybridMultilevel"/>
    <w:tmpl w:val="D1F0A3B2"/>
    <w:lvl w:ilvl="0" w:tplc="041B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64AC73B2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B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3" w:tplc="041B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C5E4F5F"/>
    <w:multiLevelType w:val="hybridMultilevel"/>
    <w:tmpl w:val="48F2E08A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5C5246"/>
    <w:multiLevelType w:val="hybridMultilevel"/>
    <w:tmpl w:val="7EE20F26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7CD795E"/>
    <w:multiLevelType w:val="hybridMultilevel"/>
    <w:tmpl w:val="B6742086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BB3277"/>
    <w:multiLevelType w:val="hybridMultilevel"/>
    <w:tmpl w:val="7BA4C886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E740D5"/>
    <w:multiLevelType w:val="hybridMultilevel"/>
    <w:tmpl w:val="56E60A0E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FE664D2"/>
    <w:multiLevelType w:val="hybridMultilevel"/>
    <w:tmpl w:val="863AFC90"/>
    <w:lvl w:ilvl="0" w:tplc="A26472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6"/>
  </w:num>
  <w:num w:numId="4">
    <w:abstractNumId w:val="2"/>
  </w:num>
  <w:num w:numId="5">
    <w:abstractNumId w:val="5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F95"/>
    <w:rsid w:val="00123C82"/>
    <w:rsid w:val="00546DEA"/>
    <w:rsid w:val="00B13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760E20-8646-474E-9092-A01FDA50E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46DEA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546DE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dpis7">
    <w:name w:val="heading 7"/>
    <w:basedOn w:val="Normlny"/>
    <w:next w:val="Normlny"/>
    <w:link w:val="Nadpis7Char"/>
    <w:qFormat/>
    <w:rsid w:val="00546DEA"/>
    <w:pPr>
      <w:keepNext/>
      <w:tabs>
        <w:tab w:val="num" w:pos="1296"/>
      </w:tabs>
      <w:ind w:left="1296" w:hanging="1296"/>
      <w:outlineLvl w:val="6"/>
    </w:pPr>
    <w:rPr>
      <w:b/>
      <w:noProof w:val="0"/>
      <w:lang w:val="cs-CZ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546DEA"/>
    <w:rPr>
      <w:rFonts w:ascii="Cambria" w:eastAsia="Times New Roman" w:hAnsi="Cambria" w:cs="Times New Roman"/>
      <w:b/>
      <w:bCs/>
      <w:noProof/>
      <w:kern w:val="32"/>
      <w:sz w:val="32"/>
      <w:szCs w:val="32"/>
      <w:lang w:val="x-none" w:eastAsia="x-none"/>
    </w:rPr>
  </w:style>
  <w:style w:type="character" w:customStyle="1" w:styleId="Nadpis7Char">
    <w:name w:val="Nadpis 7 Char"/>
    <w:basedOn w:val="Predvolenpsmoodseku"/>
    <w:link w:val="Nadpis7"/>
    <w:rsid w:val="00546DEA"/>
    <w:rPr>
      <w:rFonts w:ascii="Times New Roman" w:eastAsia="Times New Roman" w:hAnsi="Times New Roman" w:cs="Times New Roman"/>
      <w:b/>
      <w:sz w:val="24"/>
      <w:szCs w:val="24"/>
      <w:lang w:val="cs-CZ" w:eastAsia="x-none"/>
    </w:rPr>
  </w:style>
  <w:style w:type="paragraph" w:styleId="Hlavika">
    <w:name w:val="header"/>
    <w:aliases w:val="normal"/>
    <w:basedOn w:val="Normlny"/>
    <w:link w:val="HlavikaChar"/>
    <w:uiPriority w:val="99"/>
    <w:rsid w:val="00546DEA"/>
    <w:pPr>
      <w:tabs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aliases w:val="normal Char"/>
    <w:basedOn w:val="Predvolenpsmoodseku"/>
    <w:link w:val="Hlavika"/>
    <w:uiPriority w:val="99"/>
    <w:rsid w:val="00546DEA"/>
    <w:rPr>
      <w:rFonts w:ascii="Times New Roman" w:eastAsia="Times New Roman" w:hAnsi="Times New Roman" w:cs="Times New Roman"/>
      <w:noProof/>
      <w:sz w:val="24"/>
      <w:szCs w:val="24"/>
      <w:lang w:val="x-none" w:eastAsia="sk-SK"/>
    </w:rPr>
  </w:style>
  <w:style w:type="character" w:styleId="Hypertextovprepojenie">
    <w:name w:val="Hyperlink"/>
    <w:uiPriority w:val="99"/>
    <w:rsid w:val="00546DEA"/>
    <w:rPr>
      <w:color w:val="0000FF"/>
      <w:u w:val="single"/>
    </w:rPr>
  </w:style>
  <w:style w:type="paragraph" w:customStyle="1" w:styleId="WW-BodyTextIndent2">
    <w:name w:val="WW-Body Text Indent 2"/>
    <w:basedOn w:val="Normlny"/>
    <w:rsid w:val="00546DEA"/>
    <w:pPr>
      <w:suppressAutoHyphens/>
      <w:overflowPunct w:val="0"/>
      <w:autoSpaceDE w:val="0"/>
      <w:autoSpaceDN w:val="0"/>
      <w:adjustRightInd w:val="0"/>
      <w:ind w:firstLine="360"/>
      <w:jc w:val="both"/>
    </w:pPr>
    <w:rPr>
      <w:noProof w:val="0"/>
      <w:spacing w:val="-5"/>
      <w:szCs w:val="20"/>
    </w:rPr>
  </w:style>
  <w:style w:type="paragraph" w:customStyle="1" w:styleId="ZkladntextIMP">
    <w:name w:val="Základní text_IMP"/>
    <w:basedOn w:val="Normlny"/>
    <w:rsid w:val="00546DEA"/>
    <w:pPr>
      <w:suppressAutoHyphens/>
      <w:spacing w:line="276" w:lineRule="auto"/>
    </w:pPr>
    <w:rPr>
      <w:noProof w:val="0"/>
      <w:szCs w:val="20"/>
      <w:lang w:val="cs-CZ"/>
    </w:rPr>
  </w:style>
  <w:style w:type="paragraph" w:customStyle="1" w:styleId="WW-BodyText21">
    <w:name w:val="WW-Body Text 21"/>
    <w:basedOn w:val="Normlny"/>
    <w:rsid w:val="00546DEA"/>
    <w:pPr>
      <w:suppressAutoHyphens/>
      <w:overflowPunct w:val="0"/>
      <w:autoSpaceDE w:val="0"/>
      <w:autoSpaceDN w:val="0"/>
      <w:adjustRightInd w:val="0"/>
      <w:jc w:val="both"/>
    </w:pPr>
    <w:rPr>
      <w:noProof w:val="0"/>
      <w:szCs w:val="20"/>
    </w:rPr>
  </w:style>
  <w:style w:type="paragraph" w:customStyle="1" w:styleId="Standarnpsmoodstavce">
    <w:name w:val="Standarní písmo odstavce"/>
    <w:basedOn w:val="Normlny"/>
    <w:rsid w:val="00546DEA"/>
    <w:pPr>
      <w:keepLines/>
      <w:suppressAutoHyphens/>
      <w:overflowPunct w:val="0"/>
      <w:autoSpaceDE w:val="0"/>
      <w:autoSpaceDN w:val="0"/>
      <w:adjustRightInd w:val="0"/>
      <w:jc w:val="both"/>
    </w:pPr>
    <w:rPr>
      <w:noProof w:val="0"/>
      <w:szCs w:val="20"/>
    </w:rPr>
  </w:style>
  <w:style w:type="paragraph" w:styleId="Pta">
    <w:name w:val="footer"/>
    <w:basedOn w:val="Normlny"/>
    <w:link w:val="PtaChar"/>
    <w:uiPriority w:val="99"/>
    <w:unhideWhenUsed/>
    <w:rsid w:val="00546DE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46DEA"/>
    <w:rPr>
      <w:rFonts w:ascii="Times New Roman" w:eastAsia="Times New Roman" w:hAnsi="Times New Roman" w:cs="Times New Roman"/>
      <w:noProof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907259380" TargetMode="External"/><Relationship Id="rId3" Type="http://schemas.openxmlformats.org/officeDocument/2006/relationships/settings" Target="settings.xml"/><Relationship Id="rId7" Type="http://schemas.openxmlformats.org/officeDocument/2006/relationships/hyperlink" Target="tel:091594544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685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Vojteková, Olga</dc:creator>
  <cp:keywords/>
  <dc:description/>
  <cp:lastModifiedBy>Vojteková, Olga</cp:lastModifiedBy>
  <cp:revision>2</cp:revision>
  <dcterms:created xsi:type="dcterms:W3CDTF">2023-03-09T09:56:00Z</dcterms:created>
  <dcterms:modified xsi:type="dcterms:W3CDTF">2023-03-09T09:58:00Z</dcterms:modified>
</cp:coreProperties>
</file>