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131" w:rsidRPr="003124A8" w:rsidRDefault="00E86D9C" w:rsidP="00825131">
      <w:pPr>
        <w:spacing w:after="240"/>
        <w:jc w:val="center"/>
        <w:rPr>
          <w:b/>
          <w:sz w:val="28"/>
          <w:szCs w:val="28"/>
        </w:rPr>
      </w:pPr>
      <w:r w:rsidRPr="003124A8">
        <w:rPr>
          <w:b/>
          <w:sz w:val="28"/>
          <w:szCs w:val="28"/>
        </w:rPr>
        <w:t>Pokyny</w:t>
      </w:r>
      <w:r w:rsidR="008C4A3E" w:rsidRPr="003124A8">
        <w:rPr>
          <w:b/>
          <w:sz w:val="28"/>
          <w:szCs w:val="28"/>
        </w:rPr>
        <w:t xml:space="preserve"> p</w:t>
      </w:r>
      <w:r w:rsidRPr="003124A8">
        <w:rPr>
          <w:b/>
          <w:sz w:val="28"/>
          <w:szCs w:val="28"/>
        </w:rPr>
        <w:t>re</w:t>
      </w:r>
      <w:r w:rsidR="008C4A3E" w:rsidRPr="003124A8">
        <w:rPr>
          <w:b/>
          <w:sz w:val="28"/>
          <w:szCs w:val="28"/>
        </w:rPr>
        <w:t xml:space="preserve"> vyplnenie formulára</w:t>
      </w:r>
    </w:p>
    <w:p w:rsidR="008C4A3E" w:rsidRPr="003124A8" w:rsidRDefault="00145139" w:rsidP="008C4A3E">
      <w:pPr>
        <w:jc w:val="center"/>
        <w:rPr>
          <w:b/>
        </w:rPr>
      </w:pPr>
      <w:r w:rsidRPr="003124A8">
        <w:rPr>
          <w:b/>
        </w:rPr>
        <w:t>„</w:t>
      </w:r>
      <w:r w:rsidR="008C4A3E" w:rsidRPr="003124A8">
        <w:rPr>
          <w:b/>
        </w:rPr>
        <w:t>OZNÁMENIE ZÁMERU VYKONÁVAŤ VÝROBU ÚČINNEJ LÁTKY, DOVOZ ÚČINNEJ LÁTKY ALEBO DISTRIBÚCIU ÚČINNEJ LÁTKY</w:t>
      </w:r>
      <w:r w:rsidRPr="003124A8">
        <w:rPr>
          <w:b/>
        </w:rPr>
        <w:t>“</w:t>
      </w:r>
    </w:p>
    <w:p w:rsidR="00E86D9C" w:rsidRPr="00E86D9C" w:rsidRDefault="00E86D9C" w:rsidP="00E86D9C">
      <w:pPr>
        <w:jc w:val="center"/>
        <w:rPr>
          <w:color w:val="1F497D"/>
        </w:rPr>
      </w:pPr>
      <w:r>
        <w:rPr>
          <w:color w:val="1F497D"/>
        </w:rPr>
        <w:t xml:space="preserve"> </w:t>
      </w:r>
    </w:p>
    <w:p w:rsidR="00115639" w:rsidRPr="008C4A3E" w:rsidRDefault="00115639" w:rsidP="009409D7">
      <w:pPr>
        <w:jc w:val="both"/>
      </w:pPr>
      <w:r w:rsidRPr="008C4A3E">
        <w:t xml:space="preserve">Od </w:t>
      </w:r>
      <w:r w:rsidR="009409D7" w:rsidRPr="008C4A3E">
        <w:t>2.1.2013</w:t>
      </w:r>
      <w:r w:rsidRPr="008C4A3E">
        <w:t xml:space="preserve"> platia pre výrobcov</w:t>
      </w:r>
      <w:r w:rsidR="009409D7" w:rsidRPr="008C4A3E">
        <w:t>, dovozcov a distribútorov</w:t>
      </w:r>
      <w:r w:rsidRPr="008C4A3E">
        <w:t xml:space="preserve"> účinných látok nové pravidlá. </w:t>
      </w:r>
      <w:r w:rsidR="00145139">
        <w:t>Výrobcovia, dovozcovia a distribútori sú</w:t>
      </w:r>
      <w:r w:rsidRPr="008C4A3E">
        <w:t xml:space="preserve"> povinní nahlásiť v zmysle § 12a </w:t>
      </w:r>
      <w:r w:rsidR="009409D7" w:rsidRPr="008C4A3E">
        <w:t xml:space="preserve">Zákona 362/2011 Z. z. </w:t>
      </w:r>
      <w:r w:rsidRPr="008C4A3E">
        <w:t xml:space="preserve">zámer vykonávať výrobu účinnej látky, dovoz účinnej látky alebo distribúciu účinnej látky. Ak  štátny ústav neoznámi výrobcovi účinnej látky, dovozcovi účinnej látky alebo distribútorovi účinnej látky do 60 dní od prijatia oznámenia podľa odseku 2, že vykoná inšpekciu, môže výrobca účinnej látky, dovozca účinnej látky alebo distribútor účinnej látky začať činnosť vykonávať. </w:t>
      </w:r>
    </w:p>
    <w:p w:rsidR="00115639" w:rsidRPr="008C4A3E" w:rsidRDefault="00115639" w:rsidP="00115639"/>
    <w:p w:rsidR="00145139" w:rsidRPr="008C4A3E" w:rsidRDefault="00145139" w:rsidP="00145139">
      <w:pPr>
        <w:jc w:val="both"/>
      </w:pPr>
      <w:r>
        <w:t>Oznámenie zámeru výrob</w:t>
      </w:r>
      <w:r w:rsidR="00AA3C8C">
        <w:t>c</w:t>
      </w:r>
      <w:r>
        <w:t>u účinnej látky, dovoz</w:t>
      </w:r>
      <w:r w:rsidR="00AA3C8C">
        <w:t>cu</w:t>
      </w:r>
      <w:r>
        <w:t xml:space="preserve"> účinnej látky alebo distribú</w:t>
      </w:r>
      <w:r w:rsidR="00AA3C8C">
        <w:t>tora</w:t>
      </w:r>
      <w:r>
        <w:t xml:space="preserve"> účinnej látky sa podáva na príslušnom formulári, zverejnenom na webovej stránke Sekcie inšpekcie ŠÚKL. </w:t>
      </w:r>
      <w:r w:rsidR="00115639" w:rsidRPr="008C4A3E">
        <w:t>Vyplnený formulár je potrebné poslať poštou na sekciu inšpekcie ŠÚKL</w:t>
      </w:r>
      <w:r>
        <w:t xml:space="preserve"> a zároveň mailom (vyplnený </w:t>
      </w:r>
      <w:proofErr w:type="spellStart"/>
      <w:r w:rsidRPr="008C4A3E">
        <w:t>wordovský</w:t>
      </w:r>
      <w:proofErr w:type="spellEnd"/>
      <w:r w:rsidRPr="008C4A3E">
        <w:t xml:space="preserve"> dokument bez podpisu a</w:t>
      </w:r>
      <w:r>
        <w:t> </w:t>
      </w:r>
      <w:r w:rsidRPr="008C4A3E">
        <w:t>pečiatky</w:t>
      </w:r>
      <w:r>
        <w:t xml:space="preserve">) na adresu </w:t>
      </w:r>
      <w:r w:rsidR="00122E17">
        <w:rPr>
          <w:rFonts w:ascii="Calibri" w:hAnsi="Calibri" w:cs="Calibri"/>
          <w:color w:val="222222"/>
          <w:sz w:val="22"/>
          <w:szCs w:val="22"/>
          <w:shd w:val="clear" w:color="auto" w:fill="FFFFFF"/>
        </w:rPr>
        <w:t> </w:t>
      </w:r>
      <w:hyperlink r:id="rId8" w:tgtFrame="_blank" w:tooltip="Odoslať e-mailovú správu na adresu lucia.schwarzova@sukl.sk" w:history="1">
        <w:r w:rsidR="00122E17">
          <w:rPr>
            <w:rStyle w:val="Hypertextovprepojenie"/>
            <w:rFonts w:ascii="Calibri" w:hAnsi="Calibri" w:cs="Calibri"/>
            <w:color w:val="800080"/>
            <w:sz w:val="22"/>
            <w:szCs w:val="22"/>
            <w:shd w:val="clear" w:color="auto" w:fill="FFFFFF"/>
          </w:rPr>
          <w:t>lucia.schwarzova@sukl.sk</w:t>
        </w:r>
      </w:hyperlink>
      <w:r w:rsidR="00122E17">
        <w:rPr>
          <w:rFonts w:ascii="Calibri" w:hAnsi="Calibri" w:cs="Calibri"/>
          <w:color w:val="222222"/>
          <w:sz w:val="22"/>
          <w:szCs w:val="22"/>
          <w:shd w:val="clear" w:color="auto" w:fill="FFFFFF"/>
        </w:rPr>
        <w:t>.</w:t>
      </w:r>
      <w:bookmarkStart w:id="0" w:name="_GoBack"/>
      <w:bookmarkEnd w:id="0"/>
    </w:p>
    <w:p w:rsidR="00115639" w:rsidRPr="008C4A3E" w:rsidRDefault="00115639" w:rsidP="009409D7">
      <w:pPr>
        <w:jc w:val="both"/>
      </w:pPr>
      <w:r w:rsidRPr="008C4A3E">
        <w:t xml:space="preserve">Formulár musí byť podpísaný „osobou, ktorá smie konať a podpisovať“ za spoločnosť alebo musí byť priložený doklad podpísaný touto osobou (aj s odtlačkom pečiatky), v ktorom je uvedené „meno, priezvisko, funkcia, email, mobil“ osoby zodpovednej za oznamovanie činnosti výrobcu, dovozcu, veľkodistribútora účinných látok (táto osoba by mala mať oznamovanie činnosti výrobcu, dovozcu, veľkodistribútora účinných látok uvedené aj  v popise práce – len ako jednu z činnosti, nie ako funkciu). </w:t>
      </w:r>
    </w:p>
    <w:p w:rsidR="00115639" w:rsidRPr="008C4A3E" w:rsidRDefault="00115639" w:rsidP="00115639">
      <w:pPr>
        <w:pStyle w:val="Odsekzoznamu"/>
        <w:rPr>
          <w:rFonts w:ascii="Times New Roman" w:hAnsi="Times New Roman"/>
        </w:rPr>
      </w:pPr>
    </w:p>
    <w:p w:rsidR="00115639" w:rsidRPr="00C146D1" w:rsidRDefault="00115639" w:rsidP="00AA3C8C">
      <w:pPr>
        <w:pStyle w:val="Odsekzoznamu"/>
        <w:numPr>
          <w:ilvl w:val="0"/>
          <w:numId w:val="1"/>
        </w:numPr>
        <w:ind w:left="360"/>
        <w:rPr>
          <w:rFonts w:ascii="Times New Roman" w:hAnsi="Times New Roman"/>
          <w:sz w:val="24"/>
          <w:szCs w:val="24"/>
        </w:rPr>
      </w:pPr>
      <w:r w:rsidRPr="00C146D1">
        <w:rPr>
          <w:rFonts w:ascii="Times New Roman" w:hAnsi="Times New Roman"/>
          <w:sz w:val="24"/>
          <w:szCs w:val="24"/>
        </w:rPr>
        <w:t>Na formulári vyplníte na 1. strane len políčka označené modrou farbou. Na druhej strane formulára vyplníte adresu miesta výkonu činnosti – modré polička.  V tabuľkovej časti uvediete názov účinnej látky v angličtine a z výrobných činnosti ponecháte tie, ktoré vykonávate. Ostatné vymažete. Pri dovoze účinných látok vyplníte aj adresu výrobcu a distributéra účinnej látky (doplníte toľko riadkov, koľko potrebujete).</w:t>
      </w:r>
    </w:p>
    <w:p w:rsidR="00115639" w:rsidRPr="00C146D1" w:rsidRDefault="00115639" w:rsidP="00AA3C8C"/>
    <w:p w:rsidR="00115639" w:rsidRPr="00C146D1" w:rsidRDefault="00115639" w:rsidP="00AA3C8C">
      <w:pPr>
        <w:pStyle w:val="Odsekzoznamu"/>
        <w:numPr>
          <w:ilvl w:val="0"/>
          <w:numId w:val="1"/>
        </w:numPr>
        <w:ind w:left="360"/>
        <w:rPr>
          <w:rFonts w:ascii="Times New Roman" w:hAnsi="Times New Roman"/>
          <w:sz w:val="24"/>
          <w:szCs w:val="24"/>
        </w:rPr>
      </w:pPr>
      <w:r w:rsidRPr="00C146D1">
        <w:rPr>
          <w:rFonts w:ascii="Times New Roman" w:hAnsi="Times New Roman"/>
          <w:sz w:val="24"/>
          <w:szCs w:val="24"/>
        </w:rPr>
        <w:t>Tabuľkovú časť formulára „1. Výrobné operácie“  použijete toľkokrát, koľko účinných látok potrebujete uviesť. Ak sú výrobné operácie zhodné pre viac účinných látok, uvediete názvy všetkých účinných látok a pod tým uvediete príslušné výrobné činnosti.</w:t>
      </w:r>
    </w:p>
    <w:p w:rsidR="00115639" w:rsidRPr="00C146D1" w:rsidRDefault="00115639" w:rsidP="00AA3C8C"/>
    <w:p w:rsidR="00115639" w:rsidRPr="00A9019F" w:rsidRDefault="00115639" w:rsidP="00AA3C8C">
      <w:pPr>
        <w:pStyle w:val="Odsekzoznamu"/>
        <w:numPr>
          <w:ilvl w:val="0"/>
          <w:numId w:val="1"/>
        </w:numPr>
        <w:ind w:left="360"/>
        <w:rPr>
          <w:rFonts w:ascii="Times New Roman" w:eastAsia="Times New Roman" w:hAnsi="Times New Roman"/>
          <w:sz w:val="24"/>
          <w:szCs w:val="24"/>
        </w:rPr>
      </w:pPr>
      <w:r w:rsidRPr="00C146D1">
        <w:rPr>
          <w:rFonts w:ascii="Times New Roman" w:hAnsi="Times New Roman"/>
          <w:sz w:val="24"/>
          <w:szCs w:val="24"/>
        </w:rPr>
        <w:t>Oznámenie  zámeru vykonávať výrobu účinnej látky, dovoz účinnej látky alebo distribúciu účinnej látky je spoplatnené v zmysle Zákona č. 145/1995 Z. z. o správnych poplatkoch v znení neskorších predpisov sumou 100 eur za registráciu (</w:t>
      </w:r>
      <w:proofErr w:type="spellStart"/>
      <w:r w:rsidRPr="00C146D1">
        <w:rPr>
          <w:rFonts w:ascii="Times New Roman" w:hAnsi="Times New Roman"/>
          <w:sz w:val="24"/>
          <w:szCs w:val="24"/>
        </w:rPr>
        <w:t>t.j</w:t>
      </w:r>
      <w:proofErr w:type="spellEnd"/>
      <w:r w:rsidRPr="00C146D1">
        <w:rPr>
          <w:rFonts w:ascii="Times New Roman" w:hAnsi="Times New Roman"/>
          <w:sz w:val="24"/>
          <w:szCs w:val="24"/>
        </w:rPr>
        <w:t xml:space="preserve">. nie 100 eur za účinnú látku). </w:t>
      </w:r>
      <w:r w:rsidR="00A9019F">
        <w:rPr>
          <w:rFonts w:ascii="Times New Roman" w:hAnsi="Times New Roman"/>
          <w:sz w:val="24"/>
          <w:szCs w:val="24"/>
        </w:rPr>
        <w:t xml:space="preserve">– </w:t>
      </w:r>
      <w:r w:rsidR="00A9019F" w:rsidRPr="00A9019F">
        <w:rPr>
          <w:rFonts w:ascii="Times New Roman" w:hAnsi="Times New Roman"/>
          <w:b/>
          <w:color w:val="FF0000"/>
          <w:sz w:val="24"/>
          <w:szCs w:val="24"/>
        </w:rPr>
        <w:t>o</w:t>
      </w:r>
      <w:r w:rsidR="00A9019F">
        <w:rPr>
          <w:rFonts w:ascii="Times New Roman" w:hAnsi="Times New Roman"/>
          <w:b/>
          <w:color w:val="FF0000"/>
          <w:sz w:val="24"/>
          <w:szCs w:val="24"/>
        </w:rPr>
        <w:t xml:space="preserve"> </w:t>
      </w:r>
      <w:r w:rsidR="00A9019F" w:rsidRPr="00A9019F">
        <w:rPr>
          <w:rFonts w:ascii="Times New Roman" w:hAnsi="Times New Roman"/>
          <w:b/>
          <w:color w:val="FF0000"/>
          <w:sz w:val="24"/>
          <w:szCs w:val="24"/>
        </w:rPr>
        <w:t>zaplatení správneho poplatku je potrebné doložiť doklad o úhrade (napr. kópia výpisu z</w:t>
      </w:r>
      <w:r w:rsidR="00A9019F">
        <w:rPr>
          <w:rFonts w:ascii="Times New Roman" w:hAnsi="Times New Roman"/>
          <w:b/>
          <w:color w:val="FF0000"/>
          <w:sz w:val="24"/>
          <w:szCs w:val="24"/>
        </w:rPr>
        <w:t xml:space="preserve"> </w:t>
      </w:r>
      <w:r w:rsidR="00A9019F" w:rsidRPr="00A9019F">
        <w:rPr>
          <w:rFonts w:ascii="Times New Roman" w:hAnsi="Times New Roman"/>
          <w:b/>
          <w:color w:val="FF0000"/>
          <w:sz w:val="24"/>
          <w:szCs w:val="24"/>
        </w:rPr>
        <w:t>účtu o</w:t>
      </w:r>
      <w:r w:rsidR="00A9019F">
        <w:rPr>
          <w:rFonts w:ascii="Times New Roman" w:hAnsi="Times New Roman"/>
          <w:b/>
          <w:color w:val="FF0000"/>
          <w:sz w:val="24"/>
          <w:szCs w:val="24"/>
        </w:rPr>
        <w:t xml:space="preserve"> </w:t>
      </w:r>
      <w:r w:rsidR="00A9019F" w:rsidRPr="00A9019F">
        <w:rPr>
          <w:rFonts w:ascii="Times New Roman" w:hAnsi="Times New Roman"/>
          <w:b/>
          <w:color w:val="FF0000"/>
          <w:sz w:val="24"/>
          <w:szCs w:val="24"/>
        </w:rPr>
        <w:t xml:space="preserve">prevedenej transakcii, </w:t>
      </w:r>
      <w:proofErr w:type="spellStart"/>
      <w:r w:rsidR="00A9019F" w:rsidRPr="00A9019F">
        <w:rPr>
          <w:rFonts w:ascii="Times New Roman" w:hAnsi="Times New Roman"/>
          <w:b/>
          <w:color w:val="FF0000"/>
          <w:sz w:val="24"/>
          <w:szCs w:val="24"/>
        </w:rPr>
        <w:t>print-screen</w:t>
      </w:r>
      <w:proofErr w:type="spellEnd"/>
      <w:r w:rsidR="00A9019F" w:rsidRPr="00A9019F">
        <w:rPr>
          <w:rFonts w:ascii="Times New Roman" w:hAnsi="Times New Roman"/>
          <w:b/>
          <w:color w:val="FF0000"/>
          <w:sz w:val="24"/>
          <w:szCs w:val="24"/>
        </w:rPr>
        <w:t xml:space="preserve"> záznam</w:t>
      </w:r>
      <w:r w:rsidR="00A50324">
        <w:rPr>
          <w:rFonts w:ascii="Times New Roman" w:hAnsi="Times New Roman"/>
          <w:b/>
          <w:color w:val="FF0000"/>
          <w:sz w:val="24"/>
          <w:szCs w:val="24"/>
        </w:rPr>
        <w:t>u</w:t>
      </w:r>
      <w:r w:rsidR="00A9019F" w:rsidRPr="00A9019F">
        <w:rPr>
          <w:rFonts w:ascii="Times New Roman" w:hAnsi="Times New Roman"/>
          <w:b/>
          <w:color w:val="FF0000"/>
          <w:sz w:val="24"/>
          <w:szCs w:val="24"/>
        </w:rPr>
        <w:t xml:space="preserve"> o úhrade)</w:t>
      </w:r>
      <w:r w:rsidR="00A9019F" w:rsidRPr="00A9019F">
        <w:rPr>
          <w:rFonts w:ascii="Times New Roman" w:eastAsia="Times New Roman" w:hAnsi="Times New Roman"/>
          <w:sz w:val="24"/>
          <w:szCs w:val="24"/>
        </w:rPr>
        <w:t xml:space="preserve"> </w:t>
      </w:r>
    </w:p>
    <w:p w:rsidR="00B56039" w:rsidRPr="00C146D1" w:rsidRDefault="00115639" w:rsidP="00B56039">
      <w:pPr>
        <w:pStyle w:val="Nadpis2"/>
        <w:ind w:firstLine="360"/>
        <w:rPr>
          <w:rFonts w:ascii="Times New Roman" w:eastAsia="Times New Roman" w:hAnsi="Times New Roman"/>
          <w:b w:val="0"/>
          <w:bCs w:val="0"/>
          <w:color w:val="auto"/>
          <w:sz w:val="24"/>
          <w:szCs w:val="24"/>
        </w:rPr>
      </w:pPr>
      <w:r w:rsidRPr="00C146D1">
        <w:rPr>
          <w:rFonts w:ascii="Times New Roman" w:eastAsia="Times New Roman" w:hAnsi="Times New Roman"/>
          <w:b w:val="0"/>
          <w:bCs w:val="0"/>
          <w:color w:val="auto"/>
          <w:sz w:val="24"/>
          <w:szCs w:val="24"/>
        </w:rPr>
        <w:t>Výrobca musí dodržiavať požiadavky Správnej výrobnej praxe uvedené v</w:t>
      </w:r>
      <w:r w:rsidR="00B56039" w:rsidRPr="00C146D1">
        <w:rPr>
          <w:rFonts w:ascii="Times New Roman" w:eastAsia="Times New Roman" w:hAnsi="Times New Roman"/>
          <w:b w:val="0"/>
          <w:bCs w:val="0"/>
          <w:color w:val="auto"/>
          <w:sz w:val="24"/>
          <w:szCs w:val="24"/>
        </w:rPr>
        <w:t>:</w:t>
      </w:r>
      <w:r w:rsidRPr="00C146D1">
        <w:rPr>
          <w:rFonts w:ascii="Times New Roman" w:eastAsia="Times New Roman" w:hAnsi="Times New Roman"/>
          <w:b w:val="0"/>
          <w:bCs w:val="0"/>
          <w:color w:val="auto"/>
          <w:sz w:val="24"/>
          <w:szCs w:val="24"/>
        </w:rPr>
        <w:t xml:space="preserve"> </w:t>
      </w:r>
    </w:p>
    <w:p w:rsidR="00115639" w:rsidRPr="00C146D1" w:rsidRDefault="00115639" w:rsidP="00B56039">
      <w:pPr>
        <w:pStyle w:val="Nadpis2"/>
        <w:spacing w:before="0"/>
        <w:rPr>
          <w:rFonts w:ascii="Times New Roman" w:eastAsia="Times New Roman" w:hAnsi="Times New Roman"/>
          <w:color w:val="1F497D"/>
          <w:sz w:val="24"/>
          <w:szCs w:val="24"/>
        </w:rPr>
      </w:pPr>
      <w:r w:rsidRPr="00C146D1">
        <w:rPr>
          <w:rFonts w:ascii="Times New Roman" w:eastAsia="Times New Roman" w:hAnsi="Times New Roman"/>
          <w:color w:val="auto"/>
          <w:sz w:val="24"/>
          <w:szCs w:val="24"/>
        </w:rPr>
        <w:t>Part II -</w:t>
      </w:r>
      <w:r w:rsidRPr="00C146D1">
        <w:rPr>
          <w:rFonts w:ascii="Times New Roman" w:eastAsia="Times New Roman" w:hAnsi="Times New Roman"/>
          <w:b w:val="0"/>
          <w:bCs w:val="0"/>
          <w:color w:val="auto"/>
          <w:sz w:val="24"/>
          <w:szCs w:val="24"/>
        </w:rPr>
        <w:t xml:space="preserve"> </w:t>
      </w:r>
      <w:proofErr w:type="spellStart"/>
      <w:r w:rsidRPr="00C146D1">
        <w:rPr>
          <w:rFonts w:ascii="Times New Roman" w:eastAsia="Times New Roman" w:hAnsi="Times New Roman"/>
          <w:color w:val="auto"/>
          <w:sz w:val="24"/>
          <w:szCs w:val="24"/>
        </w:rPr>
        <w:t>Basic</w:t>
      </w:r>
      <w:proofErr w:type="spellEnd"/>
      <w:r w:rsidRPr="00C146D1">
        <w:rPr>
          <w:rFonts w:ascii="Times New Roman" w:eastAsia="Times New Roman" w:hAnsi="Times New Roman"/>
          <w:color w:val="auto"/>
          <w:sz w:val="24"/>
          <w:szCs w:val="24"/>
        </w:rPr>
        <w:t xml:space="preserve"> </w:t>
      </w:r>
      <w:proofErr w:type="spellStart"/>
      <w:r w:rsidRPr="00C146D1">
        <w:rPr>
          <w:rFonts w:ascii="Times New Roman" w:eastAsia="Times New Roman" w:hAnsi="Times New Roman"/>
          <w:color w:val="auto"/>
          <w:sz w:val="24"/>
          <w:szCs w:val="24"/>
        </w:rPr>
        <w:t>Requirements</w:t>
      </w:r>
      <w:proofErr w:type="spellEnd"/>
      <w:r w:rsidRPr="00C146D1">
        <w:rPr>
          <w:rFonts w:ascii="Times New Roman" w:eastAsia="Times New Roman" w:hAnsi="Times New Roman"/>
          <w:color w:val="auto"/>
          <w:sz w:val="24"/>
          <w:szCs w:val="24"/>
        </w:rPr>
        <w:t xml:space="preserve"> </w:t>
      </w:r>
      <w:proofErr w:type="spellStart"/>
      <w:r w:rsidRPr="00C146D1">
        <w:rPr>
          <w:rFonts w:ascii="Times New Roman" w:eastAsia="Times New Roman" w:hAnsi="Times New Roman"/>
          <w:color w:val="auto"/>
          <w:sz w:val="24"/>
          <w:szCs w:val="24"/>
        </w:rPr>
        <w:t>for</w:t>
      </w:r>
      <w:proofErr w:type="spellEnd"/>
      <w:r w:rsidRPr="00C146D1">
        <w:rPr>
          <w:rFonts w:ascii="Times New Roman" w:eastAsia="Times New Roman" w:hAnsi="Times New Roman"/>
          <w:color w:val="auto"/>
          <w:sz w:val="24"/>
          <w:szCs w:val="24"/>
        </w:rPr>
        <w:t xml:space="preserve"> </w:t>
      </w:r>
      <w:proofErr w:type="spellStart"/>
      <w:r w:rsidRPr="00C146D1">
        <w:rPr>
          <w:rFonts w:ascii="Times New Roman" w:eastAsia="Times New Roman" w:hAnsi="Times New Roman"/>
          <w:color w:val="auto"/>
          <w:sz w:val="24"/>
          <w:szCs w:val="24"/>
        </w:rPr>
        <w:t>Active</w:t>
      </w:r>
      <w:proofErr w:type="spellEnd"/>
      <w:r w:rsidRPr="00C146D1">
        <w:rPr>
          <w:rFonts w:ascii="Times New Roman" w:eastAsia="Times New Roman" w:hAnsi="Times New Roman"/>
          <w:color w:val="auto"/>
          <w:sz w:val="24"/>
          <w:szCs w:val="24"/>
        </w:rPr>
        <w:t xml:space="preserve"> </w:t>
      </w:r>
      <w:proofErr w:type="spellStart"/>
      <w:r w:rsidRPr="00C146D1">
        <w:rPr>
          <w:rFonts w:ascii="Times New Roman" w:eastAsia="Times New Roman" w:hAnsi="Times New Roman"/>
          <w:color w:val="auto"/>
          <w:sz w:val="24"/>
          <w:szCs w:val="24"/>
        </w:rPr>
        <w:t>Substances</w:t>
      </w:r>
      <w:proofErr w:type="spellEnd"/>
      <w:r w:rsidRPr="00C146D1">
        <w:rPr>
          <w:rFonts w:ascii="Times New Roman" w:eastAsia="Times New Roman" w:hAnsi="Times New Roman"/>
          <w:color w:val="auto"/>
          <w:sz w:val="24"/>
          <w:szCs w:val="24"/>
        </w:rPr>
        <w:t xml:space="preserve"> </w:t>
      </w:r>
      <w:proofErr w:type="spellStart"/>
      <w:r w:rsidRPr="00C146D1">
        <w:rPr>
          <w:rFonts w:ascii="Times New Roman" w:eastAsia="Times New Roman" w:hAnsi="Times New Roman"/>
          <w:color w:val="auto"/>
          <w:sz w:val="24"/>
          <w:szCs w:val="24"/>
        </w:rPr>
        <w:t>used</w:t>
      </w:r>
      <w:proofErr w:type="spellEnd"/>
      <w:r w:rsidRPr="00C146D1">
        <w:rPr>
          <w:rFonts w:ascii="Times New Roman" w:eastAsia="Times New Roman" w:hAnsi="Times New Roman"/>
          <w:color w:val="auto"/>
          <w:sz w:val="24"/>
          <w:szCs w:val="24"/>
        </w:rPr>
        <w:t xml:space="preserve"> as </w:t>
      </w:r>
      <w:proofErr w:type="spellStart"/>
      <w:r w:rsidRPr="00C146D1">
        <w:rPr>
          <w:rFonts w:ascii="Times New Roman" w:eastAsia="Times New Roman" w:hAnsi="Times New Roman"/>
          <w:color w:val="auto"/>
          <w:sz w:val="24"/>
          <w:szCs w:val="24"/>
        </w:rPr>
        <w:t>Starting</w:t>
      </w:r>
      <w:proofErr w:type="spellEnd"/>
      <w:r w:rsidRPr="00C146D1">
        <w:rPr>
          <w:rFonts w:ascii="Times New Roman" w:eastAsia="Times New Roman" w:hAnsi="Times New Roman"/>
          <w:color w:val="auto"/>
          <w:sz w:val="24"/>
          <w:szCs w:val="24"/>
        </w:rPr>
        <w:t xml:space="preserve"> </w:t>
      </w:r>
      <w:proofErr w:type="spellStart"/>
      <w:r w:rsidRPr="00C146D1">
        <w:rPr>
          <w:rFonts w:ascii="Times New Roman" w:eastAsia="Times New Roman" w:hAnsi="Times New Roman"/>
          <w:color w:val="auto"/>
          <w:sz w:val="24"/>
          <w:szCs w:val="24"/>
        </w:rPr>
        <w:t>Materials</w:t>
      </w:r>
      <w:proofErr w:type="spellEnd"/>
      <w:r w:rsidRPr="00C146D1">
        <w:rPr>
          <w:rFonts w:ascii="Times New Roman" w:eastAsia="Times New Roman" w:hAnsi="Times New Roman"/>
          <w:b w:val="0"/>
          <w:bCs w:val="0"/>
          <w:color w:val="auto"/>
          <w:sz w:val="24"/>
          <w:szCs w:val="24"/>
        </w:rPr>
        <w:t xml:space="preserve"> viď</w:t>
      </w:r>
      <w:r w:rsidRPr="00C146D1">
        <w:rPr>
          <w:rFonts w:ascii="Times New Roman" w:eastAsia="Times New Roman" w:hAnsi="Times New Roman"/>
          <w:sz w:val="24"/>
          <w:szCs w:val="24"/>
        </w:rPr>
        <w:t xml:space="preserve"> </w:t>
      </w:r>
      <w:hyperlink r:id="rId9" w:history="1">
        <w:r w:rsidRPr="00C146D1">
          <w:rPr>
            <w:rStyle w:val="Hypertextovprepojenie"/>
            <w:rFonts w:ascii="Times New Roman" w:eastAsia="Times New Roman" w:hAnsi="Times New Roman"/>
            <w:b w:val="0"/>
            <w:color w:val="3333FF"/>
            <w:sz w:val="24"/>
            <w:szCs w:val="24"/>
          </w:rPr>
          <w:t>http://ec.europa.eu/health/documents/eudralex/vol-4/index_en.htm</w:t>
        </w:r>
      </w:hyperlink>
      <w:r w:rsidRPr="00C146D1">
        <w:rPr>
          <w:rFonts w:ascii="Times New Roman" w:eastAsia="Times New Roman" w:hAnsi="Times New Roman"/>
          <w:color w:val="1F497D"/>
          <w:sz w:val="24"/>
          <w:szCs w:val="24"/>
        </w:rPr>
        <w:t xml:space="preserve"> </w:t>
      </w:r>
    </w:p>
    <w:p w:rsidR="003124A8" w:rsidRDefault="003124A8" w:rsidP="003124A8">
      <w:pPr>
        <w:pStyle w:val="Nadpis2"/>
        <w:spacing w:before="100" w:beforeAutospacing="1" w:after="120"/>
        <w:rPr>
          <w:rFonts w:ascii="Times New Roman" w:eastAsia="Times New Roman" w:hAnsi="Times New Roman"/>
          <w:b w:val="0"/>
          <w:bCs w:val="0"/>
          <w:color w:val="1F497D"/>
          <w:sz w:val="24"/>
          <w:szCs w:val="24"/>
        </w:rPr>
      </w:pPr>
      <w:r>
        <w:rPr>
          <w:rFonts w:ascii="Times New Roman" w:eastAsia="Times New Roman" w:hAnsi="Times New Roman"/>
          <w:b w:val="0"/>
          <w:bCs w:val="0"/>
          <w:color w:val="auto"/>
          <w:sz w:val="24"/>
          <w:szCs w:val="24"/>
        </w:rPr>
        <w:t>Napriek tomu, že</w:t>
      </w:r>
      <w:r w:rsidR="00115639" w:rsidRPr="008C4A3E">
        <w:rPr>
          <w:rFonts w:ascii="Times New Roman" w:eastAsia="Times New Roman" w:hAnsi="Times New Roman"/>
          <w:b w:val="0"/>
          <w:bCs w:val="0"/>
          <w:color w:val="auto"/>
          <w:sz w:val="24"/>
          <w:szCs w:val="24"/>
        </w:rPr>
        <w:t xml:space="preserve"> výrobca účinnej látky nemusí mať osvedčenie SVP</w:t>
      </w:r>
      <w:r w:rsidR="00B56039">
        <w:rPr>
          <w:rFonts w:ascii="Times New Roman" w:eastAsia="Times New Roman" w:hAnsi="Times New Roman"/>
          <w:b w:val="0"/>
          <w:bCs w:val="0"/>
          <w:color w:val="auto"/>
          <w:sz w:val="24"/>
          <w:szCs w:val="24"/>
        </w:rPr>
        <w:t xml:space="preserve"> a distribútor účinnej látky </w:t>
      </w:r>
      <w:r>
        <w:rPr>
          <w:rFonts w:ascii="Times New Roman" w:eastAsia="Times New Roman" w:hAnsi="Times New Roman"/>
          <w:b w:val="0"/>
          <w:bCs w:val="0"/>
          <w:color w:val="auto"/>
          <w:sz w:val="24"/>
          <w:szCs w:val="24"/>
        </w:rPr>
        <w:t xml:space="preserve">nemusí mať osvedčenie </w:t>
      </w:r>
      <w:r w:rsidR="00B56039">
        <w:rPr>
          <w:rFonts w:ascii="Times New Roman" w:eastAsia="Times New Roman" w:hAnsi="Times New Roman"/>
          <w:b w:val="0"/>
          <w:bCs w:val="0"/>
          <w:color w:val="auto"/>
          <w:sz w:val="24"/>
          <w:szCs w:val="24"/>
        </w:rPr>
        <w:t>SDP</w:t>
      </w:r>
      <w:r w:rsidR="00115639" w:rsidRPr="008C4A3E">
        <w:rPr>
          <w:rFonts w:ascii="Times New Roman" w:eastAsia="Times New Roman" w:hAnsi="Times New Roman"/>
          <w:b w:val="0"/>
          <w:bCs w:val="0"/>
          <w:color w:val="auto"/>
          <w:sz w:val="24"/>
          <w:szCs w:val="24"/>
        </w:rPr>
        <w:t xml:space="preserve"> (nazývaný aj certifikát SVP</w:t>
      </w:r>
      <w:r w:rsidR="00B56039">
        <w:rPr>
          <w:rFonts w:ascii="Times New Roman" w:eastAsia="Times New Roman" w:hAnsi="Times New Roman"/>
          <w:b w:val="0"/>
          <w:bCs w:val="0"/>
          <w:color w:val="auto"/>
          <w:sz w:val="24"/>
          <w:szCs w:val="24"/>
        </w:rPr>
        <w:t xml:space="preserve"> alebo</w:t>
      </w:r>
      <w:r>
        <w:rPr>
          <w:rFonts w:ascii="Times New Roman" w:eastAsia="Times New Roman" w:hAnsi="Times New Roman"/>
          <w:b w:val="0"/>
          <w:bCs w:val="0"/>
          <w:color w:val="auto"/>
          <w:sz w:val="24"/>
          <w:szCs w:val="24"/>
        </w:rPr>
        <w:t xml:space="preserve"> certifikát</w:t>
      </w:r>
      <w:r w:rsidR="00B56039">
        <w:rPr>
          <w:rFonts w:ascii="Times New Roman" w:eastAsia="Times New Roman" w:hAnsi="Times New Roman"/>
          <w:b w:val="0"/>
          <w:bCs w:val="0"/>
          <w:color w:val="auto"/>
          <w:sz w:val="24"/>
          <w:szCs w:val="24"/>
        </w:rPr>
        <w:t xml:space="preserve"> SDP</w:t>
      </w:r>
      <w:r w:rsidR="00115639" w:rsidRPr="008C4A3E">
        <w:rPr>
          <w:rFonts w:ascii="Times New Roman" w:eastAsia="Times New Roman" w:hAnsi="Times New Roman"/>
          <w:b w:val="0"/>
          <w:bCs w:val="0"/>
          <w:color w:val="auto"/>
          <w:sz w:val="24"/>
          <w:szCs w:val="24"/>
        </w:rPr>
        <w:t xml:space="preserve">), väčšina odberateľov účinných látok </w:t>
      </w:r>
      <w:r w:rsidR="00B56039">
        <w:rPr>
          <w:rFonts w:ascii="Times New Roman" w:eastAsia="Times New Roman" w:hAnsi="Times New Roman"/>
          <w:b w:val="0"/>
          <w:bCs w:val="0"/>
          <w:color w:val="auto"/>
          <w:sz w:val="24"/>
          <w:szCs w:val="24"/>
        </w:rPr>
        <w:t>ich</w:t>
      </w:r>
      <w:r w:rsidR="00115639" w:rsidRPr="008C4A3E">
        <w:rPr>
          <w:rFonts w:ascii="Times New Roman" w:eastAsia="Times New Roman" w:hAnsi="Times New Roman"/>
          <w:b w:val="0"/>
          <w:bCs w:val="0"/>
          <w:color w:val="auto"/>
          <w:sz w:val="24"/>
          <w:szCs w:val="24"/>
        </w:rPr>
        <w:t xml:space="preserve"> vyžaduje. Pre vydanie Osvedčenia SVP</w:t>
      </w:r>
      <w:r w:rsidR="00B56039">
        <w:rPr>
          <w:rFonts w:ascii="Times New Roman" w:eastAsia="Times New Roman" w:hAnsi="Times New Roman"/>
          <w:b w:val="0"/>
          <w:bCs w:val="0"/>
          <w:color w:val="auto"/>
          <w:sz w:val="24"/>
          <w:szCs w:val="24"/>
        </w:rPr>
        <w:t xml:space="preserve"> /SDP</w:t>
      </w:r>
      <w:r w:rsidR="00115639" w:rsidRPr="008C4A3E">
        <w:rPr>
          <w:rFonts w:ascii="Times New Roman" w:eastAsia="Times New Roman" w:hAnsi="Times New Roman"/>
          <w:b w:val="0"/>
          <w:bCs w:val="0"/>
          <w:color w:val="auto"/>
          <w:sz w:val="24"/>
          <w:szCs w:val="24"/>
        </w:rPr>
        <w:t xml:space="preserve"> je potrebné </w:t>
      </w:r>
      <w:r w:rsidR="00115639" w:rsidRPr="008C4A3E">
        <w:rPr>
          <w:rFonts w:ascii="Times New Roman" w:eastAsia="Times New Roman" w:hAnsi="Times New Roman"/>
          <w:b w:val="0"/>
          <w:bCs w:val="0"/>
          <w:color w:val="auto"/>
          <w:sz w:val="24"/>
          <w:szCs w:val="24"/>
        </w:rPr>
        <w:lastRenderedPageBreak/>
        <w:t>vykonať inšpekciu SVP</w:t>
      </w:r>
      <w:r w:rsidR="00B56039">
        <w:rPr>
          <w:rFonts w:ascii="Times New Roman" w:eastAsia="Times New Roman" w:hAnsi="Times New Roman"/>
          <w:b w:val="0"/>
          <w:bCs w:val="0"/>
          <w:color w:val="auto"/>
          <w:sz w:val="24"/>
          <w:szCs w:val="24"/>
        </w:rPr>
        <w:t>/SDP</w:t>
      </w:r>
      <w:r w:rsidR="00115639" w:rsidRPr="008C4A3E">
        <w:rPr>
          <w:rFonts w:ascii="Times New Roman" w:eastAsia="Times New Roman" w:hAnsi="Times New Roman"/>
          <w:b w:val="0"/>
          <w:bCs w:val="0"/>
          <w:color w:val="auto"/>
          <w:sz w:val="24"/>
          <w:szCs w:val="24"/>
        </w:rPr>
        <w:t>, ktorá je spoplatnená v zmysle sadzobníka výkonov a služieb ŠÚKL</w:t>
      </w:r>
      <w:r w:rsidR="00115639" w:rsidRPr="00872381">
        <w:rPr>
          <w:rFonts w:ascii="Times New Roman" w:eastAsia="Times New Roman" w:hAnsi="Times New Roman"/>
          <w:b w:val="0"/>
          <w:bCs w:val="0"/>
          <w:color w:val="1F497D"/>
          <w:sz w:val="24"/>
          <w:szCs w:val="24"/>
        </w:rPr>
        <w:t xml:space="preserve"> </w:t>
      </w:r>
      <w:hyperlink r:id="rId10" w:history="1">
        <w:r w:rsidR="00872381" w:rsidRPr="00872381">
          <w:rPr>
            <w:rStyle w:val="Hypertextovprepojenie"/>
            <w:rFonts w:ascii="Times New Roman" w:eastAsia="Times New Roman" w:hAnsi="Times New Roman"/>
            <w:b w:val="0"/>
            <w:bCs w:val="0"/>
            <w:sz w:val="22"/>
            <w:szCs w:val="22"/>
          </w:rPr>
          <w:t>http://www.sukl.sk/buxus/docs/O_nas/Spravne_popl/Sadzobnik_vykonov_a_sluzieb_17.1.2013.pdf</w:t>
        </w:r>
      </w:hyperlink>
      <w:r w:rsidR="00115639" w:rsidRPr="00872381">
        <w:rPr>
          <w:rFonts w:ascii="Times New Roman" w:eastAsia="Times New Roman" w:hAnsi="Times New Roman"/>
          <w:b w:val="0"/>
          <w:bCs w:val="0"/>
          <w:color w:val="1F497D"/>
          <w:sz w:val="22"/>
          <w:szCs w:val="22"/>
        </w:rPr>
        <w:t>.</w:t>
      </w:r>
      <w:r w:rsidR="00115639" w:rsidRPr="00872381">
        <w:rPr>
          <w:rFonts w:ascii="Times New Roman" w:eastAsia="Times New Roman" w:hAnsi="Times New Roman"/>
          <w:b w:val="0"/>
          <w:bCs w:val="0"/>
          <w:color w:val="1F497D"/>
          <w:sz w:val="24"/>
          <w:szCs w:val="24"/>
        </w:rPr>
        <w:t xml:space="preserve">  </w:t>
      </w:r>
    </w:p>
    <w:p w:rsidR="00115639" w:rsidRDefault="00115639" w:rsidP="00C146D1">
      <w:pPr>
        <w:pStyle w:val="Nadpis2"/>
        <w:spacing w:before="0" w:after="120"/>
        <w:rPr>
          <w:rFonts w:ascii="Times New Roman" w:eastAsia="Times New Roman" w:hAnsi="Times New Roman"/>
          <w:b w:val="0"/>
          <w:bCs w:val="0"/>
          <w:color w:val="auto"/>
          <w:sz w:val="24"/>
          <w:szCs w:val="24"/>
        </w:rPr>
      </w:pPr>
      <w:r w:rsidRPr="008C4A3E">
        <w:rPr>
          <w:rFonts w:ascii="Times New Roman" w:eastAsia="Times New Roman" w:hAnsi="Times New Roman"/>
          <w:b w:val="0"/>
          <w:bCs w:val="0"/>
          <w:color w:val="auto"/>
          <w:sz w:val="24"/>
          <w:szCs w:val="24"/>
        </w:rPr>
        <w:t>Takisto aj vydanie osvedčenia SVP</w:t>
      </w:r>
      <w:r w:rsidR="003124A8">
        <w:rPr>
          <w:rFonts w:ascii="Times New Roman" w:eastAsia="Times New Roman" w:hAnsi="Times New Roman"/>
          <w:b w:val="0"/>
          <w:bCs w:val="0"/>
          <w:color w:val="auto"/>
          <w:sz w:val="24"/>
          <w:szCs w:val="24"/>
        </w:rPr>
        <w:t>/SDP</w:t>
      </w:r>
      <w:r w:rsidRPr="008C4A3E">
        <w:rPr>
          <w:rFonts w:ascii="Times New Roman" w:eastAsia="Times New Roman" w:hAnsi="Times New Roman"/>
          <w:b w:val="0"/>
          <w:bCs w:val="0"/>
          <w:color w:val="auto"/>
          <w:sz w:val="24"/>
          <w:szCs w:val="24"/>
        </w:rPr>
        <w:t xml:space="preserve"> je spoplatnené v zmysle uvedeného sadzobníka. Kým</w:t>
      </w:r>
      <w:r w:rsidRPr="00872381">
        <w:rPr>
          <w:rFonts w:ascii="Times New Roman" w:eastAsia="Times New Roman" w:hAnsi="Times New Roman"/>
          <w:b w:val="0"/>
          <w:bCs w:val="0"/>
          <w:color w:val="1F497D"/>
          <w:sz w:val="24"/>
          <w:szCs w:val="24"/>
        </w:rPr>
        <w:t xml:space="preserve"> </w:t>
      </w:r>
      <w:r w:rsidRPr="008C4A3E">
        <w:rPr>
          <w:rFonts w:ascii="Times New Roman" w:eastAsia="Times New Roman" w:hAnsi="Times New Roman"/>
          <w:b w:val="0"/>
          <w:bCs w:val="0"/>
          <w:color w:val="auto"/>
          <w:sz w:val="24"/>
          <w:szCs w:val="24"/>
        </w:rPr>
        <w:t xml:space="preserve">registrácia </w:t>
      </w:r>
      <w:r w:rsidR="00AA3C8C">
        <w:rPr>
          <w:rFonts w:ascii="Times New Roman" w:eastAsia="Times New Roman" w:hAnsi="Times New Roman"/>
          <w:b w:val="0"/>
          <w:bCs w:val="0"/>
          <w:color w:val="auto"/>
          <w:sz w:val="24"/>
          <w:szCs w:val="24"/>
        </w:rPr>
        <w:t>výrobcu, dovozcu alebo distribútora účinnej látky</w:t>
      </w:r>
      <w:r w:rsidRPr="008C4A3E">
        <w:rPr>
          <w:rFonts w:ascii="Times New Roman" w:eastAsia="Times New Roman" w:hAnsi="Times New Roman"/>
          <w:b w:val="0"/>
          <w:bCs w:val="0"/>
          <w:color w:val="auto"/>
          <w:sz w:val="24"/>
          <w:szCs w:val="24"/>
        </w:rPr>
        <w:t xml:space="preserve"> je časovo neobmedzená, osvedčenie SVP</w:t>
      </w:r>
      <w:r w:rsidR="003124A8">
        <w:rPr>
          <w:rFonts w:ascii="Times New Roman" w:eastAsia="Times New Roman" w:hAnsi="Times New Roman"/>
          <w:b w:val="0"/>
          <w:bCs w:val="0"/>
          <w:color w:val="auto"/>
          <w:sz w:val="24"/>
          <w:szCs w:val="24"/>
        </w:rPr>
        <w:t>/SDP</w:t>
      </w:r>
      <w:r w:rsidRPr="008C4A3E">
        <w:rPr>
          <w:rFonts w:ascii="Times New Roman" w:eastAsia="Times New Roman" w:hAnsi="Times New Roman"/>
          <w:b w:val="0"/>
          <w:bCs w:val="0"/>
          <w:color w:val="auto"/>
          <w:sz w:val="24"/>
          <w:szCs w:val="24"/>
        </w:rPr>
        <w:t xml:space="preserve"> platí maximálne 3 roky (výroba sterilných </w:t>
      </w:r>
      <w:r w:rsidR="00825131">
        <w:rPr>
          <w:rFonts w:ascii="Times New Roman" w:eastAsia="Times New Roman" w:hAnsi="Times New Roman"/>
          <w:b w:val="0"/>
          <w:bCs w:val="0"/>
          <w:color w:val="auto"/>
          <w:sz w:val="24"/>
          <w:szCs w:val="24"/>
        </w:rPr>
        <w:t>účinných látok</w:t>
      </w:r>
      <w:r w:rsidRPr="008C4A3E">
        <w:rPr>
          <w:rFonts w:ascii="Times New Roman" w:eastAsia="Times New Roman" w:hAnsi="Times New Roman"/>
          <w:b w:val="0"/>
          <w:bCs w:val="0"/>
          <w:color w:val="auto"/>
          <w:sz w:val="24"/>
          <w:szCs w:val="24"/>
        </w:rPr>
        <w:t xml:space="preserve"> len 2 roky).</w:t>
      </w:r>
    </w:p>
    <w:p w:rsidR="00FB2F9B" w:rsidRDefault="00FB2F9B" w:rsidP="00115639">
      <w:pPr>
        <w:pStyle w:val="Nadpis2"/>
        <w:rPr>
          <w:rFonts w:ascii="Times New Roman" w:eastAsia="Times New Roman" w:hAnsi="Times New Roman"/>
          <w:b w:val="0"/>
          <w:bCs w:val="0"/>
          <w:color w:val="auto"/>
          <w:sz w:val="24"/>
          <w:szCs w:val="24"/>
        </w:rPr>
      </w:pPr>
    </w:p>
    <w:p w:rsidR="00FB2F9B" w:rsidRPr="003124A8" w:rsidRDefault="00FB2F9B" w:rsidP="00FB2F9B">
      <w:pPr>
        <w:spacing w:after="240"/>
        <w:jc w:val="center"/>
        <w:rPr>
          <w:sz w:val="28"/>
          <w:szCs w:val="28"/>
        </w:rPr>
      </w:pPr>
      <w:r w:rsidRPr="003124A8">
        <w:rPr>
          <w:sz w:val="28"/>
          <w:szCs w:val="28"/>
        </w:rPr>
        <w:t>Platb</w:t>
      </w:r>
      <w:r w:rsidR="00174CB2" w:rsidRPr="003124A8">
        <w:rPr>
          <w:sz w:val="28"/>
          <w:szCs w:val="28"/>
        </w:rPr>
        <w:t>a</w:t>
      </w:r>
      <w:r w:rsidRPr="003124A8">
        <w:rPr>
          <w:sz w:val="28"/>
          <w:szCs w:val="28"/>
        </w:rPr>
        <w:t xml:space="preserve"> správnych poplatkov</w:t>
      </w:r>
    </w:p>
    <w:p w:rsidR="00FB2F9B" w:rsidRDefault="00FB2F9B" w:rsidP="00FB2F9B"/>
    <w:p w:rsidR="00FB2F9B" w:rsidRPr="00FB2F9B" w:rsidRDefault="00FB2F9B" w:rsidP="00FB2F9B">
      <w:pPr>
        <w:jc w:val="both"/>
      </w:pPr>
      <w:r w:rsidRPr="00FB2F9B">
        <w:t>Pre platb</w:t>
      </w:r>
      <w:r w:rsidR="00174CB2">
        <w:t>u</w:t>
      </w:r>
      <w:r w:rsidRPr="00FB2F9B">
        <w:t xml:space="preserve"> správnych poplatkov v zmysle zákona </w:t>
      </w:r>
      <w:r w:rsidRPr="00FB2F9B">
        <w:rPr>
          <w:lang w:val="en-US"/>
        </w:rPr>
        <w:t>č. 145/</w:t>
      </w:r>
      <w:r w:rsidRPr="00FB2F9B">
        <w:t>1995 Z. z. o správnych poplatkoch v znení neskorších predpisov, príloha Sadzobník správnych poplatkov, VIII. časť, položka 150</w:t>
      </w:r>
      <w:r w:rsidR="00174CB2">
        <w:t xml:space="preserve"> </w:t>
      </w:r>
      <w:r w:rsidRPr="00FB2F9B">
        <w:t xml:space="preserve">písm. </w:t>
      </w:r>
      <w:proofErr w:type="spellStart"/>
      <w:r w:rsidRPr="00FB2F9B">
        <w:t>am</w:t>
      </w:r>
      <w:proofErr w:type="spellEnd"/>
      <w:r w:rsidRPr="00FB2F9B">
        <w:t>), Oznámenie výroby, dovozu alebo distribúcie účinnej látky</w:t>
      </w:r>
      <w:r w:rsidR="00174CB2">
        <w:t xml:space="preserve"> </w:t>
      </w:r>
      <w:r w:rsidRPr="00FB2F9B">
        <w:t>použite nasledovné platobné údaje:</w:t>
      </w:r>
    </w:p>
    <w:p w:rsidR="00FB2F9B" w:rsidRPr="00FB2F9B" w:rsidRDefault="00FB2F9B" w:rsidP="00FB2F9B">
      <w:pPr>
        <w:jc w:val="both"/>
      </w:pPr>
    </w:p>
    <w:p w:rsidR="00FB2F9B" w:rsidRPr="00FB2F9B" w:rsidRDefault="00FB2F9B" w:rsidP="00FB2F9B">
      <w:pPr>
        <w:jc w:val="both"/>
      </w:pPr>
      <w:r w:rsidRPr="00FB2F9B">
        <w:t>číslo účtu:</w:t>
      </w:r>
      <w:r w:rsidRPr="00FB2F9B">
        <w:tab/>
      </w:r>
      <w:r w:rsidRPr="00FB2F9B">
        <w:tab/>
        <w:t>7000133673</w:t>
      </w:r>
      <w:r w:rsidRPr="00FB2F9B">
        <w:rPr>
          <w:lang w:val="en-US"/>
        </w:rPr>
        <w:t>/</w:t>
      </w:r>
      <w:r w:rsidRPr="00FB2F9B">
        <w:t>8180, Štátna pokladnica</w:t>
      </w:r>
    </w:p>
    <w:p w:rsidR="00FB2F9B" w:rsidRPr="00FB2F9B" w:rsidRDefault="00FB2F9B" w:rsidP="00FB2F9B">
      <w:pPr>
        <w:jc w:val="both"/>
      </w:pPr>
    </w:p>
    <w:p w:rsidR="00FB2F9B" w:rsidRPr="00FB2F9B" w:rsidRDefault="00FB2F9B" w:rsidP="00FB2F9B">
      <w:pPr>
        <w:jc w:val="both"/>
      </w:pPr>
      <w:r w:rsidRPr="00FB2F9B">
        <w:t>variabilný symbol:</w:t>
      </w:r>
      <w:r w:rsidRPr="00FB2F9B">
        <w:tab/>
        <w:t>20XXXXXXXX</w:t>
      </w:r>
    </w:p>
    <w:p w:rsidR="00FB2F9B" w:rsidRPr="00FB2F9B" w:rsidRDefault="00FB2F9B" w:rsidP="00FB2F9B">
      <w:pPr>
        <w:jc w:val="both"/>
      </w:pPr>
      <w:r w:rsidRPr="00FB2F9B">
        <w:tab/>
      </w:r>
      <w:r w:rsidRPr="00FB2F9B">
        <w:tab/>
      </w:r>
      <w:r w:rsidRPr="00FB2F9B">
        <w:tab/>
      </w:r>
    </w:p>
    <w:p w:rsidR="00FB2F9B" w:rsidRPr="00FB2F9B" w:rsidRDefault="00FB2F9B" w:rsidP="00FB2F9B">
      <w:pPr>
        <w:jc w:val="both"/>
      </w:pPr>
      <w:r w:rsidRPr="00FB2F9B">
        <w:t>kde XXXXXXXX je IČO subjektu pri právnickej osobe alebo dátum narodenia v tvare DDMMRRRR pri fyzickej osobe</w:t>
      </w:r>
      <w:r w:rsidR="00AB7BED">
        <w:t>.</w:t>
      </w:r>
    </w:p>
    <w:p w:rsidR="00FB2F9B" w:rsidRPr="00FB2F9B" w:rsidRDefault="00FB2F9B" w:rsidP="00FB2F9B">
      <w:r w:rsidRPr="00FB2F9B">
        <w:t>suma poplatku:</w:t>
      </w:r>
      <w:r w:rsidRPr="00FB2F9B">
        <w:tab/>
        <w:t>100 EUR.</w:t>
      </w:r>
    </w:p>
    <w:p w:rsidR="00F11E9B" w:rsidRPr="008C4A3E" w:rsidRDefault="00F11E9B" w:rsidP="00115639">
      <w:pPr>
        <w:pStyle w:val="Nadpis2"/>
        <w:rPr>
          <w:rFonts w:ascii="Times New Roman" w:eastAsia="Times New Roman" w:hAnsi="Times New Roman"/>
          <w:b w:val="0"/>
          <w:bCs w:val="0"/>
          <w:color w:val="auto"/>
          <w:sz w:val="24"/>
          <w:szCs w:val="24"/>
        </w:rPr>
      </w:pPr>
    </w:p>
    <w:p w:rsidR="00115639" w:rsidRDefault="00115639" w:rsidP="00115639">
      <w:pPr>
        <w:pStyle w:val="Odsekzoznamu"/>
        <w:rPr>
          <w:rFonts w:ascii="Times New Roman" w:hAnsi="Times New Roman"/>
          <w:sz w:val="24"/>
          <w:szCs w:val="24"/>
        </w:rPr>
      </w:pPr>
    </w:p>
    <w:p w:rsidR="00174CB2" w:rsidRPr="00872381" w:rsidRDefault="00174CB2" w:rsidP="00115639">
      <w:pPr>
        <w:pStyle w:val="Odsekzoznamu"/>
        <w:rPr>
          <w:rFonts w:ascii="Times New Roman" w:hAnsi="Times New Roman"/>
          <w:sz w:val="24"/>
          <w:szCs w:val="24"/>
        </w:rPr>
      </w:pPr>
    </w:p>
    <w:p w:rsidR="00115639" w:rsidRPr="00174CB2" w:rsidRDefault="006A2A73" w:rsidP="00174CB2">
      <w:pPr>
        <w:spacing w:after="240"/>
        <w:jc w:val="center"/>
        <w:rPr>
          <w:sz w:val="28"/>
          <w:szCs w:val="28"/>
        </w:rPr>
      </w:pPr>
      <w:r w:rsidRPr="00174CB2">
        <w:rPr>
          <w:sz w:val="28"/>
          <w:szCs w:val="28"/>
        </w:rPr>
        <w:t xml:space="preserve">Vybrané časti </w:t>
      </w:r>
      <w:r w:rsidR="00115639" w:rsidRPr="00174CB2">
        <w:rPr>
          <w:sz w:val="28"/>
          <w:szCs w:val="28"/>
        </w:rPr>
        <w:t>Zákon</w:t>
      </w:r>
      <w:r w:rsidRPr="00174CB2">
        <w:rPr>
          <w:sz w:val="28"/>
          <w:szCs w:val="28"/>
        </w:rPr>
        <w:t>a</w:t>
      </w:r>
      <w:r w:rsidR="00115639" w:rsidRPr="00174CB2">
        <w:rPr>
          <w:sz w:val="28"/>
          <w:szCs w:val="28"/>
        </w:rPr>
        <w:t xml:space="preserve"> 362/2011 Z. z. v znení neskorších predpisov</w:t>
      </w:r>
    </w:p>
    <w:p w:rsidR="00115639" w:rsidRPr="008C4A3E" w:rsidRDefault="00115639" w:rsidP="00115639">
      <w:pPr>
        <w:spacing w:before="100" w:beforeAutospacing="1" w:after="100" w:afterAutospacing="1"/>
        <w:jc w:val="center"/>
        <w:rPr>
          <w:b/>
          <w:bCs/>
          <w:i/>
        </w:rPr>
      </w:pPr>
      <w:r w:rsidRPr="00C25DD5">
        <w:rPr>
          <w:bCs/>
          <w:i/>
        </w:rPr>
        <w:t>§ 12a</w:t>
      </w:r>
      <w:r w:rsidRPr="00C25DD5">
        <w:rPr>
          <w:bCs/>
          <w:i/>
        </w:rPr>
        <w:br/>
        <w:t>Výroba, dovoz a distribúcia účinnej látky</w:t>
      </w:r>
    </w:p>
    <w:p w:rsidR="00115639" w:rsidRPr="008C4A3E" w:rsidRDefault="00115639" w:rsidP="00115639">
      <w:pPr>
        <w:spacing w:after="240"/>
        <w:rPr>
          <w:i/>
        </w:rPr>
      </w:pPr>
      <w:r w:rsidRPr="008C4A3E">
        <w:rPr>
          <w:i/>
        </w:rPr>
        <w:br/>
        <w:t>(1) Účinná látka musí byť vyrobená v súlade s požiadavkami správnej výrobnej praxe a distribuovaná v súlade s požiadavkami správnej veľkodistribučnej praxe.</w:t>
      </w:r>
      <w:r w:rsidRPr="008C4A3E">
        <w:rPr>
          <w:i/>
        </w:rPr>
        <w:br/>
      </w:r>
      <w:r w:rsidRPr="008C4A3E">
        <w:rPr>
          <w:i/>
        </w:rPr>
        <w:br/>
        <w:t>(2) Výrobca účinnej látky, dovozca účinnej látky alebo distribútor účinnej látky s miestom podnikania alebo so sídlom v Slovenskej republike je povinný najmenej 60 dní pred začatím činnosti písomne oznámiť štátnemu ústavu zámer vykonávať výrobu účinnej látky, dovoz účinnej látky alebo distribúciu účinnej látky.</w:t>
      </w:r>
      <w:r w:rsidRPr="008C4A3E">
        <w:rPr>
          <w:i/>
        </w:rPr>
        <w:br/>
      </w:r>
      <w:r w:rsidRPr="008C4A3E">
        <w:rPr>
          <w:i/>
        </w:rPr>
        <w:br/>
        <w:t>(3) Písomné oznámenie podľa odseku 2 musí obsahovať</w:t>
      </w:r>
      <w:r w:rsidRPr="008C4A3E">
        <w:rPr>
          <w:i/>
        </w:rPr>
        <w:br/>
        <w:t xml:space="preserve">a) meno a priezvisko, adresu bydliska a dátum narodenia, ak je výrobcom účinnej látky, dovozcom účinnej látky alebo distribútorom účinnej látky fyzická osoba; názov alebo obchodné meno, identifikačné číslo, adresu sídla, právnu formu, ak je výrobcom účinnej látky, dovozcom účinnej látky alebo distribútorom účinnej látky právnická osoba, </w:t>
      </w:r>
      <w:r w:rsidRPr="008C4A3E">
        <w:rPr>
          <w:i/>
        </w:rPr>
        <w:br/>
        <w:t xml:space="preserve">b) názov účinnej látky, ktorá sa má vyrábať, dovážať alebo distribuovať, </w:t>
      </w:r>
      <w:r w:rsidRPr="008C4A3E">
        <w:rPr>
          <w:i/>
        </w:rPr>
        <w:br/>
        <w:t xml:space="preserve">c) opis materiálneho a priestorového vybavenia výrobcu účinnej látky, dovozcu účinnej látky </w:t>
      </w:r>
      <w:r w:rsidRPr="008C4A3E">
        <w:rPr>
          <w:i/>
        </w:rPr>
        <w:lastRenderedPageBreak/>
        <w:t>alebo distribútora účinnej látky.</w:t>
      </w:r>
      <w:r w:rsidRPr="008C4A3E">
        <w:rPr>
          <w:i/>
        </w:rPr>
        <w:br/>
      </w:r>
      <w:r w:rsidRPr="008C4A3E">
        <w:rPr>
          <w:i/>
        </w:rPr>
        <w:br/>
        <w:t xml:space="preserve">(4) Štátny ústav môže na základe oznámenia podľa odseku 2 vykonať inšpekciu u výrobcu účinnej látky, dovozcu účinnej látky alebo distribútora účinnej látky. Ak do 60 dní od prijatia oznámenia podľa odseku 2 štátny ústav oznámi výrobcovi účinnej látky, dovozcovi účinnej látky alebo distribútorovi účinnej látky, že vykoná inšpekciu, výrobca účinnej látky, dovozca účinnej látky alebo distribútor účinnej látky vykonávanie činnosti nesmie začať. Štátny ústav môže v tejto lehote oznámiť výrobcovi účinnej látky, dovozcovi účinnej látky alebo distribútorovi účinnej látky, že činnosť môže začať vykonávať. </w:t>
      </w:r>
      <w:r w:rsidRPr="008C4A3E">
        <w:rPr>
          <w:i/>
        </w:rPr>
        <w:br/>
      </w:r>
      <w:r w:rsidRPr="008C4A3E">
        <w:rPr>
          <w:i/>
        </w:rPr>
        <w:br/>
        <w:t>(5) Ak štátny ústav neoznámi výrobcovi účinnej látky, dovozcovi účinnej látky alebo distribútorovi účinnej látky do 60 dní od prijatia oznámenia podľa odseku 2, že vykoná inšpekciu, môže výrobca účinnej látky, dovozca účinnej látky alebo distribútor účinnej látky začať činnosť vykonávať.</w:t>
      </w:r>
      <w:r w:rsidRPr="008C4A3E">
        <w:rPr>
          <w:i/>
        </w:rPr>
        <w:br/>
      </w:r>
      <w:r w:rsidRPr="008C4A3E">
        <w:rPr>
          <w:i/>
        </w:rPr>
        <w:br/>
        <w:t>(6) Výrobca účinnej látky, dovozca účinnej látky alebo distribútor účinnej látky je povinný bezodkladne oznámiť štátnemu ústavu každú zmenu, ktorá môže ovplyvniť kvalitu alebo bezpečnosť účinnej látky, ktorú vyrába, dováža alebo distribuuje.</w:t>
      </w:r>
      <w:r w:rsidRPr="008C4A3E">
        <w:rPr>
          <w:i/>
        </w:rPr>
        <w:br/>
      </w:r>
      <w:r w:rsidRPr="008C4A3E">
        <w:rPr>
          <w:i/>
        </w:rPr>
        <w:br/>
        <w:t xml:space="preserve">(7) Výrobca účinnej látky, dovozca účinnej látky alebo distribútor účinnej látky je povinný každoročne do 31. decembra predložiť štátnemu ústavu zoznam vykonaných zmien v údajoch v oznámení podľa odseku 3. </w:t>
      </w:r>
      <w:r w:rsidRPr="008C4A3E">
        <w:rPr>
          <w:i/>
        </w:rPr>
        <w:br/>
      </w:r>
      <w:r w:rsidRPr="008C4A3E">
        <w:rPr>
          <w:i/>
        </w:rPr>
        <w:br/>
        <w:t>(8) Štátny ústav vloží údaje a informácie uvedené v oznámení podľa odseku 3 do európskej databázy výrobcov účinnej látky, dovozcov účinnej látky a distribútorov účinnej látky.</w:t>
      </w:r>
    </w:p>
    <w:p w:rsidR="00115639" w:rsidRPr="00C25DD5" w:rsidRDefault="00115639" w:rsidP="00C25DD5">
      <w:pPr>
        <w:spacing w:before="100" w:beforeAutospacing="1" w:after="100" w:afterAutospacing="1"/>
        <w:jc w:val="center"/>
        <w:rPr>
          <w:bCs/>
          <w:i/>
        </w:rPr>
      </w:pPr>
      <w:r w:rsidRPr="00C25DD5">
        <w:rPr>
          <w:bCs/>
          <w:i/>
        </w:rPr>
        <w:t>§ 12b</w:t>
      </w:r>
      <w:r w:rsidRPr="00C25DD5">
        <w:rPr>
          <w:bCs/>
          <w:i/>
        </w:rPr>
        <w:br/>
        <w:t>Osobitné podmienky dovozu účinnej látky</w:t>
      </w:r>
    </w:p>
    <w:p w:rsidR="00115639" w:rsidRPr="008C4A3E" w:rsidRDefault="00115639" w:rsidP="00115639">
      <w:pPr>
        <w:rPr>
          <w:i/>
        </w:rPr>
      </w:pPr>
      <w:r w:rsidRPr="008C4A3E">
        <w:rPr>
          <w:i/>
        </w:rPr>
        <w:br/>
        <w:t>(1) Dovezená účinná látka musí byť vyrobená v súlade s požiadavkami správnej výrobnej praxe.</w:t>
      </w:r>
      <w:r w:rsidRPr="008C4A3E">
        <w:rPr>
          <w:i/>
        </w:rPr>
        <w:br/>
      </w:r>
      <w:r w:rsidRPr="008C4A3E">
        <w:rPr>
          <w:i/>
        </w:rPr>
        <w:br/>
        <w:t xml:space="preserve">(2) Účinnú látku možno dovážať z tretieho štátu na základe písomného potvrdenia príslušného orgánu tretieho štátu o tom, že </w:t>
      </w:r>
      <w:r w:rsidRPr="008C4A3E">
        <w:rPr>
          <w:i/>
        </w:rPr>
        <w:br/>
        <w:t xml:space="preserve">a) výrobca účinnej látky spĺňa požiadavky správnej výrobnej praxe, </w:t>
      </w:r>
      <w:r w:rsidRPr="008C4A3E">
        <w:rPr>
          <w:i/>
        </w:rPr>
        <w:br/>
        <w:t xml:space="preserve">b) vykonáva kontroly dodržiavania správnej výrobnej praxe u výrobcu účinnej látky vrátane opakovaných a neohlásených kontrol, </w:t>
      </w:r>
      <w:r w:rsidRPr="008C4A3E">
        <w:rPr>
          <w:i/>
        </w:rPr>
        <w:br/>
        <w:t>c) bezodkladne oznámi štátnemu ústavu zistené nedodržiavanie požiadaviek správnej výrobnej praxe.</w:t>
      </w:r>
      <w:r w:rsidRPr="008C4A3E">
        <w:rPr>
          <w:i/>
        </w:rPr>
        <w:br/>
      </w:r>
      <w:r w:rsidRPr="008C4A3E">
        <w:rPr>
          <w:i/>
        </w:rPr>
        <w:br/>
        <w:t xml:space="preserve">(3) Predloženie písomného potvrdenia podľa odseku 2 nezbavuje držiteľa povolenia na výrobu liekov povinností podľa § 15 ods. 1 písm. r), </w:t>
      </w:r>
      <w:proofErr w:type="spellStart"/>
      <w:r w:rsidRPr="008C4A3E">
        <w:rPr>
          <w:i/>
        </w:rPr>
        <w:t>ab</w:t>
      </w:r>
      <w:proofErr w:type="spellEnd"/>
      <w:r w:rsidRPr="008C4A3E">
        <w:rPr>
          <w:i/>
        </w:rPr>
        <w:t xml:space="preserve">), </w:t>
      </w:r>
      <w:proofErr w:type="spellStart"/>
      <w:r w:rsidRPr="008C4A3E">
        <w:rPr>
          <w:i/>
        </w:rPr>
        <w:t>ac</w:t>
      </w:r>
      <w:proofErr w:type="spellEnd"/>
      <w:r w:rsidRPr="008C4A3E">
        <w:rPr>
          <w:i/>
        </w:rPr>
        <w:t xml:space="preserve">), </w:t>
      </w:r>
      <w:proofErr w:type="spellStart"/>
      <w:r w:rsidRPr="008C4A3E">
        <w:rPr>
          <w:i/>
        </w:rPr>
        <w:t>ae</w:t>
      </w:r>
      <w:proofErr w:type="spellEnd"/>
      <w:r w:rsidRPr="008C4A3E">
        <w:rPr>
          <w:i/>
        </w:rPr>
        <w:t xml:space="preserve">) a </w:t>
      </w:r>
      <w:proofErr w:type="spellStart"/>
      <w:r w:rsidRPr="008C4A3E">
        <w:rPr>
          <w:i/>
        </w:rPr>
        <w:t>af</w:t>
      </w:r>
      <w:proofErr w:type="spellEnd"/>
      <w:r w:rsidRPr="008C4A3E">
        <w:rPr>
          <w:i/>
        </w:rPr>
        <w:t xml:space="preserve">). </w:t>
      </w:r>
      <w:r w:rsidRPr="008C4A3E">
        <w:rPr>
          <w:i/>
        </w:rPr>
        <w:br/>
      </w:r>
      <w:r w:rsidRPr="008C4A3E">
        <w:rPr>
          <w:i/>
        </w:rPr>
        <w:br/>
        <w:t>(4) Písomné potvrdenie podľa odseku 2 sa nevyžaduje, ak</w:t>
      </w:r>
      <w:r w:rsidRPr="008C4A3E">
        <w:rPr>
          <w:i/>
        </w:rPr>
        <w:br/>
        <w:t xml:space="preserve">a) Európska komisia (ďalej len "Komisia") zaradila tretí štát do zoznamu tretích štátov, ktoré zaviedli a uplatňujú požiadavky správnej výrobnej praxe, </w:t>
      </w:r>
      <w:r w:rsidRPr="008C4A3E">
        <w:rPr>
          <w:i/>
        </w:rPr>
        <w:br/>
        <w:t xml:space="preserve">b) sú problémy s dostupnosťou humánneho lieku a štátny ústav kontrolou u výrobcu účinnej </w:t>
      </w:r>
      <w:r w:rsidRPr="008C4A3E">
        <w:rPr>
          <w:i/>
        </w:rPr>
        <w:lastRenderedPageBreak/>
        <w:t>látky v treťom štáte zistí, že výrobca účinnej látky dodržiava požiadavky správnej výrobnej praxe a má platné osvedčenie vydané príslušným orgánom tretieho štátu o dodržiavaní požiadaviek správnej výrobnej praxe; štátny ústav o tom informuje Komisiu.</w:t>
      </w:r>
    </w:p>
    <w:p w:rsidR="00C0622F" w:rsidRPr="00C25DD5" w:rsidRDefault="00C0622F" w:rsidP="00F11E9B">
      <w:pPr>
        <w:spacing w:before="100" w:beforeAutospacing="1" w:after="100" w:afterAutospacing="1"/>
        <w:jc w:val="center"/>
        <w:rPr>
          <w:bCs/>
          <w:i/>
        </w:rPr>
      </w:pPr>
      <w:r w:rsidRPr="00C25DD5">
        <w:rPr>
          <w:bCs/>
          <w:i/>
        </w:rPr>
        <w:t>§ 138</w:t>
      </w:r>
      <w:r w:rsidRPr="00C25DD5">
        <w:rPr>
          <w:bCs/>
          <w:i/>
        </w:rPr>
        <w:br/>
        <w:t>Iné správne delikty na úseku humánnej farmácie</w:t>
      </w:r>
    </w:p>
    <w:p w:rsidR="00C0622F" w:rsidRPr="008C4A3E" w:rsidRDefault="00C0622F" w:rsidP="00C0622F">
      <w:pPr>
        <w:rPr>
          <w:i/>
        </w:rPr>
      </w:pPr>
    </w:p>
    <w:p w:rsidR="00C0622F" w:rsidRPr="008C4A3E" w:rsidRDefault="00F11E9B">
      <w:pPr>
        <w:rPr>
          <w:i/>
        </w:rPr>
      </w:pPr>
      <w:r w:rsidRPr="008C4A3E">
        <w:rPr>
          <w:i/>
        </w:rPr>
        <w:t xml:space="preserve"> </w:t>
      </w:r>
      <w:r w:rsidR="00C0622F" w:rsidRPr="008C4A3E">
        <w:rPr>
          <w:i/>
        </w:rPr>
        <w:t>(24) Výrobca účinnej látky, dovozca účinnej látky alebo distribútor účinnej látky sa dopustí iného správneho deliktu, ak</w:t>
      </w:r>
      <w:r w:rsidR="00C0622F" w:rsidRPr="008C4A3E">
        <w:rPr>
          <w:i/>
        </w:rPr>
        <w:br/>
        <w:t xml:space="preserve">a) neoznámi najmenej 60 dní pred začatím činnosti písomne štátnemu ústavu zámer vykonávať výrobu účinnej látky, dovoz účinnej látky a distribúciu účinnej látky, </w:t>
      </w:r>
      <w:r w:rsidR="00C0622F" w:rsidRPr="008C4A3E">
        <w:rPr>
          <w:i/>
        </w:rPr>
        <w:br/>
        <w:t>b) nepredloží štátnemu ústavu každoročne do 31. decembra zoznam vykonaných zmien v údajoch v oznámení podľa § 12a ods. 2.</w:t>
      </w:r>
    </w:p>
    <w:p w:rsidR="00C0622F" w:rsidRPr="008C4A3E" w:rsidRDefault="00C0622F">
      <w:pPr>
        <w:rPr>
          <w:i/>
        </w:rPr>
      </w:pPr>
    </w:p>
    <w:p w:rsidR="00872381" w:rsidRDefault="00872381">
      <w:pPr>
        <w:rPr>
          <w:i/>
        </w:rPr>
      </w:pPr>
    </w:p>
    <w:p w:rsidR="00872381" w:rsidRPr="00C25DD5" w:rsidRDefault="00872381" w:rsidP="00872381">
      <w:pPr>
        <w:spacing w:before="100" w:beforeAutospacing="1" w:after="100" w:afterAutospacing="1"/>
        <w:jc w:val="center"/>
        <w:rPr>
          <w:bCs/>
          <w:i/>
        </w:rPr>
      </w:pPr>
      <w:r w:rsidRPr="00C25DD5">
        <w:rPr>
          <w:bCs/>
          <w:i/>
        </w:rPr>
        <w:t>§ 143b</w:t>
      </w:r>
      <w:r w:rsidRPr="00C25DD5">
        <w:rPr>
          <w:bCs/>
          <w:i/>
        </w:rPr>
        <w:br/>
        <w:t>Prechodné ustanovenia</w:t>
      </w:r>
      <w:r w:rsidRPr="00C25DD5">
        <w:rPr>
          <w:bCs/>
          <w:i/>
        </w:rPr>
        <w:br/>
        <w:t>k úpravám účinným od 2. januára 2013</w:t>
      </w:r>
    </w:p>
    <w:p w:rsidR="00D422B3" w:rsidRDefault="00872381">
      <w:r w:rsidRPr="008C4A3E">
        <w:rPr>
          <w:i/>
        </w:rPr>
        <w:br/>
        <w:t>(4) Osoba, ktorá začala vyrábať, dovážať alebo distribuovať účinnú látku pred 2. januárom 2013, je povinná písomne oznámiť podľa § 12a ods. 2 vykonávanie činnosti štátnemu ústavu do 2. marca 2013.</w:t>
      </w:r>
      <w:r w:rsidR="001C50A8">
        <w:t xml:space="preserve"> </w:t>
      </w:r>
    </w:p>
    <w:p w:rsidR="00D422B3" w:rsidRDefault="00D422B3"/>
    <w:sectPr w:rsidR="00D422B3" w:rsidSect="009409D7">
      <w:headerReference w:type="default" r:id="rId11"/>
      <w:footerReference w:type="default" r:id="rId12"/>
      <w:headerReference w:type="first" r:id="rId13"/>
      <w:footerReference w:type="first" r:id="rId14"/>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2AC" w:rsidRDefault="002452AC" w:rsidP="00872381">
      <w:r>
        <w:separator/>
      </w:r>
    </w:p>
  </w:endnote>
  <w:endnote w:type="continuationSeparator" w:id="0">
    <w:p w:rsidR="002452AC" w:rsidRDefault="002452AC" w:rsidP="00872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005D96"/>
      </w:tblBorders>
      <w:tblLook w:val="01E0" w:firstRow="1" w:lastRow="1" w:firstColumn="1" w:lastColumn="1" w:noHBand="0" w:noVBand="0"/>
    </w:tblPr>
    <w:tblGrid>
      <w:gridCol w:w="2260"/>
      <w:gridCol w:w="2254"/>
      <w:gridCol w:w="2272"/>
      <w:gridCol w:w="2284"/>
    </w:tblGrid>
    <w:tr w:rsidR="009409D7" w:rsidTr="006919C5">
      <w:tc>
        <w:tcPr>
          <w:tcW w:w="2302" w:type="dxa"/>
        </w:tcPr>
        <w:p w:rsidR="009409D7" w:rsidRDefault="009409D7" w:rsidP="006919C5">
          <w:pPr>
            <w:pStyle w:val="Pta"/>
            <w:rPr>
              <w:color w:val="005D96"/>
              <w:sz w:val="18"/>
              <w:szCs w:val="18"/>
            </w:rPr>
          </w:pPr>
          <w:r>
            <w:rPr>
              <w:color w:val="005D96"/>
              <w:sz w:val="18"/>
              <w:szCs w:val="18"/>
            </w:rPr>
            <w:t>Telefón: +421 2 5070 1111</w:t>
          </w:r>
        </w:p>
      </w:tc>
      <w:tc>
        <w:tcPr>
          <w:tcW w:w="2302" w:type="dxa"/>
        </w:tcPr>
        <w:p w:rsidR="009409D7" w:rsidRDefault="009409D7" w:rsidP="006919C5">
          <w:pPr>
            <w:pStyle w:val="Pta"/>
            <w:rPr>
              <w:color w:val="005D96"/>
              <w:sz w:val="18"/>
              <w:szCs w:val="18"/>
            </w:rPr>
          </w:pPr>
          <w:r>
            <w:rPr>
              <w:color w:val="005D96"/>
              <w:sz w:val="18"/>
              <w:szCs w:val="18"/>
            </w:rPr>
            <w:t>Fax: +421 2 5556 0022</w:t>
          </w:r>
        </w:p>
      </w:tc>
      <w:tc>
        <w:tcPr>
          <w:tcW w:w="2303" w:type="dxa"/>
        </w:tcPr>
        <w:p w:rsidR="009409D7" w:rsidRDefault="009409D7" w:rsidP="006919C5">
          <w:pPr>
            <w:pStyle w:val="Pta"/>
            <w:rPr>
              <w:color w:val="005D96"/>
              <w:sz w:val="18"/>
              <w:szCs w:val="18"/>
            </w:rPr>
          </w:pPr>
          <w:r>
            <w:rPr>
              <w:color w:val="005D96"/>
              <w:sz w:val="18"/>
              <w:szCs w:val="18"/>
            </w:rPr>
            <w:t>Email:  sukl@sukl.sk</w:t>
          </w:r>
        </w:p>
      </w:tc>
      <w:tc>
        <w:tcPr>
          <w:tcW w:w="2303" w:type="dxa"/>
        </w:tcPr>
        <w:p w:rsidR="009409D7" w:rsidRDefault="009409D7" w:rsidP="006919C5">
          <w:pPr>
            <w:pStyle w:val="Pta"/>
            <w:rPr>
              <w:color w:val="005D96"/>
              <w:sz w:val="18"/>
              <w:szCs w:val="18"/>
            </w:rPr>
          </w:pPr>
          <w:r>
            <w:rPr>
              <w:color w:val="005D96"/>
              <w:sz w:val="18"/>
              <w:szCs w:val="18"/>
            </w:rPr>
            <w:t>http://www.sukl.sk/</w:t>
          </w:r>
        </w:p>
      </w:tc>
    </w:tr>
  </w:tbl>
  <w:p w:rsidR="009409D7" w:rsidRDefault="00AF3599" w:rsidP="00AF3599">
    <w:pPr>
      <w:pStyle w:val="Pta"/>
      <w:ind w:right="360"/>
      <w:jc w:val="right"/>
    </w:pPr>
    <w:r>
      <w:tab/>
      <w:t xml:space="preserve">                                                                </w:t>
    </w:r>
    <w:r w:rsidR="008848FB">
      <w:rPr>
        <w:rStyle w:val="slostrany"/>
      </w:rPr>
      <w:fldChar w:fldCharType="begin"/>
    </w:r>
    <w:r>
      <w:rPr>
        <w:rStyle w:val="slostrany"/>
      </w:rPr>
      <w:instrText xml:space="preserve"> PAGE </w:instrText>
    </w:r>
    <w:r w:rsidR="008848FB">
      <w:rPr>
        <w:rStyle w:val="slostrany"/>
      </w:rPr>
      <w:fldChar w:fldCharType="separate"/>
    </w:r>
    <w:r w:rsidR="00122E17">
      <w:rPr>
        <w:rStyle w:val="slostrany"/>
        <w:noProof/>
      </w:rPr>
      <w:t>2</w:t>
    </w:r>
    <w:r w:rsidR="008848FB">
      <w:rPr>
        <w:rStyle w:val="slostrany"/>
      </w:rPr>
      <w:fldChar w:fldCharType="end"/>
    </w:r>
    <w:r>
      <w:rPr>
        <w:rStyle w:val="slostrany"/>
      </w:rPr>
      <w:t xml:space="preserve"> / </w:t>
    </w:r>
    <w:r w:rsidR="008848FB">
      <w:rPr>
        <w:rStyle w:val="slostrany"/>
      </w:rPr>
      <w:fldChar w:fldCharType="begin"/>
    </w:r>
    <w:r>
      <w:rPr>
        <w:rStyle w:val="slostrany"/>
      </w:rPr>
      <w:instrText xml:space="preserve"> NUMPAGES </w:instrText>
    </w:r>
    <w:r w:rsidR="008848FB">
      <w:rPr>
        <w:rStyle w:val="slostrany"/>
      </w:rPr>
      <w:fldChar w:fldCharType="separate"/>
    </w:r>
    <w:r w:rsidR="00122E17">
      <w:rPr>
        <w:rStyle w:val="slostrany"/>
        <w:noProof/>
      </w:rPr>
      <w:t>4</w:t>
    </w:r>
    <w:r w:rsidR="008848FB">
      <w:rPr>
        <w:rStyle w:val="slostran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005D96"/>
      </w:tblBorders>
      <w:tblLook w:val="01E0" w:firstRow="1" w:lastRow="1" w:firstColumn="1" w:lastColumn="1" w:noHBand="0" w:noVBand="0"/>
    </w:tblPr>
    <w:tblGrid>
      <w:gridCol w:w="2260"/>
      <w:gridCol w:w="2254"/>
      <w:gridCol w:w="2272"/>
      <w:gridCol w:w="2284"/>
    </w:tblGrid>
    <w:tr w:rsidR="00AF3599" w:rsidTr="006919C5">
      <w:tc>
        <w:tcPr>
          <w:tcW w:w="2302" w:type="dxa"/>
        </w:tcPr>
        <w:p w:rsidR="00AF3599" w:rsidRDefault="00AF3599" w:rsidP="006919C5">
          <w:pPr>
            <w:pStyle w:val="Pta"/>
            <w:rPr>
              <w:color w:val="005D96"/>
              <w:sz w:val="18"/>
              <w:szCs w:val="18"/>
            </w:rPr>
          </w:pPr>
          <w:r>
            <w:rPr>
              <w:color w:val="005D96"/>
              <w:sz w:val="18"/>
              <w:szCs w:val="18"/>
            </w:rPr>
            <w:t>Telefón: +421 2 5070 1111</w:t>
          </w:r>
        </w:p>
      </w:tc>
      <w:tc>
        <w:tcPr>
          <w:tcW w:w="2302" w:type="dxa"/>
        </w:tcPr>
        <w:p w:rsidR="00AF3599" w:rsidRDefault="00AF3599" w:rsidP="006919C5">
          <w:pPr>
            <w:pStyle w:val="Pta"/>
            <w:rPr>
              <w:color w:val="005D96"/>
              <w:sz w:val="18"/>
              <w:szCs w:val="18"/>
            </w:rPr>
          </w:pPr>
          <w:r>
            <w:rPr>
              <w:color w:val="005D96"/>
              <w:sz w:val="18"/>
              <w:szCs w:val="18"/>
            </w:rPr>
            <w:t>Fax: +421 2 5556 0022</w:t>
          </w:r>
        </w:p>
      </w:tc>
      <w:tc>
        <w:tcPr>
          <w:tcW w:w="2303" w:type="dxa"/>
        </w:tcPr>
        <w:p w:rsidR="00AF3599" w:rsidRDefault="00AF3599" w:rsidP="006919C5">
          <w:pPr>
            <w:pStyle w:val="Pta"/>
            <w:rPr>
              <w:color w:val="005D96"/>
              <w:sz w:val="18"/>
              <w:szCs w:val="18"/>
            </w:rPr>
          </w:pPr>
          <w:r>
            <w:rPr>
              <w:color w:val="005D96"/>
              <w:sz w:val="18"/>
              <w:szCs w:val="18"/>
            </w:rPr>
            <w:t>Email:  sukl@sukl.sk</w:t>
          </w:r>
        </w:p>
      </w:tc>
      <w:tc>
        <w:tcPr>
          <w:tcW w:w="2303" w:type="dxa"/>
        </w:tcPr>
        <w:p w:rsidR="00AF3599" w:rsidRDefault="00AF3599" w:rsidP="006919C5">
          <w:pPr>
            <w:pStyle w:val="Pta"/>
            <w:rPr>
              <w:color w:val="005D96"/>
              <w:sz w:val="18"/>
              <w:szCs w:val="18"/>
            </w:rPr>
          </w:pPr>
          <w:r>
            <w:rPr>
              <w:color w:val="005D96"/>
              <w:sz w:val="18"/>
              <w:szCs w:val="18"/>
            </w:rPr>
            <w:t>http://www.sukl.sk/</w:t>
          </w:r>
        </w:p>
      </w:tc>
    </w:tr>
  </w:tbl>
  <w:p w:rsidR="00AF3599" w:rsidRDefault="00AF359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2AC" w:rsidRDefault="002452AC" w:rsidP="00872381">
      <w:r>
        <w:separator/>
      </w:r>
    </w:p>
  </w:footnote>
  <w:footnote w:type="continuationSeparator" w:id="0">
    <w:p w:rsidR="002452AC" w:rsidRDefault="002452AC" w:rsidP="00872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381" w:rsidRDefault="002452AC">
    <w:pPr>
      <w:pStyle w:val="Hlavika"/>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70.9pt;margin-top:2.15pt;width:525.1pt;height:94.75pt;z-index:-251656192;mso-position-vertical-relative:page" o:allowincell="f">
          <v:imagedata r:id="rId1" o:title=""/>
          <w10:wrap anchory="page"/>
          <w10:anchorlock/>
        </v:shape>
        <o:OLEObject Type="Embed" ProgID="CorelDRAW.Graphic.12" ShapeID="_x0000_s2051" DrawAspect="Content" ObjectID="_1669431510" r:id="rId2"/>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9D7" w:rsidRDefault="002452AC">
    <w:pPr>
      <w:pStyle w:val="Hlavika"/>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5pt;margin-top:35.45pt;width:473.7pt;height:144.75pt;z-index:-251657216;mso-position-vertical-relative:page" o:allowincell="f">
          <v:imagedata r:id="rId1" o:title=""/>
          <w10:wrap anchory="page"/>
        </v:shape>
        <o:OLEObject Type="Embed" ProgID="CorelDRAW.Graphic.12" ShapeID="_x0000_s2050" DrawAspect="Content" ObjectID="_166943151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124E4C"/>
    <w:multiLevelType w:val="hybridMultilevel"/>
    <w:tmpl w:val="086C8F02"/>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39"/>
    <w:rsid w:val="00034518"/>
    <w:rsid w:val="00080E87"/>
    <w:rsid w:val="00115639"/>
    <w:rsid w:val="00122E17"/>
    <w:rsid w:val="00126062"/>
    <w:rsid w:val="00145139"/>
    <w:rsid w:val="00174CB2"/>
    <w:rsid w:val="001C50A8"/>
    <w:rsid w:val="001E56E2"/>
    <w:rsid w:val="001F5A3B"/>
    <w:rsid w:val="002010BA"/>
    <w:rsid w:val="002452AC"/>
    <w:rsid w:val="003124A8"/>
    <w:rsid w:val="00391A1B"/>
    <w:rsid w:val="00527AA2"/>
    <w:rsid w:val="00543235"/>
    <w:rsid w:val="00587382"/>
    <w:rsid w:val="005E2B03"/>
    <w:rsid w:val="005F56AD"/>
    <w:rsid w:val="006A1770"/>
    <w:rsid w:val="006A2A73"/>
    <w:rsid w:val="00725D3F"/>
    <w:rsid w:val="00761FD7"/>
    <w:rsid w:val="007646FC"/>
    <w:rsid w:val="0080015C"/>
    <w:rsid w:val="00825131"/>
    <w:rsid w:val="00843A18"/>
    <w:rsid w:val="00872381"/>
    <w:rsid w:val="00877E6D"/>
    <w:rsid w:val="008848FB"/>
    <w:rsid w:val="008C4A3E"/>
    <w:rsid w:val="008E7C93"/>
    <w:rsid w:val="009132E4"/>
    <w:rsid w:val="009409D7"/>
    <w:rsid w:val="00967DEB"/>
    <w:rsid w:val="00A50324"/>
    <w:rsid w:val="00A9019F"/>
    <w:rsid w:val="00AA3C8C"/>
    <w:rsid w:val="00AB7BED"/>
    <w:rsid w:val="00AF3599"/>
    <w:rsid w:val="00B56039"/>
    <w:rsid w:val="00B93EE3"/>
    <w:rsid w:val="00C0622F"/>
    <w:rsid w:val="00C146D1"/>
    <w:rsid w:val="00C25DD5"/>
    <w:rsid w:val="00C67BC5"/>
    <w:rsid w:val="00C8101A"/>
    <w:rsid w:val="00CB69FA"/>
    <w:rsid w:val="00D422B3"/>
    <w:rsid w:val="00DA1C60"/>
    <w:rsid w:val="00E10343"/>
    <w:rsid w:val="00E50C90"/>
    <w:rsid w:val="00E71479"/>
    <w:rsid w:val="00E86D9C"/>
    <w:rsid w:val="00EF39FC"/>
    <w:rsid w:val="00F11E9B"/>
    <w:rsid w:val="00F53E2E"/>
    <w:rsid w:val="00F804AC"/>
    <w:rsid w:val="00FB2F9B"/>
    <w:rsid w:val="00FE27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DE4FB7E-5377-4D49-BC70-582645AD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15639"/>
    <w:pPr>
      <w:spacing w:after="0" w:line="240" w:lineRule="auto"/>
    </w:pPr>
    <w:rPr>
      <w:rFonts w:ascii="Times New Roman" w:hAnsi="Times New Roman" w:cs="Times New Roman"/>
      <w:sz w:val="24"/>
      <w:szCs w:val="24"/>
      <w:lang w:eastAsia="sk-SK"/>
    </w:rPr>
  </w:style>
  <w:style w:type="paragraph" w:styleId="Nadpis2">
    <w:name w:val="heading 2"/>
    <w:basedOn w:val="Normlny"/>
    <w:link w:val="Nadpis2Char"/>
    <w:uiPriority w:val="9"/>
    <w:semiHidden/>
    <w:unhideWhenUsed/>
    <w:qFormat/>
    <w:rsid w:val="00115639"/>
    <w:pPr>
      <w:keepNext/>
      <w:spacing w:before="200"/>
      <w:outlineLvl w:val="1"/>
    </w:pPr>
    <w:rPr>
      <w:rFonts w:ascii="Cambria" w:hAnsi="Cambria"/>
      <w:b/>
      <w:bCs/>
      <w:color w:val="4F81BD"/>
      <w:sz w:val="26"/>
      <w:szCs w:val="26"/>
    </w:rPr>
  </w:style>
  <w:style w:type="paragraph" w:styleId="Nadpis5">
    <w:name w:val="heading 5"/>
    <w:basedOn w:val="Normlny"/>
    <w:next w:val="Normlny"/>
    <w:link w:val="Nadpis5Char"/>
    <w:uiPriority w:val="9"/>
    <w:semiHidden/>
    <w:unhideWhenUsed/>
    <w:qFormat/>
    <w:rsid w:val="00C0622F"/>
    <w:pPr>
      <w:keepNext/>
      <w:keepLines/>
      <w:spacing w:before="20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115639"/>
    <w:rPr>
      <w:rFonts w:ascii="Cambria" w:hAnsi="Cambria" w:cs="Times New Roman"/>
      <w:b/>
      <w:bCs/>
      <w:color w:val="4F81BD"/>
      <w:sz w:val="26"/>
      <w:szCs w:val="26"/>
      <w:lang w:eastAsia="sk-SK"/>
    </w:rPr>
  </w:style>
  <w:style w:type="character" w:styleId="Hypertextovprepojenie">
    <w:name w:val="Hyperlink"/>
    <w:basedOn w:val="Predvolenpsmoodseku"/>
    <w:uiPriority w:val="99"/>
    <w:unhideWhenUsed/>
    <w:rsid w:val="00115639"/>
    <w:rPr>
      <w:color w:val="0000FF"/>
      <w:u w:val="single"/>
    </w:rPr>
  </w:style>
  <w:style w:type="paragraph" w:styleId="Odsekzoznamu">
    <w:name w:val="List Paragraph"/>
    <w:basedOn w:val="Normlny"/>
    <w:uiPriority w:val="34"/>
    <w:qFormat/>
    <w:rsid w:val="00115639"/>
    <w:pPr>
      <w:ind w:left="720"/>
    </w:pPr>
    <w:rPr>
      <w:rFonts w:ascii="Calibri" w:hAnsi="Calibri"/>
      <w:sz w:val="22"/>
      <w:szCs w:val="22"/>
    </w:rPr>
  </w:style>
  <w:style w:type="character" w:customStyle="1" w:styleId="Nadpis5Char">
    <w:name w:val="Nadpis 5 Char"/>
    <w:basedOn w:val="Predvolenpsmoodseku"/>
    <w:link w:val="Nadpis5"/>
    <w:uiPriority w:val="9"/>
    <w:semiHidden/>
    <w:rsid w:val="00C0622F"/>
    <w:rPr>
      <w:rFonts w:asciiTheme="majorHAnsi" w:eastAsiaTheme="majorEastAsia" w:hAnsiTheme="majorHAnsi" w:cstheme="majorBidi"/>
      <w:color w:val="243F60" w:themeColor="accent1" w:themeShade="7F"/>
      <w:sz w:val="24"/>
      <w:szCs w:val="24"/>
      <w:lang w:eastAsia="sk-SK"/>
    </w:rPr>
  </w:style>
  <w:style w:type="paragraph" w:styleId="Hlavika">
    <w:name w:val="header"/>
    <w:basedOn w:val="Normlny"/>
    <w:link w:val="HlavikaChar"/>
    <w:uiPriority w:val="99"/>
    <w:semiHidden/>
    <w:unhideWhenUsed/>
    <w:rsid w:val="00872381"/>
    <w:pPr>
      <w:tabs>
        <w:tab w:val="center" w:pos="4536"/>
        <w:tab w:val="right" w:pos="9072"/>
      </w:tabs>
    </w:pPr>
  </w:style>
  <w:style w:type="character" w:customStyle="1" w:styleId="HlavikaChar">
    <w:name w:val="Hlavička Char"/>
    <w:basedOn w:val="Predvolenpsmoodseku"/>
    <w:link w:val="Hlavika"/>
    <w:uiPriority w:val="99"/>
    <w:semiHidden/>
    <w:rsid w:val="00872381"/>
    <w:rPr>
      <w:rFonts w:ascii="Times New Roman" w:hAnsi="Times New Roman" w:cs="Times New Roman"/>
      <w:sz w:val="24"/>
      <w:szCs w:val="24"/>
      <w:lang w:eastAsia="sk-SK"/>
    </w:rPr>
  </w:style>
  <w:style w:type="paragraph" w:styleId="Pta">
    <w:name w:val="footer"/>
    <w:basedOn w:val="Normlny"/>
    <w:link w:val="PtaChar"/>
    <w:unhideWhenUsed/>
    <w:rsid w:val="00872381"/>
    <w:pPr>
      <w:tabs>
        <w:tab w:val="center" w:pos="4536"/>
        <w:tab w:val="right" w:pos="9072"/>
      </w:tabs>
    </w:pPr>
  </w:style>
  <w:style w:type="character" w:customStyle="1" w:styleId="PtaChar">
    <w:name w:val="Päta Char"/>
    <w:basedOn w:val="Predvolenpsmoodseku"/>
    <w:link w:val="Pta"/>
    <w:uiPriority w:val="99"/>
    <w:rsid w:val="00872381"/>
    <w:rPr>
      <w:rFonts w:ascii="Times New Roman" w:hAnsi="Times New Roman" w:cs="Times New Roman"/>
      <w:sz w:val="24"/>
      <w:szCs w:val="24"/>
      <w:lang w:eastAsia="sk-SK"/>
    </w:rPr>
  </w:style>
  <w:style w:type="character" w:styleId="slostrany">
    <w:name w:val="page number"/>
    <w:basedOn w:val="Predvolenpsmoodseku"/>
    <w:rsid w:val="00AF3599"/>
    <w:rPr>
      <w:rFonts w:cs="Times New Roman"/>
    </w:rPr>
  </w:style>
  <w:style w:type="paragraph" w:styleId="Textbubliny">
    <w:name w:val="Balloon Text"/>
    <w:basedOn w:val="Normlny"/>
    <w:link w:val="TextbublinyChar"/>
    <w:uiPriority w:val="99"/>
    <w:semiHidden/>
    <w:unhideWhenUsed/>
    <w:rsid w:val="00D422B3"/>
    <w:rPr>
      <w:rFonts w:ascii="Tahoma" w:hAnsi="Tahoma" w:cs="Tahoma"/>
      <w:sz w:val="16"/>
      <w:szCs w:val="16"/>
    </w:rPr>
  </w:style>
  <w:style w:type="character" w:customStyle="1" w:styleId="TextbublinyChar">
    <w:name w:val="Text bubliny Char"/>
    <w:basedOn w:val="Predvolenpsmoodseku"/>
    <w:link w:val="Textbubliny"/>
    <w:uiPriority w:val="99"/>
    <w:semiHidden/>
    <w:rsid w:val="00D422B3"/>
    <w:rPr>
      <w:rFonts w:ascii="Tahoma" w:hAnsi="Tahoma" w:cs="Tahoma"/>
      <w:sz w:val="16"/>
      <w:szCs w:val="16"/>
      <w:lang w:eastAsia="sk-SK"/>
    </w:rPr>
  </w:style>
  <w:style w:type="paragraph" w:customStyle="1" w:styleId="Default">
    <w:name w:val="Default"/>
    <w:rsid w:val="00C67BC5"/>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C67BC5"/>
    <w:rPr>
      <w:rFonts w:cstheme="minorBidi"/>
      <w:color w:val="auto"/>
    </w:rPr>
  </w:style>
  <w:style w:type="paragraph" w:customStyle="1" w:styleId="CM3">
    <w:name w:val="CM3"/>
    <w:basedOn w:val="Default"/>
    <w:next w:val="Default"/>
    <w:uiPriority w:val="99"/>
    <w:rsid w:val="00C67BC5"/>
    <w:rPr>
      <w:rFonts w:cstheme="minorBidi"/>
      <w:color w:val="auto"/>
    </w:rPr>
  </w:style>
  <w:style w:type="paragraph" w:customStyle="1" w:styleId="CM4">
    <w:name w:val="CM4"/>
    <w:basedOn w:val="Default"/>
    <w:next w:val="Default"/>
    <w:uiPriority w:val="99"/>
    <w:rsid w:val="00C67BC5"/>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61459">
      <w:bodyDiv w:val="1"/>
      <w:marLeft w:val="0"/>
      <w:marRight w:val="0"/>
      <w:marTop w:val="0"/>
      <w:marBottom w:val="0"/>
      <w:divBdr>
        <w:top w:val="none" w:sz="0" w:space="0" w:color="auto"/>
        <w:left w:val="none" w:sz="0" w:space="0" w:color="auto"/>
        <w:bottom w:val="none" w:sz="0" w:space="0" w:color="auto"/>
        <w:right w:val="none" w:sz="0" w:space="0" w:color="auto"/>
      </w:divBdr>
    </w:div>
    <w:div w:id="130338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cia.schwarzova@sukl.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ukl.sk/buxus/docs/O_nas/Spravne_popl/Sadzobnik_vykonov_a_sluzieb_17.1.2013.pdf" TargetMode="External"/><Relationship Id="rId4" Type="http://schemas.openxmlformats.org/officeDocument/2006/relationships/settings" Target="settings.xml"/><Relationship Id="rId9" Type="http://schemas.openxmlformats.org/officeDocument/2006/relationships/hyperlink" Target="http://ec.europa.eu/health/documents/eudralex/vol-4/index_en.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51054-A20E-4164-B082-C06C0753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1360</Words>
  <Characters>7753</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Záhorcová, Miroslava</dc:creator>
  <cp:keywords/>
  <dc:description/>
  <cp:lastModifiedBy>Szabo, Marek</cp:lastModifiedBy>
  <cp:revision>4</cp:revision>
  <cp:lastPrinted>2013-08-02T11:04:00Z</cp:lastPrinted>
  <dcterms:created xsi:type="dcterms:W3CDTF">2020-06-05T06:59:00Z</dcterms:created>
  <dcterms:modified xsi:type="dcterms:W3CDTF">2020-12-14T05:12:00Z</dcterms:modified>
</cp:coreProperties>
</file>