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BF" w:rsidRPr="003124A8" w:rsidRDefault="00B463BF" w:rsidP="00B463BF">
      <w:pPr>
        <w:spacing w:after="240"/>
        <w:jc w:val="center"/>
        <w:rPr>
          <w:b/>
          <w:sz w:val="28"/>
          <w:szCs w:val="28"/>
        </w:rPr>
      </w:pPr>
      <w:r w:rsidRPr="003124A8">
        <w:rPr>
          <w:b/>
          <w:sz w:val="28"/>
          <w:szCs w:val="28"/>
        </w:rPr>
        <w:t>Pokyny pre vyplnenie formulára</w:t>
      </w:r>
    </w:p>
    <w:p w:rsidR="00B463BF" w:rsidRPr="003124A8" w:rsidRDefault="00B463BF" w:rsidP="00B463BF">
      <w:pPr>
        <w:jc w:val="center"/>
        <w:rPr>
          <w:b/>
        </w:rPr>
      </w:pPr>
      <w:r w:rsidRPr="003124A8">
        <w:rPr>
          <w:b/>
        </w:rPr>
        <w:t>„OZNÁMENIE ZÁMERU VYKONÁVAŤ VÝROBU ÚČINNEJ LÁTKY, DOVOZ ÚČINNEJ LÁTKY ALEBO DISTRIBÚCIU ÚČINNEJ LÁTKY“</w:t>
      </w:r>
    </w:p>
    <w:p w:rsidR="00B463BF" w:rsidRPr="00E86D9C" w:rsidRDefault="00B463BF" w:rsidP="00B463BF">
      <w:pPr>
        <w:jc w:val="center"/>
        <w:rPr>
          <w:color w:val="1F497D"/>
        </w:rPr>
      </w:pPr>
      <w:r>
        <w:rPr>
          <w:color w:val="1F497D"/>
        </w:rPr>
        <w:t xml:space="preserve"> </w:t>
      </w:r>
    </w:p>
    <w:p w:rsidR="00F21E83" w:rsidRDefault="00F21E83" w:rsidP="00F21E83">
      <w:pPr>
        <w:shd w:val="clear" w:color="auto" w:fill="FFFFFF"/>
        <w:spacing w:after="150" w:line="345" w:lineRule="atLeast"/>
        <w:jc w:val="both"/>
        <w:rPr>
          <w:rFonts w:eastAsia="Times New Roman"/>
        </w:rPr>
      </w:pPr>
      <w:r w:rsidRPr="001F2A1D">
        <w:rPr>
          <w:rFonts w:eastAsia="Times New Roman"/>
        </w:rPr>
        <w:t xml:space="preserve">Výrobcovia, dovozcovia a distribútori </w:t>
      </w:r>
      <w:r>
        <w:rPr>
          <w:rFonts w:eastAsia="Times New Roman"/>
        </w:rPr>
        <w:t xml:space="preserve">účinných látok </w:t>
      </w:r>
      <w:r w:rsidRPr="001F2A1D">
        <w:rPr>
          <w:rFonts w:eastAsia="Times New Roman"/>
        </w:rPr>
        <w:t xml:space="preserve">sú povinní nahlásiť v zmysle § 12a ods. 2 Zákona </w:t>
      </w:r>
      <w:r>
        <w:rPr>
          <w:rFonts w:eastAsia="Times New Roman"/>
        </w:rPr>
        <w:t xml:space="preserve">č. </w:t>
      </w:r>
      <w:r w:rsidRPr="001F2A1D">
        <w:rPr>
          <w:rFonts w:eastAsia="Times New Roman"/>
        </w:rPr>
        <w:t>362/2011 Z. z.</w:t>
      </w:r>
      <w:r>
        <w:rPr>
          <w:rFonts w:eastAsia="Times New Roman"/>
        </w:rPr>
        <w:t xml:space="preserve"> o liekoch a zdravotníckych pomôckach a o zmene a doplnení niektorých zákonov (ďalej ako „Zákon č. 362/2011 Z.z.“)</w:t>
      </w:r>
      <w:r w:rsidRPr="001F2A1D">
        <w:rPr>
          <w:rFonts w:eastAsia="Times New Roman"/>
        </w:rPr>
        <w:t xml:space="preserve"> zámer vykonávať výrobu účinnej látky, dovoz účinnej látky alebo distribúciu účinnej látky. </w:t>
      </w:r>
    </w:p>
    <w:p w:rsidR="00F21E83" w:rsidRPr="001F2A1D" w:rsidRDefault="00F21E83" w:rsidP="00F21E83">
      <w:pPr>
        <w:shd w:val="clear" w:color="auto" w:fill="FFFFFF"/>
        <w:spacing w:after="150" w:line="345" w:lineRule="atLeast"/>
        <w:jc w:val="both"/>
        <w:rPr>
          <w:rFonts w:eastAsia="Times New Roman"/>
        </w:rPr>
      </w:pPr>
      <w:r>
        <w:rPr>
          <w:rFonts w:eastAsia="Times New Roman"/>
        </w:rPr>
        <w:t>Na účely vydania Registračného formulára výrobcov, dovozcov a distributérov účinných látok je za účinnú látku považovaná substancia definovaná podľa článku 1 ods. 3</w:t>
      </w:r>
      <w:r w:rsidRPr="00B424B3">
        <w:rPr>
          <w:rFonts w:eastAsia="Times New Roman"/>
        </w:rPr>
        <w:t>a</w:t>
      </w:r>
      <w:r>
        <w:rPr>
          <w:rFonts w:eastAsia="Times New Roman"/>
        </w:rPr>
        <w:t xml:space="preserve"> smernice 2001/83/ES kap. 1.1. Podľa tohto ustanovenia je účinná látka akákoľvek látka alebo zmes látok určená na použitie pri výrobe lieku, ktorá sa pri jeho výrobe stane účinnou zložkou tohto lieku a ktorá má mať farmakologický, imunologický alebo metabolický účinok s cieľom obnoviť, napraviť alebo upraviť fyziologické funkcie alebo stanoviť lekársku diagnózu.</w:t>
      </w:r>
      <w:r w:rsidRPr="001F2A1D">
        <w:rPr>
          <w:rFonts w:eastAsia="Times New Roman"/>
        </w:rPr>
        <w:t xml:space="preserve"> </w:t>
      </w:r>
    </w:p>
    <w:p w:rsidR="00F21E83" w:rsidRPr="001F2A1D" w:rsidRDefault="00F21E83" w:rsidP="00F21E83">
      <w:pPr>
        <w:shd w:val="clear" w:color="auto" w:fill="FFFFFF"/>
        <w:spacing w:after="150" w:line="345" w:lineRule="atLeast"/>
        <w:jc w:val="both"/>
        <w:rPr>
          <w:rFonts w:eastAsia="Times New Roman"/>
        </w:rPr>
      </w:pPr>
      <w:r w:rsidRPr="001F2A1D">
        <w:rPr>
          <w:rFonts w:eastAsia="Times New Roman"/>
        </w:rPr>
        <w:t xml:space="preserve">Ak  štátny ústav neoznámi výrobcovi účinnej látky, dovozcovi účinnej látky alebo distribútorovi účinnej látky do 60 dní od prijatia oznámenia podľa § 12a ods. 2 Zákona </w:t>
      </w:r>
      <w:r>
        <w:rPr>
          <w:rFonts w:eastAsia="Times New Roman"/>
        </w:rPr>
        <w:t xml:space="preserve">č. </w:t>
      </w:r>
      <w:r w:rsidRPr="001F2A1D">
        <w:rPr>
          <w:rFonts w:eastAsia="Times New Roman"/>
        </w:rPr>
        <w:t>362/2011 Z. z., že vykoná inšpekciu</w:t>
      </w:r>
      <w:r>
        <w:rPr>
          <w:rFonts w:eastAsia="Times New Roman"/>
        </w:rPr>
        <w:t xml:space="preserve"> za účelom súladu s SVP alebo SDP</w:t>
      </w:r>
      <w:r w:rsidRPr="001F2A1D">
        <w:rPr>
          <w:rFonts w:eastAsia="Times New Roman"/>
        </w:rPr>
        <w:t>, môže výrobca účinnej látky, dovozca účinnej látky alebo distribútor účinnej látky začať činnosť vykonávať.</w:t>
      </w:r>
    </w:p>
    <w:p w:rsidR="00F21E83" w:rsidRDefault="00F21E83" w:rsidP="00F21E83">
      <w:pPr>
        <w:shd w:val="clear" w:color="auto" w:fill="FFFFFF"/>
        <w:spacing w:after="150" w:line="345" w:lineRule="atLeast"/>
        <w:jc w:val="both"/>
        <w:rPr>
          <w:rFonts w:eastAsia="Times New Roman"/>
          <w:b/>
          <w:bCs/>
        </w:rPr>
      </w:pPr>
      <w:r w:rsidRPr="001F2A1D">
        <w:rPr>
          <w:rFonts w:eastAsia="Times New Roman"/>
        </w:rPr>
        <w:t>Oznámenie zámeru výrobcu účinnej látky, dovozcu účinnej látky alebo distribútora účinnej látky</w:t>
      </w:r>
      <w:r>
        <w:rPr>
          <w:rFonts w:eastAsia="Times New Roman"/>
        </w:rPr>
        <w:t xml:space="preserve"> (ďalej len „Oznámenie“)</w:t>
      </w:r>
      <w:r w:rsidRPr="001F2A1D">
        <w:rPr>
          <w:rFonts w:eastAsia="Times New Roman"/>
        </w:rPr>
        <w:t xml:space="preserve"> sa podáva </w:t>
      </w:r>
      <w:r>
        <w:rPr>
          <w:rFonts w:eastAsia="Times New Roman"/>
          <w:b/>
        </w:rPr>
        <w:t xml:space="preserve">do elektronickej schránky, </w:t>
      </w:r>
      <w:r w:rsidRPr="00D24664">
        <w:rPr>
          <w:rFonts w:eastAsia="Times New Roman"/>
        </w:rPr>
        <w:t>resp.</w:t>
      </w:r>
      <w:r>
        <w:rPr>
          <w:rFonts w:eastAsia="Times New Roman"/>
          <w:b/>
        </w:rPr>
        <w:t xml:space="preserve"> </w:t>
      </w:r>
      <w:r w:rsidRPr="001F2A1D">
        <w:rPr>
          <w:rFonts w:eastAsia="Times New Roman"/>
        </w:rPr>
        <w:t xml:space="preserve">prostredníctvom formulára zverejneného na Ústrednom portáli </w:t>
      </w:r>
      <w:r>
        <w:rPr>
          <w:rFonts w:eastAsia="Times New Roman"/>
        </w:rPr>
        <w:t xml:space="preserve">verejnej správy (slovensko.sk) </w:t>
      </w:r>
      <w:r w:rsidRPr="00463F79">
        <w:rPr>
          <w:rFonts w:eastAsia="Times New Roman"/>
          <w:bCs/>
        </w:rPr>
        <w:t>a</w:t>
      </w:r>
      <w:r>
        <w:rPr>
          <w:rFonts w:eastAsia="Times New Roman"/>
          <w:bCs/>
        </w:rPr>
        <w:t> </w:t>
      </w:r>
      <w:r w:rsidRPr="00463F79">
        <w:rPr>
          <w:rFonts w:eastAsia="Times New Roman"/>
          <w:bCs/>
        </w:rPr>
        <w:t>zá</w:t>
      </w:r>
      <w:r>
        <w:rPr>
          <w:rFonts w:eastAsia="Times New Roman"/>
          <w:bCs/>
        </w:rPr>
        <w:t xml:space="preserve">roveň sa posiela aj e-mailom vo formáte „word“ na adresu </w:t>
      </w:r>
      <w:bookmarkStart w:id="0" w:name="_GoBack"/>
      <w:bookmarkEnd w:id="0"/>
      <w:r w:rsidR="00382A10">
        <w:rPr>
          <w:rStyle w:val="Hypertextovprepojenie"/>
          <w:rFonts w:eastAsia="Times New Roman"/>
          <w:bCs/>
        </w:rPr>
        <w:fldChar w:fldCharType="begin"/>
      </w:r>
      <w:r w:rsidR="00382A10">
        <w:rPr>
          <w:rStyle w:val="Hypertextovprepojenie"/>
          <w:rFonts w:eastAsia="Times New Roman"/>
          <w:bCs/>
        </w:rPr>
        <w:instrText xml:space="preserve"> HYPERLINK "mailto:</w:instrText>
      </w:r>
      <w:r w:rsidR="00382A10" w:rsidRPr="00382A10">
        <w:rPr>
          <w:rStyle w:val="Hypertextovprepojenie"/>
          <w:rFonts w:eastAsia="Times New Roman"/>
          <w:bCs/>
        </w:rPr>
        <w:instrText>miroslava.zahorcova@sukl.sk</w:instrText>
      </w:r>
      <w:r w:rsidR="00382A10">
        <w:rPr>
          <w:rStyle w:val="Hypertextovprepojenie"/>
          <w:rFonts w:eastAsia="Times New Roman"/>
          <w:bCs/>
        </w:rPr>
        <w:instrText xml:space="preserve">" </w:instrText>
      </w:r>
      <w:r w:rsidR="00382A10">
        <w:rPr>
          <w:rStyle w:val="Hypertextovprepojenie"/>
          <w:rFonts w:eastAsia="Times New Roman"/>
          <w:bCs/>
        </w:rPr>
        <w:fldChar w:fldCharType="separate"/>
      </w:r>
      <w:r w:rsidR="00382A10" w:rsidRPr="00E337ED">
        <w:rPr>
          <w:rStyle w:val="Hypertextovprepojenie"/>
          <w:rFonts w:eastAsia="Times New Roman"/>
          <w:bCs/>
        </w:rPr>
        <w:t>miroslava.zahorcova@sukl.sk</w:t>
      </w:r>
      <w:r w:rsidR="00382A10">
        <w:rPr>
          <w:rStyle w:val="Hypertextovprepojenie"/>
          <w:rFonts w:eastAsia="Times New Roman"/>
          <w:bCs/>
        </w:rPr>
        <w:fldChar w:fldCharType="end"/>
      </w:r>
    </w:p>
    <w:p w:rsidR="00F21E83" w:rsidRPr="00540BAF" w:rsidRDefault="00F21E83" w:rsidP="00F21E83">
      <w:pPr>
        <w:shd w:val="clear" w:color="auto" w:fill="FFFFFF"/>
        <w:spacing w:after="150" w:line="345" w:lineRule="atLeast"/>
        <w:jc w:val="both"/>
        <w:rPr>
          <w:rFonts w:eastAsia="Times New Roman"/>
        </w:rPr>
      </w:pPr>
      <w:r w:rsidRPr="001F2A1D">
        <w:rPr>
          <w:rFonts w:eastAsia="Times New Roman"/>
        </w:rPr>
        <w:t>Pre elektronické podanie na slovensko.sk je nevyhnutné použiť eID (elektronický občiansky preukaz) a KEP (Kvalifikovaný Elektronický Podpis).</w:t>
      </w:r>
      <w:r>
        <w:rPr>
          <w:rFonts w:eastAsia="Times New Roman"/>
        </w:rPr>
        <w:t xml:space="preserve"> </w:t>
      </w:r>
      <w:r w:rsidRPr="001F2A1D">
        <w:rPr>
          <w:rFonts w:eastAsia="Times New Roman"/>
        </w:rPr>
        <w:t>Formulár musí byť podpísaný „osobou, ktorá smie konať a podpisovať“ za spoločnosť alebo musí byť priložený doklad podpísaný touto osobou (aj s odtlačkom pečiatky), v ktorom je uvedené „meno, priezvisko, funkcia, email, mobil“ osoby zodpovednej za oznamovanie činnosti výrobcu, dovozcu, veľkodistribútora účinných látok (táto osoba by mala mať oznamovanie činnosti výrobcu, dovozcu, veľkodistribútora účinných látok uvedené aj  v popise práce – len ako jednu z činnosti, nie ako funkciu).</w:t>
      </w:r>
    </w:p>
    <w:p w:rsidR="00F21E83" w:rsidRPr="001F2A1D" w:rsidRDefault="00F21E83" w:rsidP="00F21E83">
      <w:pPr>
        <w:shd w:val="clear" w:color="auto" w:fill="FFFFFF"/>
        <w:spacing w:after="150" w:line="345" w:lineRule="atLeast"/>
        <w:jc w:val="both"/>
        <w:rPr>
          <w:rFonts w:eastAsia="Times New Roman"/>
        </w:rPr>
      </w:pPr>
      <w:r w:rsidRPr="001F2A1D">
        <w:rPr>
          <w:rFonts w:eastAsia="Times New Roman"/>
        </w:rPr>
        <w:t>V tabuľkovej časti</w:t>
      </w:r>
      <w:r>
        <w:rPr>
          <w:rFonts w:eastAsia="Times New Roman"/>
        </w:rPr>
        <w:t xml:space="preserve"> formulára</w:t>
      </w:r>
      <w:r w:rsidRPr="001F2A1D">
        <w:rPr>
          <w:rFonts w:eastAsia="Times New Roman"/>
        </w:rPr>
        <w:t xml:space="preserve"> uvediete n</w:t>
      </w:r>
      <w:r>
        <w:rPr>
          <w:rFonts w:eastAsia="Times New Roman"/>
        </w:rPr>
        <w:t xml:space="preserve">ázov účinnej látky </w:t>
      </w:r>
      <w:r w:rsidRPr="001F2A1D">
        <w:rPr>
          <w:rFonts w:eastAsia="Times New Roman"/>
        </w:rPr>
        <w:t>v</w:t>
      </w:r>
      <w:r>
        <w:rPr>
          <w:rFonts w:eastAsia="Times New Roman"/>
        </w:rPr>
        <w:t> slovenskom a anglickom jazyku a</w:t>
      </w:r>
      <w:r w:rsidRPr="001F2A1D">
        <w:rPr>
          <w:rFonts w:eastAsia="Times New Roman"/>
        </w:rPr>
        <w:t> z výrobných činnosti ponecháte tie, ktoré vykonávate</w:t>
      </w:r>
      <w:r>
        <w:rPr>
          <w:rFonts w:eastAsia="Times New Roman"/>
        </w:rPr>
        <w:t xml:space="preserve">. </w:t>
      </w:r>
      <w:r w:rsidRPr="001F2A1D">
        <w:rPr>
          <w:rFonts w:eastAsia="Times New Roman"/>
        </w:rPr>
        <w:t xml:space="preserve">Pri dovoze účinných látok vyplníte </w:t>
      </w:r>
      <w:r>
        <w:rPr>
          <w:rFonts w:eastAsia="Times New Roman"/>
        </w:rPr>
        <w:t xml:space="preserve">názov </w:t>
      </w:r>
      <w:r w:rsidRPr="00540BAF">
        <w:rPr>
          <w:rFonts w:eastAsia="Times New Roman"/>
        </w:rPr>
        <w:t>účinnej látky v slovenskom a anglickom jazyku; názov a adresu výrobcu a kde je to použiteľné aj názov a adresu distributéra účinnej látky.</w:t>
      </w:r>
    </w:p>
    <w:p w:rsidR="00F21E83" w:rsidRDefault="00F21E83" w:rsidP="00F21E83">
      <w:pPr>
        <w:shd w:val="clear" w:color="auto" w:fill="FFFFFF"/>
        <w:spacing w:before="240" w:after="150" w:line="345" w:lineRule="atLeast"/>
        <w:jc w:val="both"/>
        <w:rPr>
          <w:rFonts w:eastAsia="Times New Roman"/>
        </w:rPr>
      </w:pPr>
      <w:r w:rsidRPr="001F2A1D">
        <w:rPr>
          <w:rFonts w:eastAsia="Times New Roman"/>
        </w:rPr>
        <w:lastRenderedPageBreak/>
        <w:t>Tabuľkovú časť formulára „1. Výrobné operácie“  použijete toľkokrát, koľko účinných látok potrebujete uviesť. Ak sú výrobné operácie zhodné pre viac účinných látok, uvediete názvy všetkých účinných látok a pod tým uvediete príslušné výrobné činnosti.</w:t>
      </w:r>
    </w:p>
    <w:p w:rsidR="00F21E83" w:rsidRPr="00540BAF" w:rsidRDefault="00F21E83" w:rsidP="00F21E83">
      <w:pPr>
        <w:shd w:val="clear" w:color="auto" w:fill="FFFFFF"/>
        <w:spacing w:before="240" w:after="150" w:line="345" w:lineRule="atLeast"/>
        <w:jc w:val="both"/>
        <w:rPr>
          <w:rFonts w:eastAsia="Times New Roman"/>
        </w:rPr>
      </w:pPr>
      <w:r w:rsidRPr="00540BAF">
        <w:rPr>
          <w:rFonts w:eastAsia="Times New Roman"/>
        </w:rPr>
        <w:t>Tabuľka časť formulára „2. Dovoz “  ak je výrobca pre viac účinných látok rovnaký, uvediete názvy všetkých účinných látok k danému výrobcovi tak, aby to bolo zrozumiteľné. Ak sú výrobcovia rozdielni, uvediete všetky názvy a adresy výrobcov k danej účinnej látke.</w:t>
      </w:r>
    </w:p>
    <w:p w:rsidR="00F21E83" w:rsidRPr="001F2A1D" w:rsidRDefault="00F21E83" w:rsidP="00F21E83">
      <w:pPr>
        <w:shd w:val="clear" w:color="auto" w:fill="FFFFFF"/>
        <w:spacing w:before="240" w:after="150" w:line="345" w:lineRule="atLeast"/>
        <w:jc w:val="both"/>
        <w:rPr>
          <w:rFonts w:eastAsia="Times New Roman"/>
        </w:rPr>
      </w:pPr>
      <w:r>
        <w:rPr>
          <w:rFonts w:eastAsia="Times New Roman"/>
        </w:rPr>
        <w:t>Oznámenie </w:t>
      </w:r>
      <w:r w:rsidRPr="001F2A1D">
        <w:rPr>
          <w:rFonts w:eastAsia="Times New Roman"/>
        </w:rPr>
        <w:t>je spoplatnené v zmysle Zákona č. 145/1995 Z. z. o správnych poplatkoch v znení neskorších predpisov sumou 100 eur za registráciu (t.j. nie 100 eur za účinnú látku) – o zaplatení správneho poplatku je potrebné doložiť doklad o úhrade (napr. kópia výpisu z účtu o prevedenej t</w:t>
      </w:r>
      <w:r>
        <w:rPr>
          <w:rFonts w:eastAsia="Times New Roman"/>
        </w:rPr>
        <w:t>ransakcii, print-screen záznamu o úhrade).</w:t>
      </w:r>
    </w:p>
    <w:p w:rsidR="00F21E83" w:rsidRPr="001F2A1D" w:rsidRDefault="00F21E83" w:rsidP="00F21E83">
      <w:pPr>
        <w:shd w:val="clear" w:color="auto" w:fill="FFFFFF"/>
        <w:spacing w:line="345" w:lineRule="atLeast"/>
        <w:jc w:val="both"/>
        <w:rPr>
          <w:rFonts w:eastAsia="Times New Roman"/>
        </w:rPr>
      </w:pPr>
      <w:r w:rsidRPr="001F2A1D">
        <w:rPr>
          <w:rFonts w:eastAsia="Times New Roman"/>
          <w:b/>
        </w:rPr>
        <w:t>Výrobca</w:t>
      </w:r>
      <w:r w:rsidRPr="001F2A1D">
        <w:rPr>
          <w:rFonts w:eastAsia="Times New Roman"/>
        </w:rPr>
        <w:t xml:space="preserve"> musí dodržiavať požiadavky Správnej výrobnej praxe uvedené v:</w:t>
      </w:r>
      <w:r w:rsidRPr="001F2A1D">
        <w:rPr>
          <w:rFonts w:eastAsia="Times New Roman"/>
        </w:rPr>
        <w:br/>
        <w:t xml:space="preserve">Part II - Basic Requirements for Active Substances used as Starting Materials viď </w:t>
      </w:r>
      <w:hyperlink r:id="rId8" w:history="1">
        <w:r w:rsidRPr="001F2A1D">
          <w:rPr>
            <w:rStyle w:val="Hypertextovprepojenie"/>
            <w:rFonts w:eastAsia="Times New Roman"/>
          </w:rPr>
          <w:t>https://ec.europa.eu/health/documents/eudralex/vol-4_en</w:t>
        </w:r>
      </w:hyperlink>
    </w:p>
    <w:p w:rsidR="002F0D76" w:rsidRDefault="00F21E83" w:rsidP="002F0D76">
      <w:pPr>
        <w:shd w:val="clear" w:color="auto" w:fill="FFFFFF"/>
        <w:spacing w:line="345" w:lineRule="atLeast"/>
        <w:jc w:val="both"/>
        <w:rPr>
          <w:rFonts w:eastAsia="Times New Roman"/>
        </w:rPr>
      </w:pPr>
      <w:r w:rsidRPr="001F2A1D">
        <w:rPr>
          <w:rFonts w:eastAsia="Times New Roman"/>
        </w:rPr>
        <w:t xml:space="preserve">Napriek tomu, že výrobca účinnej látky nemusí mať osvedčenie SVP (nazývaný aj certifikát SVP), väčšina odberateľov účinných látok ho vyžaduje. Pre vydanie Osvedčenia SVP  je potrebné vykonať inšpekciu SVP, ktorá je spoplatnená v zmysle sadzobníka výkonov a služieb ŠÚKL </w:t>
      </w:r>
      <w:r w:rsidR="002F0D76" w:rsidRPr="002F0D76">
        <w:rPr>
          <w:rStyle w:val="Hypertextovprepojenie"/>
          <w:rFonts w:eastAsia="Times New Roman"/>
          <w:color w:val="auto"/>
          <w:u w:val="none"/>
        </w:rPr>
        <w:t>(aktuálny sadzobník nájdete na stránke ŠÚKL, v časti O nás → Sadzobník ŠÚKL</w:t>
      </w:r>
      <w:r w:rsidR="002F0D76">
        <w:rPr>
          <w:rStyle w:val="Hypertextovprepojenie"/>
          <w:rFonts w:eastAsia="Times New Roman"/>
          <w:color w:val="auto"/>
          <w:u w:val="none"/>
        </w:rPr>
        <w:t>).</w:t>
      </w:r>
    </w:p>
    <w:p w:rsidR="00F21E83" w:rsidRPr="001F2A1D" w:rsidRDefault="00F21E83" w:rsidP="00F21E83">
      <w:pPr>
        <w:shd w:val="clear" w:color="auto" w:fill="FFFFFF"/>
        <w:spacing w:after="150" w:line="345" w:lineRule="atLeast"/>
        <w:jc w:val="both"/>
        <w:rPr>
          <w:rFonts w:eastAsia="Times New Roman"/>
        </w:rPr>
      </w:pPr>
      <w:r w:rsidRPr="001F2A1D">
        <w:rPr>
          <w:rFonts w:eastAsia="Times New Roman"/>
        </w:rPr>
        <w:br/>
        <w:t>Takisto aj vydanie osvedčenia SVP je spoplatnené v zmysle uvedeného sadzobníka. Kým registrácia výrobcu, dovozcu alebo distribútora účinnej látky je časovo neobmedzená, osvedčenie SVP platí maximálne 3 roky (výroba sterilných účinných látok len 2 roky).</w:t>
      </w:r>
    </w:p>
    <w:p w:rsidR="00F21E83" w:rsidRPr="001F2A1D" w:rsidRDefault="00F21E83" w:rsidP="00F21E83">
      <w:pPr>
        <w:shd w:val="clear" w:color="auto" w:fill="FFFFFF"/>
        <w:spacing w:after="150" w:line="345" w:lineRule="atLeast"/>
        <w:jc w:val="both"/>
      </w:pPr>
      <w:r w:rsidRPr="001F2A1D">
        <w:rPr>
          <w:rFonts w:eastAsia="Times New Roman"/>
          <w:b/>
        </w:rPr>
        <w:t>Dovozca</w:t>
      </w:r>
      <w:r w:rsidRPr="001F2A1D">
        <w:rPr>
          <w:rFonts w:eastAsia="Times New Roman"/>
        </w:rPr>
        <w:t xml:space="preserve"> môže dovážať účinnú lát</w:t>
      </w:r>
      <w:r>
        <w:rPr>
          <w:rFonts w:eastAsia="Times New Roman"/>
        </w:rPr>
        <w:t>ku</w:t>
      </w:r>
      <w:r w:rsidRPr="001F2A1D">
        <w:rPr>
          <w:rFonts w:eastAsia="Times New Roman"/>
        </w:rPr>
        <w:t xml:space="preserve"> </w:t>
      </w:r>
      <w:r>
        <w:rPr>
          <w:rFonts w:eastAsia="Times New Roman"/>
        </w:rPr>
        <w:t>v zmysle § 12b</w:t>
      </w:r>
      <w:r w:rsidRPr="001F2A1D">
        <w:rPr>
          <w:rFonts w:eastAsia="Times New Roman"/>
        </w:rPr>
        <w:t xml:space="preserve"> Zákona 362/2011 Z. z. </w:t>
      </w:r>
    </w:p>
    <w:p w:rsidR="00F21E83" w:rsidRPr="00540BAF" w:rsidRDefault="00F21E83" w:rsidP="00F21E83">
      <w:pPr>
        <w:shd w:val="clear" w:color="auto" w:fill="FFFFFF"/>
        <w:spacing w:after="150" w:line="345" w:lineRule="atLeast"/>
        <w:jc w:val="both"/>
        <w:rPr>
          <w:rFonts w:eastAsia="Times New Roman"/>
        </w:rPr>
      </w:pPr>
      <w:r w:rsidRPr="001F2A1D">
        <w:rPr>
          <w:b/>
        </w:rPr>
        <w:t>Distribútor</w:t>
      </w:r>
      <w:r w:rsidRPr="001F2A1D">
        <w:t xml:space="preserve"> </w:t>
      </w:r>
      <w:r w:rsidRPr="00540BAF">
        <w:t>musí dodržiavať požiadavky správnej veľkodistribučnej praxe v súlade s </w:t>
      </w:r>
      <w:r w:rsidRPr="00540BAF">
        <w:rPr>
          <w:rFonts w:eastAsia="Times New Roman"/>
        </w:rPr>
        <w:t xml:space="preserve">Usmernením (2015/C 95/01) o zásadách správnej distribučnej praxe, pokiaľ ide o účinné látky použité do liekov na humánne použitie. </w:t>
      </w:r>
    </w:p>
    <w:p w:rsidR="00F21E83" w:rsidRPr="00540BAF" w:rsidRDefault="00F21E83" w:rsidP="00F21E83">
      <w:pPr>
        <w:shd w:val="clear" w:color="auto" w:fill="FFFFFF"/>
        <w:spacing w:after="150" w:line="345" w:lineRule="atLeast"/>
        <w:jc w:val="both"/>
      </w:pPr>
      <w:r w:rsidRPr="00540BAF">
        <w:t>Pokiaľ zámerom dovozcu, alebo distribútora je distribúcia účinných látok s obsahom drogového prekurzora k vydaniu Registračného formulára výrobcov, dovozcov a distributérov účinných látok je potrebné zdokladovať aktuálne platné Povolenia alebo osobitné povolenie na zaobchádzanie s určenými látkami podľa zákona č.331/2005 Z.z. o orgánoch štátnej správy vo veciach drogových prekurzorov a o zmene a doplnení niektorých zákonov.</w:t>
      </w:r>
    </w:p>
    <w:p w:rsidR="00F21E83" w:rsidRDefault="00F21E83" w:rsidP="00F21E83">
      <w:pPr>
        <w:autoSpaceDE w:val="0"/>
        <w:autoSpaceDN w:val="0"/>
        <w:adjustRightInd w:val="0"/>
        <w:rPr>
          <w:rFonts w:eastAsia="Times New Roman"/>
          <w:color w:val="FF0000"/>
        </w:rPr>
      </w:pPr>
    </w:p>
    <w:p w:rsidR="00F21E83" w:rsidRPr="00AE4EE9" w:rsidRDefault="00F21E83" w:rsidP="00F21E83">
      <w:pPr>
        <w:shd w:val="clear" w:color="auto" w:fill="FFFFFF"/>
        <w:spacing w:after="150" w:line="345" w:lineRule="atLeast"/>
        <w:jc w:val="both"/>
        <w:rPr>
          <w:rFonts w:eastAsia="Times New Roman"/>
        </w:rPr>
      </w:pPr>
      <w:r w:rsidRPr="00AE4EE9">
        <w:rPr>
          <w:rFonts w:eastAsia="Times New Roman"/>
        </w:rPr>
        <w:t xml:space="preserve">Doplňujúce vysvetlivky: </w:t>
      </w:r>
    </w:p>
    <w:p w:rsidR="00F21E83" w:rsidRPr="00D24664" w:rsidRDefault="00F21E83" w:rsidP="00F21E83">
      <w:pPr>
        <w:pStyle w:val="Odsekzoznamu"/>
        <w:numPr>
          <w:ilvl w:val="0"/>
          <w:numId w:val="10"/>
        </w:numPr>
        <w:shd w:val="clear" w:color="auto" w:fill="FFFFFF"/>
        <w:spacing w:after="150" w:line="345" w:lineRule="atLeast"/>
        <w:contextualSpacing/>
        <w:jc w:val="both"/>
        <w:rPr>
          <w:rFonts w:ascii="Times New Roman" w:eastAsia="Times New Roman" w:hAnsi="Times New Roman"/>
        </w:rPr>
      </w:pPr>
      <w:r w:rsidRPr="00D24664">
        <w:rPr>
          <w:rFonts w:ascii="Times New Roman" w:eastAsia="Times New Roman" w:hAnsi="Times New Roman"/>
        </w:rPr>
        <w:t>Nový žiadateľ – nie je držiteľom Registračného formulára výrobcov, dovozcov a distributérov účinných látok a postupuje podľa pravidiel napísaných vyššie.</w:t>
      </w:r>
    </w:p>
    <w:p w:rsidR="00F21E83" w:rsidRPr="00D24664" w:rsidRDefault="00F21E83" w:rsidP="00F21E83">
      <w:pPr>
        <w:pStyle w:val="Odsekzoznamu"/>
        <w:numPr>
          <w:ilvl w:val="0"/>
          <w:numId w:val="10"/>
        </w:numPr>
        <w:shd w:val="clear" w:color="auto" w:fill="FFFFFF"/>
        <w:spacing w:after="150" w:line="345" w:lineRule="atLeast"/>
        <w:contextualSpacing/>
        <w:jc w:val="both"/>
        <w:rPr>
          <w:rFonts w:ascii="Times New Roman" w:eastAsia="Times New Roman" w:hAnsi="Times New Roman"/>
        </w:rPr>
      </w:pPr>
      <w:r w:rsidRPr="00D24664">
        <w:rPr>
          <w:rFonts w:ascii="Times New Roman" w:eastAsia="Times New Roman" w:hAnsi="Times New Roman"/>
        </w:rPr>
        <w:t xml:space="preserve">Pokiaľ Ste držiteľom Registračného formulára výrobcov, dovozcov a distributérov účinných látok v ktorom nenastávajú žiadne zmeny (všetky účinné látky sú pre Vás naďalej platné) a aktuálne požadujete len doplnenie novej účinnej látky/ účinných látok, tak do Oznámenia vpíšete len novú účinnú látku. </w:t>
      </w:r>
    </w:p>
    <w:p w:rsidR="00F21E83" w:rsidRPr="00D24664" w:rsidRDefault="00F21E83" w:rsidP="00F21E83">
      <w:pPr>
        <w:pStyle w:val="Odsekzoznamu"/>
        <w:numPr>
          <w:ilvl w:val="0"/>
          <w:numId w:val="10"/>
        </w:numPr>
        <w:shd w:val="clear" w:color="auto" w:fill="FFFFFF"/>
        <w:spacing w:after="150" w:line="345" w:lineRule="atLeast"/>
        <w:contextualSpacing/>
        <w:jc w:val="both"/>
        <w:rPr>
          <w:rFonts w:ascii="Times New Roman" w:eastAsia="Times New Roman" w:hAnsi="Times New Roman"/>
        </w:rPr>
      </w:pPr>
      <w:r w:rsidRPr="00D24664">
        <w:rPr>
          <w:rFonts w:ascii="Times New Roman" w:eastAsia="Times New Roman" w:hAnsi="Times New Roman"/>
        </w:rPr>
        <w:lastRenderedPageBreak/>
        <w:t xml:space="preserve">Pokiaľ Ste držiteľom Registračného formulára výrobcov, dovozcov a distributérov účinných látok v ktorom nastávajú okrem pridania novej účinnej látky aj ďalšie zmeny, tak v Oznámení uvediete všetky naďalej platné účinné látky, odstránite už neaktuálne účinné látky a doplníte novú účinnú látku (ktorú čitateľne zvýrazníte, napr. písmom BOLD) že sa jedná o neschválenú účinnú látku (látku, ktorá nebola uvedená v doterajšom formulári).  </w:t>
      </w:r>
    </w:p>
    <w:p w:rsidR="00F21E83" w:rsidRDefault="00F21E83" w:rsidP="00F21E83">
      <w:pPr>
        <w:shd w:val="clear" w:color="auto" w:fill="FFFFFF"/>
        <w:spacing w:after="150" w:line="345" w:lineRule="atLeast"/>
        <w:jc w:val="both"/>
        <w:rPr>
          <w:rFonts w:eastAsia="Times New Roman"/>
        </w:rPr>
      </w:pPr>
      <w:r w:rsidRPr="00D24664">
        <w:rPr>
          <w:rFonts w:eastAsia="Times New Roman"/>
        </w:rPr>
        <w:t>Pre správne uvádzanie slovenských a anglických názvov v Oznámení Vám môže dopomôcť Slovenský farmaceutický kódex alebo Európsky liekopis, ktorého aktuálnu verziu nájdete aj n</w:t>
      </w:r>
      <w:r w:rsidR="002F0D76">
        <w:rPr>
          <w:rFonts w:eastAsia="Times New Roman"/>
        </w:rPr>
        <w:t>a stránke ŠÚKL v časti Liekopis →</w:t>
      </w:r>
      <w:r w:rsidRPr="00D24664">
        <w:rPr>
          <w:rFonts w:eastAsia="Times New Roman"/>
        </w:rPr>
        <w:t xml:space="preserve"> Dokumenty.</w:t>
      </w:r>
    </w:p>
    <w:p w:rsidR="00F21E83" w:rsidRPr="00D24664" w:rsidRDefault="00F21E83" w:rsidP="00F21E83">
      <w:pPr>
        <w:shd w:val="clear" w:color="auto" w:fill="FFFFFF"/>
        <w:spacing w:after="150" w:line="345" w:lineRule="atLeast"/>
        <w:jc w:val="both"/>
        <w:rPr>
          <w:rFonts w:eastAsia="Times New Roman"/>
        </w:rPr>
      </w:pPr>
      <w:r>
        <w:rPr>
          <w:rFonts w:eastAsia="Times New Roman"/>
        </w:rPr>
        <w:t xml:space="preserve">Tieto informácie vychádzajú z §12a a §12b Zákona č. </w:t>
      </w:r>
      <w:r w:rsidRPr="001F2A1D">
        <w:rPr>
          <w:rFonts w:eastAsia="Times New Roman"/>
        </w:rPr>
        <w:t>362/2011 Z. z.</w:t>
      </w:r>
    </w:p>
    <w:p w:rsidR="00B463BF" w:rsidRDefault="00B463BF" w:rsidP="00F21E83">
      <w:pPr>
        <w:pStyle w:val="Nadpis2"/>
        <w:numPr>
          <w:ilvl w:val="0"/>
          <w:numId w:val="0"/>
        </w:numPr>
        <w:rPr>
          <w:rFonts w:ascii="Times New Roman" w:hAnsi="Times New Roman"/>
          <w:b w:val="0"/>
          <w:i w:val="0"/>
          <w:sz w:val="24"/>
          <w:szCs w:val="24"/>
        </w:rPr>
      </w:pPr>
    </w:p>
    <w:p w:rsidR="00F21E83" w:rsidRPr="00F21E83" w:rsidRDefault="00F21E83" w:rsidP="00F21E83"/>
    <w:p w:rsidR="00B463BF" w:rsidRPr="003124A8" w:rsidRDefault="00B463BF" w:rsidP="00B463BF">
      <w:pPr>
        <w:spacing w:after="240"/>
        <w:jc w:val="center"/>
        <w:rPr>
          <w:sz w:val="28"/>
          <w:szCs w:val="28"/>
        </w:rPr>
      </w:pPr>
      <w:r w:rsidRPr="003124A8">
        <w:rPr>
          <w:sz w:val="28"/>
          <w:szCs w:val="28"/>
        </w:rPr>
        <w:t>Platba správnych poplatkov</w:t>
      </w:r>
    </w:p>
    <w:p w:rsidR="00B463BF" w:rsidRDefault="00B463BF" w:rsidP="00B463BF"/>
    <w:p w:rsidR="00B463BF" w:rsidRPr="00FB2F9B" w:rsidRDefault="00B463BF" w:rsidP="00B463BF">
      <w:pPr>
        <w:jc w:val="both"/>
      </w:pPr>
      <w:r w:rsidRPr="00FB2F9B">
        <w:t>Pre platb</w:t>
      </w:r>
      <w:r>
        <w:t>u</w:t>
      </w:r>
      <w:r w:rsidRPr="00FB2F9B">
        <w:t xml:space="preserve"> správnych poplatkov v zmysle zákona </w:t>
      </w:r>
      <w:r w:rsidRPr="00FB2F9B">
        <w:rPr>
          <w:lang w:val="en-US"/>
        </w:rPr>
        <w:t>č. 145/</w:t>
      </w:r>
      <w:r w:rsidRPr="00FB2F9B">
        <w:t>1995 Z. z. o správnych poplatkoch v znení neskorších predpisov, príloha Sadzobník správnych poplatkov, VIII. časť, položka 150</w:t>
      </w:r>
      <w:r>
        <w:t xml:space="preserve"> </w:t>
      </w:r>
      <w:r w:rsidRPr="00FB2F9B">
        <w:t>písm. am), Oznámenie výroby, dovozu alebo distribúcie účinnej látky</w:t>
      </w:r>
      <w:r>
        <w:t xml:space="preserve"> </w:t>
      </w:r>
      <w:r w:rsidRPr="00FB2F9B">
        <w:t>použite nasledovné platobné údaje:</w:t>
      </w:r>
    </w:p>
    <w:p w:rsidR="00B463BF" w:rsidRPr="00FB2F9B" w:rsidRDefault="00B463BF" w:rsidP="00B463BF">
      <w:pPr>
        <w:jc w:val="both"/>
      </w:pPr>
    </w:p>
    <w:p w:rsidR="00B463BF" w:rsidRPr="00FB2F9B" w:rsidRDefault="00B463BF" w:rsidP="00B463BF">
      <w:pPr>
        <w:jc w:val="both"/>
      </w:pPr>
      <w:r w:rsidRPr="00FB2F9B">
        <w:t>číslo účtu:</w:t>
      </w:r>
      <w:r w:rsidRPr="00FB2F9B">
        <w:tab/>
      </w:r>
      <w:r w:rsidRPr="00FB2F9B">
        <w:tab/>
        <w:t>7000133673</w:t>
      </w:r>
      <w:r w:rsidRPr="00FB2F9B">
        <w:rPr>
          <w:lang w:val="en-US"/>
        </w:rPr>
        <w:t>/</w:t>
      </w:r>
      <w:r w:rsidRPr="00FB2F9B">
        <w:t>8180, Štátna pokladnica</w:t>
      </w:r>
    </w:p>
    <w:p w:rsidR="00B463BF" w:rsidRPr="00FB2F9B" w:rsidRDefault="00B463BF" w:rsidP="00B463BF">
      <w:pPr>
        <w:jc w:val="both"/>
      </w:pPr>
    </w:p>
    <w:p w:rsidR="00B463BF" w:rsidRPr="00FB2F9B" w:rsidRDefault="00B463BF" w:rsidP="00B463BF">
      <w:pPr>
        <w:jc w:val="both"/>
      </w:pPr>
      <w:r w:rsidRPr="00FB2F9B">
        <w:t>variabilný symbol:</w:t>
      </w:r>
      <w:r w:rsidRPr="00FB2F9B">
        <w:tab/>
        <w:t>20XXXXXXXX</w:t>
      </w:r>
    </w:p>
    <w:p w:rsidR="00B463BF" w:rsidRPr="00FB2F9B" w:rsidRDefault="00B463BF" w:rsidP="00B463BF">
      <w:pPr>
        <w:jc w:val="both"/>
      </w:pPr>
      <w:r w:rsidRPr="00FB2F9B">
        <w:tab/>
      </w:r>
      <w:r w:rsidRPr="00FB2F9B">
        <w:tab/>
      </w:r>
      <w:r w:rsidRPr="00FB2F9B">
        <w:tab/>
      </w:r>
    </w:p>
    <w:p w:rsidR="00B463BF" w:rsidRPr="00FB2F9B" w:rsidRDefault="00B463BF" w:rsidP="00B463BF">
      <w:pPr>
        <w:jc w:val="both"/>
      </w:pPr>
      <w:r w:rsidRPr="00FB2F9B">
        <w:t>kde XXXXXXXX je IČO subjektu pri právnickej osobe alebo dátum narodenia v tvare DDMMRRRR pri fyzickej osobe</w:t>
      </w:r>
      <w:r>
        <w:t>.</w:t>
      </w:r>
    </w:p>
    <w:p w:rsidR="00B463BF" w:rsidRPr="00FB2F9B" w:rsidRDefault="00B463BF" w:rsidP="00B463BF">
      <w:r w:rsidRPr="00FB2F9B">
        <w:t>suma poplatku:</w:t>
      </w:r>
      <w:r w:rsidRPr="00FB2F9B">
        <w:tab/>
        <w:t>100 EUR.</w:t>
      </w:r>
    </w:p>
    <w:p w:rsidR="00B463BF" w:rsidRPr="008C4A3E" w:rsidRDefault="00B463BF" w:rsidP="00004D69">
      <w:pPr>
        <w:pStyle w:val="Nadpis2"/>
        <w:numPr>
          <w:ilvl w:val="0"/>
          <w:numId w:val="0"/>
        </w:numPr>
        <w:rPr>
          <w:rFonts w:ascii="Times New Roman" w:eastAsia="Times New Roman" w:hAnsi="Times New Roman"/>
          <w:b w:val="0"/>
          <w:bCs/>
          <w:sz w:val="24"/>
          <w:szCs w:val="24"/>
        </w:rPr>
      </w:pPr>
    </w:p>
    <w:p w:rsidR="00B463BF" w:rsidRDefault="00B463BF" w:rsidP="00B463BF">
      <w:pPr>
        <w:pStyle w:val="Odsekzoznamu"/>
        <w:rPr>
          <w:rFonts w:ascii="Times New Roman" w:hAnsi="Times New Roman"/>
          <w:sz w:val="24"/>
          <w:szCs w:val="24"/>
        </w:rPr>
      </w:pPr>
    </w:p>
    <w:p w:rsidR="00B463BF" w:rsidRPr="00872381" w:rsidRDefault="00B463BF" w:rsidP="00B463BF">
      <w:pPr>
        <w:pStyle w:val="Odsekzoznamu"/>
        <w:rPr>
          <w:rFonts w:ascii="Times New Roman" w:hAnsi="Times New Roman"/>
          <w:sz w:val="24"/>
          <w:szCs w:val="24"/>
        </w:rPr>
      </w:pPr>
    </w:p>
    <w:p w:rsidR="00B463BF" w:rsidRPr="00174CB2" w:rsidRDefault="00B463BF" w:rsidP="00B463BF">
      <w:pPr>
        <w:spacing w:after="240"/>
        <w:jc w:val="center"/>
        <w:rPr>
          <w:sz w:val="28"/>
          <w:szCs w:val="28"/>
        </w:rPr>
      </w:pPr>
      <w:r w:rsidRPr="00174CB2">
        <w:rPr>
          <w:sz w:val="28"/>
          <w:szCs w:val="28"/>
        </w:rPr>
        <w:t>Vybrané časti Zákona 362/2011 Z. z. v znení neskorších predpisov</w:t>
      </w:r>
    </w:p>
    <w:p w:rsidR="00B463BF" w:rsidRPr="008C4A3E" w:rsidRDefault="00B463BF" w:rsidP="00B463BF">
      <w:pPr>
        <w:spacing w:before="100" w:beforeAutospacing="1" w:after="100" w:afterAutospacing="1"/>
        <w:jc w:val="center"/>
        <w:rPr>
          <w:b/>
          <w:bCs/>
          <w:i/>
        </w:rPr>
      </w:pPr>
      <w:r w:rsidRPr="00C25DD5">
        <w:rPr>
          <w:bCs/>
          <w:i/>
        </w:rPr>
        <w:t>§ 12a</w:t>
      </w:r>
      <w:r w:rsidRPr="00C25DD5">
        <w:rPr>
          <w:bCs/>
          <w:i/>
        </w:rPr>
        <w:br/>
        <w:t>Výroba, dovoz a distribúcia účinnej látky</w:t>
      </w:r>
    </w:p>
    <w:p w:rsidR="008B4D1C" w:rsidRPr="008B4D1C" w:rsidRDefault="00B463BF" w:rsidP="008B4D1C">
      <w:pPr>
        <w:shd w:val="clear" w:color="auto" w:fill="FFFFFF"/>
        <w:rPr>
          <w:rFonts w:eastAsia="Times New Roman"/>
          <w:i/>
        </w:rPr>
      </w:pPr>
      <w:r w:rsidRPr="008C4A3E">
        <w:rPr>
          <w:i/>
        </w:rPr>
        <w:br/>
        <w:t>(1) Účinná látka musí byť vyrobená v súlade s požiadavkami správnej výrobnej praxe a distribuovaná v súlade s požiadavkami správnej veľkodistribučnej praxe.</w:t>
      </w:r>
      <w:r w:rsidRPr="008C4A3E">
        <w:rPr>
          <w:i/>
        </w:rPr>
        <w:br/>
      </w:r>
      <w:r w:rsidRPr="008C4A3E">
        <w:rPr>
          <w:i/>
        </w:rPr>
        <w:br/>
        <w:t>(2) Výrobca účinnej látky, dovozca účinnej látky alebo distribútor účinnej látky s miestom podnikania alebo so sídlom v Slovenskej republike je povinný najmenej 60 dní pred začatím činnosti písomne oznámiť štátnemu ústavu zámer vykonávať výrobu účinnej látky, dovoz účinnej látky alebo distribúciu účinnej látky.</w:t>
      </w:r>
      <w:r w:rsidRPr="008C4A3E">
        <w:rPr>
          <w:i/>
        </w:rPr>
        <w:br/>
      </w:r>
      <w:r w:rsidRPr="008C4A3E">
        <w:rPr>
          <w:i/>
        </w:rPr>
        <w:br/>
        <w:t>(3) Písomné oznámenie podľa odseku 2 musí obsahovať</w:t>
      </w:r>
      <w:r w:rsidRPr="008C4A3E">
        <w:rPr>
          <w:i/>
        </w:rPr>
        <w:br/>
        <w:t xml:space="preserve">a) meno a priezvisko, adresu bydliska a dátum narodenia, ak je výrobcom účinnej látky, dovozcom účinnej látky alebo distribútorom účinnej látky fyzická osoba; názov alebo obchodné meno, identifikačné číslo, adresu sídla, právnu formu, ak je výrobcom účinnej látky, dovozcom </w:t>
      </w:r>
      <w:r w:rsidRPr="008C4A3E">
        <w:rPr>
          <w:i/>
        </w:rPr>
        <w:lastRenderedPageBreak/>
        <w:t xml:space="preserve">účinnej látky alebo distribútorom účinnej látky právnická osoba, </w:t>
      </w:r>
      <w:r w:rsidRPr="008C4A3E">
        <w:rPr>
          <w:i/>
        </w:rPr>
        <w:br/>
        <w:t xml:space="preserve">b) názov účinnej látky, ktorá sa má vyrábať, dovážať alebo distribuovať, </w:t>
      </w:r>
      <w:r w:rsidRPr="008C4A3E">
        <w:rPr>
          <w:i/>
        </w:rPr>
        <w:br/>
        <w:t>c) opis materiálneho a priestorového vybavenia výrobcu účinnej látky, dovozcu účinnej látky alebo distribútora účinnej látky.</w:t>
      </w:r>
      <w:r w:rsidRPr="008C4A3E">
        <w:rPr>
          <w:i/>
        </w:rPr>
        <w:br/>
      </w:r>
      <w:r w:rsidRPr="008C4A3E">
        <w:rPr>
          <w:i/>
        </w:rPr>
        <w:br/>
        <w:t xml:space="preserve">(4) Štátny ústav môže na základe oznámenia podľa odseku 2 vykonať inšpekciu u výrobcu účinnej látky, dovozcu účinnej látky alebo distribútora účinnej látky. Ak do 60 dní od prijatia oznámenia podľa odseku 2 štátny ústav oznámi výrobcovi účinnej látky, dovozcovi účinnej látky alebo distribútorovi účinnej látky, že vykoná inšpekciu, výrobca účinnej látky, dovozca účinnej látky alebo distribútor účinnej látky vykonávanie činnosti nesmie začať. Štátny ústav môže v tejto lehote oznámiť výrobcovi účinnej látky, dovozcovi účinnej látky alebo distribútorovi účinnej látky, že činnosť môže začať vykonávať. </w:t>
      </w:r>
      <w:r w:rsidRPr="008C4A3E">
        <w:rPr>
          <w:i/>
        </w:rPr>
        <w:br/>
      </w:r>
      <w:r w:rsidRPr="008C4A3E">
        <w:rPr>
          <w:i/>
        </w:rPr>
        <w:br/>
        <w:t>(5) Ak štátny ústav neoznámi výrobcovi účinnej látky, dovozcovi účinnej látky alebo distribútorovi účinnej látky do 60 dní od prijatia oznámenia podľa odseku 2, že vykoná inšpekciu, môže výrobca účinnej látky, dovozca účinnej látky alebo distribútor účinnej látky začať činnosť vykonávať.</w:t>
      </w:r>
      <w:r w:rsidRPr="008C4A3E">
        <w:rPr>
          <w:i/>
        </w:rPr>
        <w:br/>
      </w:r>
      <w:r w:rsidRPr="008C4A3E">
        <w:rPr>
          <w:i/>
        </w:rPr>
        <w:br/>
        <w:t>(6)</w:t>
      </w:r>
      <w:r w:rsidR="008B4D1C">
        <w:rPr>
          <w:rFonts w:ascii="Segoe UI" w:hAnsi="Segoe UI" w:cs="Segoe UI"/>
          <w:color w:val="494949"/>
          <w:sz w:val="21"/>
          <w:szCs w:val="21"/>
        </w:rPr>
        <w:t xml:space="preserve"> </w:t>
      </w:r>
      <w:r w:rsidR="008B4D1C" w:rsidRPr="008B4D1C">
        <w:rPr>
          <w:rFonts w:eastAsia="Times New Roman"/>
          <w:i/>
        </w:rPr>
        <w:t>Výrobca účinnej látky, dovozca účinnej látky alebo distribútor účinnej látky je povinný bezodkladne oznámiť štátnemu ústavu</w:t>
      </w:r>
    </w:p>
    <w:p w:rsidR="008B4D1C" w:rsidRPr="008B4D1C" w:rsidRDefault="008B4D1C" w:rsidP="008B4D1C">
      <w:pPr>
        <w:shd w:val="clear" w:color="auto" w:fill="FFFFFF"/>
        <w:jc w:val="both"/>
        <w:rPr>
          <w:rFonts w:eastAsia="Times New Roman"/>
          <w:i/>
        </w:rPr>
      </w:pPr>
      <w:r w:rsidRPr="008B4D1C">
        <w:rPr>
          <w:rFonts w:eastAsia="Times New Roman"/>
          <w:i/>
        </w:rPr>
        <w:t>a)</w:t>
      </w:r>
      <w:r>
        <w:rPr>
          <w:rFonts w:eastAsia="Times New Roman"/>
          <w:i/>
        </w:rPr>
        <w:t xml:space="preserve"> </w:t>
      </w:r>
      <w:r w:rsidRPr="008B4D1C">
        <w:rPr>
          <w:rFonts w:eastAsia="Times New Roman"/>
          <w:i/>
        </w:rPr>
        <w:t>každú zmenu, ktorá môže ovplyvniť kvalitu alebo bezpečnosť účinnej látky, ktorú vyrába, dováža alebo distribuuje,</w:t>
      </w:r>
    </w:p>
    <w:p w:rsidR="008B4D1C" w:rsidRPr="008B4D1C" w:rsidRDefault="008B4D1C" w:rsidP="008B4D1C">
      <w:pPr>
        <w:shd w:val="clear" w:color="auto" w:fill="FFFFFF"/>
        <w:jc w:val="both"/>
        <w:rPr>
          <w:rFonts w:eastAsia="Times New Roman"/>
          <w:i/>
        </w:rPr>
      </w:pPr>
      <w:r w:rsidRPr="008B4D1C">
        <w:rPr>
          <w:rFonts w:eastAsia="Times New Roman"/>
          <w:i/>
        </w:rPr>
        <w:t>b)</w:t>
      </w:r>
      <w:r>
        <w:rPr>
          <w:rFonts w:eastAsia="Times New Roman"/>
          <w:i/>
        </w:rPr>
        <w:t xml:space="preserve"> </w:t>
      </w:r>
      <w:r w:rsidRPr="008B4D1C">
        <w:rPr>
          <w:rFonts w:eastAsia="Times New Roman"/>
          <w:i/>
        </w:rPr>
        <w:t>každé stiahnutie účinnej látky z trhu</w:t>
      </w:r>
      <w:r w:rsidRPr="008B4D1C">
        <w:rPr>
          <w:rFonts w:eastAsia="Times New Roman"/>
          <w:i/>
          <w:color w:val="494949"/>
        </w:rPr>
        <w:t>.</w:t>
      </w:r>
    </w:p>
    <w:p w:rsidR="008B4D1C" w:rsidRPr="008B4D1C" w:rsidRDefault="00B463BF" w:rsidP="008B4D1C">
      <w:pPr>
        <w:shd w:val="clear" w:color="auto" w:fill="FFFFFF"/>
        <w:jc w:val="both"/>
        <w:rPr>
          <w:i/>
        </w:rPr>
      </w:pPr>
      <w:r w:rsidRPr="008C4A3E">
        <w:rPr>
          <w:i/>
        </w:rPr>
        <w:br/>
      </w:r>
      <w:r w:rsidR="008B4D1C" w:rsidRPr="008B4D1C">
        <w:rPr>
          <w:i/>
        </w:rPr>
        <w:t>(7) Výrobca účinnej látky je povinný</w:t>
      </w:r>
    </w:p>
    <w:p w:rsidR="008B4D1C" w:rsidRPr="008B4D1C" w:rsidRDefault="008B4D1C" w:rsidP="008B4D1C">
      <w:pPr>
        <w:shd w:val="clear" w:color="auto" w:fill="FFFFFF"/>
        <w:jc w:val="both"/>
        <w:rPr>
          <w:i/>
        </w:rPr>
      </w:pPr>
      <w:r w:rsidRPr="008B4D1C">
        <w:rPr>
          <w:i/>
        </w:rPr>
        <w:t>a) byť držiteľom osvedčenia o dodržiavaní správnej výrobnej praxe vydaného štátnym ústavom podľa </w:t>
      </w:r>
      <w:hyperlink r:id="rId9" w:anchor="paragraf-126.odsek-5" w:tooltip="Odkaz na predpis alebo ustanovenie" w:history="1">
        <w:r w:rsidRPr="008B4D1C">
          <w:rPr>
            <w:rStyle w:val="Hypertextovprepojenie"/>
            <w:i/>
            <w:iCs/>
            <w:color w:val="auto"/>
            <w:u w:val="none"/>
          </w:rPr>
          <w:t>§ 126 ods. 5 prvej vety</w:t>
        </w:r>
      </w:hyperlink>
      <w:r w:rsidRPr="008B4D1C">
        <w:rPr>
          <w:i/>
        </w:rPr>
        <w:t>, ak účinnú látku vyrába a dodáva výrobcovi humánneho lieku,</w:t>
      </w:r>
    </w:p>
    <w:p w:rsidR="008B4D1C" w:rsidRPr="008B4D1C" w:rsidRDefault="008B4D1C" w:rsidP="008B4D1C">
      <w:pPr>
        <w:shd w:val="clear" w:color="auto" w:fill="FFFFFF"/>
        <w:jc w:val="both"/>
        <w:rPr>
          <w:i/>
        </w:rPr>
      </w:pPr>
      <w:r w:rsidRPr="008B4D1C">
        <w:rPr>
          <w:i/>
        </w:rPr>
        <w:t>b) vyšetriť písomné sťažnosti výrobcov liekov, ktorým účinnú látku dodáva, týkajúce sa kvality vyrábanej účinnej látky a uchovávať tieto sťažnosti a záznamy o ich vyšetrení najmenej päť rokov,</w:t>
      </w:r>
    </w:p>
    <w:p w:rsidR="008B4D1C" w:rsidRPr="008B4D1C" w:rsidRDefault="008B4D1C" w:rsidP="008B4D1C">
      <w:pPr>
        <w:shd w:val="clear" w:color="auto" w:fill="FFFFFF"/>
        <w:jc w:val="both"/>
        <w:rPr>
          <w:i/>
        </w:rPr>
      </w:pPr>
      <w:r w:rsidRPr="008B4D1C">
        <w:rPr>
          <w:i/>
        </w:rPr>
        <w:t>c) vytvoriť štandardný operačný postup na zabezpečenie stiahnutia účinnej látky z trhu,</w:t>
      </w:r>
    </w:p>
    <w:p w:rsidR="008B4D1C" w:rsidRPr="008B4D1C" w:rsidRDefault="008B4D1C" w:rsidP="008B4D1C">
      <w:pPr>
        <w:shd w:val="clear" w:color="auto" w:fill="FFFFFF"/>
        <w:jc w:val="both"/>
        <w:rPr>
          <w:i/>
        </w:rPr>
      </w:pPr>
      <w:r w:rsidRPr="008B4D1C">
        <w:rPr>
          <w:i/>
        </w:rPr>
        <w:t>d) bezodkladne oznámiť výrobcom liekov, ktorým účinnú látku dodáva, a štátnemu ústavu akékoľvek zmeny výrobného procesu, ktoré môžu mať vplyv na kvalitu účinnej látky,</w:t>
      </w:r>
    </w:p>
    <w:p w:rsidR="008B4D1C" w:rsidRPr="008B4D1C" w:rsidRDefault="008B4D1C" w:rsidP="008B4D1C">
      <w:pPr>
        <w:shd w:val="clear" w:color="auto" w:fill="FFFFFF"/>
        <w:jc w:val="both"/>
        <w:rPr>
          <w:i/>
        </w:rPr>
      </w:pPr>
      <w:r w:rsidRPr="008B4D1C">
        <w:rPr>
          <w:i/>
        </w:rPr>
        <w:t>e) bezodkladne stiahnuť z trhu účinnú látku po nariadení štátnym ústavom.</w:t>
      </w:r>
    </w:p>
    <w:p w:rsidR="008B4D1C" w:rsidRPr="008B4D1C" w:rsidRDefault="008B4D1C" w:rsidP="008B4D1C">
      <w:pPr>
        <w:shd w:val="clear" w:color="auto" w:fill="FFFFFF"/>
        <w:jc w:val="both"/>
        <w:rPr>
          <w:i/>
        </w:rPr>
      </w:pPr>
    </w:p>
    <w:p w:rsidR="008B4D1C" w:rsidRPr="008B4D1C" w:rsidRDefault="008B4D1C" w:rsidP="008B4D1C">
      <w:pPr>
        <w:shd w:val="clear" w:color="auto" w:fill="FFFFFF"/>
        <w:jc w:val="both"/>
        <w:rPr>
          <w:i/>
        </w:rPr>
      </w:pPr>
      <w:r w:rsidRPr="008B4D1C">
        <w:rPr>
          <w:i/>
        </w:rPr>
        <w:t>(8) Výrobca účinnej látky, dovozca účinnej látky alebo distribútor účinnej látky je povinný každoročne do 31. decembra predložiť štátnemu ústavu zoznam vykonaných zmien v údajoch v oznámení podľa odseku 3.</w:t>
      </w:r>
    </w:p>
    <w:p w:rsidR="008B4D1C" w:rsidRPr="008B4D1C" w:rsidRDefault="008B4D1C" w:rsidP="008B4D1C">
      <w:pPr>
        <w:shd w:val="clear" w:color="auto" w:fill="FFFFFF"/>
        <w:jc w:val="both"/>
        <w:rPr>
          <w:i/>
        </w:rPr>
      </w:pPr>
    </w:p>
    <w:p w:rsidR="008B4D1C" w:rsidRPr="008B4D1C" w:rsidRDefault="008B4D1C" w:rsidP="008B4D1C">
      <w:pPr>
        <w:shd w:val="clear" w:color="auto" w:fill="FFFFFF"/>
        <w:jc w:val="both"/>
        <w:rPr>
          <w:i/>
        </w:rPr>
      </w:pPr>
      <w:r w:rsidRPr="008B4D1C">
        <w:rPr>
          <w:i/>
        </w:rPr>
        <w:t>(9) Štátny ústav vloží údaje a informácie uvedené v oznámení podľa odseku 3 do európskej databázy výrobcov účinnej látky, dovozcov účinnej látky a distribútorov účinnej látky.</w:t>
      </w:r>
    </w:p>
    <w:p w:rsidR="00807770" w:rsidRPr="008C4A3E" w:rsidRDefault="00807770" w:rsidP="008B4D1C">
      <w:pPr>
        <w:spacing w:after="240"/>
        <w:rPr>
          <w:i/>
        </w:rPr>
      </w:pPr>
    </w:p>
    <w:p w:rsidR="00B463BF" w:rsidRPr="00C25DD5" w:rsidRDefault="00B463BF" w:rsidP="00B463BF">
      <w:pPr>
        <w:spacing w:before="100" w:beforeAutospacing="1" w:after="100" w:afterAutospacing="1"/>
        <w:jc w:val="center"/>
        <w:rPr>
          <w:bCs/>
          <w:i/>
        </w:rPr>
      </w:pPr>
      <w:r w:rsidRPr="00C25DD5">
        <w:rPr>
          <w:bCs/>
          <w:i/>
        </w:rPr>
        <w:t>§ 12b</w:t>
      </w:r>
      <w:r w:rsidRPr="00C25DD5">
        <w:rPr>
          <w:bCs/>
          <w:i/>
        </w:rPr>
        <w:br/>
        <w:t>Osobitné podmienky dovozu účinnej látky</w:t>
      </w:r>
    </w:p>
    <w:p w:rsidR="00B463BF" w:rsidRPr="008C4A3E" w:rsidRDefault="00B463BF" w:rsidP="00B463BF">
      <w:pPr>
        <w:rPr>
          <w:i/>
        </w:rPr>
      </w:pPr>
      <w:r w:rsidRPr="008C4A3E">
        <w:rPr>
          <w:i/>
        </w:rPr>
        <w:br/>
        <w:t>(1) Dovezená účinná látka musí byť vyrobená v súlade s požiadavkami správnej výrobnej praxe.</w:t>
      </w:r>
      <w:r w:rsidRPr="008C4A3E">
        <w:rPr>
          <w:i/>
        </w:rPr>
        <w:br/>
      </w:r>
      <w:r w:rsidRPr="008C4A3E">
        <w:rPr>
          <w:i/>
        </w:rPr>
        <w:br/>
        <w:t xml:space="preserve">(2) Účinnú látku možno dovážať z tretieho štátu na základe písomného potvrdenia príslušného orgánu tretieho štátu o tom, že </w:t>
      </w:r>
      <w:r w:rsidRPr="008C4A3E">
        <w:rPr>
          <w:i/>
        </w:rPr>
        <w:br/>
        <w:t xml:space="preserve">a) výrobca účinnej látky spĺňa požiadavky správnej výrobnej praxe, </w:t>
      </w:r>
      <w:r w:rsidRPr="008C4A3E">
        <w:rPr>
          <w:i/>
        </w:rPr>
        <w:br/>
        <w:t xml:space="preserve">b) vykonáva kontroly dodržiavania správnej výrobnej praxe u výrobcu účinnej látky vrátane </w:t>
      </w:r>
      <w:r w:rsidRPr="008C4A3E">
        <w:rPr>
          <w:i/>
        </w:rPr>
        <w:lastRenderedPageBreak/>
        <w:t xml:space="preserve">opakovaných a neohlásených kontrol, </w:t>
      </w:r>
      <w:r w:rsidRPr="008C4A3E">
        <w:rPr>
          <w:i/>
        </w:rPr>
        <w:br/>
        <w:t>c) bezodkladne oznámi štátnemu ústavu zistené nedodržiavanie požiadaviek správnej výrobnej praxe.</w:t>
      </w:r>
      <w:r w:rsidRPr="008C4A3E">
        <w:rPr>
          <w:i/>
        </w:rPr>
        <w:br/>
      </w:r>
      <w:r w:rsidRPr="008C4A3E">
        <w:rPr>
          <w:i/>
        </w:rPr>
        <w:br/>
        <w:t xml:space="preserve">(3) Predloženie písomného potvrdenia podľa odseku 2 nezbavuje držiteľa povolenia na výrobu liekov povinností podľa § 15 ods. 1 písm. r), ab), ac), ae) a af). </w:t>
      </w:r>
      <w:r w:rsidRPr="008C4A3E">
        <w:rPr>
          <w:i/>
        </w:rPr>
        <w:br/>
      </w:r>
      <w:r w:rsidRPr="008C4A3E">
        <w:rPr>
          <w:i/>
        </w:rPr>
        <w:br/>
        <w:t>(4) Písomné potvrdenie podľa odseku 2 sa nevyžaduje, ak</w:t>
      </w:r>
      <w:r w:rsidRPr="008C4A3E">
        <w:rPr>
          <w:i/>
        </w:rPr>
        <w:br/>
        <w:t xml:space="preserve">a) Európska komisia (ďalej len "Komisia") zaradila tretí štát do zoznamu tretích štátov, ktoré zaviedli a uplatňujú požiadavky správnej výrobnej praxe, </w:t>
      </w:r>
      <w:r w:rsidRPr="008C4A3E">
        <w:rPr>
          <w:i/>
        </w:rPr>
        <w:br/>
        <w:t>b) sú problémy s dostupnosťou humánneho lieku a štátny ústav kontrolou u výrobcu účinnej látky v treťom štáte zistí, že výrobca účinnej látky dodržiava požiadavky správnej výrobnej praxe a má platné osvedčenie vydané príslušným orgánom tretieho štátu o dodržiavaní požiadaviek správnej výrobnej praxe; štátny ústav o tom informuje Komisiu.</w:t>
      </w:r>
    </w:p>
    <w:p w:rsidR="00B463BF" w:rsidRPr="00004D69" w:rsidRDefault="00B463BF" w:rsidP="00004D69">
      <w:pPr>
        <w:spacing w:before="100" w:beforeAutospacing="1" w:after="100" w:afterAutospacing="1"/>
        <w:jc w:val="center"/>
        <w:rPr>
          <w:bCs/>
          <w:i/>
        </w:rPr>
      </w:pPr>
      <w:r w:rsidRPr="00C25DD5">
        <w:rPr>
          <w:bCs/>
          <w:i/>
        </w:rPr>
        <w:t>§ 138</w:t>
      </w:r>
      <w:r w:rsidRPr="00C25DD5">
        <w:rPr>
          <w:bCs/>
          <w:i/>
        </w:rPr>
        <w:br/>
        <w:t>Iné správne delikty na úseku humánnej farmácie</w:t>
      </w:r>
    </w:p>
    <w:p w:rsidR="008B4D1C" w:rsidRDefault="008B4D1C" w:rsidP="00B463BF">
      <w:pPr>
        <w:rPr>
          <w:i/>
        </w:rPr>
      </w:pPr>
    </w:p>
    <w:p w:rsidR="008B4D1C" w:rsidRPr="008B4D1C" w:rsidRDefault="008B4D1C" w:rsidP="004206EF">
      <w:pPr>
        <w:shd w:val="clear" w:color="auto" w:fill="FFFFFF"/>
        <w:rPr>
          <w:i/>
        </w:rPr>
      </w:pPr>
      <w:r w:rsidRPr="008B4D1C">
        <w:rPr>
          <w:i/>
        </w:rPr>
        <w:t>(25) Výrobca účinnej látky, dovozca účinnej látky alebo distribútor účinnej látky sa dopustí iného správneho deliktu, ak</w:t>
      </w:r>
    </w:p>
    <w:p w:rsidR="008B4D1C" w:rsidRPr="008B4D1C" w:rsidRDefault="008B4D1C" w:rsidP="004206EF">
      <w:pPr>
        <w:shd w:val="clear" w:color="auto" w:fill="FFFFFF"/>
        <w:rPr>
          <w:i/>
        </w:rPr>
      </w:pPr>
      <w:r w:rsidRPr="008B4D1C">
        <w:rPr>
          <w:i/>
        </w:rPr>
        <w:t>a) neoznámi najmenej 60 dní pred začatím činnosti písomne štátnemu ústavu zámer vykonávať výrobu účinnej látky, dovoz účinnej látky a distribúciu účinnej látky,</w:t>
      </w:r>
    </w:p>
    <w:p w:rsidR="008B4D1C" w:rsidRPr="008B4D1C" w:rsidRDefault="008B4D1C" w:rsidP="004206EF">
      <w:pPr>
        <w:shd w:val="clear" w:color="auto" w:fill="FFFFFF"/>
        <w:rPr>
          <w:i/>
        </w:rPr>
      </w:pPr>
      <w:r w:rsidRPr="008B4D1C">
        <w:rPr>
          <w:i/>
        </w:rPr>
        <w:t>b) nepredloží štátnemu ústavu každoročne do 31. decembra zoznam vykonaných zmien v údajoch v oznámení podľa </w:t>
      </w:r>
      <w:hyperlink r:id="rId10" w:anchor="paragraf-12a.odsek-2" w:tooltip="Odkaz na predpis alebo ustanovenie" w:history="1">
        <w:r w:rsidRPr="008B4D1C">
          <w:rPr>
            <w:rStyle w:val="Hypertextovprepojenie"/>
            <w:i/>
            <w:iCs/>
            <w:color w:val="auto"/>
            <w:u w:val="none"/>
          </w:rPr>
          <w:t>§ 12a ods. 2</w:t>
        </w:r>
      </w:hyperlink>
      <w:r w:rsidRPr="008B4D1C">
        <w:rPr>
          <w:i/>
        </w:rPr>
        <w:t>,</w:t>
      </w:r>
    </w:p>
    <w:p w:rsidR="008B4D1C" w:rsidRPr="008B4D1C" w:rsidRDefault="008B4D1C" w:rsidP="004206EF">
      <w:pPr>
        <w:shd w:val="clear" w:color="auto" w:fill="FFFFFF"/>
        <w:rPr>
          <w:i/>
        </w:rPr>
      </w:pPr>
      <w:r w:rsidRPr="008B4D1C">
        <w:rPr>
          <w:i/>
        </w:rPr>
        <w:t>c) neoznámi štátnemu ústavu každú zmenu, ktorá môže ovplyvniť kvalitu alebo bezpečnosť účinnej látky, ktorú vyrába, dováža alebo distribuuje,</w:t>
      </w:r>
    </w:p>
    <w:p w:rsidR="008B4D1C" w:rsidRPr="008B4D1C" w:rsidRDefault="008B4D1C" w:rsidP="004206EF">
      <w:pPr>
        <w:shd w:val="clear" w:color="auto" w:fill="FFFFFF"/>
        <w:rPr>
          <w:i/>
        </w:rPr>
      </w:pPr>
      <w:r w:rsidRPr="008B4D1C">
        <w:rPr>
          <w:i/>
        </w:rPr>
        <w:t>d) neoznámi štátnemu ústavu každé stiahnutie účinnej látky z trhu,</w:t>
      </w:r>
    </w:p>
    <w:p w:rsidR="008B4D1C" w:rsidRPr="008B4D1C" w:rsidRDefault="008B4D1C" w:rsidP="004206EF">
      <w:pPr>
        <w:shd w:val="clear" w:color="auto" w:fill="FFFFFF"/>
        <w:rPr>
          <w:i/>
        </w:rPr>
      </w:pPr>
      <w:r w:rsidRPr="008B4D1C">
        <w:rPr>
          <w:i/>
        </w:rPr>
        <w:t>e) nevyšetrí písomnú sťažnosť výrobcov liekov, ktorým dodáva účinnú látku, týkajúcu sa kvality vyrábanej účinnej látky alebo neuchováva tieto sťažnosti a záznamy o ich vyšetrení najmenej päť rokov, ak ide o výrobcu účinnej látky,</w:t>
      </w:r>
    </w:p>
    <w:p w:rsidR="008B4D1C" w:rsidRPr="008B4D1C" w:rsidRDefault="008B4D1C" w:rsidP="004206EF">
      <w:pPr>
        <w:shd w:val="clear" w:color="auto" w:fill="FFFFFF"/>
        <w:rPr>
          <w:i/>
        </w:rPr>
      </w:pPr>
      <w:r w:rsidRPr="008B4D1C">
        <w:rPr>
          <w:i/>
        </w:rPr>
        <w:t>f) nevytvorí štandardný operačný systém na zabezpečenie stiahnutia účinnej látky z trhu, ak ide o výrobcu účinnej látky,</w:t>
      </w:r>
    </w:p>
    <w:p w:rsidR="008B4D1C" w:rsidRPr="008B4D1C" w:rsidRDefault="008B4D1C" w:rsidP="004206EF">
      <w:pPr>
        <w:shd w:val="clear" w:color="auto" w:fill="FFFFFF"/>
        <w:rPr>
          <w:i/>
        </w:rPr>
      </w:pPr>
      <w:r w:rsidRPr="008B4D1C">
        <w:rPr>
          <w:i/>
        </w:rPr>
        <w:t>g) bezodkladne neoznámi výrobcom liekov, ktorým účinnú látku dodáva, a štátnemu ústavu akékoľvek zmeny výrobného procesu, ktoré môžu mať vplyv na kvalitu účinnej látky, ak ide o výrobcu účinnej látky,</w:t>
      </w:r>
    </w:p>
    <w:p w:rsidR="008B4D1C" w:rsidRPr="008B4D1C" w:rsidRDefault="008B4D1C" w:rsidP="004206EF">
      <w:pPr>
        <w:shd w:val="clear" w:color="auto" w:fill="FFFFFF"/>
        <w:rPr>
          <w:i/>
        </w:rPr>
      </w:pPr>
      <w:r w:rsidRPr="008B4D1C">
        <w:rPr>
          <w:i/>
        </w:rPr>
        <w:t>h) bezodkladne nestiahne z trhu účinnú látku po nariadení štátnym ústavom, ak ide o výrobcu účinnej látky,</w:t>
      </w:r>
    </w:p>
    <w:p w:rsidR="008B4D1C" w:rsidRPr="008B4D1C" w:rsidRDefault="008B4D1C" w:rsidP="004206EF">
      <w:pPr>
        <w:shd w:val="clear" w:color="auto" w:fill="FFFFFF"/>
        <w:rPr>
          <w:i/>
        </w:rPr>
      </w:pPr>
      <w:r w:rsidRPr="008B4D1C">
        <w:rPr>
          <w:i/>
        </w:rPr>
        <w:t>i) nie je držiteľom osvedčenia o dodržiavaní správnej výrobnej praxe vydaného štátnym ústavom podľa </w:t>
      </w:r>
      <w:hyperlink r:id="rId11" w:anchor="paragraf-126.odsek-5" w:tooltip="Odkaz na predpis alebo ustanovenie" w:history="1">
        <w:r w:rsidRPr="008B4D1C">
          <w:rPr>
            <w:rStyle w:val="Hypertextovprepojenie"/>
            <w:i/>
            <w:iCs/>
            <w:color w:val="auto"/>
            <w:u w:val="none"/>
          </w:rPr>
          <w:t>§ 126 ods. 5 prvej vety</w:t>
        </w:r>
      </w:hyperlink>
      <w:r w:rsidRPr="008B4D1C">
        <w:rPr>
          <w:i/>
        </w:rPr>
        <w:t>, ak ide o výrobcu účinnej látky.</w:t>
      </w:r>
    </w:p>
    <w:p w:rsidR="008B4D1C" w:rsidRPr="008C4A3E" w:rsidRDefault="008B4D1C" w:rsidP="00B463BF">
      <w:pPr>
        <w:rPr>
          <w:i/>
        </w:rPr>
      </w:pPr>
    </w:p>
    <w:p w:rsidR="00B463BF" w:rsidRPr="008C4A3E" w:rsidRDefault="00B463BF" w:rsidP="00B463BF">
      <w:pPr>
        <w:rPr>
          <w:i/>
        </w:rPr>
      </w:pPr>
    </w:p>
    <w:p w:rsidR="00BC5551" w:rsidRPr="00B463BF" w:rsidRDefault="00BC5551" w:rsidP="00B463BF"/>
    <w:sectPr w:rsidR="00BC5551" w:rsidRPr="00B463BF" w:rsidSect="00E33AAF">
      <w:footerReference w:type="default" r:id="rId12"/>
      <w:headerReference w:type="first" r:id="rId13"/>
      <w:footerReference w:type="first" r:id="rId14"/>
      <w:type w:val="continuous"/>
      <w:pgSz w:w="11906" w:h="16838" w:code="9"/>
      <w:pgMar w:top="851" w:right="1134" w:bottom="1418" w:left="1418" w:header="425" w:footer="68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80" w:rsidRDefault="00C11880" w:rsidP="003A2FBA">
      <w:r>
        <w:separator/>
      </w:r>
    </w:p>
  </w:endnote>
  <w:endnote w:type="continuationSeparator" w:id="0">
    <w:p w:rsidR="00C11880" w:rsidRDefault="00C11880" w:rsidP="003A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6" w:type="pct"/>
      <w:jc w:val="center"/>
      <w:tblBorders>
        <w:top w:val="single" w:sz="4" w:space="0" w:color="006093"/>
      </w:tblBorders>
      <w:tblLayout w:type="fixed"/>
      <w:tblCellMar>
        <w:left w:w="0" w:type="dxa"/>
        <w:right w:w="0" w:type="dxa"/>
      </w:tblCellMar>
      <w:tblLook w:val="0000" w:firstRow="0" w:lastRow="0" w:firstColumn="0" w:lastColumn="0" w:noHBand="0" w:noVBand="0"/>
    </w:tblPr>
    <w:tblGrid>
      <w:gridCol w:w="3008"/>
      <w:gridCol w:w="3010"/>
      <w:gridCol w:w="3010"/>
    </w:tblGrid>
    <w:tr w:rsidR="002B60DC" w:rsidRPr="002B60DC" w:rsidTr="007C7D9E">
      <w:trPr>
        <w:trHeight w:val="236"/>
        <w:jc w:val="center"/>
      </w:trPr>
      <w:tc>
        <w:tcPr>
          <w:tcW w:w="3008" w:type="dxa"/>
          <w:vAlign w:val="center"/>
        </w:tcPr>
        <w:p w:rsidR="002B60DC" w:rsidRPr="002B60DC" w:rsidRDefault="00BC5551" w:rsidP="002B60DC">
          <w:pPr>
            <w:pStyle w:val="Pta"/>
            <w:tabs>
              <w:tab w:val="clear" w:pos="9072"/>
              <w:tab w:val="right" w:pos="9183"/>
            </w:tabs>
            <w:rPr>
              <w:rFonts w:ascii="Arial Narrow" w:hAnsi="Arial Narrow"/>
              <w:color w:val="006093"/>
              <w:sz w:val="20"/>
            </w:rPr>
          </w:pPr>
          <w:r>
            <w:rPr>
              <w:rFonts w:ascii="Arial Narrow" w:hAnsi="Arial Narrow"/>
              <w:color w:val="006093"/>
              <w:sz w:val="20"/>
            </w:rPr>
            <w:t>Telefón: +421/2/5070</w:t>
          </w:r>
          <w:r w:rsidR="002B60DC" w:rsidRPr="002B60DC">
            <w:rPr>
              <w:rFonts w:ascii="Arial Narrow" w:hAnsi="Arial Narrow"/>
              <w:color w:val="006093"/>
              <w:sz w:val="20"/>
            </w:rPr>
            <w:t>1</w:t>
          </w:r>
          <w:r>
            <w:rPr>
              <w:rFonts w:ascii="Arial Narrow" w:hAnsi="Arial Narrow"/>
              <w:color w:val="006093"/>
              <w:sz w:val="20"/>
            </w:rPr>
            <w:t xml:space="preserve"> </w:t>
          </w:r>
          <w:r w:rsidR="002B60DC" w:rsidRPr="002B60DC">
            <w:rPr>
              <w:rFonts w:ascii="Arial Narrow" w:hAnsi="Arial Narrow"/>
              <w:color w:val="006093"/>
              <w:sz w:val="20"/>
            </w:rPr>
            <w:t>123</w:t>
          </w:r>
        </w:p>
      </w:tc>
      <w:tc>
        <w:tcPr>
          <w:tcW w:w="3010" w:type="dxa"/>
          <w:vAlign w:val="center"/>
        </w:tcPr>
        <w:p w:rsidR="002B60DC" w:rsidRPr="002B60DC" w:rsidRDefault="002B60DC" w:rsidP="006878A1">
          <w:pPr>
            <w:pStyle w:val="Pta"/>
            <w:jc w:val="center"/>
            <w:rPr>
              <w:rFonts w:ascii="Arial Narrow" w:hAnsi="Arial Narrow"/>
              <w:color w:val="006093"/>
              <w:sz w:val="20"/>
            </w:rPr>
          </w:pPr>
          <w:r w:rsidRPr="002B60DC">
            <w:rPr>
              <w:rFonts w:ascii="Arial Narrow" w:hAnsi="Arial Narrow"/>
              <w:color w:val="006093"/>
              <w:sz w:val="20"/>
            </w:rPr>
            <w:t xml:space="preserve">E-mail: </w:t>
          </w:r>
          <w:r w:rsidR="006878A1">
            <w:rPr>
              <w:rFonts w:ascii="Arial Narrow" w:hAnsi="Arial Narrow"/>
              <w:color w:val="006093"/>
              <w:sz w:val="20"/>
            </w:rPr>
            <w:t>info</w:t>
          </w:r>
          <w:r w:rsidRPr="002B60DC">
            <w:rPr>
              <w:rFonts w:ascii="Arial Narrow" w:hAnsi="Arial Narrow"/>
              <w:color w:val="006093"/>
              <w:sz w:val="20"/>
            </w:rPr>
            <w:t>@sukl.sk</w:t>
          </w:r>
        </w:p>
      </w:tc>
      <w:tc>
        <w:tcPr>
          <w:tcW w:w="3010" w:type="dxa"/>
          <w:vAlign w:val="center"/>
        </w:tcPr>
        <w:p w:rsidR="002B60DC" w:rsidRPr="002B60DC" w:rsidRDefault="002B60DC" w:rsidP="002B60DC">
          <w:pPr>
            <w:pStyle w:val="Pta"/>
            <w:jc w:val="right"/>
            <w:rPr>
              <w:rFonts w:ascii="Arial Narrow" w:hAnsi="Arial Narrow"/>
              <w:color w:val="006093"/>
              <w:sz w:val="20"/>
            </w:rPr>
          </w:pPr>
          <w:r w:rsidRPr="002B60DC">
            <w:rPr>
              <w:rFonts w:ascii="Arial Narrow" w:hAnsi="Arial Narrow"/>
              <w:color w:val="006093"/>
              <w:sz w:val="20"/>
            </w:rPr>
            <w:t xml:space="preserve">www.sukl.sk </w:t>
          </w:r>
        </w:p>
      </w:tc>
    </w:tr>
    <w:tr w:rsidR="002B60DC" w:rsidRPr="002B60DC" w:rsidTr="007C7D9E">
      <w:trPr>
        <w:trHeight w:val="236"/>
        <w:jc w:val="center"/>
      </w:trPr>
      <w:tc>
        <w:tcPr>
          <w:tcW w:w="3008" w:type="dxa"/>
          <w:vAlign w:val="center"/>
        </w:tcPr>
        <w:p w:rsidR="002B60DC" w:rsidRPr="002B60DC" w:rsidRDefault="002B60DC" w:rsidP="002B60DC">
          <w:pPr>
            <w:pStyle w:val="Pta"/>
            <w:tabs>
              <w:tab w:val="clear" w:pos="9072"/>
              <w:tab w:val="right" w:pos="9183"/>
            </w:tabs>
            <w:rPr>
              <w:rFonts w:ascii="Arial Narrow" w:hAnsi="Arial Narrow"/>
              <w:color w:val="006093"/>
              <w:sz w:val="20"/>
            </w:rPr>
          </w:pPr>
        </w:p>
      </w:tc>
      <w:tc>
        <w:tcPr>
          <w:tcW w:w="3010" w:type="dxa"/>
          <w:vAlign w:val="center"/>
        </w:tcPr>
        <w:p w:rsidR="002B60DC" w:rsidRPr="002B60DC" w:rsidRDefault="002B60DC" w:rsidP="002B60DC">
          <w:pPr>
            <w:pStyle w:val="Pta"/>
            <w:jc w:val="center"/>
            <w:rPr>
              <w:rFonts w:ascii="Arial Narrow" w:hAnsi="Arial Narrow"/>
              <w:bCs/>
              <w:color w:val="006093"/>
              <w:sz w:val="20"/>
            </w:rPr>
          </w:pPr>
          <w:r w:rsidRPr="002B60DC">
            <w:rPr>
              <w:rFonts w:ascii="Arial Narrow" w:hAnsi="Arial Narrow"/>
              <w:bCs/>
              <w:color w:val="006093"/>
              <w:sz w:val="20"/>
            </w:rPr>
            <w:fldChar w:fldCharType="begin"/>
          </w:r>
          <w:r w:rsidRPr="002B60DC">
            <w:rPr>
              <w:rFonts w:ascii="Arial Narrow" w:hAnsi="Arial Narrow"/>
              <w:bCs/>
              <w:color w:val="006093"/>
              <w:sz w:val="20"/>
            </w:rPr>
            <w:instrText>PAGE  \* Arabic  \* MERGEFORMAT</w:instrText>
          </w:r>
          <w:r w:rsidRPr="002B60DC">
            <w:rPr>
              <w:rFonts w:ascii="Arial Narrow" w:hAnsi="Arial Narrow"/>
              <w:bCs/>
              <w:color w:val="006093"/>
              <w:sz w:val="20"/>
            </w:rPr>
            <w:fldChar w:fldCharType="separate"/>
          </w:r>
          <w:r w:rsidR="00382A10">
            <w:rPr>
              <w:rFonts w:ascii="Arial Narrow" w:hAnsi="Arial Narrow"/>
              <w:bCs/>
              <w:noProof/>
              <w:color w:val="006093"/>
              <w:sz w:val="20"/>
            </w:rPr>
            <w:t>5</w:t>
          </w:r>
          <w:r w:rsidRPr="002B60DC">
            <w:rPr>
              <w:rFonts w:ascii="Arial Narrow" w:hAnsi="Arial Narrow"/>
              <w:bCs/>
              <w:color w:val="006093"/>
              <w:sz w:val="20"/>
            </w:rPr>
            <w:fldChar w:fldCharType="end"/>
          </w:r>
          <w:r w:rsidRPr="002B60DC">
            <w:rPr>
              <w:rFonts w:ascii="Arial Narrow" w:hAnsi="Arial Narrow"/>
              <w:bCs/>
              <w:color w:val="006093"/>
              <w:sz w:val="20"/>
            </w:rPr>
            <w:t>/</w:t>
          </w:r>
          <w:r w:rsidRPr="002B60DC">
            <w:rPr>
              <w:rFonts w:ascii="Arial Narrow" w:hAnsi="Arial Narrow"/>
              <w:bCs/>
              <w:color w:val="006093"/>
              <w:sz w:val="20"/>
            </w:rPr>
            <w:fldChar w:fldCharType="begin"/>
          </w:r>
          <w:r w:rsidRPr="002B60DC">
            <w:rPr>
              <w:rFonts w:ascii="Arial Narrow" w:hAnsi="Arial Narrow"/>
              <w:bCs/>
              <w:color w:val="006093"/>
              <w:sz w:val="20"/>
            </w:rPr>
            <w:instrText>NUMPAGES  \* Arabic  \* MERGEFORMAT</w:instrText>
          </w:r>
          <w:r w:rsidRPr="002B60DC">
            <w:rPr>
              <w:rFonts w:ascii="Arial Narrow" w:hAnsi="Arial Narrow"/>
              <w:bCs/>
              <w:color w:val="006093"/>
              <w:sz w:val="20"/>
            </w:rPr>
            <w:fldChar w:fldCharType="separate"/>
          </w:r>
          <w:r w:rsidR="00382A10">
            <w:rPr>
              <w:rFonts w:ascii="Arial Narrow" w:hAnsi="Arial Narrow"/>
              <w:bCs/>
              <w:noProof/>
              <w:color w:val="006093"/>
              <w:sz w:val="20"/>
            </w:rPr>
            <w:t>5</w:t>
          </w:r>
          <w:r w:rsidRPr="002B60DC">
            <w:rPr>
              <w:rFonts w:ascii="Arial Narrow" w:hAnsi="Arial Narrow"/>
              <w:bCs/>
              <w:color w:val="006093"/>
              <w:sz w:val="20"/>
            </w:rPr>
            <w:fldChar w:fldCharType="end"/>
          </w:r>
        </w:p>
      </w:tc>
      <w:tc>
        <w:tcPr>
          <w:tcW w:w="3010" w:type="dxa"/>
          <w:vAlign w:val="center"/>
        </w:tcPr>
        <w:p w:rsidR="002B60DC" w:rsidRPr="002B60DC" w:rsidRDefault="002B60DC" w:rsidP="002B60DC">
          <w:pPr>
            <w:pStyle w:val="Pta"/>
            <w:jc w:val="right"/>
            <w:rPr>
              <w:rFonts w:ascii="Arial Narrow" w:hAnsi="Arial Narrow"/>
              <w:color w:val="006093"/>
              <w:sz w:val="20"/>
            </w:rPr>
          </w:pPr>
        </w:p>
      </w:tc>
    </w:tr>
  </w:tbl>
  <w:p w:rsidR="002B60DC" w:rsidRDefault="002B60DC" w:rsidP="002B60D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6" w:type="pct"/>
      <w:jc w:val="center"/>
      <w:tblBorders>
        <w:top w:val="single" w:sz="4" w:space="0" w:color="003B93"/>
      </w:tblBorders>
      <w:tblLayout w:type="fixed"/>
      <w:tblCellMar>
        <w:left w:w="0" w:type="dxa"/>
        <w:right w:w="0" w:type="dxa"/>
      </w:tblCellMar>
      <w:tblLook w:val="0000" w:firstRow="0" w:lastRow="0" w:firstColumn="0" w:lastColumn="0" w:noHBand="0" w:noVBand="0"/>
    </w:tblPr>
    <w:tblGrid>
      <w:gridCol w:w="3008"/>
      <w:gridCol w:w="3010"/>
      <w:gridCol w:w="3010"/>
    </w:tblGrid>
    <w:tr w:rsidR="00E37078" w:rsidRPr="002B60DC" w:rsidTr="002B60DC">
      <w:trPr>
        <w:trHeight w:val="236"/>
        <w:jc w:val="center"/>
      </w:trPr>
      <w:tc>
        <w:tcPr>
          <w:tcW w:w="3012" w:type="dxa"/>
          <w:vAlign w:val="center"/>
        </w:tcPr>
        <w:p w:rsidR="00E37078" w:rsidRPr="002B60DC" w:rsidRDefault="0082101E" w:rsidP="00E33AAF">
          <w:pPr>
            <w:pStyle w:val="Pta"/>
            <w:tabs>
              <w:tab w:val="clear" w:pos="9072"/>
              <w:tab w:val="right" w:pos="9183"/>
            </w:tabs>
            <w:rPr>
              <w:rFonts w:ascii="Arial Narrow" w:hAnsi="Arial Narrow"/>
              <w:color w:val="006093"/>
              <w:sz w:val="20"/>
            </w:rPr>
          </w:pPr>
          <w:r>
            <w:rPr>
              <w:rFonts w:ascii="Arial Narrow" w:hAnsi="Arial Narrow"/>
              <w:color w:val="006093"/>
              <w:sz w:val="20"/>
            </w:rPr>
            <w:t>Telefón: +421/2/5070</w:t>
          </w:r>
          <w:r w:rsidR="00E37078" w:rsidRPr="002B60DC">
            <w:rPr>
              <w:rFonts w:ascii="Arial Narrow" w:hAnsi="Arial Narrow"/>
              <w:color w:val="006093"/>
              <w:sz w:val="20"/>
            </w:rPr>
            <w:t>1</w:t>
          </w:r>
          <w:r>
            <w:rPr>
              <w:rFonts w:ascii="Arial Narrow" w:hAnsi="Arial Narrow"/>
              <w:color w:val="006093"/>
              <w:sz w:val="20"/>
            </w:rPr>
            <w:t xml:space="preserve"> </w:t>
          </w:r>
          <w:r w:rsidR="00E37078" w:rsidRPr="002B60DC">
            <w:rPr>
              <w:rFonts w:ascii="Arial Narrow" w:hAnsi="Arial Narrow"/>
              <w:color w:val="006093"/>
              <w:sz w:val="20"/>
            </w:rPr>
            <w:t>123</w:t>
          </w:r>
        </w:p>
      </w:tc>
      <w:tc>
        <w:tcPr>
          <w:tcW w:w="3013" w:type="dxa"/>
          <w:vAlign w:val="center"/>
        </w:tcPr>
        <w:p w:rsidR="00E37078" w:rsidRPr="002B60DC" w:rsidRDefault="00E37078" w:rsidP="006878A1">
          <w:pPr>
            <w:pStyle w:val="Pta"/>
            <w:jc w:val="center"/>
            <w:rPr>
              <w:rFonts w:ascii="Arial Narrow" w:hAnsi="Arial Narrow"/>
              <w:color w:val="006093"/>
              <w:sz w:val="20"/>
            </w:rPr>
          </w:pPr>
          <w:r w:rsidRPr="002B60DC">
            <w:rPr>
              <w:rFonts w:ascii="Arial Narrow" w:hAnsi="Arial Narrow"/>
              <w:color w:val="006093"/>
              <w:sz w:val="20"/>
            </w:rPr>
            <w:t xml:space="preserve">E-mail: </w:t>
          </w:r>
          <w:r w:rsidR="006878A1">
            <w:rPr>
              <w:rFonts w:ascii="Arial Narrow" w:hAnsi="Arial Narrow"/>
              <w:color w:val="006093"/>
              <w:sz w:val="20"/>
            </w:rPr>
            <w:t>info</w:t>
          </w:r>
          <w:r w:rsidRPr="002B60DC">
            <w:rPr>
              <w:rFonts w:ascii="Arial Narrow" w:hAnsi="Arial Narrow"/>
              <w:color w:val="006093"/>
              <w:sz w:val="20"/>
            </w:rPr>
            <w:t>@sukl.sk</w:t>
          </w:r>
        </w:p>
      </w:tc>
      <w:tc>
        <w:tcPr>
          <w:tcW w:w="3013" w:type="dxa"/>
          <w:vAlign w:val="center"/>
        </w:tcPr>
        <w:p w:rsidR="00E37078" w:rsidRPr="002B60DC" w:rsidRDefault="00E37078" w:rsidP="00E33AAF">
          <w:pPr>
            <w:pStyle w:val="Pta"/>
            <w:jc w:val="right"/>
            <w:rPr>
              <w:rFonts w:ascii="Arial Narrow" w:hAnsi="Arial Narrow"/>
              <w:color w:val="006093"/>
              <w:sz w:val="20"/>
            </w:rPr>
          </w:pPr>
          <w:r w:rsidRPr="002B60DC">
            <w:rPr>
              <w:rFonts w:ascii="Arial Narrow" w:hAnsi="Arial Narrow"/>
              <w:color w:val="006093"/>
              <w:sz w:val="20"/>
            </w:rPr>
            <w:t xml:space="preserve">www.sukl.sk </w:t>
          </w:r>
        </w:p>
      </w:tc>
    </w:tr>
    <w:tr w:rsidR="00E37078" w:rsidRPr="002B60DC" w:rsidTr="002B60DC">
      <w:trPr>
        <w:trHeight w:val="236"/>
        <w:jc w:val="center"/>
      </w:trPr>
      <w:tc>
        <w:tcPr>
          <w:tcW w:w="3012" w:type="dxa"/>
          <w:vAlign w:val="center"/>
        </w:tcPr>
        <w:p w:rsidR="00E37078" w:rsidRPr="002B60DC" w:rsidRDefault="00E37078" w:rsidP="00E33AAF">
          <w:pPr>
            <w:pStyle w:val="Pta"/>
            <w:tabs>
              <w:tab w:val="clear" w:pos="9072"/>
              <w:tab w:val="right" w:pos="9183"/>
            </w:tabs>
            <w:rPr>
              <w:rFonts w:ascii="Arial Narrow" w:hAnsi="Arial Narrow"/>
              <w:color w:val="006093"/>
              <w:sz w:val="20"/>
            </w:rPr>
          </w:pPr>
        </w:p>
      </w:tc>
      <w:tc>
        <w:tcPr>
          <w:tcW w:w="3013" w:type="dxa"/>
          <w:vAlign w:val="center"/>
        </w:tcPr>
        <w:p w:rsidR="00E37078" w:rsidRPr="002B60DC" w:rsidRDefault="00E37078" w:rsidP="00E37078">
          <w:pPr>
            <w:pStyle w:val="Pta"/>
            <w:jc w:val="center"/>
            <w:rPr>
              <w:rFonts w:ascii="Arial Narrow" w:hAnsi="Arial Narrow"/>
              <w:color w:val="006093"/>
              <w:sz w:val="20"/>
            </w:rPr>
          </w:pPr>
          <w:r w:rsidRPr="002B60DC">
            <w:rPr>
              <w:rFonts w:ascii="Arial Narrow" w:hAnsi="Arial Narrow"/>
              <w:bCs/>
              <w:color w:val="006093"/>
              <w:sz w:val="20"/>
            </w:rPr>
            <w:fldChar w:fldCharType="begin"/>
          </w:r>
          <w:r w:rsidRPr="002B60DC">
            <w:rPr>
              <w:rFonts w:ascii="Arial Narrow" w:hAnsi="Arial Narrow"/>
              <w:bCs/>
              <w:color w:val="006093"/>
              <w:sz w:val="20"/>
            </w:rPr>
            <w:instrText>PAGE  \* Arabic  \* MERGEFORMAT</w:instrText>
          </w:r>
          <w:r w:rsidRPr="002B60DC">
            <w:rPr>
              <w:rFonts w:ascii="Arial Narrow" w:hAnsi="Arial Narrow"/>
              <w:bCs/>
              <w:color w:val="006093"/>
              <w:sz w:val="20"/>
            </w:rPr>
            <w:fldChar w:fldCharType="separate"/>
          </w:r>
          <w:r w:rsidR="00382A10">
            <w:rPr>
              <w:rFonts w:ascii="Arial Narrow" w:hAnsi="Arial Narrow"/>
              <w:bCs/>
              <w:noProof/>
              <w:color w:val="006093"/>
              <w:sz w:val="20"/>
            </w:rPr>
            <w:t>1</w:t>
          </w:r>
          <w:r w:rsidRPr="002B60DC">
            <w:rPr>
              <w:rFonts w:ascii="Arial Narrow" w:hAnsi="Arial Narrow"/>
              <w:bCs/>
              <w:color w:val="006093"/>
              <w:sz w:val="20"/>
            </w:rPr>
            <w:fldChar w:fldCharType="end"/>
          </w:r>
          <w:r w:rsidRPr="002B60DC">
            <w:rPr>
              <w:rFonts w:ascii="Arial Narrow" w:hAnsi="Arial Narrow"/>
              <w:color w:val="006093"/>
              <w:sz w:val="20"/>
            </w:rPr>
            <w:t>/</w:t>
          </w:r>
          <w:r w:rsidRPr="002B60DC">
            <w:rPr>
              <w:rFonts w:ascii="Arial Narrow" w:hAnsi="Arial Narrow"/>
              <w:bCs/>
              <w:color w:val="006093"/>
              <w:sz w:val="20"/>
            </w:rPr>
            <w:fldChar w:fldCharType="begin"/>
          </w:r>
          <w:r w:rsidRPr="002B60DC">
            <w:rPr>
              <w:rFonts w:ascii="Arial Narrow" w:hAnsi="Arial Narrow"/>
              <w:bCs/>
              <w:color w:val="006093"/>
              <w:sz w:val="20"/>
            </w:rPr>
            <w:instrText>NUMPAGES  \* Arabic  \* MERGEFORMAT</w:instrText>
          </w:r>
          <w:r w:rsidRPr="002B60DC">
            <w:rPr>
              <w:rFonts w:ascii="Arial Narrow" w:hAnsi="Arial Narrow"/>
              <w:bCs/>
              <w:color w:val="006093"/>
              <w:sz w:val="20"/>
            </w:rPr>
            <w:fldChar w:fldCharType="separate"/>
          </w:r>
          <w:r w:rsidR="00382A10">
            <w:rPr>
              <w:rFonts w:ascii="Arial Narrow" w:hAnsi="Arial Narrow"/>
              <w:bCs/>
              <w:noProof/>
              <w:color w:val="006093"/>
              <w:sz w:val="20"/>
            </w:rPr>
            <w:t>5</w:t>
          </w:r>
          <w:r w:rsidRPr="002B60DC">
            <w:rPr>
              <w:rFonts w:ascii="Arial Narrow" w:hAnsi="Arial Narrow"/>
              <w:bCs/>
              <w:color w:val="006093"/>
              <w:sz w:val="20"/>
            </w:rPr>
            <w:fldChar w:fldCharType="end"/>
          </w:r>
        </w:p>
      </w:tc>
      <w:tc>
        <w:tcPr>
          <w:tcW w:w="3013" w:type="dxa"/>
          <w:vAlign w:val="center"/>
        </w:tcPr>
        <w:p w:rsidR="00E37078" w:rsidRPr="002B60DC" w:rsidRDefault="00E37078" w:rsidP="00E33AAF">
          <w:pPr>
            <w:pStyle w:val="Pta"/>
            <w:jc w:val="right"/>
            <w:rPr>
              <w:rFonts w:ascii="Arial Narrow" w:hAnsi="Arial Narrow"/>
              <w:color w:val="006093"/>
              <w:sz w:val="20"/>
            </w:rPr>
          </w:pPr>
        </w:p>
      </w:tc>
    </w:tr>
  </w:tbl>
  <w:p w:rsidR="00386C08" w:rsidRPr="00603D14" w:rsidRDefault="00386C08" w:rsidP="00E37078">
    <w:pPr>
      <w:pStyle w:val="Pta"/>
      <w:tabs>
        <w:tab w:val="clear" w:pos="9072"/>
        <w:tab w:val="left" w:pos="4956"/>
        <w:tab w:val="left" w:pos="5664"/>
        <w:tab w:val="left" w:pos="6372"/>
        <w:tab w:val="left" w:pos="7080"/>
      </w:tabs>
      <w:rPr>
        <w:rFonts w:ascii="Arial Narrow" w:hAnsi="Arial Narrow"/>
        <w:color w:val="006093"/>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80" w:rsidRDefault="00C11880" w:rsidP="003A2FBA">
      <w:r>
        <w:separator/>
      </w:r>
    </w:p>
  </w:footnote>
  <w:footnote w:type="continuationSeparator" w:id="0">
    <w:p w:rsidR="00C11880" w:rsidRDefault="00C11880" w:rsidP="003A2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bottom w:val="single" w:sz="4" w:space="0" w:color="006093"/>
      </w:tblBorders>
      <w:tblCellMar>
        <w:left w:w="70" w:type="dxa"/>
        <w:right w:w="70" w:type="dxa"/>
      </w:tblCellMar>
      <w:tblLook w:val="0000" w:firstRow="0" w:lastRow="0" w:firstColumn="0" w:lastColumn="0" w:noHBand="0" w:noVBand="0"/>
    </w:tblPr>
    <w:tblGrid>
      <w:gridCol w:w="2720"/>
      <w:gridCol w:w="6634"/>
    </w:tblGrid>
    <w:tr w:rsidR="00386C08" w:rsidTr="00E37078">
      <w:trPr>
        <w:trHeight w:hRule="exact" w:val="1049"/>
        <w:jc w:val="center"/>
      </w:trPr>
      <w:tc>
        <w:tcPr>
          <w:tcW w:w="2268" w:type="dxa"/>
          <w:vAlign w:val="center"/>
        </w:tcPr>
        <w:p w:rsidR="00386C08" w:rsidRDefault="00B463BF" w:rsidP="0079030E">
          <w:pPr>
            <w:pStyle w:val="Hlavika"/>
          </w:pPr>
          <w:r>
            <w:rPr>
              <w:noProof/>
            </w:rPr>
            <mc:AlternateContent>
              <mc:Choice Requires="wps">
                <w:drawing>
                  <wp:anchor distT="0" distB="0" distL="114300" distR="114300" simplePos="0" relativeHeight="251658752" behindDoc="0" locked="1" layoutInCell="1" allowOverlap="1">
                    <wp:simplePos x="0" y="0"/>
                    <wp:positionH relativeFrom="page">
                      <wp:posOffset>-309880</wp:posOffset>
                    </wp:positionH>
                    <wp:positionV relativeFrom="page">
                      <wp:posOffset>5086985</wp:posOffset>
                    </wp:positionV>
                    <wp:extent cx="144145" cy="0"/>
                    <wp:effectExtent l="12700" t="13335" r="5080"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553B16" id="_x0000_t32" coordsize="21600,21600" o:spt="32" o:oned="t" path="m,l21600,21600e" filled="f">
                    <v:path arrowok="t" fillok="f" o:connecttype="none"/>
                    <o:lock v:ext="edit" shapetype="t"/>
                  </v:shapetype>
                  <v:shape id="AutoShape 4" o:spid="_x0000_s1026" type="#_x0000_t32" style="position:absolute;margin-left:-24.4pt;margin-top:400.55pt;width:11.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8RlwIAAHMFAAAOAAAAZHJzL2Uyb0RvYy54bWysVE2PmzAQvVfqf7B8Z4FAvtCSVZaQXrbt&#10;SrtVzw42YBVsZDshUdX/3rETaLK9VNUmEvLYnjdv5s34/uHYNujAlOZSpDi8CzBiopCUiyrF3163&#10;3gIjbYigpJGCpfjENH5Yffxw33cJm8haNpQpBCBCJ32X4tqYLvF9XdSsJfpOdkzAYSlVSwyYqvKp&#10;Ij2gt40/CYKZ30tFOyULpjXsbs6HeOXwy5IV5mtZamZQk2LgZtxXue/Ofv3VPUkqRbqaFxca5D9Y&#10;tIQLCDpCbYghaK/4X1AtL5TUsjR3hWx9WZa8YC4HyCYM3mTzUpOOuVygOLoby6TfD7b4cnhWiNMU&#10;xxgJ0oJE672RLjKKbXn6TidwKxPPyiZYHMVL9ySLHxoJmdVEVMxdfj114BtaD//GxRq6gyC7/rOk&#10;cIcAvqvVsVSthYQqoKOT5DRKwo4GFbAZxnEYTzEqhiOfJINfp7T5xGSL7CLF2ijCq9pkUgjQXarQ&#10;RSGHJ20sK5IMDjaokFveNE7+RqA+xbNoGjgHLRtO7aG9plW1yxqFDsQ2UDALlpFLEU6urym5F9SB&#10;1YzQ/LI2hDfnNQRvhMVjrifPjMA6Gli6fcjX9cvPZbDMF/ki9uLJLPfiYLPx1tss9mbbcD7dRJss&#10;24S/LNEwTmpOKROW69C7YfxvvXGZonPXjd07FsW/RXfVA7K3TNfbaTCPo4U3n08jL47ywHtcbDNv&#10;nYWz2Tx/zB7zN0xzl71+H7JjKS0ruTdMvdS0R5TbZoimy0mIwYBZn8wD+8OINBU8UoVRGClpvnNT&#10;u9a1TWcxbrReBPZ/0XpEPxdi0NBaowqX3P6UCjQf9HUTYYfgPE47SU/PapgUmGzndHmF7NNxbcP6&#10;+q1c/QYAAP//AwBQSwMEFAAGAAgAAAAhAIvjlg3eAAAACwEAAA8AAABkcnMvZG93bnJldi54bWxM&#10;j0FLw0AQhe+C/2EZwVu6SQwlxGxKEXIRPDQqXrfZMQnNzibZbRv/vSMIept583jvm3K32lFccPGD&#10;IwXJJgaB1DozUKfg7bWOchA+aDJ6dIQKvtDDrrq9KXVh3JUOeGlCJziEfKEV9CFMhZS+7dFqv3ET&#10;Et8+3WJ14HXppFn0lcPtKNM43kqrB+KGXk/41GN7as5Wgfto1sznWfxgDs/1XL/PL+k0K3V/t+4f&#10;QQRcw58ZfvAZHSpmOrozGS9GBVGWM3pQkMdJAoIdUbrl4firyKqU/3+ovgEAAP//AwBQSwECLQAU&#10;AAYACAAAACEAtoM4kv4AAADhAQAAEwAAAAAAAAAAAAAAAAAAAAAAW0NvbnRlbnRfVHlwZXNdLnht&#10;bFBLAQItABQABgAIAAAAIQA4/SH/1gAAAJQBAAALAAAAAAAAAAAAAAAAAC8BAABfcmVscy8ucmVs&#10;c1BLAQItABQABgAIAAAAIQAX8H8RlwIAAHMFAAAOAAAAAAAAAAAAAAAAAC4CAABkcnMvZTJvRG9j&#10;LnhtbFBLAQItABQABgAIAAAAIQCL45YN3gAAAAsBAAAPAAAAAAAAAAAAAAAAAPEEAABkcnMvZG93&#10;bnJldi54bWxQSwUGAAAAAAQABADzAAAA/AUAAAAA&#10;" strokecolor="#006093" strokeweight=".5pt">
                    <w10:wrap anchorx="page"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-309880</wp:posOffset>
                    </wp:positionH>
                    <wp:positionV relativeFrom="page">
                      <wp:posOffset>6795770</wp:posOffset>
                    </wp:positionV>
                    <wp:extent cx="144145" cy="0"/>
                    <wp:effectExtent l="12700" t="7620" r="5080"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39DBF3" id="AutoShape 3" o:spid="_x0000_s1026" type="#_x0000_t32" style="position:absolute;margin-left:-24.4pt;margin-top:535.1pt;width:11.3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2flwIAAHMFAAAOAAAAZHJzL2Uyb0RvYy54bWysVMGO2jAQvVfqP1i+Z5OQECDasGKT0Mu2&#10;XWm36tnEDrGa2JFtCKjqv3dsIIXtpaoWpMhjzzy/mXnj+4dD16I9U5pLkeHwLsCIiUpSLrYZ/va6&#10;9uYYaUMEJa0ULMNHpvHD8uOH+6FP2UQ2sqVMIQAROh36DDfG9Knv66phHdF3smcCDmupOmLAVFuf&#10;KjIAetf6kyBI/EEq2itZMa1htzgd4qXDr2tWma91rZlBbYaBm3Ff5b4b+/WX9yTdKtI3vDrTIP/B&#10;oiNcwKUjVEEMQTvF/4LqeKWklrW5q2Tny7rmFXM5QDZh8Cabl4b0zOUCxdH9WCb9frDVl/2zQpxm&#10;OMJIkA5atNoZ6W5GkS3P0OsUvHLxrGyC1UG89E+y+qGRkHlDxJY559djD7GhjfBvQqyhe7hkM3yW&#10;FHwI4LtaHWrVWUioAjq4lhzHlrCDQRVshnEcxlOMqsuRT9JLXK+0+cRkh+wiw9oowreNyaUQ0Hep&#10;QncL2T9pY1mR9BJgLxVyzdvWtb8VaMhwEk0DF6Bly6k9tG5abTd5q9CeWAEFSbBwRQGwGzcld4I6&#10;sIYRWp7XhvD2tAb/Vlg85jR5YgTWwcDS7UO+Ti8/F8GinJfz2IsnSenFQVF4q3Uee8k6nE2LqMjz&#10;IvxliYZx2nBKmbBcL9oN43/TxnmKTqob1TsWxb9Fd9UDsrdMV+tpMIujuTebTSMvjsrAe5yvc2+V&#10;h0kyKx/zx/IN09Jlr9+H7FhKy0ruDFMvDR0Q5VYM0XQxCTEYMOuTWWB/GJF2C49UZRRGSprv3DRO&#10;ulZ0FuOm1/PA/p2cr9BPhbj00FpjF865/SkV9PzSXzcRdghO47SR9PisLpMCk+2Czq+QfTqubVhf&#10;v5XL3wAAAP//AwBQSwMEFAAGAAgAAAAhABOT4FXeAAAADQEAAA8AAABkcnMvZG93bnJldi54bWxM&#10;j8FOwzAQRO9I/IO1SNxauyEqUYhTIaRckDg0FHF14yWJiNdJ7Lbh71kOCI6zM5p5W+wWN4gzzqH3&#10;pGGzViCQGm97ajUcXqtVBiJEQ9YMnlDDFwbYlddXhcmtv9Aez3VsBZdQyI2GLsYxlzI0HToT1n5E&#10;Yu/Dz85ElnMr7WwuXO4GmSi1lc70xAudGfGpw+azPjkN/r1e0pCl6s7un6upepteknHS+vZmeXwA&#10;EXGJf2H4wWd0KJnp6E9kgxg0rNKM0SMb6l4lIDiySrYbEMffkywL+f+L8hsAAP//AwBQSwECLQAU&#10;AAYACAAAACEAtoM4kv4AAADhAQAAEwAAAAAAAAAAAAAAAAAAAAAAW0NvbnRlbnRfVHlwZXNdLnht&#10;bFBLAQItABQABgAIAAAAIQA4/SH/1gAAAJQBAAALAAAAAAAAAAAAAAAAAC8BAABfcmVscy8ucmVs&#10;c1BLAQItABQABgAIAAAAIQCrlx2flwIAAHMFAAAOAAAAAAAAAAAAAAAAAC4CAABkcnMvZTJvRG9j&#10;LnhtbFBLAQItABQABgAIAAAAIQATk+BV3gAAAA0BAAAPAAAAAAAAAAAAAAAAAPEEAABkcnMvZG93&#10;bnJldi54bWxQSwUGAAAAAAQABADzAAAA/AUAAAAA&#10;" strokecolor="#006093" strokeweight=".5pt">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-305435</wp:posOffset>
                    </wp:positionH>
                    <wp:positionV relativeFrom="page">
                      <wp:posOffset>3264535</wp:posOffset>
                    </wp:positionV>
                    <wp:extent cx="144145" cy="0"/>
                    <wp:effectExtent l="7620" t="10160" r="1016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1F108" id="AutoShape 2" o:spid="_x0000_s1026" type="#_x0000_t32" style="position:absolute;margin-left:-24.05pt;margin-top:257.05pt;width:11.3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EmIAIAADoEAAAOAAAAZHJzL2Uyb0RvYy54bWysU02P2yAQvVfqf0Dcs7YTJ02sOKuVnfSy&#10;7Uba7Q8ggG1UDAhInKjqf+9APpRtL1XVCx48M2/ezDyWj8deogO3TmhV4uwhxYgrqplQbYm/vW1G&#10;c4ycJ4oRqRUv8Yk7/Lj6+GE5mIKPdacl4xYBiHLFYErceW+KJHG04z1xD9pwBc5G2554uNo2YZYM&#10;gN7LZJyms2TQlhmrKXcO/tZnJ15F/Kbh1L80jeMeyRIDNx9PG89dOJPVkhStJaYT9EKD/AOLnggF&#10;RW9QNfEE7a34A6oX1GqnG/9AdZ/ophGUxx6gmyz9rZvXjhgee4HhOHMbk/t/sPTrYWuRYCUeY6RI&#10;Dyt62nsdK6NxGM9gXAFRldra0CA9qlfzrOl3h5SuOqJaHoPfTgZys5CRvEsJF2egyG74ohnEEMCP&#10;szo2tg+QMAV0jCs53VbCjx5R+JnleZZPMaJXV0KKa56xzn/mukfBKLHzloi285VWCvaubRarkMOz&#10;84EVKa4JoajSGyFlXL9UaCjxbDJNY4LTUrDgDGHOtrtKWnQgQUDpLF1MYovguQ+zeq9YBOs4YeuL&#10;7YmQZxuKSxXwoC+gc7HOCvmxSBfr+Xqej/LxbD3K07oePW2qfDTbZJ+m9aSuqjr7GahledEJxrgK&#10;7K5qzfK/U8Pl3Zx1dtPrbQzJe/Q4LyB7/UbScbFhl2dV7DQ7be114SDQGHx5TOEF3N/Bvn/yq18A&#10;AAD//wMAUEsDBBQABgAIAAAAIQAhEwZD3gAAAAsBAAAPAAAAZHJzL2Rvd25yZXYueG1sTI9NT4Qw&#10;EIbvJv6HZky8sQVkDUHKxphwMfGwuMZrl45ApFOg3V38946Jid7m48k7z5S71Y7ijIsfHClINjEI&#10;pNaZgToFh9c6ykH4oMno0REq+EIPu+r6qtSFcRfa47kJneAQ8oVW0IcwFVL6tker/cZNSLz7cIvV&#10;gdulk2bRFw63o0zj+F5aPRBf6PWETz22n83JKnDvzZr5PIvvzP65nuu3+SWdZqVub9bHBxAB1/AH&#10;w48+q0PFTkd3IuPFqCDK8oRRBdsk44KJKN1mII6/E1mV8v8P1TcAAAD//wMAUEsBAi0AFAAGAAgA&#10;AAAhALaDOJL+AAAA4QEAABMAAAAAAAAAAAAAAAAAAAAAAFtDb250ZW50X1R5cGVzXS54bWxQSwEC&#10;LQAUAAYACAAAACEAOP0h/9YAAACUAQAACwAAAAAAAAAAAAAAAAAvAQAAX3JlbHMvLnJlbHNQSwEC&#10;LQAUAAYACAAAACEAenRhJiACAAA6BAAADgAAAAAAAAAAAAAAAAAuAgAAZHJzL2Uyb0RvYy54bWxQ&#10;SwECLQAUAAYACAAAACEAIRMGQ94AAAALAQAADwAAAAAAAAAAAAAAAAB6BAAAZHJzL2Rvd25yZXYu&#10;eG1sUEsFBgAAAAAEAAQA8wAAAIUFAAAAAA==&#10;" strokecolor="#006093" strokeweight=".5pt">
                    <w10:wrap anchorx="page" anchory="page"/>
                    <w10:anchorlock/>
                  </v:shape>
                </w:pict>
              </mc:Fallback>
            </mc:AlternateContent>
          </w:r>
          <w:r>
            <w:rPr>
              <w:noProof/>
            </w:rPr>
            <w:drawing>
              <wp:inline distT="0" distB="0" distL="0" distR="0">
                <wp:extent cx="1628775" cy="628650"/>
                <wp:effectExtent l="0" t="0" r="9525" b="0"/>
                <wp:docPr id="1" name="Obrázok 1" descr="logo_svk_rgb_9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vk_rgb_9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28650"/>
                        </a:xfrm>
                        <a:prstGeom prst="rect">
                          <a:avLst/>
                        </a:prstGeom>
                        <a:noFill/>
                        <a:ln>
                          <a:noFill/>
                        </a:ln>
                      </pic:spPr>
                    </pic:pic>
                  </a:graphicData>
                </a:graphic>
              </wp:inline>
            </w:drawing>
          </w:r>
        </w:p>
      </w:tc>
      <w:tc>
        <w:tcPr>
          <w:tcW w:w="7087" w:type="dxa"/>
          <w:vAlign w:val="bottom"/>
        </w:tcPr>
        <w:p w:rsidR="00386C08" w:rsidRPr="00915A73" w:rsidRDefault="00E37078" w:rsidP="000B0DD5">
          <w:pPr>
            <w:pStyle w:val="Hlavika"/>
            <w:jc w:val="right"/>
            <w:rPr>
              <w:rFonts w:ascii="Arial Narrow" w:hAnsi="Arial Narrow"/>
              <w:b/>
              <w:color w:val="006093"/>
              <w:sz w:val="22"/>
            </w:rPr>
          </w:pPr>
          <w:r w:rsidRPr="00915A73">
            <w:rPr>
              <w:rFonts w:ascii="Arial Narrow" w:hAnsi="Arial Narrow"/>
              <w:b/>
              <w:color w:val="006093"/>
              <w:sz w:val="22"/>
            </w:rPr>
            <w:t>Štátny ústav pre kontrolu liečiv</w:t>
          </w:r>
        </w:p>
        <w:p w:rsidR="000B0DD5" w:rsidRPr="00915A73" w:rsidRDefault="0004793A" w:rsidP="00B822C8">
          <w:pPr>
            <w:pStyle w:val="Hlavika"/>
            <w:jc w:val="right"/>
            <w:rPr>
              <w:rFonts w:ascii="Arial Narrow" w:hAnsi="Arial Narrow"/>
              <w:b/>
              <w:sz w:val="20"/>
            </w:rPr>
          </w:pPr>
          <w:r>
            <w:rPr>
              <w:rFonts w:ascii="Arial Narrow" w:hAnsi="Arial Narrow"/>
              <w:b/>
              <w:color w:val="006093"/>
              <w:sz w:val="22"/>
            </w:rPr>
            <w:t>Kvetná 11, 82</w:t>
          </w:r>
          <w:r w:rsidR="00B822C8">
            <w:rPr>
              <w:rFonts w:ascii="Arial Narrow" w:hAnsi="Arial Narrow"/>
              <w:b/>
              <w:color w:val="006093"/>
              <w:sz w:val="22"/>
            </w:rPr>
            <w:t>5</w:t>
          </w:r>
          <w:r w:rsidR="00E37078">
            <w:rPr>
              <w:rFonts w:ascii="Arial Narrow" w:hAnsi="Arial Narrow"/>
              <w:b/>
              <w:color w:val="006093"/>
              <w:sz w:val="22"/>
            </w:rPr>
            <w:t xml:space="preserve"> 08  Bratislava</w:t>
          </w:r>
        </w:p>
      </w:tc>
    </w:tr>
  </w:tbl>
  <w:p w:rsidR="00386C08" w:rsidRPr="00E37078" w:rsidRDefault="00386C08" w:rsidP="00E37078">
    <w:pPr>
      <w:pStyle w:val="Hlavika"/>
      <w:rPr>
        <w:sz w:val="20"/>
      </w:rPr>
    </w:pPr>
  </w:p>
  <w:p w:rsidR="00E37078" w:rsidRPr="00E37078" w:rsidRDefault="00E37078" w:rsidP="00E37078">
    <w:pPr>
      <w:pStyle w:val="Hlavika"/>
      <w:rPr>
        <w:sz w:val="20"/>
      </w:rPr>
    </w:pPr>
  </w:p>
  <w:p w:rsidR="00E37078" w:rsidRPr="00E37078" w:rsidRDefault="00E37078" w:rsidP="00E37078">
    <w:pPr>
      <w:pStyle w:val="Hlavik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4E0E"/>
    <w:multiLevelType w:val="multilevel"/>
    <w:tmpl w:val="041B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720"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 w15:restartNumberingAfterBreak="0">
    <w:nsid w:val="7A6E2945"/>
    <w:multiLevelType w:val="hybridMultilevel"/>
    <w:tmpl w:val="FA7CFA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BF"/>
    <w:rsid w:val="00004D69"/>
    <w:rsid w:val="00010B23"/>
    <w:rsid w:val="0004098B"/>
    <w:rsid w:val="0004793A"/>
    <w:rsid w:val="0006706D"/>
    <w:rsid w:val="00073886"/>
    <w:rsid w:val="00087DA6"/>
    <w:rsid w:val="000A49BB"/>
    <w:rsid w:val="000B0DD5"/>
    <w:rsid w:val="000B7343"/>
    <w:rsid w:val="000D21ED"/>
    <w:rsid w:val="000F5A6C"/>
    <w:rsid w:val="0011152D"/>
    <w:rsid w:val="00124971"/>
    <w:rsid w:val="00133961"/>
    <w:rsid w:val="0016003F"/>
    <w:rsid w:val="00196D0D"/>
    <w:rsid w:val="001A44C7"/>
    <w:rsid w:val="001A4C7E"/>
    <w:rsid w:val="001A7FAA"/>
    <w:rsid w:val="001D1D8D"/>
    <w:rsid w:val="001D53F2"/>
    <w:rsid w:val="001E0FA6"/>
    <w:rsid w:val="001F421B"/>
    <w:rsid w:val="001F483A"/>
    <w:rsid w:val="001F6EE4"/>
    <w:rsid w:val="002440C9"/>
    <w:rsid w:val="002667CB"/>
    <w:rsid w:val="002A47ED"/>
    <w:rsid w:val="002B25D5"/>
    <w:rsid w:val="002B60DC"/>
    <w:rsid w:val="002F0D76"/>
    <w:rsid w:val="003023C1"/>
    <w:rsid w:val="0030249D"/>
    <w:rsid w:val="00303E57"/>
    <w:rsid w:val="00321D8E"/>
    <w:rsid w:val="00322F6C"/>
    <w:rsid w:val="003436B4"/>
    <w:rsid w:val="003730C2"/>
    <w:rsid w:val="00382A10"/>
    <w:rsid w:val="00385CCE"/>
    <w:rsid w:val="00386C08"/>
    <w:rsid w:val="00393F39"/>
    <w:rsid w:val="003A2FBA"/>
    <w:rsid w:val="003D671E"/>
    <w:rsid w:val="003F76BA"/>
    <w:rsid w:val="004206EF"/>
    <w:rsid w:val="004317F7"/>
    <w:rsid w:val="00432E87"/>
    <w:rsid w:val="004444D9"/>
    <w:rsid w:val="00486A86"/>
    <w:rsid w:val="004A5FC2"/>
    <w:rsid w:val="004B2213"/>
    <w:rsid w:val="004C0298"/>
    <w:rsid w:val="005302EC"/>
    <w:rsid w:val="00534A26"/>
    <w:rsid w:val="00535A9C"/>
    <w:rsid w:val="00540776"/>
    <w:rsid w:val="00550859"/>
    <w:rsid w:val="005773D7"/>
    <w:rsid w:val="0057761C"/>
    <w:rsid w:val="005932BE"/>
    <w:rsid w:val="005A3E78"/>
    <w:rsid w:val="005B4D17"/>
    <w:rsid w:val="005D7173"/>
    <w:rsid w:val="00603D14"/>
    <w:rsid w:val="00605C97"/>
    <w:rsid w:val="00652E2E"/>
    <w:rsid w:val="0066305C"/>
    <w:rsid w:val="00665272"/>
    <w:rsid w:val="00674AE8"/>
    <w:rsid w:val="00686454"/>
    <w:rsid w:val="006878A1"/>
    <w:rsid w:val="006A06B0"/>
    <w:rsid w:val="006A60A8"/>
    <w:rsid w:val="006B5B86"/>
    <w:rsid w:val="006D5F79"/>
    <w:rsid w:val="007024FF"/>
    <w:rsid w:val="0072224C"/>
    <w:rsid w:val="007238FD"/>
    <w:rsid w:val="007247C4"/>
    <w:rsid w:val="00725641"/>
    <w:rsid w:val="00734C80"/>
    <w:rsid w:val="00756F96"/>
    <w:rsid w:val="00764E26"/>
    <w:rsid w:val="00765D8C"/>
    <w:rsid w:val="00784E71"/>
    <w:rsid w:val="0079030E"/>
    <w:rsid w:val="00793F9C"/>
    <w:rsid w:val="00796289"/>
    <w:rsid w:val="007C7D9E"/>
    <w:rsid w:val="007E6AC1"/>
    <w:rsid w:val="007E7176"/>
    <w:rsid w:val="007F610C"/>
    <w:rsid w:val="00802BEF"/>
    <w:rsid w:val="00807770"/>
    <w:rsid w:val="00811612"/>
    <w:rsid w:val="00814D2B"/>
    <w:rsid w:val="0082101E"/>
    <w:rsid w:val="00824A60"/>
    <w:rsid w:val="0086378B"/>
    <w:rsid w:val="008741C3"/>
    <w:rsid w:val="00887D15"/>
    <w:rsid w:val="00895D32"/>
    <w:rsid w:val="008A3A65"/>
    <w:rsid w:val="008B4D1C"/>
    <w:rsid w:val="008C409F"/>
    <w:rsid w:val="008E309E"/>
    <w:rsid w:val="008E73CF"/>
    <w:rsid w:val="008F3410"/>
    <w:rsid w:val="009077B4"/>
    <w:rsid w:val="00913EF5"/>
    <w:rsid w:val="00915A73"/>
    <w:rsid w:val="00953D9A"/>
    <w:rsid w:val="00974439"/>
    <w:rsid w:val="00992FFF"/>
    <w:rsid w:val="00997853"/>
    <w:rsid w:val="009B1C23"/>
    <w:rsid w:val="009B373F"/>
    <w:rsid w:val="009E40F9"/>
    <w:rsid w:val="009F3E42"/>
    <w:rsid w:val="00A13427"/>
    <w:rsid w:val="00A63574"/>
    <w:rsid w:val="00A703DC"/>
    <w:rsid w:val="00A81DF0"/>
    <w:rsid w:val="00A93DAF"/>
    <w:rsid w:val="00AA75B8"/>
    <w:rsid w:val="00AC45E0"/>
    <w:rsid w:val="00AE39BC"/>
    <w:rsid w:val="00AE3CC8"/>
    <w:rsid w:val="00B21B1B"/>
    <w:rsid w:val="00B463BF"/>
    <w:rsid w:val="00B50E32"/>
    <w:rsid w:val="00B76003"/>
    <w:rsid w:val="00B822C8"/>
    <w:rsid w:val="00B9078A"/>
    <w:rsid w:val="00BC5551"/>
    <w:rsid w:val="00BF122D"/>
    <w:rsid w:val="00BF39DF"/>
    <w:rsid w:val="00C11880"/>
    <w:rsid w:val="00C13C03"/>
    <w:rsid w:val="00C145FC"/>
    <w:rsid w:val="00C55398"/>
    <w:rsid w:val="00C62DC6"/>
    <w:rsid w:val="00C7516C"/>
    <w:rsid w:val="00C8142D"/>
    <w:rsid w:val="00C82EA7"/>
    <w:rsid w:val="00C87D5B"/>
    <w:rsid w:val="00CA4E12"/>
    <w:rsid w:val="00CC08BD"/>
    <w:rsid w:val="00CF2703"/>
    <w:rsid w:val="00D07448"/>
    <w:rsid w:val="00D1346A"/>
    <w:rsid w:val="00D15909"/>
    <w:rsid w:val="00D20FB6"/>
    <w:rsid w:val="00D30500"/>
    <w:rsid w:val="00D4480D"/>
    <w:rsid w:val="00D91208"/>
    <w:rsid w:val="00DA6562"/>
    <w:rsid w:val="00DD103A"/>
    <w:rsid w:val="00E2195D"/>
    <w:rsid w:val="00E33AAF"/>
    <w:rsid w:val="00E37078"/>
    <w:rsid w:val="00E56137"/>
    <w:rsid w:val="00E73C74"/>
    <w:rsid w:val="00E77AAA"/>
    <w:rsid w:val="00E90999"/>
    <w:rsid w:val="00ED6094"/>
    <w:rsid w:val="00ED6952"/>
    <w:rsid w:val="00EE2433"/>
    <w:rsid w:val="00EE64F3"/>
    <w:rsid w:val="00EF3513"/>
    <w:rsid w:val="00F052E4"/>
    <w:rsid w:val="00F21E83"/>
    <w:rsid w:val="00F33EED"/>
    <w:rsid w:val="00F45089"/>
    <w:rsid w:val="00F96375"/>
    <w:rsid w:val="00FA13C3"/>
    <w:rsid w:val="00FD36D1"/>
    <w:rsid w:val="00FF4E7D"/>
    <w:rsid w:val="00FF53A5"/>
    <w:rsid w:val="00FF57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066AE7-5D48-4AC2-80F9-A9E1FDD2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63BF"/>
    <w:rPr>
      <w:rFonts w:ascii="Times New Roman" w:hAnsi="Times New Roman"/>
      <w:sz w:val="24"/>
      <w:szCs w:val="24"/>
    </w:rPr>
  </w:style>
  <w:style w:type="paragraph" w:styleId="Nadpis1">
    <w:name w:val="heading 1"/>
    <w:basedOn w:val="Normlny"/>
    <w:next w:val="Normlny"/>
    <w:link w:val="Nadpis1Char"/>
    <w:qFormat/>
    <w:rsid w:val="00605C97"/>
    <w:pPr>
      <w:keepNext/>
      <w:numPr>
        <w:numId w:val="9"/>
      </w:numPr>
      <w:spacing w:before="240" w:after="60"/>
      <w:outlineLvl w:val="0"/>
    </w:pPr>
    <w:rPr>
      <w:rFonts w:ascii="Cambria" w:hAnsi="Cambria"/>
      <w:b/>
      <w:kern w:val="32"/>
      <w:sz w:val="32"/>
      <w:szCs w:val="20"/>
    </w:rPr>
  </w:style>
  <w:style w:type="paragraph" w:styleId="Nadpis2">
    <w:name w:val="heading 2"/>
    <w:basedOn w:val="Normlny"/>
    <w:next w:val="Normlny"/>
    <w:link w:val="Nadpis2Char"/>
    <w:uiPriority w:val="9"/>
    <w:qFormat/>
    <w:rsid w:val="00605C97"/>
    <w:pPr>
      <w:keepNext/>
      <w:numPr>
        <w:ilvl w:val="1"/>
        <w:numId w:val="9"/>
      </w:numPr>
      <w:spacing w:before="240" w:after="60"/>
      <w:outlineLvl w:val="1"/>
    </w:pPr>
    <w:rPr>
      <w:rFonts w:ascii="Cambria" w:hAnsi="Cambria"/>
      <w:b/>
      <w:i/>
      <w:sz w:val="28"/>
      <w:szCs w:val="20"/>
    </w:rPr>
  </w:style>
  <w:style w:type="paragraph" w:styleId="Nadpis3">
    <w:name w:val="heading 3"/>
    <w:basedOn w:val="Normlny"/>
    <w:next w:val="Normlny"/>
    <w:link w:val="Nadpis3Char"/>
    <w:qFormat/>
    <w:rsid w:val="00605C97"/>
    <w:pPr>
      <w:keepNext/>
      <w:numPr>
        <w:ilvl w:val="2"/>
        <w:numId w:val="9"/>
      </w:numPr>
      <w:spacing w:before="240" w:after="60"/>
      <w:outlineLvl w:val="2"/>
    </w:pPr>
    <w:rPr>
      <w:rFonts w:ascii="Cambria" w:hAnsi="Cambria"/>
      <w:b/>
      <w:sz w:val="26"/>
      <w:szCs w:val="20"/>
    </w:rPr>
  </w:style>
  <w:style w:type="paragraph" w:styleId="Nadpis4">
    <w:name w:val="heading 4"/>
    <w:basedOn w:val="Normlny"/>
    <w:next w:val="Normlny"/>
    <w:link w:val="Nadpis4Char"/>
    <w:qFormat/>
    <w:rsid w:val="00605C97"/>
    <w:pPr>
      <w:keepNext/>
      <w:numPr>
        <w:ilvl w:val="3"/>
        <w:numId w:val="9"/>
      </w:numPr>
      <w:spacing w:before="240" w:after="60"/>
      <w:outlineLvl w:val="3"/>
    </w:pPr>
    <w:rPr>
      <w:rFonts w:ascii="Calibri" w:hAnsi="Calibri"/>
      <w:b/>
      <w:sz w:val="28"/>
      <w:szCs w:val="20"/>
    </w:rPr>
  </w:style>
  <w:style w:type="paragraph" w:styleId="Nadpis5">
    <w:name w:val="heading 5"/>
    <w:basedOn w:val="Normlny"/>
    <w:next w:val="Normlny"/>
    <w:link w:val="Nadpis5Char"/>
    <w:qFormat/>
    <w:rsid w:val="00605C97"/>
    <w:pPr>
      <w:numPr>
        <w:ilvl w:val="4"/>
        <w:numId w:val="9"/>
      </w:numPr>
      <w:spacing w:before="240" w:after="60"/>
      <w:outlineLvl w:val="4"/>
    </w:pPr>
    <w:rPr>
      <w:rFonts w:ascii="Calibri" w:hAnsi="Calibri"/>
      <w:b/>
      <w:i/>
      <w:sz w:val="26"/>
      <w:szCs w:val="20"/>
    </w:rPr>
  </w:style>
  <w:style w:type="paragraph" w:styleId="Nadpis6">
    <w:name w:val="heading 6"/>
    <w:basedOn w:val="Normlny"/>
    <w:next w:val="Normlny"/>
    <w:link w:val="Nadpis6Char"/>
    <w:qFormat/>
    <w:rsid w:val="00605C97"/>
    <w:pPr>
      <w:numPr>
        <w:ilvl w:val="5"/>
        <w:numId w:val="9"/>
      </w:numPr>
      <w:spacing w:before="240" w:after="60" w:line="360" w:lineRule="auto"/>
      <w:jc w:val="both"/>
      <w:outlineLvl w:val="5"/>
    </w:pPr>
    <w:rPr>
      <w:b/>
      <w:sz w:val="22"/>
      <w:szCs w:val="20"/>
      <w:lang w:val="en-US"/>
    </w:rPr>
  </w:style>
  <w:style w:type="paragraph" w:styleId="Nadpis7">
    <w:name w:val="heading 7"/>
    <w:basedOn w:val="Normlny"/>
    <w:next w:val="Normlny"/>
    <w:link w:val="Nadpis7Char"/>
    <w:qFormat/>
    <w:rsid w:val="00605C97"/>
    <w:pPr>
      <w:numPr>
        <w:ilvl w:val="6"/>
        <w:numId w:val="9"/>
      </w:numPr>
      <w:spacing w:before="240" w:after="60"/>
      <w:outlineLvl w:val="6"/>
    </w:pPr>
    <w:rPr>
      <w:rFonts w:ascii="Calibri" w:hAnsi="Calibri"/>
      <w:szCs w:val="20"/>
    </w:rPr>
  </w:style>
  <w:style w:type="paragraph" w:styleId="Nadpis8">
    <w:name w:val="heading 8"/>
    <w:basedOn w:val="Normlny"/>
    <w:next w:val="Normlny"/>
    <w:link w:val="Nadpis8Char"/>
    <w:qFormat/>
    <w:rsid w:val="00605C97"/>
    <w:pPr>
      <w:numPr>
        <w:ilvl w:val="7"/>
        <w:numId w:val="9"/>
      </w:numPr>
      <w:spacing w:before="240" w:after="60"/>
      <w:outlineLvl w:val="7"/>
    </w:pPr>
    <w:rPr>
      <w:rFonts w:ascii="Calibri" w:hAnsi="Calibri"/>
      <w:i/>
      <w:szCs w:val="20"/>
    </w:rPr>
  </w:style>
  <w:style w:type="paragraph" w:styleId="Nadpis9">
    <w:name w:val="heading 9"/>
    <w:basedOn w:val="Normlny"/>
    <w:next w:val="Normlny"/>
    <w:link w:val="Nadpis9Char"/>
    <w:qFormat/>
    <w:rsid w:val="00605C97"/>
    <w:pPr>
      <w:numPr>
        <w:ilvl w:val="8"/>
        <w:numId w:val="9"/>
      </w:numPr>
      <w:spacing w:before="240" w:after="60"/>
      <w:outlineLvl w:val="8"/>
    </w:pPr>
    <w:rPr>
      <w:rFonts w:ascii="Cambria" w:hAnsi="Cambria"/>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605C97"/>
    <w:rPr>
      <w:rFonts w:ascii="Cambria" w:hAnsi="Cambria"/>
      <w:b/>
      <w:noProof/>
      <w:kern w:val="32"/>
      <w:sz w:val="32"/>
    </w:rPr>
  </w:style>
  <w:style w:type="character" w:customStyle="1" w:styleId="Nadpis2Char">
    <w:name w:val="Nadpis 2 Char"/>
    <w:link w:val="Nadpis2"/>
    <w:uiPriority w:val="9"/>
    <w:rsid w:val="00605C97"/>
    <w:rPr>
      <w:rFonts w:ascii="Cambria" w:hAnsi="Cambria"/>
      <w:b/>
      <w:i/>
      <w:noProof/>
      <w:sz w:val="28"/>
    </w:rPr>
  </w:style>
  <w:style w:type="character" w:customStyle="1" w:styleId="Nadpis3Char">
    <w:name w:val="Nadpis 3 Char"/>
    <w:link w:val="Nadpis3"/>
    <w:rsid w:val="00605C97"/>
    <w:rPr>
      <w:rFonts w:ascii="Cambria" w:hAnsi="Cambria"/>
      <w:b/>
      <w:noProof/>
      <w:sz w:val="26"/>
    </w:rPr>
  </w:style>
  <w:style w:type="character" w:customStyle="1" w:styleId="Nadpis4Char">
    <w:name w:val="Nadpis 4 Char"/>
    <w:link w:val="Nadpis4"/>
    <w:rsid w:val="00605C97"/>
    <w:rPr>
      <w:b/>
      <w:noProof/>
      <w:sz w:val="28"/>
    </w:rPr>
  </w:style>
  <w:style w:type="character" w:customStyle="1" w:styleId="Nadpis5Char">
    <w:name w:val="Nadpis 5 Char"/>
    <w:link w:val="Nadpis5"/>
    <w:rsid w:val="00605C97"/>
    <w:rPr>
      <w:b/>
      <w:i/>
      <w:noProof/>
      <w:sz w:val="26"/>
    </w:rPr>
  </w:style>
  <w:style w:type="character" w:customStyle="1" w:styleId="Nadpis6Char">
    <w:name w:val="Nadpis 6 Char"/>
    <w:link w:val="Nadpis6"/>
    <w:rsid w:val="00605C97"/>
    <w:rPr>
      <w:rFonts w:ascii="Times New Roman" w:hAnsi="Times New Roman"/>
      <w:b/>
      <w:sz w:val="22"/>
      <w:lang w:val="en-US"/>
    </w:rPr>
  </w:style>
  <w:style w:type="character" w:customStyle="1" w:styleId="Nadpis7Char">
    <w:name w:val="Nadpis 7 Char"/>
    <w:link w:val="Nadpis7"/>
    <w:rsid w:val="00605C97"/>
    <w:rPr>
      <w:noProof/>
      <w:sz w:val="24"/>
    </w:rPr>
  </w:style>
  <w:style w:type="character" w:customStyle="1" w:styleId="Nadpis8Char">
    <w:name w:val="Nadpis 8 Char"/>
    <w:link w:val="Nadpis8"/>
    <w:rsid w:val="00605C97"/>
    <w:rPr>
      <w:i/>
      <w:noProof/>
      <w:sz w:val="24"/>
    </w:rPr>
  </w:style>
  <w:style w:type="character" w:customStyle="1" w:styleId="Nadpis9Char">
    <w:name w:val="Nadpis 9 Char"/>
    <w:link w:val="Nadpis9"/>
    <w:rsid w:val="00605C97"/>
    <w:rPr>
      <w:rFonts w:ascii="Cambria" w:hAnsi="Cambria" w:cs="Times New Roman"/>
      <w:noProof/>
      <w:sz w:val="22"/>
    </w:rPr>
  </w:style>
  <w:style w:type="paragraph" w:styleId="Nzov">
    <w:name w:val="Title"/>
    <w:basedOn w:val="Normlny"/>
    <w:link w:val="NzovChar"/>
    <w:qFormat/>
    <w:rsid w:val="00605C97"/>
    <w:pPr>
      <w:jc w:val="center"/>
    </w:pPr>
    <w:rPr>
      <w:b/>
      <w:sz w:val="20"/>
      <w:szCs w:val="20"/>
    </w:rPr>
  </w:style>
  <w:style w:type="character" w:customStyle="1" w:styleId="NzovChar">
    <w:name w:val="Názov Char"/>
    <w:link w:val="Nzov"/>
    <w:rsid w:val="00605C97"/>
    <w:rPr>
      <w:rFonts w:ascii="Times New Roman" w:hAnsi="Times New Roman" w:cs="Times New Roman"/>
      <w:b/>
      <w:noProof/>
      <w:sz w:val="20"/>
      <w:lang w:eastAsia="sk-SK"/>
    </w:rPr>
  </w:style>
  <w:style w:type="paragraph" w:styleId="Hlavika">
    <w:name w:val="header"/>
    <w:basedOn w:val="Normlny"/>
    <w:link w:val="HlavikaChar"/>
    <w:uiPriority w:val="99"/>
    <w:unhideWhenUsed/>
    <w:rsid w:val="003A2FBA"/>
    <w:pPr>
      <w:tabs>
        <w:tab w:val="center" w:pos="4536"/>
        <w:tab w:val="right" w:pos="9072"/>
      </w:tabs>
    </w:pPr>
  </w:style>
  <w:style w:type="character" w:customStyle="1" w:styleId="HlavikaChar">
    <w:name w:val="Hlavička Char"/>
    <w:link w:val="Hlavika"/>
    <w:uiPriority w:val="99"/>
    <w:rsid w:val="003A2FBA"/>
    <w:rPr>
      <w:rFonts w:ascii="Times New Roman" w:hAnsi="Times New Roman"/>
      <w:noProof/>
      <w:sz w:val="24"/>
      <w:szCs w:val="24"/>
    </w:rPr>
  </w:style>
  <w:style w:type="paragraph" w:styleId="Pta">
    <w:name w:val="footer"/>
    <w:basedOn w:val="Normlny"/>
    <w:link w:val="PtaChar"/>
    <w:uiPriority w:val="99"/>
    <w:unhideWhenUsed/>
    <w:rsid w:val="003A2FBA"/>
    <w:pPr>
      <w:tabs>
        <w:tab w:val="center" w:pos="4536"/>
        <w:tab w:val="right" w:pos="9072"/>
      </w:tabs>
    </w:pPr>
  </w:style>
  <w:style w:type="character" w:customStyle="1" w:styleId="PtaChar">
    <w:name w:val="Päta Char"/>
    <w:link w:val="Pta"/>
    <w:uiPriority w:val="99"/>
    <w:rsid w:val="003A2FBA"/>
    <w:rPr>
      <w:rFonts w:ascii="Times New Roman" w:hAnsi="Times New Roman"/>
      <w:noProof/>
      <w:sz w:val="24"/>
      <w:szCs w:val="24"/>
    </w:rPr>
  </w:style>
  <w:style w:type="table" w:styleId="Mriekatabuky">
    <w:name w:val="Table Grid"/>
    <w:basedOn w:val="Normlnatabuka"/>
    <w:uiPriority w:val="59"/>
    <w:rsid w:val="003A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0D21ED"/>
    <w:rPr>
      <w:color w:val="0000FF"/>
      <w:u w:val="single"/>
    </w:rPr>
  </w:style>
  <w:style w:type="paragraph" w:styleId="Textbubliny">
    <w:name w:val="Balloon Text"/>
    <w:basedOn w:val="Normlny"/>
    <w:link w:val="TextbublinyChar"/>
    <w:uiPriority w:val="99"/>
    <w:semiHidden/>
    <w:unhideWhenUsed/>
    <w:rsid w:val="00B9078A"/>
    <w:rPr>
      <w:rFonts w:ascii="Tahoma" w:hAnsi="Tahoma" w:cs="Tahoma"/>
      <w:sz w:val="16"/>
      <w:szCs w:val="16"/>
    </w:rPr>
  </w:style>
  <w:style w:type="character" w:customStyle="1" w:styleId="TextbublinyChar">
    <w:name w:val="Text bubliny Char"/>
    <w:link w:val="Textbubliny"/>
    <w:uiPriority w:val="99"/>
    <w:semiHidden/>
    <w:rsid w:val="00B9078A"/>
    <w:rPr>
      <w:rFonts w:ascii="Tahoma" w:hAnsi="Tahoma" w:cs="Tahoma"/>
      <w:noProof/>
      <w:sz w:val="16"/>
      <w:szCs w:val="16"/>
    </w:rPr>
  </w:style>
  <w:style w:type="paragraph" w:styleId="Odsekzoznamu">
    <w:name w:val="List Paragraph"/>
    <w:basedOn w:val="Normlny"/>
    <w:uiPriority w:val="34"/>
    <w:qFormat/>
    <w:rsid w:val="00B463BF"/>
    <w:pPr>
      <w:ind w:left="720"/>
    </w:pPr>
    <w:rPr>
      <w:rFonts w:ascii="Calibri" w:hAnsi="Calibri"/>
      <w:sz w:val="22"/>
      <w:szCs w:val="22"/>
    </w:rPr>
  </w:style>
  <w:style w:type="character" w:styleId="PouitHypertextovPrepojenie">
    <w:name w:val="FollowedHyperlink"/>
    <w:basedOn w:val="Predvolenpsmoodseku"/>
    <w:uiPriority w:val="99"/>
    <w:semiHidden/>
    <w:unhideWhenUsed/>
    <w:rsid w:val="00807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01143">
      <w:bodyDiv w:val="1"/>
      <w:marLeft w:val="0"/>
      <w:marRight w:val="0"/>
      <w:marTop w:val="0"/>
      <w:marBottom w:val="0"/>
      <w:divBdr>
        <w:top w:val="none" w:sz="0" w:space="0" w:color="auto"/>
        <w:left w:val="none" w:sz="0" w:space="0" w:color="auto"/>
        <w:bottom w:val="none" w:sz="0" w:space="0" w:color="auto"/>
        <w:right w:val="none" w:sz="0" w:space="0" w:color="auto"/>
      </w:divBdr>
      <w:divsChild>
        <w:div w:id="1858040368">
          <w:marLeft w:val="75"/>
          <w:marRight w:val="0"/>
          <w:marTop w:val="0"/>
          <w:marBottom w:val="0"/>
          <w:divBdr>
            <w:top w:val="none" w:sz="0" w:space="0" w:color="auto"/>
            <w:left w:val="none" w:sz="0" w:space="0" w:color="auto"/>
            <w:bottom w:val="none" w:sz="0" w:space="0" w:color="auto"/>
            <w:right w:val="none" w:sz="0" w:space="0" w:color="auto"/>
          </w:divBdr>
        </w:div>
        <w:div w:id="1316447786">
          <w:marLeft w:val="75"/>
          <w:marRight w:val="0"/>
          <w:marTop w:val="0"/>
          <w:marBottom w:val="0"/>
          <w:divBdr>
            <w:top w:val="none" w:sz="0" w:space="0" w:color="auto"/>
            <w:left w:val="none" w:sz="0" w:space="0" w:color="auto"/>
            <w:bottom w:val="none" w:sz="0" w:space="0" w:color="auto"/>
            <w:right w:val="none" w:sz="0" w:space="0" w:color="auto"/>
          </w:divBdr>
        </w:div>
      </w:divsChild>
    </w:div>
    <w:div w:id="335495209">
      <w:bodyDiv w:val="1"/>
      <w:marLeft w:val="0"/>
      <w:marRight w:val="0"/>
      <w:marTop w:val="0"/>
      <w:marBottom w:val="0"/>
      <w:divBdr>
        <w:top w:val="none" w:sz="0" w:space="0" w:color="auto"/>
        <w:left w:val="none" w:sz="0" w:space="0" w:color="auto"/>
        <w:bottom w:val="none" w:sz="0" w:space="0" w:color="auto"/>
        <w:right w:val="none" w:sz="0" w:space="0" w:color="auto"/>
      </w:divBdr>
    </w:div>
    <w:div w:id="1053506051">
      <w:bodyDiv w:val="1"/>
      <w:marLeft w:val="0"/>
      <w:marRight w:val="0"/>
      <w:marTop w:val="0"/>
      <w:marBottom w:val="0"/>
      <w:divBdr>
        <w:top w:val="none" w:sz="0" w:space="0" w:color="auto"/>
        <w:left w:val="none" w:sz="0" w:space="0" w:color="auto"/>
        <w:bottom w:val="none" w:sz="0" w:space="0" w:color="auto"/>
        <w:right w:val="none" w:sz="0" w:space="0" w:color="auto"/>
      </w:divBdr>
    </w:div>
    <w:div w:id="1276910673">
      <w:bodyDiv w:val="1"/>
      <w:marLeft w:val="0"/>
      <w:marRight w:val="0"/>
      <w:marTop w:val="0"/>
      <w:marBottom w:val="0"/>
      <w:divBdr>
        <w:top w:val="none" w:sz="0" w:space="0" w:color="auto"/>
        <w:left w:val="none" w:sz="0" w:space="0" w:color="auto"/>
        <w:bottom w:val="none" w:sz="0" w:space="0" w:color="auto"/>
        <w:right w:val="none" w:sz="0" w:space="0" w:color="auto"/>
      </w:divBdr>
      <w:divsChild>
        <w:div w:id="1571304401">
          <w:marLeft w:val="75"/>
          <w:marRight w:val="0"/>
          <w:marTop w:val="75"/>
          <w:marBottom w:val="0"/>
          <w:divBdr>
            <w:top w:val="none" w:sz="0" w:space="0" w:color="auto"/>
            <w:left w:val="none" w:sz="0" w:space="0" w:color="auto"/>
            <w:bottom w:val="none" w:sz="0" w:space="0" w:color="auto"/>
            <w:right w:val="none" w:sz="0" w:space="0" w:color="auto"/>
          </w:divBdr>
          <w:divsChild>
            <w:div w:id="1348142630">
              <w:marLeft w:val="75"/>
              <w:marRight w:val="0"/>
              <w:marTop w:val="0"/>
              <w:marBottom w:val="0"/>
              <w:divBdr>
                <w:top w:val="none" w:sz="0" w:space="0" w:color="auto"/>
                <w:left w:val="none" w:sz="0" w:space="0" w:color="auto"/>
                <w:bottom w:val="none" w:sz="0" w:space="0" w:color="auto"/>
                <w:right w:val="none" w:sz="0" w:space="0" w:color="auto"/>
              </w:divBdr>
            </w:div>
            <w:div w:id="1836727808">
              <w:marLeft w:val="75"/>
              <w:marRight w:val="0"/>
              <w:marTop w:val="0"/>
              <w:marBottom w:val="0"/>
              <w:divBdr>
                <w:top w:val="none" w:sz="0" w:space="0" w:color="auto"/>
                <w:left w:val="none" w:sz="0" w:space="0" w:color="auto"/>
                <w:bottom w:val="none" w:sz="0" w:space="0" w:color="auto"/>
                <w:right w:val="none" w:sz="0" w:space="0" w:color="auto"/>
              </w:divBdr>
            </w:div>
            <w:div w:id="518544836">
              <w:marLeft w:val="75"/>
              <w:marRight w:val="0"/>
              <w:marTop w:val="0"/>
              <w:marBottom w:val="0"/>
              <w:divBdr>
                <w:top w:val="none" w:sz="0" w:space="0" w:color="auto"/>
                <w:left w:val="none" w:sz="0" w:space="0" w:color="auto"/>
                <w:bottom w:val="none" w:sz="0" w:space="0" w:color="auto"/>
                <w:right w:val="none" w:sz="0" w:space="0" w:color="auto"/>
              </w:divBdr>
            </w:div>
            <w:div w:id="1504710254">
              <w:marLeft w:val="75"/>
              <w:marRight w:val="0"/>
              <w:marTop w:val="0"/>
              <w:marBottom w:val="0"/>
              <w:divBdr>
                <w:top w:val="none" w:sz="0" w:space="0" w:color="auto"/>
                <w:left w:val="none" w:sz="0" w:space="0" w:color="auto"/>
                <w:bottom w:val="none" w:sz="0" w:space="0" w:color="auto"/>
                <w:right w:val="none" w:sz="0" w:space="0" w:color="auto"/>
              </w:divBdr>
            </w:div>
            <w:div w:id="537938067">
              <w:marLeft w:val="75"/>
              <w:marRight w:val="0"/>
              <w:marTop w:val="0"/>
              <w:marBottom w:val="0"/>
              <w:divBdr>
                <w:top w:val="none" w:sz="0" w:space="0" w:color="auto"/>
                <w:left w:val="none" w:sz="0" w:space="0" w:color="auto"/>
                <w:bottom w:val="none" w:sz="0" w:space="0" w:color="auto"/>
                <w:right w:val="none" w:sz="0" w:space="0" w:color="auto"/>
              </w:divBdr>
            </w:div>
          </w:divsChild>
        </w:div>
        <w:div w:id="1821581918">
          <w:marLeft w:val="75"/>
          <w:marRight w:val="0"/>
          <w:marTop w:val="75"/>
          <w:marBottom w:val="0"/>
          <w:divBdr>
            <w:top w:val="none" w:sz="0" w:space="0" w:color="auto"/>
            <w:left w:val="none" w:sz="0" w:space="0" w:color="auto"/>
            <w:bottom w:val="none" w:sz="0" w:space="0" w:color="auto"/>
            <w:right w:val="none" w:sz="0" w:space="0" w:color="auto"/>
          </w:divBdr>
        </w:div>
        <w:div w:id="71053124">
          <w:marLeft w:val="75"/>
          <w:marRight w:val="0"/>
          <w:marTop w:val="75"/>
          <w:marBottom w:val="0"/>
          <w:divBdr>
            <w:top w:val="none" w:sz="0" w:space="0" w:color="auto"/>
            <w:left w:val="none" w:sz="0" w:space="0" w:color="auto"/>
            <w:bottom w:val="none" w:sz="0" w:space="0" w:color="auto"/>
            <w:right w:val="none" w:sz="0" w:space="0" w:color="auto"/>
          </w:divBdr>
        </w:div>
      </w:divsChild>
    </w:div>
    <w:div w:id="1755662287">
      <w:bodyDiv w:val="1"/>
      <w:marLeft w:val="0"/>
      <w:marRight w:val="0"/>
      <w:marTop w:val="0"/>
      <w:marBottom w:val="0"/>
      <w:divBdr>
        <w:top w:val="none" w:sz="0" w:space="0" w:color="auto"/>
        <w:left w:val="none" w:sz="0" w:space="0" w:color="auto"/>
        <w:bottom w:val="none" w:sz="0" w:space="0" w:color="auto"/>
        <w:right w:val="none" w:sz="0" w:space="0" w:color="auto"/>
      </w:divBdr>
      <w:divsChild>
        <w:div w:id="731125966">
          <w:marLeft w:val="75"/>
          <w:marRight w:val="0"/>
          <w:marTop w:val="0"/>
          <w:marBottom w:val="0"/>
          <w:divBdr>
            <w:top w:val="none" w:sz="0" w:space="0" w:color="auto"/>
            <w:left w:val="none" w:sz="0" w:space="0" w:color="auto"/>
            <w:bottom w:val="none" w:sz="0" w:space="0" w:color="auto"/>
            <w:right w:val="none" w:sz="0" w:space="0" w:color="auto"/>
          </w:divBdr>
        </w:div>
        <w:div w:id="419764009">
          <w:marLeft w:val="75"/>
          <w:marRight w:val="0"/>
          <w:marTop w:val="0"/>
          <w:marBottom w:val="0"/>
          <w:divBdr>
            <w:top w:val="none" w:sz="0" w:space="0" w:color="auto"/>
            <w:left w:val="none" w:sz="0" w:space="0" w:color="auto"/>
            <w:bottom w:val="none" w:sz="0" w:space="0" w:color="auto"/>
            <w:right w:val="none" w:sz="0" w:space="0" w:color="auto"/>
          </w:divBdr>
        </w:div>
        <w:div w:id="552615422">
          <w:marLeft w:val="75"/>
          <w:marRight w:val="0"/>
          <w:marTop w:val="0"/>
          <w:marBottom w:val="0"/>
          <w:divBdr>
            <w:top w:val="none" w:sz="0" w:space="0" w:color="auto"/>
            <w:left w:val="none" w:sz="0" w:space="0" w:color="auto"/>
            <w:bottom w:val="none" w:sz="0" w:space="0" w:color="auto"/>
            <w:right w:val="none" w:sz="0" w:space="0" w:color="auto"/>
          </w:divBdr>
        </w:div>
        <w:div w:id="1274554703">
          <w:marLeft w:val="75"/>
          <w:marRight w:val="0"/>
          <w:marTop w:val="0"/>
          <w:marBottom w:val="0"/>
          <w:divBdr>
            <w:top w:val="none" w:sz="0" w:space="0" w:color="auto"/>
            <w:left w:val="none" w:sz="0" w:space="0" w:color="auto"/>
            <w:bottom w:val="none" w:sz="0" w:space="0" w:color="auto"/>
            <w:right w:val="none" w:sz="0" w:space="0" w:color="auto"/>
          </w:divBdr>
        </w:div>
        <w:div w:id="1435974509">
          <w:marLeft w:val="75"/>
          <w:marRight w:val="0"/>
          <w:marTop w:val="0"/>
          <w:marBottom w:val="0"/>
          <w:divBdr>
            <w:top w:val="none" w:sz="0" w:space="0" w:color="auto"/>
            <w:left w:val="none" w:sz="0" w:space="0" w:color="auto"/>
            <w:bottom w:val="none" w:sz="0" w:space="0" w:color="auto"/>
            <w:right w:val="none" w:sz="0" w:space="0" w:color="auto"/>
          </w:divBdr>
        </w:div>
        <w:div w:id="1434396030">
          <w:marLeft w:val="75"/>
          <w:marRight w:val="0"/>
          <w:marTop w:val="0"/>
          <w:marBottom w:val="0"/>
          <w:divBdr>
            <w:top w:val="none" w:sz="0" w:space="0" w:color="auto"/>
            <w:left w:val="none" w:sz="0" w:space="0" w:color="auto"/>
            <w:bottom w:val="none" w:sz="0" w:space="0" w:color="auto"/>
            <w:right w:val="none" w:sz="0" w:space="0" w:color="auto"/>
          </w:divBdr>
        </w:div>
        <w:div w:id="1585916595">
          <w:marLeft w:val="75"/>
          <w:marRight w:val="0"/>
          <w:marTop w:val="0"/>
          <w:marBottom w:val="0"/>
          <w:divBdr>
            <w:top w:val="none" w:sz="0" w:space="0" w:color="auto"/>
            <w:left w:val="none" w:sz="0" w:space="0" w:color="auto"/>
            <w:bottom w:val="none" w:sz="0" w:space="0" w:color="auto"/>
            <w:right w:val="none" w:sz="0" w:space="0" w:color="auto"/>
          </w:divBdr>
        </w:div>
        <w:div w:id="735006898">
          <w:marLeft w:val="75"/>
          <w:marRight w:val="0"/>
          <w:marTop w:val="0"/>
          <w:marBottom w:val="0"/>
          <w:divBdr>
            <w:top w:val="none" w:sz="0" w:space="0" w:color="auto"/>
            <w:left w:val="none" w:sz="0" w:space="0" w:color="auto"/>
            <w:bottom w:val="none" w:sz="0" w:space="0" w:color="auto"/>
            <w:right w:val="none" w:sz="0" w:space="0" w:color="auto"/>
          </w:divBdr>
        </w:div>
        <w:div w:id="1771319676">
          <w:marLeft w:val="75"/>
          <w:marRight w:val="0"/>
          <w:marTop w:val="0"/>
          <w:marBottom w:val="0"/>
          <w:divBdr>
            <w:top w:val="none" w:sz="0" w:space="0" w:color="auto"/>
            <w:left w:val="none" w:sz="0" w:space="0" w:color="auto"/>
            <w:bottom w:val="none" w:sz="0" w:space="0" w:color="auto"/>
            <w:right w:val="none" w:sz="0" w:space="0" w:color="auto"/>
          </w:divBdr>
        </w:div>
      </w:divsChild>
    </w:div>
    <w:div w:id="2025085232">
      <w:bodyDiv w:val="1"/>
      <w:marLeft w:val="0"/>
      <w:marRight w:val="0"/>
      <w:marTop w:val="0"/>
      <w:marBottom w:val="0"/>
      <w:divBdr>
        <w:top w:val="none" w:sz="0" w:space="0" w:color="auto"/>
        <w:left w:val="none" w:sz="0" w:space="0" w:color="auto"/>
        <w:bottom w:val="none" w:sz="0" w:space="0" w:color="auto"/>
        <w:right w:val="none" w:sz="0" w:space="0" w:color="auto"/>
      </w:divBdr>
    </w:div>
    <w:div w:id="20370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health/documents/eudralex/vol-4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1/362/202105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1/362/20210526" TargetMode="External"/><Relationship Id="rId4" Type="http://schemas.openxmlformats.org/officeDocument/2006/relationships/settings" Target="settings.xml"/><Relationship Id="rId9" Type="http://schemas.openxmlformats.org/officeDocument/2006/relationships/hyperlink" Target="https://www.slov-lex.sk/pravne-predpisy/SK/ZZ/2011/362/2021052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tacenter27.suklnet.sk\Netware\SABLONY\V&#225;&#353;%20list%20&#352;&#218;KL%20slovensky.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5EAF-CB53-4274-A805-2BD63E58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Váš list ŠÚKL slovensky.dot</Template>
  <TotalTime>26</TotalTime>
  <Pages>5</Pages>
  <Words>2021</Words>
  <Characters>11526</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Schwarzová, Lucia</dc:creator>
  <cp:keywords/>
  <dc:description/>
  <cp:lastModifiedBy>Szabo, Marek</cp:lastModifiedBy>
  <cp:revision>8</cp:revision>
  <cp:lastPrinted>2015-02-23T12:50:00Z</cp:lastPrinted>
  <dcterms:created xsi:type="dcterms:W3CDTF">2021-05-28T11:03:00Z</dcterms:created>
  <dcterms:modified xsi:type="dcterms:W3CDTF">2021-11-04T05:32:00Z</dcterms:modified>
</cp:coreProperties>
</file>