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F8" w:rsidRDefault="006362F8" w:rsidP="006362F8">
      <w:pPr>
        <w:keepNext/>
        <w:widowControl w:val="0"/>
        <w:rPr>
          <w:noProof w:val="0"/>
          <w:color w:val="000000"/>
        </w:rPr>
      </w:pPr>
    </w:p>
    <w:p w:rsidR="00A45D0E" w:rsidRPr="00DD2F64" w:rsidRDefault="00A45D0E" w:rsidP="00A45D0E">
      <w:pPr>
        <w:jc w:val="center"/>
        <w:rPr>
          <w:rFonts w:ascii="Arial" w:hAnsi="Arial" w:cs="Arial"/>
        </w:rPr>
      </w:pPr>
    </w:p>
    <w:p w:rsidR="00A45D0E" w:rsidRPr="00DD2F64" w:rsidRDefault="00A45D0E" w:rsidP="00A45D0E">
      <w:pPr>
        <w:jc w:val="center"/>
        <w:rPr>
          <w:rFonts w:ascii="Arial" w:hAnsi="Arial" w:cs="Arial"/>
        </w:rPr>
      </w:pPr>
    </w:p>
    <w:p w:rsidR="00A45D0E" w:rsidRDefault="00A45D0E" w:rsidP="00A45D0E">
      <w:pPr>
        <w:jc w:val="center"/>
        <w:rPr>
          <w:rFonts w:ascii="Arial" w:hAnsi="Arial" w:cs="Arial"/>
        </w:rPr>
      </w:pPr>
    </w:p>
    <w:p w:rsidR="00A45D0E" w:rsidRDefault="00A45D0E" w:rsidP="009E070E">
      <w:pPr>
        <w:pStyle w:val="Nadpis2"/>
        <w:numPr>
          <w:ilvl w:val="0"/>
          <w:numId w:val="0"/>
        </w:numPr>
        <w:spacing w:before="0" w:after="0"/>
        <w:ind w:left="576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Komisia pre lieky</w:t>
      </w:r>
    </w:p>
    <w:p w:rsidR="00A45D0E" w:rsidRDefault="009E070E" w:rsidP="00A45D0E">
      <w:pPr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        </w:t>
      </w:r>
      <w:r w:rsidR="00A45D0E">
        <w:rPr>
          <w:rFonts w:ascii="Arial" w:hAnsi="Arial" w:cs="Arial"/>
          <w:smallCaps/>
          <w:sz w:val="20"/>
          <w:szCs w:val="20"/>
        </w:rPr>
        <w:t xml:space="preserve">Program rokovania  </w:t>
      </w:r>
    </w:p>
    <w:p w:rsidR="00A45D0E" w:rsidRDefault="00324DA2" w:rsidP="00A45D0E">
      <w:pPr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13.03.</w:t>
      </w:r>
      <w:r w:rsidR="009E070E">
        <w:rPr>
          <w:rFonts w:ascii="Arial" w:hAnsi="Arial" w:cs="Arial"/>
          <w:smallCaps/>
          <w:sz w:val="20"/>
          <w:szCs w:val="20"/>
        </w:rPr>
        <w:t>2019</w:t>
      </w:r>
    </w:p>
    <w:p w:rsidR="00A45D0E" w:rsidRDefault="00A45D0E" w:rsidP="00A45D0E">
      <w:pPr>
        <w:jc w:val="center"/>
        <w:rPr>
          <w:rFonts w:ascii="Arial" w:hAnsi="Arial" w:cs="Arial"/>
          <w:smallCaps/>
          <w:sz w:val="20"/>
          <w:szCs w:val="20"/>
        </w:rPr>
      </w:pPr>
    </w:p>
    <w:p w:rsidR="00A45D0E" w:rsidRDefault="00A45D0E" w:rsidP="00A45D0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A45D0E" w:rsidRDefault="00A45D0E" w:rsidP="00A45D0E">
      <w:pPr>
        <w:pStyle w:val="Zoznam"/>
        <w:numPr>
          <w:ilvl w:val="0"/>
          <w:numId w:val="10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programu</w:t>
      </w: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 a textu programu na zverejnenie na internete</w:t>
      </w: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</w:rPr>
      </w:pP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</w:rPr>
      </w:pP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       Zápis z KpL zo dňa </w:t>
      </w:r>
      <w:r w:rsidR="00324DA2">
        <w:rPr>
          <w:rFonts w:ascii="Arial" w:hAnsi="Arial" w:cs="Arial"/>
          <w:b/>
        </w:rPr>
        <w:t xml:space="preserve">13.02.2019 </w:t>
      </w:r>
      <w:r>
        <w:rPr>
          <w:rFonts w:ascii="Arial" w:hAnsi="Arial" w:cs="Arial"/>
          <w:b/>
        </w:rPr>
        <w:t>predch.  mesiac</w:t>
      </w: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Schválenia zápisu z predchádzajúceho zasadania</w:t>
      </w: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       Všeobecné a aktuálne otázky</w:t>
      </w: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  <w:b/>
        </w:rPr>
      </w:pP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45D0E" w:rsidRDefault="00A45D0E" w:rsidP="00A45D0E">
      <w:pPr>
        <w:pStyle w:val="Odsekzoznamu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       Konflikt záujmov</w:t>
      </w:r>
      <w:r>
        <w:rPr>
          <w:rFonts w:ascii="Arial" w:hAnsi="Arial" w:cs="Arial"/>
        </w:rPr>
        <w:t xml:space="preserve"> </w:t>
      </w:r>
    </w:p>
    <w:p w:rsidR="00A45D0E" w:rsidRDefault="00A45D0E" w:rsidP="00A45D0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Aktualizácia informácie vrátane súvislosti s programom zasadnutia</w:t>
      </w:r>
    </w:p>
    <w:p w:rsidR="00A45D0E" w:rsidRDefault="00A45D0E" w:rsidP="00A45D0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       Registrácia  </w:t>
      </w: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  <w:b/>
        </w:rPr>
      </w:pP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    Centralizovaný postup registrácie  </w:t>
      </w: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Správa z Výboru pre humánne lleky (CHMP)</w:t>
      </w:r>
    </w:p>
    <w:p w:rsidR="00A45D0E" w:rsidRDefault="00A45D0E" w:rsidP="00A45D0E">
      <w:pPr>
        <w:pStyle w:val="Zoznam"/>
        <w:ind w:left="567" w:hanging="567"/>
        <w:jc w:val="both"/>
        <w:rPr>
          <w:rFonts w:ascii="Arial" w:hAnsi="Arial" w:cs="Arial"/>
        </w:rPr>
      </w:pPr>
    </w:p>
    <w:p w:rsidR="00A45D0E" w:rsidRDefault="00200D7F" w:rsidP="00A45D0E">
      <w:pPr>
        <w:pStyle w:val="Zoznam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Správa z Výborov</w:t>
      </w:r>
    </w:p>
    <w:p w:rsidR="00A45D0E" w:rsidRDefault="00A45D0E" w:rsidP="00A45D0E">
      <w:pPr>
        <w:pStyle w:val="Zoznam"/>
        <w:ind w:left="567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 informáciu</w:t>
      </w: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i/>
        </w:rPr>
      </w:pPr>
    </w:p>
    <w:p w:rsidR="00A45D0E" w:rsidRDefault="00A45D0E" w:rsidP="00A45D0E">
      <w:pPr>
        <w:pStyle w:val="Zoznam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Žiadosti v procedúre podľa článku 29 Smernice 2001/83/ES „CMDh referral“</w:t>
      </w: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</w:rPr>
      </w:pPr>
    </w:p>
    <w:p w:rsidR="00A45D0E" w:rsidRDefault="00A45D0E" w:rsidP="00A45D0E">
      <w:pPr>
        <w:ind w:firstLine="567"/>
        <w:rPr>
          <w:rFonts w:ascii="Arial" w:hAnsi="Arial" w:cs="Arial"/>
          <w:sz w:val="20"/>
          <w:szCs w:val="20"/>
          <w:lang w:eastAsia="en-US"/>
        </w:rPr>
      </w:pP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v postupe vzájomného uznávania a decentralizovanom postupe (MRP, DCP)</w:t>
      </w: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b/>
        </w:rPr>
      </w:pPr>
    </w:p>
    <w:p w:rsidR="00A45D0E" w:rsidRDefault="00A45D0E" w:rsidP="00A45D0E">
      <w:pPr>
        <w:pStyle w:val="Zoznam"/>
        <w:ind w:left="0" w:firstLine="0"/>
        <w:jc w:val="both"/>
        <w:rPr>
          <w:rFonts w:ascii="Arial" w:hAnsi="Arial" w:cs="Arial"/>
          <w:b/>
          <w:u w:val="single"/>
        </w:rPr>
      </w:pP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Žiadosti v národnej procedúre (nové žiadosti o registráciu </w:t>
      </w:r>
      <w:r>
        <w:rPr>
          <w:rFonts w:ascii="Arial" w:hAnsi="Arial" w:cs="Arial"/>
          <w:b/>
          <w:i/>
          <w:u w:val="single"/>
        </w:rPr>
        <w:t>s vyznačením právneho základu – nové liečivo, odkaz na vedecké údaje, nová kombinácia, ostatné</w:t>
      </w:r>
      <w:r>
        <w:rPr>
          <w:rFonts w:ascii="Arial" w:hAnsi="Arial" w:cs="Arial"/>
          <w:b/>
          <w:u w:val="single"/>
        </w:rPr>
        <w:t>)</w:t>
      </w:r>
    </w:p>
    <w:p w:rsidR="00A45D0E" w:rsidRDefault="00A45D0E" w:rsidP="00A45D0E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A45D0E" w:rsidRDefault="00A45D0E" w:rsidP="00A45D0E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ab/>
        <w:t xml:space="preserve"> </w:t>
      </w:r>
      <w:r>
        <w:tab/>
        <w:t xml:space="preserve"> </w:t>
      </w: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 v národnej procedúre – nová indikácia (iné zásadné zmeny</w:t>
      </w:r>
      <w:bookmarkStart w:id="0" w:name="OLE_LINK8"/>
      <w:bookmarkStart w:id="1" w:name="OLE_LINK7"/>
      <w:r>
        <w:rPr>
          <w:rFonts w:ascii="Arial" w:hAnsi="Arial" w:cs="Arial"/>
          <w:b/>
        </w:rPr>
        <w:t>) ), nová lieková forma, nová sila</w:t>
      </w:r>
    </w:p>
    <w:bookmarkEnd w:id="0"/>
    <w:bookmarkEnd w:id="1"/>
    <w:p w:rsidR="00A45D0E" w:rsidRDefault="00A45D0E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E6EE4" w:rsidRDefault="00EE6EE4" w:rsidP="00EE6EE4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EE6EE4">
        <w:rPr>
          <w:rFonts w:ascii="Arial" w:hAnsi="Arial" w:cs="Arial"/>
          <w:sz w:val="20"/>
          <w:szCs w:val="20"/>
        </w:rPr>
        <w:t>TOCOFEROLI-ACETAT ALFA VITAMIN E-SLOVAKOFARMA</w:t>
      </w:r>
    </w:p>
    <w:p w:rsidR="00EE6EE4" w:rsidRDefault="00EE6EE4" w:rsidP="00EE6EE4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 cps</w:t>
      </w:r>
    </w:p>
    <w:p w:rsidR="00EE6EE4" w:rsidRDefault="00EE6EE4" w:rsidP="00EE6EE4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 2017/06937</w:t>
      </w:r>
    </w:p>
    <w:p w:rsidR="00EE6EE4" w:rsidRDefault="00EE6EE4" w:rsidP="00EE6EE4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86/</w:t>
      </w:r>
      <w:r w:rsidRPr="00EE6EE4">
        <w:t xml:space="preserve"> </w:t>
      </w:r>
      <w:r w:rsidRPr="00EE6EE4">
        <w:rPr>
          <w:rFonts w:ascii="Arial" w:hAnsi="Arial" w:cs="Arial"/>
        </w:rPr>
        <w:t>VITAMINA, VITAGENA</w:t>
      </w:r>
    </w:p>
    <w:p w:rsidR="00EE6EE4" w:rsidRDefault="00EE6EE4" w:rsidP="00EE6E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nie je viazaný na lekársky predpis</w:t>
      </w:r>
    </w:p>
    <w:p w:rsidR="00A45D0E" w:rsidRDefault="00A45D0E" w:rsidP="00A45D0E">
      <w:pPr>
        <w:rPr>
          <w:rFonts w:ascii="Arial" w:hAnsi="Arial" w:cs="Arial"/>
          <w:b/>
          <w:sz w:val="20"/>
          <w:szCs w:val="20"/>
          <w:u w:val="single"/>
        </w:rPr>
      </w:pPr>
    </w:p>
    <w:p w:rsidR="00CA21E2" w:rsidRDefault="00CA21E2" w:rsidP="00CA21E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1B2373">
        <w:rPr>
          <w:rFonts w:ascii="Arial" w:hAnsi="Arial" w:cs="Arial"/>
          <w:sz w:val="20"/>
          <w:szCs w:val="20"/>
        </w:rPr>
        <w:t>azathioprinum</w:t>
      </w:r>
    </w:p>
    <w:p w:rsidR="00CA21E2" w:rsidRDefault="00CA21E2" w:rsidP="00CA21E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1B2373">
        <w:rPr>
          <w:rFonts w:ascii="Arial" w:hAnsi="Arial" w:cs="Arial"/>
          <w:sz w:val="20"/>
          <w:szCs w:val="20"/>
        </w:rPr>
        <w:t>tbl flm</w:t>
      </w:r>
    </w:p>
    <w:p w:rsidR="00CA21E2" w:rsidRDefault="00CA21E2" w:rsidP="00CA21E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1B2373">
        <w:rPr>
          <w:rFonts w:ascii="Arial" w:hAnsi="Arial" w:cs="Arial"/>
        </w:rPr>
        <w:t>2013/04906-ZME</w:t>
      </w:r>
    </w:p>
    <w:p w:rsidR="00CA21E2" w:rsidRDefault="00CA21E2" w:rsidP="00CA21E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59/</w:t>
      </w:r>
      <w:r w:rsidRPr="001B2373">
        <w:t xml:space="preserve"> </w:t>
      </w:r>
      <w:r w:rsidRPr="001B2373">
        <w:rPr>
          <w:rFonts w:ascii="Arial" w:hAnsi="Arial" w:cs="Arial"/>
        </w:rPr>
        <w:t>IMMUNOPRAEPARATA</w:t>
      </w:r>
    </w:p>
    <w:p w:rsidR="00CA21E2" w:rsidRDefault="00CA21E2" w:rsidP="00CA2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A45D0E" w:rsidRDefault="00A45D0E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o zmenu klasifikácie lieku podľa spôsobu výdaja (</w:t>
      </w:r>
      <w:r>
        <w:rPr>
          <w:rFonts w:ascii="Arial" w:hAnsi="Arial" w:cs="Arial"/>
          <w:b/>
          <w:i/>
        </w:rPr>
        <w:t>všetky</w:t>
      </w:r>
      <w:r>
        <w:rPr>
          <w:rFonts w:ascii="Arial" w:hAnsi="Arial" w:cs="Arial"/>
          <w:b/>
        </w:rPr>
        <w:t>) - /</w:t>
      </w:r>
    </w:p>
    <w:p w:rsidR="00A45D0E" w:rsidRPr="00D81BF2" w:rsidRDefault="00A45D0E" w:rsidP="00D81BF2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:rsidR="00A45D0E" w:rsidRDefault="00A45D0E" w:rsidP="00A45D0E">
      <w:pPr>
        <w:pStyle w:val="Zoznam"/>
        <w:numPr>
          <w:ilvl w:val="1"/>
          <w:numId w:val="11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Žiadosti o zmenu registrácie lieku v národnej procedúre - rôzne</w:t>
      </w:r>
      <w:r>
        <w:rPr>
          <w:rFonts w:ascii="Arial" w:hAnsi="Arial" w:cs="Arial"/>
        </w:rPr>
        <w:t xml:space="preserve"> </w:t>
      </w:r>
    </w:p>
    <w:p w:rsidR="00A45D0E" w:rsidRDefault="00A45D0E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  <w:b/>
        </w:rPr>
      </w:pP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9738CF">
        <w:rPr>
          <w:rFonts w:ascii="Arial" w:hAnsi="Arial" w:cs="Arial"/>
          <w:sz w:val="20"/>
          <w:szCs w:val="20"/>
        </w:rPr>
        <w:t>digoxinum</w:t>
      </w: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324DA2">
        <w:rPr>
          <w:rFonts w:ascii="Arial" w:hAnsi="Arial" w:cs="Arial"/>
          <w:sz w:val="20"/>
          <w:szCs w:val="20"/>
        </w:rPr>
        <w:t xml:space="preserve">tbl 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9738CF">
        <w:rPr>
          <w:rFonts w:ascii="Arial" w:hAnsi="Arial" w:cs="Arial"/>
        </w:rPr>
        <w:t>2018/08149-ZME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41/</w:t>
      </w:r>
      <w:r w:rsidRPr="009738CF">
        <w:t xml:space="preserve"> </w:t>
      </w:r>
      <w:r w:rsidRPr="009738CF">
        <w:rPr>
          <w:rFonts w:ascii="Arial" w:hAnsi="Arial" w:cs="Arial"/>
        </w:rPr>
        <w:t>CARDIACA</w:t>
      </w:r>
    </w:p>
    <w:p w:rsidR="009738CF" w:rsidRDefault="009738CF" w:rsidP="00973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9738CF" w:rsidRDefault="009738CF" w:rsidP="009738CF">
      <w:pPr>
        <w:rPr>
          <w:rFonts w:ascii="Arial" w:hAnsi="Arial" w:cs="Arial"/>
          <w:sz w:val="20"/>
          <w:szCs w:val="20"/>
        </w:rPr>
      </w:pPr>
    </w:p>
    <w:p w:rsidR="00F9573F" w:rsidRDefault="00F9573F" w:rsidP="00F9573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583BDF">
        <w:rPr>
          <w:rFonts w:ascii="Arial" w:hAnsi="Arial" w:cs="Arial"/>
          <w:sz w:val="20"/>
          <w:szCs w:val="20"/>
        </w:rPr>
        <w:t>NADROPARINUM CALCICUM</w:t>
      </w:r>
    </w:p>
    <w:p w:rsidR="00F9573F" w:rsidRDefault="00F9573F" w:rsidP="00F9573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583BDF">
        <w:rPr>
          <w:rFonts w:ascii="Arial" w:hAnsi="Arial" w:cs="Arial"/>
          <w:sz w:val="20"/>
          <w:szCs w:val="20"/>
        </w:rPr>
        <w:t>sol inj</w:t>
      </w:r>
    </w:p>
    <w:p w:rsidR="00F9573F" w:rsidRDefault="00F9573F" w:rsidP="00F9573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583BDF">
        <w:rPr>
          <w:rFonts w:ascii="Arial" w:hAnsi="Arial" w:cs="Arial"/>
        </w:rPr>
        <w:t>2018/02497-ZME</w:t>
      </w:r>
    </w:p>
    <w:p w:rsidR="00F9573F" w:rsidRDefault="00F9573F" w:rsidP="00F9573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16/</w:t>
      </w:r>
      <w:r w:rsidRPr="00583BDF">
        <w:t xml:space="preserve"> </w:t>
      </w:r>
      <w:r w:rsidRPr="00583BDF">
        <w:rPr>
          <w:rFonts w:ascii="Arial" w:hAnsi="Arial" w:cs="Arial"/>
        </w:rPr>
        <w:t>ANTICOAGULANTIA (FIBRINOLYTICA, ANTIFIBRINOL.)</w:t>
      </w:r>
    </w:p>
    <w:p w:rsidR="00F9573F" w:rsidRDefault="00F9573F" w:rsidP="00F957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F9573F" w:rsidRDefault="00F9573F" w:rsidP="009738CF">
      <w:pPr>
        <w:rPr>
          <w:rFonts w:ascii="Arial" w:hAnsi="Arial" w:cs="Arial"/>
          <w:sz w:val="20"/>
          <w:szCs w:val="20"/>
        </w:rPr>
      </w:pP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="009462B2" w:rsidRPr="009462B2">
        <w:rPr>
          <w:rFonts w:ascii="Arial" w:hAnsi="Arial" w:cs="Arial"/>
          <w:sz w:val="20"/>
          <w:szCs w:val="20"/>
        </w:rPr>
        <w:t>hydrochlorothiazidum</w:t>
      </w: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324DA2">
        <w:rPr>
          <w:rFonts w:ascii="Arial" w:hAnsi="Arial" w:cs="Arial"/>
          <w:sz w:val="20"/>
          <w:szCs w:val="20"/>
        </w:rPr>
        <w:t xml:space="preserve">tbl 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="009462B2" w:rsidRPr="009462B2">
        <w:rPr>
          <w:rFonts w:ascii="Arial" w:hAnsi="Arial" w:cs="Arial"/>
        </w:rPr>
        <w:t>2018/01528-ZME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Terapeutická skupina: </w:t>
      </w:r>
      <w:r w:rsidR="009462B2">
        <w:rPr>
          <w:rFonts w:ascii="Arial" w:hAnsi="Arial" w:cs="Arial"/>
        </w:rPr>
        <w:t>50/</w:t>
      </w:r>
      <w:r w:rsidR="009462B2" w:rsidRPr="009462B2">
        <w:t xml:space="preserve"> </w:t>
      </w:r>
      <w:r w:rsidR="009462B2" w:rsidRPr="009462B2">
        <w:rPr>
          <w:rFonts w:ascii="Arial" w:hAnsi="Arial" w:cs="Arial"/>
        </w:rPr>
        <w:t>DIURETICA</w:t>
      </w:r>
    </w:p>
    <w:p w:rsidR="009738CF" w:rsidRDefault="009738CF" w:rsidP="00973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9738CF" w:rsidRDefault="009738CF" w:rsidP="00A45D0E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  <w:b/>
        </w:rPr>
      </w:pP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liečiva: </w:t>
      </w:r>
      <w:r w:rsidRPr="00324DA2">
        <w:rPr>
          <w:rFonts w:ascii="Arial" w:hAnsi="Arial" w:cs="Arial"/>
          <w:sz w:val="20"/>
          <w:szCs w:val="20"/>
        </w:rPr>
        <w:t>azathioprinum</w:t>
      </w:r>
    </w:p>
    <w:p w:rsidR="009738CF" w:rsidRDefault="009738CF" w:rsidP="009738CF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Lieková forma: </w:t>
      </w:r>
      <w:r w:rsidRPr="00324DA2">
        <w:rPr>
          <w:rFonts w:ascii="Arial" w:hAnsi="Arial" w:cs="Arial"/>
          <w:sz w:val="20"/>
          <w:szCs w:val="20"/>
        </w:rPr>
        <w:t>tbl flm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Evidenčné číslo: </w:t>
      </w:r>
      <w:r w:rsidRPr="00CA21E2">
        <w:rPr>
          <w:rFonts w:ascii="Arial" w:hAnsi="Arial" w:cs="Arial"/>
        </w:rPr>
        <w:t>2017/00676-ZME</w:t>
      </w:r>
    </w:p>
    <w:p w:rsidR="009738CF" w:rsidRDefault="009738CF" w:rsidP="009738CF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 59/</w:t>
      </w:r>
      <w:r w:rsidRPr="00324DA2">
        <w:t xml:space="preserve"> </w:t>
      </w:r>
      <w:r w:rsidRPr="00324DA2">
        <w:rPr>
          <w:rFonts w:ascii="Arial" w:hAnsi="Arial" w:cs="Arial"/>
        </w:rPr>
        <w:t>IMMUNOPRAEPARATA</w:t>
      </w:r>
    </w:p>
    <w:p w:rsidR="009738CF" w:rsidRDefault="009738CF" w:rsidP="00973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je viazaný na lekársky predpis</w:t>
      </w:r>
    </w:p>
    <w:p w:rsidR="00A416DB" w:rsidRDefault="00A416DB" w:rsidP="009738CF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402DA7">
        <w:rPr>
          <w:rFonts w:ascii="Arial" w:hAnsi="Arial" w:cs="Arial"/>
          <w:sz w:val="20"/>
          <w:szCs w:val="20"/>
        </w:rPr>
        <w:t xml:space="preserve"> </w:t>
      </w:r>
      <w:r w:rsidR="00402DA7" w:rsidRPr="00402DA7">
        <w:rPr>
          <w:rFonts w:ascii="Arial" w:hAnsi="Arial" w:cs="Arial"/>
          <w:sz w:val="20"/>
          <w:szCs w:val="20"/>
        </w:rPr>
        <w:t>azathioprinum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402DA7">
        <w:rPr>
          <w:rFonts w:ascii="Arial" w:hAnsi="Arial" w:cs="Arial"/>
          <w:sz w:val="20"/>
          <w:szCs w:val="20"/>
        </w:rPr>
        <w:t xml:space="preserve"> </w:t>
      </w:r>
      <w:r w:rsidR="00402DA7" w:rsidRPr="00324DA2">
        <w:rPr>
          <w:rFonts w:ascii="Arial" w:hAnsi="Arial" w:cs="Arial"/>
          <w:sz w:val="20"/>
          <w:szCs w:val="20"/>
        </w:rPr>
        <w:t>tbl flm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402DA7">
        <w:rPr>
          <w:rFonts w:ascii="Arial" w:hAnsi="Arial" w:cs="Arial"/>
        </w:rPr>
        <w:t xml:space="preserve"> </w:t>
      </w:r>
      <w:r w:rsidR="00402DA7" w:rsidRPr="00402DA7">
        <w:rPr>
          <w:rFonts w:ascii="Arial" w:hAnsi="Arial" w:cs="Arial"/>
        </w:rPr>
        <w:t>2017/00829-ZME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402DA7">
        <w:rPr>
          <w:rFonts w:ascii="Arial" w:hAnsi="Arial" w:cs="Arial"/>
        </w:rPr>
        <w:t xml:space="preserve"> 59/</w:t>
      </w:r>
      <w:r w:rsidR="00402DA7" w:rsidRPr="00324DA2">
        <w:t xml:space="preserve"> </w:t>
      </w:r>
      <w:r w:rsidR="00402DA7" w:rsidRPr="00324DA2">
        <w:rPr>
          <w:rFonts w:ascii="Arial" w:hAnsi="Arial" w:cs="Arial"/>
        </w:rPr>
        <w:t>IMMUNOPRAEPARATA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402DA7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F4281F">
        <w:rPr>
          <w:rFonts w:ascii="Arial" w:hAnsi="Arial" w:cs="Arial"/>
          <w:sz w:val="20"/>
          <w:szCs w:val="20"/>
        </w:rPr>
        <w:t xml:space="preserve"> </w:t>
      </w:r>
      <w:r w:rsidR="00F4281F" w:rsidRPr="00F4281F">
        <w:rPr>
          <w:rFonts w:ascii="Arial" w:hAnsi="Arial" w:cs="Arial"/>
          <w:sz w:val="20"/>
          <w:szCs w:val="20"/>
        </w:rPr>
        <w:t>KETOPROFENUM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F4281F">
        <w:rPr>
          <w:rFonts w:ascii="Arial" w:hAnsi="Arial" w:cs="Arial"/>
          <w:sz w:val="20"/>
          <w:szCs w:val="20"/>
        </w:rPr>
        <w:t xml:space="preserve"> cps dur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F4281F">
        <w:rPr>
          <w:rFonts w:ascii="Arial" w:hAnsi="Arial" w:cs="Arial"/>
        </w:rPr>
        <w:t xml:space="preserve"> </w:t>
      </w:r>
      <w:r w:rsidR="00F4281F" w:rsidRPr="00F4281F">
        <w:rPr>
          <w:rFonts w:ascii="Arial" w:eastAsia="Calibri" w:hAnsi="Arial" w:cs="Arial"/>
          <w:lang w:eastAsia="sk-SK"/>
        </w:rPr>
        <w:t>2018/07384-ZME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F4281F">
        <w:rPr>
          <w:rFonts w:ascii="Arial" w:hAnsi="Arial" w:cs="Arial"/>
        </w:rPr>
        <w:t>29/</w:t>
      </w:r>
      <w:r w:rsidR="00F4281F" w:rsidRPr="00F4281F">
        <w:t xml:space="preserve"> </w:t>
      </w:r>
      <w:r w:rsidR="00F4281F" w:rsidRPr="00F4281F">
        <w:rPr>
          <w:rFonts w:ascii="Arial" w:hAnsi="Arial" w:cs="Arial"/>
        </w:rPr>
        <w:t>ANTIRHEUMATICA, ANTIPHLOGISTICA, ANTIURATICA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 lieku ......viazaný na lekársky predpis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KETOPROFENUM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sol inj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697AFD">
        <w:rPr>
          <w:rFonts w:ascii="Arial" w:hAnsi="Arial" w:cs="Arial"/>
        </w:rPr>
        <w:t xml:space="preserve"> </w:t>
      </w:r>
      <w:r w:rsidR="00697AFD" w:rsidRPr="00697AFD">
        <w:rPr>
          <w:rFonts w:ascii="Arial" w:hAnsi="Arial" w:cs="Arial"/>
        </w:rPr>
        <w:t>2018/07325-ZME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697AFD">
        <w:rPr>
          <w:rFonts w:ascii="Arial" w:hAnsi="Arial" w:cs="Arial"/>
        </w:rPr>
        <w:t xml:space="preserve"> 29/</w:t>
      </w:r>
      <w:r w:rsidR="00697AFD" w:rsidRPr="00697AFD">
        <w:t xml:space="preserve"> </w:t>
      </w:r>
      <w:r w:rsidR="00697AFD" w:rsidRPr="00697AFD">
        <w:rPr>
          <w:rFonts w:ascii="Arial" w:eastAsia="Calibri" w:hAnsi="Arial" w:cs="Arial"/>
          <w:lang w:eastAsia="sk-SK"/>
        </w:rPr>
        <w:t>ANTIRHEUMATICA, ANTIPHLOGISTICA, ANTIURATICA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 w:rsidR="00697AFD">
        <w:rPr>
          <w:rFonts w:ascii="Arial" w:hAnsi="Arial" w:cs="Arial"/>
          <w:sz w:val="20"/>
          <w:szCs w:val="20"/>
        </w:rPr>
        <w:t xml:space="preserve">výdaj lieku 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PANCREATINUM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697AFD" w:rsidRPr="00697AFD">
        <w:rPr>
          <w:rFonts w:ascii="Arial" w:hAnsi="Arial" w:cs="Arial"/>
          <w:sz w:val="20"/>
          <w:szCs w:val="20"/>
        </w:rPr>
        <w:t>tbl ent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697AFD">
        <w:rPr>
          <w:rFonts w:ascii="Arial" w:hAnsi="Arial" w:cs="Arial"/>
        </w:rPr>
        <w:t xml:space="preserve"> </w:t>
      </w:r>
      <w:r w:rsidR="00697AFD" w:rsidRPr="00697AFD">
        <w:rPr>
          <w:rFonts w:ascii="Arial" w:hAnsi="Arial" w:cs="Arial"/>
        </w:rPr>
        <w:t>2018/06044-ZME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697AFD">
        <w:rPr>
          <w:rFonts w:ascii="Arial" w:hAnsi="Arial" w:cs="Arial"/>
        </w:rPr>
        <w:t xml:space="preserve"> 49/</w:t>
      </w:r>
      <w:r w:rsidR="00697AFD" w:rsidRPr="00697AFD">
        <w:t xml:space="preserve"> </w:t>
      </w:r>
      <w:r w:rsidR="00697AFD" w:rsidRPr="00697AFD">
        <w:rPr>
          <w:rFonts w:ascii="Arial" w:hAnsi="Arial" w:cs="Arial"/>
        </w:rPr>
        <w:t>DIGESTIVA, ADSORBENTIA, ACIDA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697AFD">
        <w:rPr>
          <w:rFonts w:ascii="Arial" w:hAnsi="Arial" w:cs="Arial"/>
          <w:sz w:val="20"/>
          <w:szCs w:val="20"/>
        </w:rPr>
        <w:t xml:space="preserve">nie 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697AFD">
        <w:rPr>
          <w:rFonts w:ascii="Arial" w:hAnsi="Arial" w:cs="Arial"/>
          <w:sz w:val="20"/>
          <w:szCs w:val="20"/>
        </w:rPr>
        <w:t xml:space="preserve"> </w:t>
      </w:r>
      <w:r w:rsidR="00EE6EE4">
        <w:rPr>
          <w:rFonts w:ascii="Arial" w:hAnsi="Arial" w:cs="Arial"/>
          <w:sz w:val="20"/>
          <w:szCs w:val="20"/>
        </w:rPr>
        <w:t>granum pollinis extractum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EE6EE4">
        <w:rPr>
          <w:rFonts w:ascii="Arial" w:hAnsi="Arial" w:cs="Arial"/>
          <w:sz w:val="20"/>
          <w:szCs w:val="20"/>
        </w:rPr>
        <w:t xml:space="preserve"> sus inj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EE6EE4">
        <w:rPr>
          <w:rFonts w:ascii="Arial" w:hAnsi="Arial" w:cs="Arial"/>
        </w:rPr>
        <w:t xml:space="preserve"> 2017/02664-ZME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EE6EE4">
        <w:rPr>
          <w:rFonts w:ascii="Arial" w:hAnsi="Arial" w:cs="Arial"/>
        </w:rPr>
        <w:t xml:space="preserve"> 59/</w:t>
      </w:r>
      <w:r w:rsidR="00EE6EE4" w:rsidRPr="00EE6EE4">
        <w:t xml:space="preserve"> </w:t>
      </w:r>
      <w:r w:rsidR="00EE6EE4" w:rsidRPr="00EE6EE4">
        <w:rPr>
          <w:rFonts w:ascii="Arial" w:hAnsi="Arial" w:cs="Arial"/>
        </w:rPr>
        <w:t>IMMUNOPRAEPARATA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 w:rsidR="00EE6EE4">
        <w:rPr>
          <w:rFonts w:ascii="Arial" w:hAnsi="Arial" w:cs="Arial"/>
          <w:sz w:val="20"/>
          <w:szCs w:val="20"/>
        </w:rPr>
        <w:t xml:space="preserve">výdaj lieku 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EE6EE4">
        <w:rPr>
          <w:rFonts w:ascii="Arial" w:hAnsi="Arial" w:cs="Arial"/>
          <w:sz w:val="20"/>
          <w:szCs w:val="20"/>
        </w:rPr>
        <w:t xml:space="preserve"> </w:t>
      </w:r>
      <w:r w:rsidR="00EE6EE4" w:rsidRPr="00EE6EE4">
        <w:rPr>
          <w:rFonts w:ascii="Arial" w:hAnsi="Arial" w:cs="Arial"/>
          <w:sz w:val="20"/>
          <w:szCs w:val="20"/>
        </w:rPr>
        <w:t>METHYLPRENISOLONUM,  METHYLPREDNISOLONI NATRII SUCCINAS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EE6EE4">
        <w:rPr>
          <w:rFonts w:ascii="Arial" w:hAnsi="Arial" w:cs="Arial"/>
          <w:sz w:val="20"/>
          <w:szCs w:val="20"/>
        </w:rPr>
        <w:t xml:space="preserve"> </w:t>
      </w:r>
      <w:r w:rsidR="00EE6EE4" w:rsidRPr="00EE6EE4">
        <w:rPr>
          <w:rFonts w:ascii="Arial" w:hAnsi="Arial" w:cs="Arial"/>
          <w:sz w:val="20"/>
          <w:szCs w:val="20"/>
        </w:rPr>
        <w:t>plv iol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EE6EE4">
        <w:rPr>
          <w:rFonts w:ascii="Arial" w:hAnsi="Arial" w:cs="Arial"/>
        </w:rPr>
        <w:t xml:space="preserve"> </w:t>
      </w:r>
      <w:r w:rsidR="00EE6EE4" w:rsidRPr="00EE6EE4">
        <w:rPr>
          <w:rFonts w:ascii="Arial" w:hAnsi="Arial" w:cs="Arial"/>
        </w:rPr>
        <w:t>2017/00745-ZME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EE6EE4">
        <w:rPr>
          <w:rFonts w:ascii="Arial" w:hAnsi="Arial" w:cs="Arial"/>
        </w:rPr>
        <w:t xml:space="preserve"> 56/</w:t>
      </w:r>
      <w:r w:rsidR="00EE6EE4" w:rsidRPr="00EE6EE4">
        <w:t xml:space="preserve"> </w:t>
      </w:r>
      <w:r w:rsidR="00EE6EE4" w:rsidRPr="00EE6EE4">
        <w:rPr>
          <w:rFonts w:ascii="Arial" w:hAnsi="Arial" w:cs="Arial"/>
        </w:rPr>
        <w:t>HORMONA (LIEČIVA S HORMONÁLNOU AKTIVITOU)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1D5355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Žiadateľ:</w:t>
      </w:r>
      <w:r w:rsidR="00A34492">
        <w:rPr>
          <w:rFonts w:ascii="Arial" w:hAnsi="Arial" w:cs="Arial"/>
          <w:sz w:val="20"/>
          <w:szCs w:val="20"/>
        </w:rPr>
        <w:t xml:space="preserve"> </w:t>
      </w:r>
      <w:r w:rsidR="00A34492" w:rsidRPr="00EE6EE4">
        <w:rPr>
          <w:rFonts w:ascii="Arial" w:hAnsi="Arial" w:cs="Arial"/>
          <w:sz w:val="20"/>
          <w:szCs w:val="20"/>
        </w:rPr>
        <w:t>Pfizer Europe MA EEIG, Sandwich, Kent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A34492">
        <w:rPr>
          <w:rFonts w:ascii="Arial" w:hAnsi="Arial" w:cs="Arial"/>
          <w:sz w:val="20"/>
          <w:szCs w:val="20"/>
        </w:rPr>
        <w:t xml:space="preserve"> </w:t>
      </w:r>
      <w:r w:rsidR="00A34492" w:rsidRPr="00EE6EE4">
        <w:rPr>
          <w:rFonts w:ascii="Arial" w:hAnsi="Arial" w:cs="Arial"/>
          <w:sz w:val="20"/>
          <w:szCs w:val="20"/>
        </w:rPr>
        <w:t>METHYLPRENISOLONUM,  METHYLPREDNISOLONI NATRII SUCCINAS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A34492">
        <w:rPr>
          <w:rFonts w:ascii="Arial" w:hAnsi="Arial" w:cs="Arial"/>
          <w:sz w:val="20"/>
          <w:szCs w:val="20"/>
        </w:rPr>
        <w:t xml:space="preserve"> </w:t>
      </w:r>
      <w:r w:rsidR="00A34492" w:rsidRPr="00EE6EE4">
        <w:rPr>
          <w:rFonts w:ascii="Arial" w:hAnsi="Arial" w:cs="Arial"/>
          <w:sz w:val="20"/>
          <w:szCs w:val="20"/>
        </w:rPr>
        <w:t>plv iol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A34492">
        <w:rPr>
          <w:rFonts w:ascii="Arial" w:hAnsi="Arial" w:cs="Arial"/>
        </w:rPr>
        <w:t xml:space="preserve"> </w:t>
      </w:r>
      <w:r w:rsidR="00A34492" w:rsidRPr="00A34492">
        <w:rPr>
          <w:rFonts w:ascii="Arial" w:hAnsi="Arial" w:cs="Arial"/>
        </w:rPr>
        <w:t>2018/00868-ZME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A34492">
        <w:rPr>
          <w:rFonts w:ascii="Arial" w:hAnsi="Arial" w:cs="Arial"/>
        </w:rPr>
        <w:t xml:space="preserve"> 56/</w:t>
      </w:r>
      <w:r w:rsidR="00A34492" w:rsidRPr="00A34492">
        <w:t xml:space="preserve"> </w:t>
      </w:r>
      <w:r w:rsidR="00A34492" w:rsidRPr="00A34492">
        <w:rPr>
          <w:rFonts w:ascii="Arial" w:hAnsi="Arial" w:cs="Arial"/>
        </w:rPr>
        <w:t>HORMONA (LIEČIVA S HORMONÁLNOU AKTIVITOU)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A34492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324DA2" w:rsidRDefault="00324DA2" w:rsidP="00A45D0E">
      <w:pPr>
        <w:rPr>
          <w:rFonts w:ascii="Arial" w:hAnsi="Arial" w:cs="Arial"/>
          <w:sz w:val="20"/>
          <w:szCs w:val="20"/>
        </w:rPr>
      </w:pP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3F1F05">
        <w:rPr>
          <w:rFonts w:ascii="Arial" w:hAnsi="Arial" w:cs="Arial"/>
          <w:sz w:val="20"/>
          <w:szCs w:val="20"/>
        </w:rPr>
        <w:t xml:space="preserve"> warfarín</w:t>
      </w:r>
    </w:p>
    <w:p w:rsidR="00324DA2" w:rsidRDefault="00324DA2" w:rsidP="00324DA2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3F1F05">
        <w:rPr>
          <w:rFonts w:ascii="Arial" w:hAnsi="Arial" w:cs="Arial"/>
          <w:sz w:val="20"/>
          <w:szCs w:val="20"/>
        </w:rPr>
        <w:t xml:space="preserve"> tbl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3F1F05">
        <w:rPr>
          <w:rFonts w:ascii="Arial" w:hAnsi="Arial" w:cs="Arial"/>
        </w:rPr>
        <w:t xml:space="preserve"> 2017/02761</w:t>
      </w:r>
    </w:p>
    <w:p w:rsidR="00324DA2" w:rsidRDefault="00324DA2" w:rsidP="00324DA2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3F1F05">
        <w:rPr>
          <w:rFonts w:ascii="Arial" w:hAnsi="Arial" w:cs="Arial"/>
        </w:rPr>
        <w:t xml:space="preserve"> 16/</w:t>
      </w:r>
      <w:r w:rsidR="003F1F05" w:rsidRPr="003F1F05">
        <w:t xml:space="preserve"> </w:t>
      </w:r>
      <w:r w:rsidR="003F1F05" w:rsidRPr="003F1F05">
        <w:rPr>
          <w:rFonts w:ascii="Arial" w:hAnsi="Arial" w:cs="Arial"/>
        </w:rPr>
        <w:t>ANTICOAGULANTIA (FIBRINOLYTICA, ANTIFIBRINOL.)</w:t>
      </w:r>
    </w:p>
    <w:p w:rsidR="00324DA2" w:rsidRDefault="00324DA2" w:rsidP="00324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3F1F05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C02F1C" w:rsidRDefault="00C02F1C" w:rsidP="00A45D0E">
      <w:pPr>
        <w:rPr>
          <w:rFonts w:ascii="Arial" w:hAnsi="Arial" w:cs="Arial"/>
          <w:b/>
          <w:sz w:val="20"/>
          <w:szCs w:val="20"/>
          <w:u w:val="single"/>
        </w:rPr>
      </w:pPr>
    </w:p>
    <w:p w:rsidR="00F24BBB" w:rsidRDefault="00F24BBB" w:rsidP="00F24BBB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liečiva:</w:t>
      </w:r>
      <w:r w:rsidR="00CA21E2">
        <w:rPr>
          <w:rFonts w:ascii="Arial" w:hAnsi="Arial" w:cs="Arial"/>
          <w:sz w:val="20"/>
          <w:szCs w:val="20"/>
        </w:rPr>
        <w:t xml:space="preserve"> </w:t>
      </w:r>
      <w:r w:rsidR="00CA21E2" w:rsidRPr="00CA21E2">
        <w:rPr>
          <w:rFonts w:ascii="Arial" w:hAnsi="Arial" w:cs="Arial"/>
          <w:sz w:val="20"/>
          <w:szCs w:val="20"/>
        </w:rPr>
        <w:t>JODID SODNY (J 131),  J 131 ako JODIDUM NATRICUM</w:t>
      </w:r>
    </w:p>
    <w:p w:rsidR="00F24BBB" w:rsidRDefault="00F24BBB" w:rsidP="00F24BBB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Lieková forma:</w:t>
      </w:r>
      <w:r w:rsidR="00CA21E2">
        <w:rPr>
          <w:rFonts w:ascii="Arial" w:hAnsi="Arial" w:cs="Arial"/>
          <w:sz w:val="20"/>
          <w:szCs w:val="20"/>
        </w:rPr>
        <w:t xml:space="preserve"> </w:t>
      </w:r>
      <w:r w:rsidR="00CA21E2" w:rsidRPr="00CA21E2">
        <w:rPr>
          <w:rFonts w:ascii="Arial" w:hAnsi="Arial" w:cs="Arial"/>
          <w:sz w:val="20"/>
          <w:szCs w:val="20"/>
        </w:rPr>
        <w:t>cps dur</w:t>
      </w:r>
    </w:p>
    <w:p w:rsidR="00F24BBB" w:rsidRDefault="00F24BBB" w:rsidP="00F24BBB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Evidenčné číslo:</w:t>
      </w:r>
      <w:r w:rsidR="00CA21E2">
        <w:rPr>
          <w:rFonts w:ascii="Arial" w:hAnsi="Arial" w:cs="Arial"/>
        </w:rPr>
        <w:t xml:space="preserve"> </w:t>
      </w:r>
      <w:r w:rsidR="00CA21E2" w:rsidRPr="00CA21E2">
        <w:rPr>
          <w:rFonts w:ascii="Arial" w:hAnsi="Arial" w:cs="Arial"/>
        </w:rPr>
        <w:t>2017/01278-ZME</w:t>
      </w:r>
    </w:p>
    <w:p w:rsidR="00F24BBB" w:rsidRDefault="00F24BBB" w:rsidP="00F24BBB">
      <w:pPr>
        <w:pStyle w:val="Zoznam"/>
        <w:tabs>
          <w:tab w:val="left" w:pos="54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Terapeutická skupina:</w:t>
      </w:r>
      <w:r w:rsidR="00CA21E2">
        <w:rPr>
          <w:rFonts w:ascii="Arial" w:hAnsi="Arial" w:cs="Arial"/>
        </w:rPr>
        <w:t xml:space="preserve"> 88/</w:t>
      </w:r>
      <w:r w:rsidR="00CA21E2" w:rsidRPr="00CA21E2">
        <w:t xml:space="preserve"> </w:t>
      </w:r>
      <w:r w:rsidR="00CA21E2" w:rsidRPr="00CA21E2">
        <w:rPr>
          <w:rFonts w:ascii="Arial" w:hAnsi="Arial" w:cs="Arial"/>
        </w:rPr>
        <w:t>RADIOPHARMACA</w:t>
      </w:r>
    </w:p>
    <w:p w:rsidR="00F24BBB" w:rsidRDefault="00F24BBB" w:rsidP="00F24B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výdaja lieku:</w:t>
      </w:r>
      <w:r w:rsidRPr="00D15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výdaj lieku </w:t>
      </w:r>
      <w:r w:rsidR="00CA21E2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viazaný na lekársky predpis</w:t>
      </w:r>
    </w:p>
    <w:p w:rsidR="00F24BBB" w:rsidRDefault="00F24BBB" w:rsidP="00A45D0E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2"/>
    </w:p>
    <w:p w:rsidR="00C02F1C" w:rsidRDefault="00C02F1C" w:rsidP="00C02F1C">
      <w:pPr>
        <w:pStyle w:val="Zoznam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5.9  </w:t>
      </w:r>
      <w:r>
        <w:rPr>
          <w:rFonts w:ascii="Arial" w:hAnsi="Arial" w:cs="Arial"/>
          <w:b/>
          <w:bCs/>
        </w:rPr>
        <w:t>Žiadosti o zmenu registrácie lieku v národnej procedúre – worksharing – pre informáciu</w:t>
      </w:r>
    </w:p>
    <w:p w:rsidR="00A45D0E" w:rsidRDefault="00A45D0E" w:rsidP="00A45D0E">
      <w:pPr>
        <w:rPr>
          <w:rFonts w:ascii="Arial" w:hAnsi="Arial" w:cs="Arial"/>
          <w:sz w:val="20"/>
          <w:szCs w:val="20"/>
        </w:rPr>
      </w:pPr>
    </w:p>
    <w:p w:rsidR="00A45D0E" w:rsidRDefault="00C02F1C" w:rsidP="00A45D0E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5.10 </w:t>
      </w:r>
      <w:r w:rsidR="00A45D0E">
        <w:rPr>
          <w:rFonts w:ascii="Arial" w:hAnsi="Arial" w:cs="Arial"/>
          <w:b/>
          <w:sz w:val="20"/>
          <w:szCs w:val="20"/>
        </w:rPr>
        <w:t xml:space="preserve">Zápis zo subkomisie pre generické lieky zo dňa </w:t>
      </w:r>
      <w:r w:rsidR="009462B2">
        <w:rPr>
          <w:rFonts w:ascii="Arial" w:hAnsi="Arial" w:cs="Arial"/>
          <w:b/>
          <w:sz w:val="20"/>
          <w:szCs w:val="20"/>
        </w:rPr>
        <w:t>–</w:t>
      </w:r>
      <w:r w:rsidR="00A45D0E">
        <w:rPr>
          <w:rFonts w:ascii="Arial" w:hAnsi="Arial" w:cs="Arial"/>
          <w:b/>
          <w:sz w:val="20"/>
          <w:szCs w:val="20"/>
        </w:rPr>
        <w:t xml:space="preserve"> </w:t>
      </w:r>
      <w:r w:rsidR="009462B2">
        <w:rPr>
          <w:rFonts w:ascii="Arial" w:hAnsi="Arial" w:cs="Arial"/>
          <w:b/>
          <w:sz w:val="20"/>
          <w:szCs w:val="20"/>
        </w:rPr>
        <w:t xml:space="preserve">nekonala sa </w:t>
      </w:r>
    </w:p>
    <w:p w:rsidR="00A45D0E" w:rsidRPr="00D81BF2" w:rsidRDefault="00A45D0E" w:rsidP="00D81BF2">
      <w:pPr>
        <w:pStyle w:val="Zoznam"/>
        <w:tabs>
          <w:tab w:val="left" w:pos="540"/>
        </w:tabs>
        <w:ind w:left="0" w:firstLine="0"/>
        <w:jc w:val="both"/>
        <w:rPr>
          <w:rFonts w:ascii="Arial" w:hAnsi="Arial" w:cs="Arial"/>
        </w:rPr>
      </w:pPr>
      <w:r>
        <w:tab/>
      </w:r>
    </w:p>
    <w:p w:rsidR="00A45D0E" w:rsidRDefault="00A45D0E" w:rsidP="00A45D0E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6.</w:t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  <w:u w:val="single"/>
        </w:rPr>
        <w:t>Rôzne</w:t>
      </w:r>
    </w:p>
    <w:p w:rsidR="00A45D0E" w:rsidRDefault="00A45D0E" w:rsidP="00A45D0E">
      <w:pPr>
        <w:pStyle w:val="Prvzarkazkladnhotextu2"/>
        <w:tabs>
          <w:tab w:val="left" w:pos="720"/>
        </w:tabs>
        <w:spacing w:after="0"/>
        <w:ind w:left="0" w:firstLine="0"/>
        <w:rPr>
          <w:rFonts w:ascii="Arial" w:hAnsi="Arial" w:cs="Arial"/>
          <w:b/>
          <w:u w:val="single"/>
        </w:rPr>
      </w:pPr>
    </w:p>
    <w:p w:rsidR="00A45D0E" w:rsidRDefault="00A45D0E" w:rsidP="00A45D0E">
      <w:pPr>
        <w:pStyle w:val="Prvzarkazkladnhotextu2"/>
        <w:tabs>
          <w:tab w:val="left" w:pos="720"/>
        </w:tabs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7.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>Klinické skúšanie</w:t>
      </w:r>
      <w:r>
        <w:rPr>
          <w:rFonts w:ascii="Arial" w:hAnsi="Arial" w:cs="Arial"/>
          <w:b/>
        </w:rPr>
        <w:t xml:space="preserve">  </w:t>
      </w:r>
    </w:p>
    <w:p w:rsidR="00A45D0E" w:rsidRDefault="00A45D0E" w:rsidP="006362F8">
      <w:pPr>
        <w:keepNext/>
        <w:widowControl w:val="0"/>
        <w:rPr>
          <w:noProof w:val="0"/>
          <w:color w:val="000000"/>
        </w:rPr>
      </w:pPr>
    </w:p>
    <w:sectPr w:rsidR="00A45D0E" w:rsidSect="00E33AAF"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19" w:rsidRDefault="00B03819" w:rsidP="003A2FBA">
      <w:r>
        <w:separator/>
      </w:r>
    </w:p>
  </w:endnote>
  <w:endnote w:type="continuationSeparator" w:id="0">
    <w:p w:rsidR="00B03819" w:rsidRDefault="00B03819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9E" w:rsidRPr="00AC11B3" w:rsidRDefault="008E309E" w:rsidP="00603D14">
    <w:pPr>
      <w:pStyle w:val="Pta"/>
      <w:jc w:val="center"/>
      <w:rPr>
        <w:rFonts w:ascii="Arial Narrow" w:hAnsi="Arial Narrow"/>
        <w:b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08" w:rsidRPr="00AC11B3" w:rsidRDefault="00386C08" w:rsidP="00603D14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19" w:rsidRDefault="00B03819" w:rsidP="003A2FBA">
      <w:r>
        <w:separator/>
      </w:r>
    </w:p>
  </w:footnote>
  <w:footnote w:type="continuationSeparator" w:id="0">
    <w:p w:rsidR="00B03819" w:rsidRDefault="00B03819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0"/>
      <w:gridCol w:w="6804"/>
    </w:tblGrid>
    <w:tr w:rsidR="00D60E47" w:rsidRPr="00AC11B3" w:rsidTr="0079030E">
      <w:trPr>
        <w:trHeight w:hRule="exact" w:val="1049"/>
        <w:jc w:val="center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86C08" w:rsidRPr="00AC11B3" w:rsidRDefault="00B03819" w:rsidP="00396776">
          <w:pPr>
            <w:pStyle w:val="Hlavika"/>
            <w:rPr>
              <w:color w:val="000000"/>
            </w:rPr>
          </w:pPr>
          <w:r>
            <w:rPr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5086985</wp:posOffset>
                    </wp:positionV>
                    <wp:extent cx="144145" cy="0"/>
                    <wp:effectExtent l="13970" t="10160" r="13335" b="889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A39C35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4.4pt;margin-top:400.55pt;width:11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6795770</wp:posOffset>
                    </wp:positionV>
                    <wp:extent cx="144145" cy="0"/>
                    <wp:effectExtent l="13970" t="13970" r="13335" b="5080"/>
                    <wp:wrapNone/>
                    <wp:docPr id="4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62D440F0" id="AutoShape 3" o:spid="_x0000_s1026" type="#_x0000_t32" style="position:absolute;margin-left:-24.4pt;margin-top:535.1pt;width:11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7216" behindDoc="0" locked="1" layoutInCell="1" allowOverlap="1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3264535</wp:posOffset>
                    </wp:positionV>
                    <wp:extent cx="144145" cy="0"/>
                    <wp:effectExtent l="8890" t="6985" r="8890" b="1206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74CDF26F" id="AutoShape 2" o:spid="_x0000_s1026" type="#_x0000_t32" style="position:absolute;margin-left:-24.05pt;margin-top:257.05pt;width:1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DIIAIAADoEAAAOAAAAZHJzL2Uyb0RvYy54bWysU02P2yAQvVfqf0Dcs7YTJ02sOKuVnfSy&#10;7Uba7Q8ggG1UDAhInKjqf+9APpRtL1XVCx48M2/ezDy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color w:val="000000"/>
            </w:rPr>
            <w:drawing>
              <wp:inline distT="0" distB="0" distL="0" distR="0">
                <wp:extent cx="1619250" cy="619125"/>
                <wp:effectExtent l="0" t="0" r="0" b="9525"/>
                <wp:docPr id="1" name="Obrázok 1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86C08" w:rsidRPr="00F61D98" w:rsidRDefault="00386C08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F61D98">
            <w:rPr>
              <w:rFonts w:ascii="Arial Narrow" w:hAnsi="Arial Narrow"/>
              <w:b/>
              <w:color w:val="006093"/>
              <w:sz w:val="22"/>
            </w:rPr>
            <w:t>ŠTÁTNY ÚSTAV PRE KONTROLU LIEČIV</w:t>
          </w:r>
        </w:p>
        <w:p w:rsidR="000B0DD5" w:rsidRPr="00AC11B3" w:rsidRDefault="00386C08" w:rsidP="000B0DD5">
          <w:pPr>
            <w:pStyle w:val="Hlavika"/>
            <w:jc w:val="right"/>
            <w:rPr>
              <w:rFonts w:ascii="Arial Narrow" w:hAnsi="Arial Narrow"/>
              <w:b/>
              <w:color w:val="000000"/>
              <w:sz w:val="20"/>
            </w:rPr>
          </w:pPr>
          <w:r w:rsidRPr="00F61D98">
            <w:rPr>
              <w:rFonts w:ascii="Arial Narrow" w:hAnsi="Arial Narrow"/>
              <w:b/>
              <w:color w:val="006093"/>
              <w:sz w:val="22"/>
            </w:rPr>
            <w:t>Kvetná 11, 825 08 Bratislava 26</w:t>
          </w:r>
        </w:p>
      </w:tc>
    </w:tr>
  </w:tbl>
  <w:p w:rsidR="00386C08" w:rsidRPr="00AC11B3" w:rsidRDefault="00B03819" w:rsidP="00386C08">
    <w:pPr>
      <w:pStyle w:val="Hlavika"/>
      <w:rPr>
        <w:color w:val="000000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972185</wp:posOffset>
              </wp:positionV>
              <wp:extent cx="5920740" cy="0"/>
              <wp:effectExtent l="9525" t="10160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07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0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A14E1CE" id="AutoShape 1" o:spid="_x0000_s1026" type="#_x0000_t32" style="position:absolute;margin-left:0;margin-top:76.55pt;width:466.2pt;height:0;z-index:251656192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" strokecolor="#006093" strokeweight=".5pt"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240458CE"/>
    <w:multiLevelType w:val="multilevel"/>
    <w:tmpl w:val="00A4FB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044068"/>
    <w:multiLevelType w:val="multilevel"/>
    <w:tmpl w:val="2ADED2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0EB6EF4"/>
    <w:multiLevelType w:val="multilevel"/>
    <w:tmpl w:val="944808E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19"/>
    <w:rsid w:val="00010B23"/>
    <w:rsid w:val="0006706D"/>
    <w:rsid w:val="00073886"/>
    <w:rsid w:val="00087DA6"/>
    <w:rsid w:val="000A49BB"/>
    <w:rsid w:val="000B0DD5"/>
    <w:rsid w:val="000B7343"/>
    <w:rsid w:val="000D21ED"/>
    <w:rsid w:val="000F5A6C"/>
    <w:rsid w:val="00133961"/>
    <w:rsid w:val="0016003F"/>
    <w:rsid w:val="00196D0D"/>
    <w:rsid w:val="001A7FAA"/>
    <w:rsid w:val="001B2373"/>
    <w:rsid w:val="001D1D8D"/>
    <w:rsid w:val="001D5355"/>
    <w:rsid w:val="001D53F2"/>
    <w:rsid w:val="001E0FA6"/>
    <w:rsid w:val="001F421B"/>
    <w:rsid w:val="001F6EE4"/>
    <w:rsid w:val="00200D7F"/>
    <w:rsid w:val="002176C6"/>
    <w:rsid w:val="00243A9A"/>
    <w:rsid w:val="002440C9"/>
    <w:rsid w:val="002667CB"/>
    <w:rsid w:val="002A47ED"/>
    <w:rsid w:val="002B25D5"/>
    <w:rsid w:val="003023C1"/>
    <w:rsid w:val="0030249D"/>
    <w:rsid w:val="00321D8E"/>
    <w:rsid w:val="00322F6C"/>
    <w:rsid w:val="00324DA2"/>
    <w:rsid w:val="003850C1"/>
    <w:rsid w:val="00386C08"/>
    <w:rsid w:val="00393F39"/>
    <w:rsid w:val="00396776"/>
    <w:rsid w:val="003A2FBA"/>
    <w:rsid w:val="003D671E"/>
    <w:rsid w:val="003F1F05"/>
    <w:rsid w:val="003F76BA"/>
    <w:rsid w:val="00402DA7"/>
    <w:rsid w:val="004215C6"/>
    <w:rsid w:val="004317F7"/>
    <w:rsid w:val="00432E87"/>
    <w:rsid w:val="004444D9"/>
    <w:rsid w:val="0044755F"/>
    <w:rsid w:val="00486A86"/>
    <w:rsid w:val="004A5FC2"/>
    <w:rsid w:val="004B2213"/>
    <w:rsid w:val="004C0298"/>
    <w:rsid w:val="005302EC"/>
    <w:rsid w:val="00534A26"/>
    <w:rsid w:val="00535A9C"/>
    <w:rsid w:val="00540776"/>
    <w:rsid w:val="00550859"/>
    <w:rsid w:val="0057761C"/>
    <w:rsid w:val="00583BDF"/>
    <w:rsid w:val="005A3E78"/>
    <w:rsid w:val="005B4D17"/>
    <w:rsid w:val="005C00E9"/>
    <w:rsid w:val="005D7173"/>
    <w:rsid w:val="00603D14"/>
    <w:rsid w:val="00605C97"/>
    <w:rsid w:val="006362F8"/>
    <w:rsid w:val="0066305C"/>
    <w:rsid w:val="00674AE8"/>
    <w:rsid w:val="00686454"/>
    <w:rsid w:val="00697AFD"/>
    <w:rsid w:val="006A06B0"/>
    <w:rsid w:val="006A60A8"/>
    <w:rsid w:val="006B5B86"/>
    <w:rsid w:val="006D5F79"/>
    <w:rsid w:val="007024FF"/>
    <w:rsid w:val="00714670"/>
    <w:rsid w:val="0072224C"/>
    <w:rsid w:val="007238FD"/>
    <w:rsid w:val="00725641"/>
    <w:rsid w:val="00734C80"/>
    <w:rsid w:val="00756F96"/>
    <w:rsid w:val="00764E26"/>
    <w:rsid w:val="00765D8C"/>
    <w:rsid w:val="0079030E"/>
    <w:rsid w:val="00793F9C"/>
    <w:rsid w:val="007E6AC1"/>
    <w:rsid w:val="007E7176"/>
    <w:rsid w:val="007F610C"/>
    <w:rsid w:val="00811612"/>
    <w:rsid w:val="00814D2B"/>
    <w:rsid w:val="00824A60"/>
    <w:rsid w:val="0086378B"/>
    <w:rsid w:val="008741C3"/>
    <w:rsid w:val="00887D15"/>
    <w:rsid w:val="008A3A65"/>
    <w:rsid w:val="008C409F"/>
    <w:rsid w:val="008E309E"/>
    <w:rsid w:val="008E73CF"/>
    <w:rsid w:val="008F3410"/>
    <w:rsid w:val="009077B4"/>
    <w:rsid w:val="00913EF5"/>
    <w:rsid w:val="00915A73"/>
    <w:rsid w:val="009462B2"/>
    <w:rsid w:val="00953D9A"/>
    <w:rsid w:val="009738CF"/>
    <w:rsid w:val="00974439"/>
    <w:rsid w:val="00992FFF"/>
    <w:rsid w:val="00997853"/>
    <w:rsid w:val="009B1C23"/>
    <w:rsid w:val="009B373F"/>
    <w:rsid w:val="009E070E"/>
    <w:rsid w:val="009E40F9"/>
    <w:rsid w:val="009F3E42"/>
    <w:rsid w:val="00A34492"/>
    <w:rsid w:val="00A416DB"/>
    <w:rsid w:val="00A45D0E"/>
    <w:rsid w:val="00A63574"/>
    <w:rsid w:val="00A81DF0"/>
    <w:rsid w:val="00A93DAF"/>
    <w:rsid w:val="00AA75B8"/>
    <w:rsid w:val="00AC11B3"/>
    <w:rsid w:val="00AC45E0"/>
    <w:rsid w:val="00AE39BC"/>
    <w:rsid w:val="00AE3CC8"/>
    <w:rsid w:val="00B03819"/>
    <w:rsid w:val="00B21B1B"/>
    <w:rsid w:val="00B76003"/>
    <w:rsid w:val="00B9078A"/>
    <w:rsid w:val="00BF122D"/>
    <w:rsid w:val="00BF39DF"/>
    <w:rsid w:val="00C02F1C"/>
    <w:rsid w:val="00C145FC"/>
    <w:rsid w:val="00C7516C"/>
    <w:rsid w:val="00C8142D"/>
    <w:rsid w:val="00C82EA7"/>
    <w:rsid w:val="00C87D5B"/>
    <w:rsid w:val="00CA21E2"/>
    <w:rsid w:val="00CA4E12"/>
    <w:rsid w:val="00CC08BD"/>
    <w:rsid w:val="00D07448"/>
    <w:rsid w:val="00D1333A"/>
    <w:rsid w:val="00D1346A"/>
    <w:rsid w:val="00D20FB6"/>
    <w:rsid w:val="00D4480D"/>
    <w:rsid w:val="00D60E47"/>
    <w:rsid w:val="00D81BF2"/>
    <w:rsid w:val="00DA6562"/>
    <w:rsid w:val="00DD103A"/>
    <w:rsid w:val="00E2195D"/>
    <w:rsid w:val="00E33AAF"/>
    <w:rsid w:val="00E73C74"/>
    <w:rsid w:val="00E77AAA"/>
    <w:rsid w:val="00E90999"/>
    <w:rsid w:val="00ED6094"/>
    <w:rsid w:val="00ED6952"/>
    <w:rsid w:val="00EE2433"/>
    <w:rsid w:val="00EE64F3"/>
    <w:rsid w:val="00EE6EE4"/>
    <w:rsid w:val="00EF3513"/>
    <w:rsid w:val="00EF69F5"/>
    <w:rsid w:val="00F052E4"/>
    <w:rsid w:val="00F24BBB"/>
    <w:rsid w:val="00F33EED"/>
    <w:rsid w:val="00F4281F"/>
    <w:rsid w:val="00F45089"/>
    <w:rsid w:val="00F611B3"/>
    <w:rsid w:val="00F61D98"/>
    <w:rsid w:val="00F9573F"/>
    <w:rsid w:val="00FA13C3"/>
    <w:rsid w:val="00FD36D1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styleId="Zoznam">
    <w:name w:val="List"/>
    <w:basedOn w:val="Normlny"/>
    <w:link w:val="ZoznamChar"/>
    <w:rsid w:val="00A45D0E"/>
    <w:pPr>
      <w:ind w:left="283" w:hanging="283"/>
    </w:pPr>
    <w:rPr>
      <w:rFonts w:eastAsia="Times New Roman"/>
      <w:sz w:val="20"/>
      <w:szCs w:val="20"/>
      <w:lang w:eastAsia="en-US"/>
    </w:rPr>
  </w:style>
  <w:style w:type="character" w:customStyle="1" w:styleId="ZoznamChar">
    <w:name w:val="Zoznam Char"/>
    <w:link w:val="Zoznam"/>
    <w:rsid w:val="00A45D0E"/>
    <w:rPr>
      <w:rFonts w:ascii="Times New Roman" w:eastAsia="Times New Roman" w:hAnsi="Times New Roman"/>
      <w:noProof/>
      <w:lang w:eastAsia="en-US"/>
    </w:rPr>
  </w:style>
  <w:style w:type="paragraph" w:styleId="Zoznam2">
    <w:name w:val="List 2"/>
    <w:basedOn w:val="Normlny"/>
    <w:rsid w:val="00A45D0E"/>
    <w:pPr>
      <w:ind w:left="566" w:hanging="283"/>
    </w:pPr>
    <w:rPr>
      <w:rFonts w:eastAsia="Times New Roman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45D0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45D0E"/>
    <w:rPr>
      <w:rFonts w:ascii="Times New Roman" w:hAnsi="Times New Roman"/>
      <w:noProof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rsid w:val="00A45D0E"/>
    <w:pPr>
      <w:ind w:firstLine="210"/>
    </w:pPr>
    <w:rPr>
      <w:rFonts w:eastAsia="Times New Roman"/>
      <w:sz w:val="20"/>
      <w:szCs w:val="20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45D0E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Odsekzoznamu">
    <w:name w:val="List Paragraph"/>
    <w:basedOn w:val="Normlny"/>
    <w:qFormat/>
    <w:rsid w:val="00A45D0E"/>
    <w:pPr>
      <w:ind w:left="708"/>
    </w:pPr>
    <w:rPr>
      <w:rFonts w:eastAsia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styleId="Zoznam">
    <w:name w:val="List"/>
    <w:basedOn w:val="Normlny"/>
    <w:link w:val="ZoznamChar"/>
    <w:rsid w:val="00A45D0E"/>
    <w:pPr>
      <w:ind w:left="283" w:hanging="283"/>
    </w:pPr>
    <w:rPr>
      <w:rFonts w:eastAsia="Times New Roman"/>
      <w:sz w:val="20"/>
      <w:szCs w:val="20"/>
      <w:lang w:eastAsia="en-US"/>
    </w:rPr>
  </w:style>
  <w:style w:type="character" w:customStyle="1" w:styleId="ZoznamChar">
    <w:name w:val="Zoznam Char"/>
    <w:link w:val="Zoznam"/>
    <w:rsid w:val="00A45D0E"/>
    <w:rPr>
      <w:rFonts w:ascii="Times New Roman" w:eastAsia="Times New Roman" w:hAnsi="Times New Roman"/>
      <w:noProof/>
      <w:lang w:eastAsia="en-US"/>
    </w:rPr>
  </w:style>
  <w:style w:type="paragraph" w:styleId="Zoznam2">
    <w:name w:val="List 2"/>
    <w:basedOn w:val="Normlny"/>
    <w:rsid w:val="00A45D0E"/>
    <w:pPr>
      <w:ind w:left="566" w:hanging="283"/>
    </w:pPr>
    <w:rPr>
      <w:rFonts w:eastAsia="Times New Roman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45D0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45D0E"/>
    <w:rPr>
      <w:rFonts w:ascii="Times New Roman" w:hAnsi="Times New Roman"/>
      <w:noProof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rsid w:val="00A45D0E"/>
    <w:pPr>
      <w:ind w:firstLine="210"/>
    </w:pPr>
    <w:rPr>
      <w:rFonts w:eastAsia="Times New Roman"/>
      <w:sz w:val="20"/>
      <w:szCs w:val="20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45D0E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Odsekzoznamu">
    <w:name w:val="List Paragraph"/>
    <w:basedOn w:val="Normlny"/>
    <w:qFormat/>
    <w:rsid w:val="00A45D0E"/>
    <w:pPr>
      <w:ind w:left="708"/>
    </w:pPr>
    <w:rPr>
      <w:rFonts w:eastAsia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center27.suklnet.sk\Netware\SABLONY\Hlavi&#269;kov&#253;%20papier%20&#269;ist&#253;%20COL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7673-D9AE-432F-9BAA-75088464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čistý COLOR.dot</Template>
  <TotalTime>204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Kunertová, Mariana</dc:creator>
  <cp:lastModifiedBy>Kunertová, Mariana</cp:lastModifiedBy>
  <cp:revision>15</cp:revision>
  <cp:lastPrinted>2015-02-23T09:21:00Z</cp:lastPrinted>
  <dcterms:created xsi:type="dcterms:W3CDTF">2018-01-04T14:20:00Z</dcterms:created>
  <dcterms:modified xsi:type="dcterms:W3CDTF">2019-05-03T11:29:00Z</dcterms:modified>
</cp:coreProperties>
</file>