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91" w:rsidRPr="001264DF" w:rsidRDefault="00AC4391" w:rsidP="0032760F">
      <w:pPr>
        <w:pStyle w:val="Title"/>
        <w:jc w:val="left"/>
        <w:rPr>
          <w:sz w:val="18"/>
          <w:szCs w:val="18"/>
          <w:u w:val="none"/>
        </w:rPr>
      </w:pPr>
      <w:r>
        <w:rPr>
          <w:sz w:val="18"/>
          <w:szCs w:val="18"/>
          <w:u w:val="none"/>
        </w:rPr>
        <w:t>Príloha č.1</w:t>
      </w:r>
      <w:r w:rsidRPr="001264DF">
        <w:rPr>
          <w:sz w:val="18"/>
          <w:szCs w:val="18"/>
          <w:u w:val="none"/>
        </w:rPr>
        <w:t xml:space="preserve"> k notifikácii zmeny v registrácii lieku, ev. č.: </w:t>
      </w:r>
      <w:r>
        <w:rPr>
          <w:color w:val="034972"/>
          <w:sz w:val="18"/>
          <w:szCs w:val="18"/>
          <w:u w:val="none"/>
        </w:rPr>
        <w:t xml:space="preserve">2013/01577, 2013/01578, 2013/01576 </w:t>
      </w:r>
    </w:p>
    <w:p w:rsidR="00AC4391" w:rsidRPr="0053352A" w:rsidRDefault="00AC4391">
      <w:pPr>
        <w:pStyle w:val="EUNormal"/>
        <w:jc w:val="center"/>
        <w:rPr>
          <w:b/>
          <w:bCs/>
          <w:szCs w:val="22"/>
        </w:rPr>
      </w:pPr>
    </w:p>
    <w:p w:rsidR="00AC4391" w:rsidRPr="0053352A" w:rsidRDefault="00AC4391">
      <w:pPr>
        <w:pStyle w:val="EUNormal"/>
        <w:jc w:val="center"/>
        <w:rPr>
          <w:b/>
          <w:bCs/>
          <w:szCs w:val="22"/>
        </w:rPr>
      </w:pPr>
    </w:p>
    <w:p w:rsidR="00AC4391" w:rsidRPr="00A97965" w:rsidRDefault="00AC4391">
      <w:pPr>
        <w:pStyle w:val="EUNormal"/>
        <w:jc w:val="center"/>
        <w:rPr>
          <w:b/>
          <w:bCs/>
          <w:szCs w:val="22"/>
        </w:rPr>
      </w:pPr>
      <w:r w:rsidRPr="00A97965">
        <w:rPr>
          <w:b/>
          <w:bCs/>
          <w:szCs w:val="22"/>
        </w:rPr>
        <w:t>PÍSOMNÁ INFORMÁCIA PRE POUŽÍVATEĽOV</w:t>
      </w:r>
    </w:p>
    <w:p w:rsidR="00AC4391" w:rsidRPr="00A97965" w:rsidRDefault="00AC4391">
      <w:pPr>
        <w:pStyle w:val="EUNormal"/>
        <w:jc w:val="center"/>
        <w:rPr>
          <w:szCs w:val="22"/>
        </w:rPr>
      </w:pPr>
    </w:p>
    <w:p w:rsidR="00AC4391" w:rsidRPr="00A97965" w:rsidRDefault="00AC4391">
      <w:pPr>
        <w:pStyle w:val="EUNormal"/>
        <w:jc w:val="center"/>
        <w:rPr>
          <w:b/>
          <w:bCs/>
          <w:szCs w:val="22"/>
        </w:rPr>
      </w:pPr>
      <w:r w:rsidRPr="00A97965">
        <w:rPr>
          <w:b/>
          <w:bCs/>
          <w:szCs w:val="22"/>
        </w:rPr>
        <w:t xml:space="preserve">Nicorette invisipatch 25 mg/16 h </w:t>
      </w:r>
    </w:p>
    <w:p w:rsidR="00AC4391" w:rsidRPr="00A97965" w:rsidRDefault="00AC4391">
      <w:pPr>
        <w:pStyle w:val="EUNormal"/>
        <w:jc w:val="center"/>
        <w:rPr>
          <w:b/>
          <w:bCs/>
          <w:szCs w:val="22"/>
        </w:rPr>
      </w:pPr>
      <w:r w:rsidRPr="00A97965">
        <w:rPr>
          <w:b/>
          <w:bCs/>
          <w:szCs w:val="22"/>
        </w:rPr>
        <w:t xml:space="preserve">Nicorette invisipatch 15 mg/16 h </w:t>
      </w:r>
    </w:p>
    <w:p w:rsidR="00AC4391" w:rsidRPr="00A97965" w:rsidRDefault="00AC4391">
      <w:pPr>
        <w:pStyle w:val="EUNormal"/>
        <w:jc w:val="center"/>
        <w:rPr>
          <w:b/>
          <w:bCs/>
          <w:szCs w:val="22"/>
        </w:rPr>
      </w:pPr>
      <w:r w:rsidRPr="00A97965">
        <w:rPr>
          <w:b/>
          <w:bCs/>
          <w:szCs w:val="22"/>
        </w:rPr>
        <w:t xml:space="preserve">Nicorette invisipatch 10 mg/16 h </w:t>
      </w:r>
    </w:p>
    <w:p w:rsidR="00AC4391" w:rsidRPr="00A97965" w:rsidRDefault="00AC4391">
      <w:pPr>
        <w:pStyle w:val="EUNormal"/>
        <w:jc w:val="center"/>
        <w:rPr>
          <w:b/>
          <w:bCs/>
          <w:szCs w:val="22"/>
        </w:rPr>
      </w:pPr>
      <w:r w:rsidRPr="00A97965">
        <w:rPr>
          <w:b/>
          <w:bCs/>
          <w:szCs w:val="22"/>
        </w:rPr>
        <w:t xml:space="preserve">transdermálna náplasť </w:t>
      </w:r>
    </w:p>
    <w:p w:rsidR="00AC4391" w:rsidRPr="00A97965" w:rsidRDefault="00AC4391">
      <w:pPr>
        <w:pStyle w:val="EUNormal"/>
        <w:jc w:val="center"/>
        <w:rPr>
          <w:b/>
          <w:bCs/>
          <w:szCs w:val="22"/>
        </w:rPr>
      </w:pPr>
      <w:r w:rsidRPr="00A97965">
        <w:rPr>
          <w:b/>
          <w:bCs/>
          <w:szCs w:val="22"/>
        </w:rPr>
        <w:t>nicotinum</w:t>
      </w:r>
    </w:p>
    <w:p w:rsidR="00AC4391" w:rsidRPr="00A97965" w:rsidRDefault="00AC4391">
      <w:pPr>
        <w:pStyle w:val="EUNormal"/>
        <w:jc w:val="center"/>
        <w:rPr>
          <w:szCs w:val="22"/>
        </w:rPr>
      </w:pPr>
    </w:p>
    <w:p w:rsidR="00AC4391" w:rsidRPr="00A97965" w:rsidRDefault="00AC4391">
      <w:pPr>
        <w:pStyle w:val="EUNormal"/>
        <w:jc w:val="both"/>
        <w:rPr>
          <w:szCs w:val="22"/>
        </w:rPr>
      </w:pPr>
    </w:p>
    <w:p w:rsidR="00AC4391" w:rsidRPr="00A97965" w:rsidRDefault="00AC4391">
      <w:pPr>
        <w:pStyle w:val="EUheading3"/>
        <w:jc w:val="both"/>
        <w:rPr>
          <w:szCs w:val="22"/>
        </w:rPr>
      </w:pPr>
      <w:r w:rsidRPr="00A97965">
        <w:rPr>
          <w:szCs w:val="22"/>
        </w:rPr>
        <w:t>Pozorne si prečítajte celú písomnú informáciu predtým, ako začnete používať tento liek, pretože obsahuje pre vás dôležité informácie.</w:t>
      </w:r>
    </w:p>
    <w:p w:rsidR="00AC4391" w:rsidRPr="00A97965" w:rsidRDefault="00AC4391" w:rsidP="006B71C0">
      <w:pPr>
        <w:pStyle w:val="EUBullet"/>
        <w:jc w:val="both"/>
        <w:rPr>
          <w:b/>
          <w:i/>
          <w:szCs w:val="22"/>
        </w:rPr>
      </w:pPr>
      <w:r w:rsidRPr="00A97965">
        <w:rPr>
          <w:szCs w:val="22"/>
        </w:rPr>
        <w:t>Vždy používajte tento liek presne tak, ako je to uvedené v tejto informácii alebo ako vám povedal(a) váš lekár, lekárnik alebo zdravotná sestra</w:t>
      </w:r>
      <w:r w:rsidRPr="00A97965">
        <w:rPr>
          <w:bCs/>
          <w:iCs/>
          <w:szCs w:val="22"/>
        </w:rPr>
        <w:t>.</w:t>
      </w:r>
    </w:p>
    <w:p w:rsidR="00AC4391" w:rsidRPr="00A97965" w:rsidRDefault="00AC4391" w:rsidP="006B71C0">
      <w:pPr>
        <w:pStyle w:val="EUBullet"/>
        <w:numPr>
          <w:ilvl w:val="0"/>
          <w:numId w:val="23"/>
          <w:numberingChange w:id="0" w:author="Unknown" w:date="2013-03-25T08:47:00Z" w:original="-"/>
        </w:numPr>
        <w:tabs>
          <w:tab w:val="clear" w:pos="720"/>
          <w:tab w:val="num" w:pos="360"/>
        </w:tabs>
        <w:ind w:left="360"/>
        <w:jc w:val="both"/>
        <w:rPr>
          <w:szCs w:val="22"/>
        </w:rPr>
      </w:pPr>
      <w:r w:rsidRPr="00A97965">
        <w:rPr>
          <w:szCs w:val="22"/>
        </w:rPr>
        <w:t>Túto písomnú informáciu si uschovajte. Možno bude potrebné, aby ste si ju znovu prečítali.</w:t>
      </w:r>
    </w:p>
    <w:p w:rsidR="00AC4391" w:rsidRPr="00A97965" w:rsidRDefault="00AC4391">
      <w:pPr>
        <w:pStyle w:val="EUBullet"/>
        <w:numPr>
          <w:ilvl w:val="0"/>
          <w:numId w:val="23"/>
          <w:numberingChange w:id="1" w:author="Unknown" w:date="2013-03-25T08:47:00Z" w:original="-"/>
        </w:numPr>
        <w:tabs>
          <w:tab w:val="clear" w:pos="720"/>
          <w:tab w:val="num" w:pos="360"/>
        </w:tabs>
        <w:ind w:left="360"/>
        <w:jc w:val="both"/>
        <w:rPr>
          <w:szCs w:val="22"/>
        </w:rPr>
      </w:pPr>
      <w:r w:rsidRPr="00A97965">
        <w:rPr>
          <w:szCs w:val="22"/>
        </w:rPr>
        <w:t>Ak potrebujete ďalšie informácie alebo radu, obráťte sa na svojho lekárnika.</w:t>
      </w:r>
    </w:p>
    <w:p w:rsidR="00AC4391" w:rsidRPr="00A97965" w:rsidRDefault="00AC4391">
      <w:pPr>
        <w:pStyle w:val="EUBullet"/>
        <w:numPr>
          <w:ilvl w:val="0"/>
          <w:numId w:val="23"/>
          <w:numberingChange w:id="2" w:author="Unknown" w:date="2013-03-25T08:47:00Z" w:original="-"/>
        </w:numPr>
        <w:tabs>
          <w:tab w:val="clear" w:pos="720"/>
          <w:tab w:val="num" w:pos="360"/>
        </w:tabs>
        <w:ind w:left="360"/>
        <w:jc w:val="both"/>
        <w:rPr>
          <w:szCs w:val="22"/>
        </w:rPr>
      </w:pPr>
      <w:r w:rsidRPr="00A97965">
        <w:rPr>
          <w:noProof/>
          <w:szCs w:val="22"/>
        </w:rPr>
        <w:t xml:space="preserve">Ak sa u vás vyskytne akýkoľvek vedľajší účinok, obráťte sa na svojho lekára, lekárnika, </w:t>
      </w:r>
      <w:r w:rsidRPr="00A97965">
        <w:rPr>
          <w:szCs w:val="22"/>
        </w:rPr>
        <w:t xml:space="preserve">alebo </w:t>
      </w:r>
      <w:r w:rsidRPr="00A97965">
        <w:rPr>
          <w:noProof/>
          <w:szCs w:val="22"/>
        </w:rPr>
        <w:t>zdravotnú sestru. To sa týka aj akýchkoľvek vedľajších účinkov</w:t>
      </w:r>
      <w:r w:rsidRPr="00A97965">
        <w:rPr>
          <w:szCs w:val="22"/>
        </w:rPr>
        <w:t>,</w:t>
      </w:r>
      <w:r w:rsidRPr="00A97965">
        <w:rPr>
          <w:noProof/>
          <w:szCs w:val="22"/>
        </w:rPr>
        <w:t xml:space="preserve"> ktoré nie sú uvedené v tejto písomnej informácii pre používateľov.</w:t>
      </w:r>
    </w:p>
    <w:p w:rsidR="00AC4391" w:rsidRPr="00A97965" w:rsidRDefault="00AC4391" w:rsidP="00DF749A">
      <w:pPr>
        <w:pStyle w:val="EUBullet"/>
        <w:numPr>
          <w:ilvl w:val="0"/>
          <w:numId w:val="23"/>
          <w:numberingChange w:id="3" w:author="Unknown" w:date="2013-03-25T08:47:00Z" w:original="-"/>
        </w:numPr>
        <w:tabs>
          <w:tab w:val="clear" w:pos="720"/>
          <w:tab w:val="num" w:pos="360"/>
        </w:tabs>
        <w:ind w:left="360"/>
        <w:jc w:val="both"/>
        <w:rPr>
          <w:szCs w:val="22"/>
        </w:rPr>
      </w:pPr>
      <w:r w:rsidRPr="00A97965">
        <w:rPr>
          <w:szCs w:val="22"/>
        </w:rPr>
        <w:t xml:space="preserve">Ak sa príznaky </w:t>
      </w:r>
      <w:r>
        <w:rPr>
          <w:szCs w:val="22"/>
        </w:rPr>
        <w:t>v</w:t>
      </w:r>
      <w:r w:rsidRPr="00A97965">
        <w:rPr>
          <w:szCs w:val="22"/>
        </w:rPr>
        <w:t>ášho ochorenia nezlepšia alebo ak sa zhoršia po 12 týždňoch, musíte sa obrátiť na lekára.</w:t>
      </w:r>
    </w:p>
    <w:p w:rsidR="00AC4391" w:rsidRPr="00A97965" w:rsidRDefault="00AC4391">
      <w:pPr>
        <w:pStyle w:val="EUNormal"/>
        <w:ind w:left="360" w:hanging="360"/>
        <w:jc w:val="both"/>
        <w:rPr>
          <w:szCs w:val="22"/>
        </w:rPr>
      </w:pPr>
    </w:p>
    <w:p w:rsidR="00AC4391" w:rsidRPr="00A97965" w:rsidRDefault="00AC4391">
      <w:pPr>
        <w:pStyle w:val="EUNormal"/>
        <w:jc w:val="both"/>
        <w:rPr>
          <w:szCs w:val="22"/>
        </w:rPr>
      </w:pPr>
    </w:p>
    <w:p w:rsidR="00AC4391" w:rsidRPr="00A97965" w:rsidRDefault="00AC4391">
      <w:pPr>
        <w:pStyle w:val="EUNormal"/>
        <w:jc w:val="both"/>
        <w:rPr>
          <w:b/>
          <w:bCs/>
          <w:szCs w:val="22"/>
          <w:u w:val="single"/>
        </w:rPr>
      </w:pPr>
      <w:r w:rsidRPr="00A97965">
        <w:rPr>
          <w:b/>
          <w:bCs/>
          <w:szCs w:val="22"/>
          <w:u w:val="single"/>
        </w:rPr>
        <w:t xml:space="preserve">V tejto písomnej informácií pre používateľov sa dozviete: </w:t>
      </w:r>
    </w:p>
    <w:p w:rsidR="00AC4391" w:rsidRPr="00A97965" w:rsidRDefault="00AC4391">
      <w:pPr>
        <w:pStyle w:val="EUNormal"/>
        <w:jc w:val="both"/>
        <w:rPr>
          <w:szCs w:val="22"/>
        </w:rPr>
      </w:pPr>
      <w:r w:rsidRPr="00A97965">
        <w:rPr>
          <w:szCs w:val="22"/>
        </w:rPr>
        <w:t>1.</w:t>
      </w:r>
      <w:r w:rsidRPr="00A97965">
        <w:rPr>
          <w:szCs w:val="22"/>
        </w:rPr>
        <w:tab/>
        <w:t>Čo je Nicorette invisipatch a na čo sa používa</w:t>
      </w:r>
    </w:p>
    <w:p w:rsidR="00AC4391" w:rsidRPr="00A97965" w:rsidRDefault="00AC4391">
      <w:pPr>
        <w:pStyle w:val="EUNormal"/>
        <w:jc w:val="both"/>
        <w:rPr>
          <w:szCs w:val="22"/>
        </w:rPr>
      </w:pPr>
      <w:r w:rsidRPr="00A97965">
        <w:rPr>
          <w:szCs w:val="22"/>
        </w:rPr>
        <w:t>2.</w:t>
      </w:r>
      <w:r w:rsidRPr="00A97965">
        <w:rPr>
          <w:szCs w:val="22"/>
        </w:rPr>
        <w:tab/>
        <w:t>Čo potrebujete vedieť skôr ako použijete Nicorette invisipatch</w:t>
      </w:r>
    </w:p>
    <w:p w:rsidR="00AC4391" w:rsidRPr="00A97965" w:rsidRDefault="00AC4391">
      <w:pPr>
        <w:pStyle w:val="EUNormal"/>
        <w:jc w:val="both"/>
        <w:rPr>
          <w:szCs w:val="22"/>
        </w:rPr>
      </w:pPr>
      <w:r w:rsidRPr="00A97965">
        <w:rPr>
          <w:szCs w:val="22"/>
        </w:rPr>
        <w:t>3.</w:t>
      </w:r>
      <w:r w:rsidRPr="00A97965">
        <w:rPr>
          <w:szCs w:val="22"/>
        </w:rPr>
        <w:tab/>
        <w:t>Ako používať Nicorette invisipatch</w:t>
      </w:r>
    </w:p>
    <w:p w:rsidR="00AC4391" w:rsidRPr="00A97965" w:rsidRDefault="00AC4391">
      <w:pPr>
        <w:pStyle w:val="EUNormal"/>
        <w:jc w:val="both"/>
        <w:rPr>
          <w:szCs w:val="22"/>
        </w:rPr>
      </w:pPr>
      <w:r w:rsidRPr="00A97965">
        <w:rPr>
          <w:szCs w:val="22"/>
        </w:rPr>
        <w:t>4.</w:t>
      </w:r>
      <w:r w:rsidRPr="00A97965">
        <w:rPr>
          <w:szCs w:val="22"/>
        </w:rPr>
        <w:tab/>
        <w:t>Možné vedľajšie účinky</w:t>
      </w:r>
    </w:p>
    <w:p w:rsidR="00AC4391" w:rsidRPr="00A97965" w:rsidRDefault="00AC4391">
      <w:pPr>
        <w:pStyle w:val="EUNormal"/>
        <w:jc w:val="both"/>
        <w:rPr>
          <w:b/>
          <w:bCs/>
          <w:szCs w:val="22"/>
        </w:rPr>
      </w:pPr>
      <w:r w:rsidRPr="00A97965">
        <w:rPr>
          <w:szCs w:val="22"/>
        </w:rPr>
        <w:t>5</w:t>
      </w:r>
      <w:r w:rsidRPr="00A97965">
        <w:rPr>
          <w:szCs w:val="22"/>
        </w:rPr>
        <w:tab/>
        <w:t>Ako uchovávať Nicorette invisipatch</w:t>
      </w:r>
    </w:p>
    <w:p w:rsidR="00AC4391" w:rsidRPr="00A97965" w:rsidRDefault="00AC4391">
      <w:pPr>
        <w:pStyle w:val="EUNormal"/>
        <w:jc w:val="both"/>
        <w:rPr>
          <w:szCs w:val="22"/>
        </w:rPr>
      </w:pPr>
      <w:r w:rsidRPr="00A97965">
        <w:rPr>
          <w:szCs w:val="22"/>
        </w:rPr>
        <w:t>6.</w:t>
      </w:r>
      <w:r w:rsidRPr="00A97965">
        <w:rPr>
          <w:szCs w:val="22"/>
        </w:rPr>
        <w:tab/>
        <w:t>Obsah balenia a ďalšie informácie</w:t>
      </w:r>
    </w:p>
    <w:p w:rsidR="00AC4391" w:rsidRPr="00A97965" w:rsidRDefault="00AC4391">
      <w:pPr>
        <w:pStyle w:val="EUNormal"/>
        <w:jc w:val="both"/>
        <w:rPr>
          <w:szCs w:val="22"/>
        </w:rPr>
      </w:pPr>
    </w:p>
    <w:p w:rsidR="00AC4391" w:rsidRPr="00A97965" w:rsidRDefault="00AC4391">
      <w:pPr>
        <w:pStyle w:val="EUNormal"/>
        <w:jc w:val="both"/>
        <w:rPr>
          <w:szCs w:val="22"/>
        </w:rPr>
      </w:pPr>
    </w:p>
    <w:p w:rsidR="00AC4391" w:rsidRPr="00A97965" w:rsidRDefault="00AC4391">
      <w:pPr>
        <w:pStyle w:val="EUHeading1"/>
        <w:jc w:val="both"/>
        <w:rPr>
          <w:szCs w:val="22"/>
        </w:rPr>
      </w:pPr>
      <w:bookmarkStart w:id="4" w:name="_Toc41370044"/>
      <w:r w:rsidRPr="00A97965">
        <w:rPr>
          <w:szCs w:val="22"/>
        </w:rPr>
        <w:t>1.</w:t>
      </w:r>
      <w:r w:rsidRPr="00A97965">
        <w:rPr>
          <w:szCs w:val="22"/>
        </w:rPr>
        <w:tab/>
        <w:t>Č</w:t>
      </w:r>
      <w:r w:rsidRPr="00A97965">
        <w:rPr>
          <w:caps w:val="0"/>
          <w:szCs w:val="22"/>
        </w:rPr>
        <w:t>o je Nicorette invisipatch a na čo sa používa</w:t>
      </w:r>
      <w:bookmarkEnd w:id="4"/>
    </w:p>
    <w:p w:rsidR="00AC4391" w:rsidRPr="00A97965" w:rsidRDefault="00AC4391">
      <w:pPr>
        <w:pStyle w:val="EUNormalafterheader"/>
        <w:jc w:val="both"/>
        <w:rPr>
          <w:szCs w:val="22"/>
        </w:rPr>
      </w:pPr>
    </w:p>
    <w:p w:rsidR="00AC4391" w:rsidRPr="00A97965" w:rsidRDefault="00AC4391">
      <w:pPr>
        <w:pStyle w:val="EUNormal"/>
        <w:jc w:val="both"/>
        <w:rPr>
          <w:szCs w:val="22"/>
        </w:rPr>
      </w:pPr>
      <w:r w:rsidRPr="00A97965">
        <w:rPr>
          <w:szCs w:val="22"/>
        </w:rPr>
        <w:t xml:space="preserve">Nicorette invisipatch patrí do skupiny liekov používaných na odvykanie od fajčenia. </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Transdermálna náplasť Nicorette invisipatch je určená na liečbu tabakovej závislosti pre fajčiarov motivovaných prestať fajčiť na zníženie chuti na cigaretu (nikotín) a zmiernenie nepríjemných príznakov, ktoré fajčiari pociťujú, keď sa snažia prestať fajčiť (napr. podráždenosť, priberanie, závraty, bolesti hlavy, nespavosť).</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Keď prestanete fajčiť a Vaše telo už nedostáva nikotín vstrebávaný z tabaku, môžete pociťovať nepríjemné pocity, ktoré sa nazývajú abstinenčné príznaky. Pomocou náplastí Nicorette invisipatch môžete týmto príznakom predchádzať, prípadne nepríjemné pocity zmierniť tým, že na istú dobu budete Vášmu telu dodávať malé množstvá nikotínu náplasťami Nicorette invisipatch.</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Transdermálna náplasť Nicorette invisipatch neobsahuje látky ako napríklad decht a oxid uhoľnatý, ktoré obsahuje cigaretový dym, a preto nepredstavuje také zdravotné riziko ako má fajčenie. Obsahuje nikotín v čistej forme, ktorý sa počas aplikácie náplasti (16 hodín) uvoľňuje a vstrebáva cez kožu, a teda nahrádza nikotín, ktorý odvykajúci fajčiar inhaloval z cigaretového dymu.</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Pokiaľ sa náplasti Nicorette invisipatch používajú podľa odporúčaného dávkovania, pomáhajú kontrolovať nárast hmotnosti po zanechaní fajčenia.</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Odborná rada a podpora okolia spravidla zlepšujú nádej na úspech. Ak je to možné, používajte Nicorette invisipatch ako súčasť programu na odvykanie od fajčenia.</w:t>
      </w:r>
    </w:p>
    <w:p w:rsidR="00AC4391" w:rsidRPr="00A97965" w:rsidRDefault="00AC4391">
      <w:pPr>
        <w:pStyle w:val="EUNormal"/>
        <w:jc w:val="both"/>
        <w:rPr>
          <w:szCs w:val="22"/>
        </w:rPr>
      </w:pPr>
    </w:p>
    <w:p w:rsidR="00AC4391" w:rsidRPr="00A97965" w:rsidRDefault="00AC4391">
      <w:pPr>
        <w:pStyle w:val="EUNormal"/>
        <w:jc w:val="both"/>
        <w:rPr>
          <w:szCs w:val="22"/>
        </w:rPr>
      </w:pPr>
    </w:p>
    <w:p w:rsidR="00AC4391" w:rsidRPr="00A97965" w:rsidRDefault="00AC4391">
      <w:pPr>
        <w:pStyle w:val="EUHeading1"/>
        <w:jc w:val="both"/>
        <w:rPr>
          <w:szCs w:val="22"/>
        </w:rPr>
      </w:pPr>
      <w:bookmarkStart w:id="5" w:name="_Toc41370045"/>
      <w:r w:rsidRPr="00A97965">
        <w:rPr>
          <w:szCs w:val="22"/>
        </w:rPr>
        <w:t>2.</w:t>
      </w:r>
      <w:r w:rsidRPr="00A97965">
        <w:rPr>
          <w:szCs w:val="22"/>
        </w:rPr>
        <w:tab/>
        <w:t>Č</w:t>
      </w:r>
      <w:r w:rsidRPr="00A97965">
        <w:rPr>
          <w:caps w:val="0"/>
          <w:szCs w:val="22"/>
        </w:rPr>
        <w:t xml:space="preserve">o potrebujete vedieť skôr ako </w:t>
      </w:r>
      <w:bookmarkEnd w:id="5"/>
      <w:r w:rsidRPr="00A97965">
        <w:rPr>
          <w:caps w:val="0"/>
          <w:szCs w:val="22"/>
        </w:rPr>
        <w:t>použijete Nicorette invisipatch</w:t>
      </w:r>
    </w:p>
    <w:p w:rsidR="00AC4391" w:rsidRPr="00A97965" w:rsidRDefault="00AC4391">
      <w:pPr>
        <w:pStyle w:val="EUNormalafterheader"/>
        <w:jc w:val="both"/>
        <w:rPr>
          <w:szCs w:val="22"/>
        </w:rPr>
      </w:pPr>
    </w:p>
    <w:p w:rsidR="00AC4391" w:rsidRPr="00A97965" w:rsidRDefault="00AC4391">
      <w:pPr>
        <w:pStyle w:val="EUheading3"/>
        <w:jc w:val="both"/>
        <w:rPr>
          <w:szCs w:val="22"/>
        </w:rPr>
      </w:pPr>
      <w:r w:rsidRPr="00A97965">
        <w:rPr>
          <w:szCs w:val="22"/>
        </w:rPr>
        <w:t>Nepoužívajte Nicorette invisipatch:</w:t>
      </w:r>
    </w:p>
    <w:p w:rsidR="00AC4391" w:rsidRPr="00A97965" w:rsidRDefault="00AC4391">
      <w:pPr>
        <w:pStyle w:val="EUBullet"/>
        <w:numPr>
          <w:ilvl w:val="0"/>
          <w:numId w:val="25"/>
          <w:numberingChange w:id="6" w:author="Unknown" w:date="2013-03-25T08:47:00Z" w:original="-"/>
        </w:numPr>
        <w:tabs>
          <w:tab w:val="clear" w:pos="720"/>
          <w:tab w:val="num" w:pos="540"/>
        </w:tabs>
        <w:ind w:left="540" w:hanging="540"/>
        <w:jc w:val="both"/>
        <w:rPr>
          <w:szCs w:val="22"/>
        </w:rPr>
      </w:pPr>
      <w:r w:rsidRPr="00A97965">
        <w:rPr>
          <w:szCs w:val="22"/>
        </w:rPr>
        <w:t>keď ste alergický (precitlivený) na nikotín alebo niektorú z ďalších zložiek Nicorette invisipatch.</w:t>
      </w:r>
    </w:p>
    <w:p w:rsidR="00AC4391" w:rsidRPr="00A97965" w:rsidRDefault="00AC4391">
      <w:pPr>
        <w:pStyle w:val="EUNormal"/>
        <w:jc w:val="both"/>
        <w:rPr>
          <w:szCs w:val="22"/>
        </w:rPr>
      </w:pPr>
    </w:p>
    <w:p w:rsidR="00AC4391" w:rsidRPr="00A97965" w:rsidRDefault="00AC4391">
      <w:pPr>
        <w:pStyle w:val="EUheading3"/>
        <w:jc w:val="both"/>
        <w:rPr>
          <w:szCs w:val="22"/>
        </w:rPr>
      </w:pPr>
      <w:bookmarkStart w:id="7" w:name="_Toc41370051"/>
      <w:r w:rsidRPr="00A97965">
        <w:rPr>
          <w:szCs w:val="22"/>
        </w:rPr>
        <w:t>Upozornenia a opatrenia:</w:t>
      </w:r>
    </w:p>
    <w:p w:rsidR="00AC4391" w:rsidRPr="00A97965" w:rsidRDefault="00AC4391">
      <w:pPr>
        <w:pStyle w:val="EUNormal"/>
        <w:keepNext/>
        <w:jc w:val="both"/>
        <w:rPr>
          <w:szCs w:val="22"/>
        </w:rPr>
      </w:pPr>
      <w:r w:rsidRPr="00A97965">
        <w:rPr>
          <w:szCs w:val="22"/>
        </w:rPr>
        <w:t>V nasledujúcich prípadoch používajte Nicorette invisipatch iba po porade s lekárom:</w:t>
      </w:r>
    </w:p>
    <w:p w:rsidR="00AC4391" w:rsidRPr="00A97965" w:rsidRDefault="00AC4391">
      <w:pPr>
        <w:pStyle w:val="EUBullet"/>
        <w:numPr>
          <w:ilvl w:val="0"/>
          <w:numId w:val="25"/>
          <w:numberingChange w:id="8" w:author="Unknown" w:date="2013-03-25T08:47:00Z" w:original="-"/>
        </w:numPr>
        <w:tabs>
          <w:tab w:val="clear" w:pos="720"/>
          <w:tab w:val="num" w:pos="540"/>
        </w:tabs>
        <w:ind w:left="540" w:hanging="540"/>
        <w:jc w:val="both"/>
        <w:rPr>
          <w:szCs w:val="22"/>
        </w:rPr>
      </w:pPr>
      <w:r w:rsidRPr="00A97965">
        <w:rPr>
          <w:szCs w:val="22"/>
        </w:rPr>
        <w:t>keď máte kardiovaskulárne (srdcovocievne) ochorenie;</w:t>
      </w:r>
    </w:p>
    <w:p w:rsidR="00AC4391" w:rsidRPr="00A97965" w:rsidRDefault="00AC4391">
      <w:pPr>
        <w:pStyle w:val="EUBullet"/>
        <w:numPr>
          <w:ilvl w:val="0"/>
          <w:numId w:val="25"/>
          <w:numberingChange w:id="9" w:author="Unknown" w:date="2013-03-25T08:47:00Z" w:original="-"/>
        </w:numPr>
        <w:tabs>
          <w:tab w:val="clear" w:pos="720"/>
          <w:tab w:val="num" w:pos="540"/>
        </w:tabs>
        <w:ind w:left="540" w:hanging="540"/>
        <w:jc w:val="both"/>
        <w:rPr>
          <w:szCs w:val="22"/>
        </w:rPr>
      </w:pPr>
      <w:r w:rsidRPr="00A97965">
        <w:rPr>
          <w:szCs w:val="22"/>
        </w:rPr>
        <w:t>keď ste počas posledných 4 týždňov prekonali závažnú srdcovocievnu príhodu alebo boli v posledných 4 týždňoch hospitalizovaní pre srdcovocievne ťažkosti ako napr. cievna mozgová príhoda, infarkt myokardu, nestabilná angína pektoris, srdcová arytmia (nepravidelná činnosť srdca), bypass na koronárnych artériách (srdcových tepnách) alebo angioplastika (plastika ciev);</w:t>
      </w:r>
    </w:p>
    <w:p w:rsidR="00AC4391" w:rsidRPr="00A97965" w:rsidRDefault="00AC4391">
      <w:pPr>
        <w:pStyle w:val="EUBullet"/>
        <w:numPr>
          <w:ilvl w:val="0"/>
          <w:numId w:val="25"/>
          <w:numberingChange w:id="10" w:author="Unknown" w:date="2013-03-25T08:47:00Z" w:original="-"/>
        </w:numPr>
        <w:tabs>
          <w:tab w:val="clear" w:pos="720"/>
          <w:tab w:val="num" w:pos="540"/>
        </w:tabs>
        <w:ind w:left="540" w:hanging="540"/>
        <w:jc w:val="both"/>
        <w:rPr>
          <w:szCs w:val="22"/>
        </w:rPr>
      </w:pPr>
      <w:r w:rsidRPr="00A97965">
        <w:rPr>
          <w:szCs w:val="22"/>
        </w:rPr>
        <w:t xml:space="preserve">keď máte neliečenú hypertenziu (vysoký krvný tlak, na ktorý sa neliečite); </w:t>
      </w:r>
    </w:p>
    <w:p w:rsidR="00AC4391" w:rsidRPr="00A97965" w:rsidRDefault="00AC4391">
      <w:pPr>
        <w:pStyle w:val="EUBullet"/>
        <w:numPr>
          <w:ilvl w:val="0"/>
          <w:numId w:val="25"/>
          <w:numberingChange w:id="11" w:author="Unknown" w:date="2013-03-25T08:47:00Z" w:original="-"/>
        </w:numPr>
        <w:tabs>
          <w:tab w:val="clear" w:pos="720"/>
          <w:tab w:val="num" w:pos="540"/>
        </w:tabs>
        <w:ind w:left="540" w:hanging="540"/>
        <w:jc w:val="both"/>
        <w:rPr>
          <w:szCs w:val="22"/>
        </w:rPr>
      </w:pPr>
      <w:r w:rsidRPr="00A97965">
        <w:rPr>
          <w:szCs w:val="22"/>
        </w:rPr>
        <w:t>keď trpíte stredne ťažkým alebo ťažkým poškodením pečene;</w:t>
      </w:r>
    </w:p>
    <w:p w:rsidR="00AC4391" w:rsidRPr="00A97965" w:rsidRDefault="00AC4391">
      <w:pPr>
        <w:pStyle w:val="EUBullet"/>
        <w:numPr>
          <w:ilvl w:val="0"/>
          <w:numId w:val="25"/>
          <w:numberingChange w:id="12" w:author="Unknown" w:date="2013-03-25T08:47:00Z" w:original="-"/>
        </w:numPr>
        <w:tabs>
          <w:tab w:val="clear" w:pos="720"/>
          <w:tab w:val="num" w:pos="540"/>
        </w:tabs>
        <w:ind w:left="540" w:hanging="540"/>
        <w:jc w:val="both"/>
        <w:rPr>
          <w:szCs w:val="22"/>
        </w:rPr>
      </w:pPr>
      <w:r w:rsidRPr="00A97965">
        <w:rPr>
          <w:szCs w:val="22"/>
        </w:rPr>
        <w:t>keď trpíte ťažkým poškodením obličiek;</w:t>
      </w:r>
    </w:p>
    <w:p w:rsidR="00AC4391" w:rsidRPr="00A97965" w:rsidRDefault="00AC4391">
      <w:pPr>
        <w:pStyle w:val="EUBullet"/>
        <w:numPr>
          <w:ilvl w:val="0"/>
          <w:numId w:val="25"/>
          <w:numberingChange w:id="13" w:author="Unknown" w:date="2013-03-25T08:47:00Z" w:original="-"/>
        </w:numPr>
        <w:tabs>
          <w:tab w:val="clear" w:pos="720"/>
          <w:tab w:val="num" w:pos="540"/>
        </w:tabs>
        <w:ind w:left="540" w:hanging="540"/>
        <w:jc w:val="both"/>
        <w:rPr>
          <w:szCs w:val="22"/>
        </w:rPr>
      </w:pPr>
      <w:r w:rsidRPr="00A97965">
        <w:rPr>
          <w:szCs w:val="22"/>
        </w:rPr>
        <w:t>keď sa liečite na cukrovku, nakoľko u pacientov s cukrovkou môže ukončenie fajčenia spôsobiť potrebu zníženia dávok inzulínu;</w:t>
      </w:r>
    </w:p>
    <w:p w:rsidR="00AC4391" w:rsidRPr="00A97965" w:rsidRDefault="00AC4391">
      <w:pPr>
        <w:pStyle w:val="EUBullet"/>
        <w:numPr>
          <w:ilvl w:val="0"/>
          <w:numId w:val="25"/>
          <w:numberingChange w:id="14" w:author="Unknown" w:date="2013-03-25T08:47:00Z" w:original="-"/>
        </w:numPr>
        <w:tabs>
          <w:tab w:val="clear" w:pos="720"/>
          <w:tab w:val="num" w:pos="540"/>
        </w:tabs>
        <w:ind w:left="540" w:hanging="540"/>
        <w:jc w:val="both"/>
        <w:rPr>
          <w:szCs w:val="22"/>
        </w:rPr>
      </w:pPr>
      <w:r w:rsidRPr="00A97965">
        <w:rPr>
          <w:szCs w:val="22"/>
        </w:rPr>
        <w:t>keď trpíte hypertyreózou (zvýšenou činnosťou štítnej žľazy) alebo feochromocytómom (nádorom drene nadobličiek);</w:t>
      </w:r>
    </w:p>
    <w:p w:rsidR="00AC4391" w:rsidRPr="00A97965" w:rsidRDefault="00AC4391">
      <w:pPr>
        <w:pStyle w:val="EUBullet"/>
        <w:numPr>
          <w:ilvl w:val="0"/>
          <w:numId w:val="25"/>
          <w:numberingChange w:id="15" w:author="Unknown" w:date="2013-03-25T08:47:00Z" w:original="-"/>
        </w:numPr>
        <w:tabs>
          <w:tab w:val="clear" w:pos="720"/>
          <w:tab w:val="num" w:pos="540"/>
        </w:tabs>
        <w:ind w:left="540" w:hanging="540"/>
        <w:jc w:val="both"/>
        <w:rPr>
          <w:szCs w:val="22"/>
        </w:rPr>
      </w:pPr>
      <w:r w:rsidRPr="00A97965">
        <w:rPr>
          <w:szCs w:val="22"/>
        </w:rPr>
        <w:t>keď máte žalúdočný alebo dvanástnikový vred.</w:t>
      </w:r>
    </w:p>
    <w:p w:rsidR="00AC4391" w:rsidRPr="00A97965" w:rsidRDefault="00AC4391">
      <w:pPr>
        <w:pStyle w:val="EUBullet"/>
        <w:jc w:val="both"/>
        <w:rPr>
          <w:szCs w:val="22"/>
        </w:rPr>
      </w:pPr>
    </w:p>
    <w:p w:rsidR="00AC4391" w:rsidRPr="00A97965" w:rsidRDefault="00AC4391">
      <w:pPr>
        <w:pStyle w:val="EUBullet"/>
        <w:jc w:val="both"/>
        <w:rPr>
          <w:b/>
          <w:szCs w:val="22"/>
        </w:rPr>
      </w:pPr>
      <w:r w:rsidRPr="00A97965">
        <w:rPr>
          <w:b/>
          <w:szCs w:val="22"/>
        </w:rPr>
        <w:t>Deti a dospievajúci:</w:t>
      </w:r>
    </w:p>
    <w:p w:rsidR="00AC4391" w:rsidRPr="00A97965" w:rsidRDefault="00AC4391">
      <w:pPr>
        <w:pStyle w:val="EUBullet"/>
        <w:tabs>
          <w:tab w:val="num" w:pos="540"/>
        </w:tabs>
        <w:jc w:val="both"/>
        <w:rPr>
          <w:szCs w:val="22"/>
        </w:rPr>
      </w:pPr>
      <w:r w:rsidRPr="00A97965">
        <w:rPr>
          <w:szCs w:val="22"/>
        </w:rPr>
        <w:t xml:space="preserve">Deti a mladiství do 18 rokov nemajú používať Nicorette invisipatch bez odporúčania lekára. Dávky nikotínu, ktoré dospelí fajčiari počas liečby dostávajú, môžu u malých detí vyvolať závažné príznaky otravy a môžu viesť až k smrti. Dokonca aj použité náplasti obsahujú zbytkové množstvo nikotínu, ktoré je pre deti škodlivé. Náplasti preto uchovávajte mimo dosahu a dohľadu detí, a to aj náplasti použité. </w:t>
      </w:r>
    </w:p>
    <w:p w:rsidR="00AC4391" w:rsidRPr="00A97965" w:rsidRDefault="00AC4391">
      <w:pPr>
        <w:pStyle w:val="EUBullet"/>
        <w:jc w:val="both"/>
        <w:rPr>
          <w:szCs w:val="22"/>
        </w:rPr>
      </w:pPr>
    </w:p>
    <w:p w:rsidR="00AC4391" w:rsidRPr="00A97965" w:rsidRDefault="00AC4391">
      <w:pPr>
        <w:pStyle w:val="EUBullet"/>
        <w:jc w:val="both"/>
        <w:rPr>
          <w:szCs w:val="22"/>
        </w:rPr>
      </w:pPr>
      <w:r w:rsidRPr="00A97965">
        <w:rPr>
          <w:szCs w:val="22"/>
        </w:rPr>
        <w:t xml:space="preserve">Nicorette invisipatch nie je určený pre nefajčiarov. </w:t>
      </w:r>
    </w:p>
    <w:p w:rsidR="00AC4391" w:rsidRPr="00A97965" w:rsidRDefault="00AC4391">
      <w:pPr>
        <w:pStyle w:val="EUBullet"/>
        <w:jc w:val="both"/>
        <w:rPr>
          <w:szCs w:val="22"/>
        </w:rPr>
      </w:pPr>
    </w:p>
    <w:p w:rsidR="00AC4391" w:rsidRPr="00A97965" w:rsidRDefault="00AC4391">
      <w:pPr>
        <w:pStyle w:val="EUheading3"/>
        <w:jc w:val="both"/>
        <w:rPr>
          <w:szCs w:val="22"/>
        </w:rPr>
      </w:pPr>
      <w:r w:rsidRPr="00A97965">
        <w:rPr>
          <w:szCs w:val="22"/>
        </w:rPr>
        <w:t>Iné lieky a Nicorette invisipatc</w:t>
      </w:r>
      <w:bookmarkEnd w:id="7"/>
      <w:r w:rsidRPr="00A97965">
        <w:rPr>
          <w:szCs w:val="22"/>
        </w:rPr>
        <w:t>h:</w:t>
      </w:r>
    </w:p>
    <w:p w:rsidR="00AC4391" w:rsidRPr="00A97965" w:rsidRDefault="00AC4391">
      <w:pPr>
        <w:pStyle w:val="EUNormal"/>
        <w:jc w:val="both"/>
        <w:rPr>
          <w:szCs w:val="22"/>
        </w:rPr>
      </w:pPr>
      <w:r w:rsidRPr="00A97965">
        <w:rPr>
          <w:szCs w:val="22"/>
        </w:rPr>
        <w:t xml:space="preserve">Ak užívate alebo ste v poslednom čase užívali ešte iné lieky, vrátane liekov, ktorých výdaj nie je viazaný na lekársky predpis, prosím, oznámte to svojmu lekárovi alebo lekárnikovi. </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Toto je zvlášť dôležité, ak užívate teofylín, takrín, klozapín, ropinirol, flekainid alebo pentazocín.</w:t>
      </w:r>
    </w:p>
    <w:p w:rsidR="00AC4391" w:rsidRPr="00A97965" w:rsidRDefault="00AC4391">
      <w:pPr>
        <w:pStyle w:val="EUNormal"/>
        <w:jc w:val="both"/>
        <w:rPr>
          <w:szCs w:val="22"/>
        </w:rPr>
      </w:pPr>
    </w:p>
    <w:p w:rsidR="00AC4391" w:rsidRPr="00A97965" w:rsidRDefault="00AC4391">
      <w:pPr>
        <w:pStyle w:val="EUheading3"/>
        <w:jc w:val="both"/>
        <w:rPr>
          <w:szCs w:val="22"/>
        </w:rPr>
      </w:pPr>
      <w:r w:rsidRPr="00A97965">
        <w:rPr>
          <w:szCs w:val="22"/>
        </w:rPr>
        <w:t>Nicorette invisipatch a jedlo a nápoje:</w:t>
      </w:r>
    </w:p>
    <w:p w:rsidR="00AC4391" w:rsidRPr="00A97965" w:rsidRDefault="00AC4391">
      <w:pPr>
        <w:pStyle w:val="EUNormal"/>
        <w:jc w:val="both"/>
        <w:rPr>
          <w:szCs w:val="22"/>
        </w:rPr>
      </w:pPr>
      <w:r w:rsidRPr="00A97965">
        <w:rPr>
          <w:szCs w:val="22"/>
        </w:rPr>
        <w:t xml:space="preserve">Účinok Nicorette invisipatch nezávisí od príjmu potravy alebo nápojov. </w:t>
      </w:r>
    </w:p>
    <w:p w:rsidR="00AC4391" w:rsidRPr="00A97965" w:rsidRDefault="00AC4391">
      <w:pPr>
        <w:pStyle w:val="EUNormal"/>
        <w:jc w:val="both"/>
        <w:rPr>
          <w:szCs w:val="22"/>
        </w:rPr>
      </w:pPr>
    </w:p>
    <w:p w:rsidR="00AC4391" w:rsidRPr="00A97965" w:rsidRDefault="00AC4391">
      <w:pPr>
        <w:pStyle w:val="EUheading3"/>
        <w:jc w:val="both"/>
        <w:rPr>
          <w:szCs w:val="22"/>
        </w:rPr>
      </w:pPr>
      <w:r w:rsidRPr="00A97965">
        <w:rPr>
          <w:szCs w:val="22"/>
        </w:rPr>
        <w:t>Tehotenstvo a dojčenie</w:t>
      </w:r>
    </w:p>
    <w:p w:rsidR="00AC4391" w:rsidRPr="00A97965" w:rsidRDefault="00AC4391">
      <w:pPr>
        <w:pStyle w:val="EUNormal"/>
        <w:jc w:val="both"/>
        <w:rPr>
          <w:szCs w:val="22"/>
        </w:rPr>
      </w:pPr>
      <w:r w:rsidRPr="00A97965">
        <w:rPr>
          <w:szCs w:val="22"/>
        </w:rPr>
        <w:t>Skôr ako začnete užívať akýkoľvek liek, poraďte sa so svojím lekárom alebo lekárnikom.</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 xml:space="preserve">Fajčenie môže veľmi vážne poškodiť plod alebo dojčené dieťa. Preto by ste mali počas tehotenstva a v období dojčenia prestať fajčiť, pokiaľ možno bez použitia liekov obsahujúcich nikotín. Ak nedokážete prestať fajčiť bez použitia liekov s obsahom nikotínu, používajte lieky Nicorette iba po konzultácii s lekárom. </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Transdermálne náplasti Nicorette invisipatch sa nemajú používať počas tehotenstva s výnimkou žien, ktoré nedokážu bez náhradnej liečby nikotínom prestať fajčiť, a ktorým to výslovne odporučí lekár.</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Nikotín prestupuje do materského mlieka v malom množstve, ktoré však aj pri liečebných dávkach môže ovplyvniť dojčené dieťa. Preto nemajú dojčiace matky používať transdermálne náplasti Nicorette invisipatch bez konzultácie s lekárom.</w:t>
      </w:r>
    </w:p>
    <w:p w:rsidR="00AC4391" w:rsidRPr="00A97965" w:rsidRDefault="00AC4391">
      <w:pPr>
        <w:pStyle w:val="EUNormal"/>
        <w:jc w:val="both"/>
        <w:rPr>
          <w:szCs w:val="22"/>
        </w:rPr>
      </w:pPr>
    </w:p>
    <w:p w:rsidR="00AC4391" w:rsidRPr="00A97965" w:rsidRDefault="00AC4391">
      <w:pPr>
        <w:pStyle w:val="EUheading3"/>
        <w:jc w:val="both"/>
        <w:rPr>
          <w:szCs w:val="22"/>
        </w:rPr>
      </w:pPr>
      <w:r w:rsidRPr="00A97965">
        <w:rPr>
          <w:szCs w:val="22"/>
        </w:rPr>
        <w:t>Vedenie vozidla a obsluha strojov</w:t>
      </w:r>
    </w:p>
    <w:p w:rsidR="00AC4391" w:rsidRPr="00A97965" w:rsidRDefault="00AC4391">
      <w:pPr>
        <w:pStyle w:val="EUNormal"/>
        <w:jc w:val="both"/>
        <w:rPr>
          <w:szCs w:val="22"/>
        </w:rPr>
      </w:pPr>
      <w:r w:rsidRPr="00A97965">
        <w:rPr>
          <w:szCs w:val="22"/>
        </w:rPr>
        <w:t>Liek Nicorette invisipatch nemá vplyv na schopnosť viesť vozidlo a obsluhovať stroje.</w:t>
      </w:r>
    </w:p>
    <w:p w:rsidR="00AC4391" w:rsidRPr="00A97965" w:rsidRDefault="00AC4391">
      <w:pPr>
        <w:pStyle w:val="EUNormal"/>
        <w:jc w:val="both"/>
        <w:rPr>
          <w:szCs w:val="22"/>
        </w:rPr>
      </w:pPr>
    </w:p>
    <w:p w:rsidR="00AC4391" w:rsidRPr="00A97965" w:rsidRDefault="00AC4391">
      <w:pPr>
        <w:pStyle w:val="EUNormal"/>
        <w:jc w:val="both"/>
        <w:rPr>
          <w:szCs w:val="22"/>
        </w:rPr>
      </w:pPr>
    </w:p>
    <w:p w:rsidR="00AC4391" w:rsidRPr="00A97965" w:rsidRDefault="00AC4391">
      <w:pPr>
        <w:pStyle w:val="EUHeading1"/>
        <w:jc w:val="both"/>
        <w:rPr>
          <w:szCs w:val="22"/>
        </w:rPr>
      </w:pPr>
      <w:bookmarkStart w:id="16" w:name="_Toc41370052"/>
      <w:r w:rsidRPr="00A97965">
        <w:rPr>
          <w:szCs w:val="22"/>
        </w:rPr>
        <w:t>3.</w:t>
      </w:r>
      <w:r w:rsidRPr="00A97965">
        <w:rPr>
          <w:szCs w:val="22"/>
        </w:rPr>
        <w:tab/>
        <w:t>A</w:t>
      </w:r>
      <w:r w:rsidRPr="00A97965">
        <w:rPr>
          <w:caps w:val="0"/>
          <w:szCs w:val="22"/>
        </w:rPr>
        <w:t xml:space="preserve">ko používať </w:t>
      </w:r>
      <w:bookmarkEnd w:id="16"/>
      <w:r w:rsidRPr="00A97965">
        <w:rPr>
          <w:caps w:val="0"/>
          <w:szCs w:val="22"/>
        </w:rPr>
        <w:t>Nicorette invisipatch</w:t>
      </w:r>
    </w:p>
    <w:p w:rsidR="00AC4391" w:rsidRPr="00A97965" w:rsidRDefault="00AC4391">
      <w:pPr>
        <w:pStyle w:val="EUNormalafterheader"/>
        <w:jc w:val="both"/>
        <w:rPr>
          <w:szCs w:val="22"/>
        </w:rPr>
      </w:pPr>
    </w:p>
    <w:p w:rsidR="00AC4391" w:rsidRPr="00A97965" w:rsidRDefault="00AC4391">
      <w:pPr>
        <w:pStyle w:val="EUNormal"/>
        <w:jc w:val="both"/>
        <w:rPr>
          <w:szCs w:val="22"/>
        </w:rPr>
      </w:pPr>
      <w:bookmarkStart w:id="17" w:name="_Toc41370055"/>
      <w:r w:rsidRPr="00A97965">
        <w:rPr>
          <w:szCs w:val="22"/>
        </w:rPr>
        <w:t xml:space="preserve">Ak Vám Váš lekár nepovie inak, vždy používajte Nicorette invisipatch presne podľa pokynov uvedených v tejto písomnej informácii pre používateľov. Ak si nie ste niečím istý, overte si to u svojho lekára alebo lekárnika. </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Počas liečby liekom Nicorette invisipatch by ste mali vynaložiť všetko úsilie na to, aby ste prestali úplne fajčiť.</w:t>
      </w:r>
    </w:p>
    <w:p w:rsidR="00AC4391" w:rsidRPr="00A97965" w:rsidRDefault="00AC4391">
      <w:pPr>
        <w:pStyle w:val="EUNormal"/>
        <w:jc w:val="both"/>
        <w:rPr>
          <w:szCs w:val="22"/>
        </w:rPr>
      </w:pPr>
    </w:p>
    <w:p w:rsidR="00AC4391" w:rsidRPr="00A97965" w:rsidRDefault="00AC4391">
      <w:pPr>
        <w:pStyle w:val="EUNormal"/>
        <w:keepNext/>
        <w:jc w:val="both"/>
        <w:rPr>
          <w:b/>
          <w:bCs/>
          <w:szCs w:val="22"/>
          <w:u w:val="single"/>
        </w:rPr>
      </w:pPr>
      <w:r w:rsidRPr="00A97965">
        <w:rPr>
          <w:b/>
          <w:bCs/>
          <w:szCs w:val="22"/>
          <w:u w:val="single"/>
        </w:rPr>
        <w:t>Deti a dospievajúci</w:t>
      </w:r>
    </w:p>
    <w:p w:rsidR="00AC4391" w:rsidRPr="00A97965" w:rsidRDefault="00AC4391">
      <w:pPr>
        <w:pStyle w:val="EUNormal"/>
        <w:jc w:val="both"/>
        <w:rPr>
          <w:szCs w:val="22"/>
        </w:rPr>
      </w:pPr>
      <w:r w:rsidRPr="00A97965">
        <w:rPr>
          <w:szCs w:val="22"/>
        </w:rPr>
        <w:t>Bezpečnosť a účinnosť lieku Nicorette invisipatch v tejto skupine nebola hodnotená. Preto Nicorette invisipatch nemajú používať deti do 18 rokov.</w:t>
      </w:r>
    </w:p>
    <w:p w:rsidR="00AC4391" w:rsidRPr="00A97965" w:rsidRDefault="00AC4391">
      <w:pPr>
        <w:pStyle w:val="EUNormal"/>
        <w:jc w:val="both"/>
        <w:rPr>
          <w:szCs w:val="22"/>
        </w:rPr>
      </w:pPr>
    </w:p>
    <w:p w:rsidR="00AC4391" w:rsidRPr="00A97965" w:rsidRDefault="00AC4391">
      <w:pPr>
        <w:pStyle w:val="EUNormal"/>
        <w:keepNext/>
        <w:jc w:val="both"/>
        <w:rPr>
          <w:b/>
          <w:bCs/>
          <w:szCs w:val="22"/>
          <w:u w:val="single"/>
        </w:rPr>
      </w:pPr>
      <w:r w:rsidRPr="00A97965">
        <w:rPr>
          <w:b/>
          <w:bCs/>
          <w:szCs w:val="22"/>
          <w:u w:val="single"/>
        </w:rPr>
        <w:t>Dospelí a starší pacienti</w:t>
      </w:r>
    </w:p>
    <w:p w:rsidR="00AC4391" w:rsidRPr="00A97965" w:rsidRDefault="00AC4391">
      <w:pPr>
        <w:pStyle w:val="EUNormal"/>
        <w:jc w:val="both"/>
        <w:rPr>
          <w:szCs w:val="22"/>
        </w:rPr>
      </w:pPr>
      <w:r w:rsidRPr="00A97965">
        <w:rPr>
          <w:szCs w:val="22"/>
        </w:rPr>
        <w:t xml:space="preserve">Liečba pomocou transdermálnych náplastí Nicorette invisipatch trvá zvyčajne 12 týždňov. </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 xml:space="preserve">V deň začatia liečby je potrebné prestať fajčiť, t. j. keďže náplasť sa aplikuje ráno po prebudení, poslednú cigaretu zahasíte večer pred prvou aplikáciou náplasti. Počas liečby nefajčite. </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Liečba sa väčšinou zahajuje náplasťami s vyšším obsahom nikotínu a postupne sa prechádza na náplasti s nižším obsahom, čo umožní prestať s fajčením postupne a úplne.</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 xml:space="preserve">Liečba náplasťami Nicorette invisipatch napodobňuje kolísanie hladín nikotínu v krvnej plazme tak, ako sa to pozorovalo u fajčiarov, ktorí počas spánku nikotín neprijímajú. Nikotín uvoľňujúci sa počas liečby z náplastí Nicorette invisipatch, ktoré sa aplikujú iba počas aktívnej časti dňa a pôsobia počas 16 hodín, nevyvoláva poruchy spánku, ako to bolo pozorované pri prijímaní nikotínu aj počas spánku. </w:t>
      </w:r>
    </w:p>
    <w:p w:rsidR="00AC4391" w:rsidRPr="00A97965" w:rsidRDefault="00AC4391">
      <w:pPr>
        <w:pStyle w:val="EUNormal"/>
        <w:jc w:val="both"/>
        <w:rPr>
          <w:szCs w:val="22"/>
        </w:rPr>
      </w:pPr>
    </w:p>
    <w:p w:rsidR="00AC4391" w:rsidRPr="00A97965" w:rsidRDefault="00AC4391">
      <w:pPr>
        <w:pStyle w:val="EUNormal"/>
        <w:keepNext/>
        <w:jc w:val="both"/>
        <w:rPr>
          <w:szCs w:val="22"/>
          <w:u w:val="single"/>
        </w:rPr>
      </w:pPr>
      <w:r w:rsidRPr="00A97965">
        <w:rPr>
          <w:szCs w:val="22"/>
          <w:u w:val="single"/>
        </w:rPr>
        <w:t>Fajčiari s vysokým stupňom závislosti na nikotíne:</w:t>
      </w:r>
    </w:p>
    <w:p w:rsidR="00AC4391" w:rsidRPr="00A97965" w:rsidRDefault="00AC4391">
      <w:pPr>
        <w:pStyle w:val="EUNormal"/>
        <w:keepNext/>
        <w:jc w:val="both"/>
        <w:rPr>
          <w:szCs w:val="22"/>
        </w:rPr>
      </w:pPr>
      <w:r w:rsidRPr="00A97965">
        <w:rPr>
          <w:szCs w:val="22"/>
        </w:rPr>
        <w:t>(Fagerströmovo skóre závislosti na nikotíne </w:t>
      </w:r>
      <w:r w:rsidRPr="00A97965">
        <w:rPr>
          <w:szCs w:val="22"/>
        </w:rPr>
        <w:sym w:font="Symbol" w:char="F0B3"/>
      </w:r>
      <w:r w:rsidRPr="00A97965">
        <w:rPr>
          <w:szCs w:val="22"/>
        </w:rPr>
        <w:t> 6 alebo fajčenie &gt; 20 cigariet denne)</w:t>
      </w:r>
    </w:p>
    <w:p w:rsidR="00AC4391" w:rsidRPr="00A97965" w:rsidRDefault="00AC4391">
      <w:pPr>
        <w:pStyle w:val="EUNormal"/>
        <w:jc w:val="both"/>
        <w:rPr>
          <w:szCs w:val="22"/>
        </w:rPr>
      </w:pPr>
      <w:r w:rsidRPr="00A97965">
        <w:rPr>
          <w:szCs w:val="22"/>
        </w:rPr>
        <w:t xml:space="preserve">Liečba sa začína </w:t>
      </w:r>
      <w:r w:rsidRPr="00A97965">
        <w:rPr>
          <w:b/>
          <w:bCs/>
          <w:szCs w:val="22"/>
        </w:rPr>
        <w:t>Krokom 1</w:t>
      </w:r>
      <w:r w:rsidRPr="00A97965">
        <w:rPr>
          <w:szCs w:val="22"/>
        </w:rPr>
        <w:t xml:space="preserve"> s náplasťou 25 mg/16 h. Aplikuje sa vždy jedna náplasť denne a doporučená dĺžka tejto fázy je 8 týždňov. Potom sa začne s postupným znižovaním prijímaného nikotínu – </w:t>
      </w:r>
      <w:r w:rsidRPr="00A97965">
        <w:rPr>
          <w:b/>
          <w:bCs/>
          <w:szCs w:val="22"/>
        </w:rPr>
        <w:t>Krok 2</w:t>
      </w:r>
      <w:r w:rsidRPr="00A97965">
        <w:rPr>
          <w:szCs w:val="22"/>
        </w:rPr>
        <w:t xml:space="preserve">, t. j. jedna náplasť 15 mg/16 h sa používa denne v priebehu 2 týždňov a potom nasleduje </w:t>
      </w:r>
      <w:r w:rsidRPr="00A97965">
        <w:rPr>
          <w:b/>
          <w:bCs/>
          <w:szCs w:val="22"/>
        </w:rPr>
        <w:t>Krok 3</w:t>
      </w:r>
      <w:r w:rsidRPr="00A97965">
        <w:rPr>
          <w:szCs w:val="22"/>
        </w:rPr>
        <w:t xml:space="preserve"> – jedna 10 mg/16 h náplasť denne po dobu ďalších 2 týždňov. </w:t>
      </w:r>
    </w:p>
    <w:p w:rsidR="00AC4391" w:rsidRPr="00A97965" w:rsidRDefault="00AC4391">
      <w:pPr>
        <w:pStyle w:val="EUNormal"/>
        <w:jc w:val="both"/>
        <w:rPr>
          <w:szCs w:val="22"/>
        </w:rPr>
      </w:pPr>
    </w:p>
    <w:p w:rsidR="00AC4391" w:rsidRPr="00A97965" w:rsidRDefault="00AC4391">
      <w:pPr>
        <w:pStyle w:val="EUNormal"/>
        <w:keepNext/>
        <w:jc w:val="both"/>
        <w:rPr>
          <w:szCs w:val="22"/>
        </w:rPr>
      </w:pPr>
      <w:r w:rsidRPr="00A97965">
        <w:rPr>
          <w:b/>
          <w:bCs/>
          <w:szCs w:val="22"/>
        </w:rPr>
        <w:t>Tabuľka č. 1 Dávkovacia schéma pre fajčiarov s vysokým stupňom závislosti</w:t>
      </w:r>
    </w:p>
    <w:tbl>
      <w:tblPr>
        <w:tblW w:w="508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1064"/>
        <w:gridCol w:w="5596"/>
        <w:gridCol w:w="2149"/>
      </w:tblGrid>
      <w:tr w:rsidR="00AC4391" w:rsidRPr="00A97965">
        <w:trPr>
          <w:tblCellSpacing w:w="0" w:type="dxa"/>
        </w:trPr>
        <w:tc>
          <w:tcPr>
            <w:tcW w:w="6660" w:type="dxa"/>
            <w:gridSpan w:val="2"/>
          </w:tcPr>
          <w:p w:rsidR="00AC4391" w:rsidRPr="00A97965" w:rsidRDefault="00AC4391">
            <w:pPr>
              <w:pStyle w:val="EUNormal"/>
              <w:ind w:left="66"/>
              <w:jc w:val="both"/>
              <w:rPr>
                <w:b/>
                <w:bCs/>
              </w:rPr>
            </w:pPr>
            <w:r w:rsidRPr="00A97965">
              <w:rPr>
                <w:b/>
                <w:bCs/>
                <w:szCs w:val="22"/>
              </w:rPr>
              <w:t>Schéma dávkovania</w:t>
            </w:r>
          </w:p>
        </w:tc>
        <w:tc>
          <w:tcPr>
            <w:tcW w:w="2149" w:type="dxa"/>
          </w:tcPr>
          <w:p w:rsidR="00AC4391" w:rsidRPr="00A97965" w:rsidRDefault="00AC4391">
            <w:pPr>
              <w:pStyle w:val="EUNormal"/>
              <w:ind w:left="39"/>
              <w:jc w:val="both"/>
              <w:rPr>
                <w:b/>
                <w:bCs/>
              </w:rPr>
            </w:pPr>
            <w:r w:rsidRPr="00A97965">
              <w:rPr>
                <w:b/>
                <w:bCs/>
                <w:szCs w:val="22"/>
              </w:rPr>
              <w:t>Trvanie</w:t>
            </w:r>
          </w:p>
        </w:tc>
      </w:tr>
      <w:tr w:rsidR="00AC4391" w:rsidRPr="00A97965">
        <w:trPr>
          <w:trHeight w:val="291"/>
          <w:tblCellSpacing w:w="0" w:type="dxa"/>
        </w:trPr>
        <w:tc>
          <w:tcPr>
            <w:tcW w:w="1064" w:type="dxa"/>
          </w:tcPr>
          <w:p w:rsidR="00AC4391" w:rsidRPr="00A97965" w:rsidRDefault="00AC4391">
            <w:pPr>
              <w:pStyle w:val="EUNormal"/>
              <w:ind w:left="39"/>
              <w:jc w:val="both"/>
            </w:pPr>
            <w:r w:rsidRPr="00A97965">
              <w:rPr>
                <w:szCs w:val="22"/>
              </w:rPr>
              <w:t>Krok 1</w:t>
            </w:r>
          </w:p>
        </w:tc>
        <w:tc>
          <w:tcPr>
            <w:tcW w:w="5596" w:type="dxa"/>
          </w:tcPr>
          <w:p w:rsidR="00AC4391" w:rsidRPr="00A97965" w:rsidRDefault="00AC4391">
            <w:pPr>
              <w:pStyle w:val="EUNormal"/>
              <w:ind w:left="39"/>
              <w:jc w:val="both"/>
            </w:pPr>
            <w:r w:rsidRPr="00A97965">
              <w:rPr>
                <w:szCs w:val="22"/>
              </w:rPr>
              <w:t>Nicorette invisipatch 25 mg/16 h jedna náplasť denne</w:t>
            </w:r>
          </w:p>
        </w:tc>
        <w:tc>
          <w:tcPr>
            <w:tcW w:w="2149" w:type="dxa"/>
          </w:tcPr>
          <w:p w:rsidR="00AC4391" w:rsidRPr="00A97965" w:rsidRDefault="00AC4391">
            <w:pPr>
              <w:pStyle w:val="EUNormal"/>
              <w:ind w:left="39"/>
              <w:jc w:val="both"/>
            </w:pPr>
            <w:r w:rsidRPr="00A97965">
              <w:rPr>
                <w:szCs w:val="22"/>
              </w:rPr>
              <w:t>8 týždňov</w:t>
            </w:r>
          </w:p>
        </w:tc>
      </w:tr>
      <w:tr w:rsidR="00AC4391" w:rsidRPr="00A97965">
        <w:trPr>
          <w:tblCellSpacing w:w="0" w:type="dxa"/>
        </w:trPr>
        <w:tc>
          <w:tcPr>
            <w:tcW w:w="1064" w:type="dxa"/>
          </w:tcPr>
          <w:p w:rsidR="00AC4391" w:rsidRPr="00A97965" w:rsidRDefault="00AC4391">
            <w:pPr>
              <w:pStyle w:val="EUNormal"/>
              <w:ind w:left="39"/>
              <w:jc w:val="both"/>
            </w:pPr>
            <w:r w:rsidRPr="00A97965">
              <w:rPr>
                <w:szCs w:val="22"/>
              </w:rPr>
              <w:t>Krok 2</w:t>
            </w:r>
          </w:p>
        </w:tc>
        <w:tc>
          <w:tcPr>
            <w:tcW w:w="5596" w:type="dxa"/>
          </w:tcPr>
          <w:p w:rsidR="00AC4391" w:rsidRPr="00A97965" w:rsidRDefault="00AC4391">
            <w:pPr>
              <w:pStyle w:val="EUNormal"/>
              <w:ind w:left="39"/>
              <w:jc w:val="both"/>
            </w:pPr>
            <w:r w:rsidRPr="00A97965">
              <w:rPr>
                <w:szCs w:val="22"/>
              </w:rPr>
              <w:t>Nicorette invisipatch 15 mg/16 h jedna náplasť denne</w:t>
            </w:r>
          </w:p>
        </w:tc>
        <w:tc>
          <w:tcPr>
            <w:tcW w:w="2149" w:type="dxa"/>
          </w:tcPr>
          <w:p w:rsidR="00AC4391" w:rsidRPr="00A97965" w:rsidRDefault="00AC4391">
            <w:pPr>
              <w:pStyle w:val="EUNormal"/>
              <w:ind w:left="39"/>
              <w:jc w:val="both"/>
            </w:pPr>
            <w:r w:rsidRPr="00A97965">
              <w:rPr>
                <w:szCs w:val="22"/>
              </w:rPr>
              <w:t>2 týždne</w:t>
            </w:r>
          </w:p>
        </w:tc>
      </w:tr>
      <w:tr w:rsidR="00AC4391" w:rsidRPr="00A97965">
        <w:trPr>
          <w:tblCellSpacing w:w="0" w:type="dxa"/>
        </w:trPr>
        <w:tc>
          <w:tcPr>
            <w:tcW w:w="1064" w:type="dxa"/>
          </w:tcPr>
          <w:p w:rsidR="00AC4391" w:rsidRPr="00A97965" w:rsidRDefault="00AC4391">
            <w:pPr>
              <w:pStyle w:val="EUNormal"/>
              <w:ind w:left="39"/>
              <w:jc w:val="both"/>
            </w:pPr>
            <w:r w:rsidRPr="00A97965">
              <w:rPr>
                <w:szCs w:val="22"/>
              </w:rPr>
              <w:t>Krok 3</w:t>
            </w:r>
          </w:p>
        </w:tc>
        <w:tc>
          <w:tcPr>
            <w:tcW w:w="5596" w:type="dxa"/>
          </w:tcPr>
          <w:p w:rsidR="00AC4391" w:rsidRPr="00A97965" w:rsidRDefault="00AC4391">
            <w:pPr>
              <w:pStyle w:val="EUNormal"/>
              <w:ind w:left="39"/>
              <w:jc w:val="both"/>
            </w:pPr>
            <w:r w:rsidRPr="00A97965">
              <w:rPr>
                <w:szCs w:val="22"/>
              </w:rPr>
              <w:t>Nicorette invisipatch 10 mg/16 h jedna náplasť denne</w:t>
            </w:r>
          </w:p>
        </w:tc>
        <w:tc>
          <w:tcPr>
            <w:tcW w:w="2149" w:type="dxa"/>
          </w:tcPr>
          <w:p w:rsidR="00AC4391" w:rsidRPr="00A97965" w:rsidRDefault="00AC4391">
            <w:pPr>
              <w:pStyle w:val="EUNormal"/>
              <w:ind w:left="39"/>
              <w:jc w:val="both"/>
            </w:pPr>
            <w:r w:rsidRPr="00A97965">
              <w:rPr>
                <w:szCs w:val="22"/>
              </w:rPr>
              <w:t>2 týždne</w:t>
            </w:r>
          </w:p>
        </w:tc>
      </w:tr>
    </w:tbl>
    <w:p w:rsidR="00AC4391" w:rsidRPr="00A97965" w:rsidRDefault="00AC4391">
      <w:pPr>
        <w:pStyle w:val="EUNormal"/>
        <w:jc w:val="both"/>
        <w:rPr>
          <w:szCs w:val="22"/>
        </w:rPr>
      </w:pPr>
    </w:p>
    <w:p w:rsidR="00AC4391" w:rsidRPr="00A97965" w:rsidRDefault="00AC4391">
      <w:pPr>
        <w:pStyle w:val="EUNormal"/>
        <w:keepNext/>
        <w:jc w:val="both"/>
        <w:rPr>
          <w:szCs w:val="22"/>
          <w:u w:val="single"/>
        </w:rPr>
      </w:pPr>
      <w:r w:rsidRPr="00A97965">
        <w:rPr>
          <w:szCs w:val="22"/>
          <w:u w:val="single"/>
        </w:rPr>
        <w:t>Fajčiari s nižším stupňom závislosti na nikotíne:</w:t>
      </w:r>
    </w:p>
    <w:p w:rsidR="00AC4391" w:rsidRPr="00A97965" w:rsidRDefault="00AC4391">
      <w:pPr>
        <w:pStyle w:val="EUNormal"/>
        <w:keepNext/>
        <w:jc w:val="both"/>
        <w:rPr>
          <w:szCs w:val="22"/>
        </w:rPr>
      </w:pPr>
      <w:r w:rsidRPr="00A97965">
        <w:rPr>
          <w:szCs w:val="22"/>
        </w:rPr>
        <w:t>(Fagerströmovo skóre závislosti na nikotíne </w:t>
      </w:r>
      <w:r w:rsidRPr="00A97965">
        <w:rPr>
          <w:szCs w:val="22"/>
        </w:rPr>
        <w:sym w:font="Symbol" w:char="F03C"/>
      </w:r>
      <w:r w:rsidRPr="00A97965">
        <w:rPr>
          <w:szCs w:val="22"/>
        </w:rPr>
        <w:t> 6 alebo fajčenie </w:t>
      </w:r>
      <w:r w:rsidRPr="00A97965">
        <w:rPr>
          <w:szCs w:val="22"/>
        </w:rPr>
        <w:sym w:font="Symbol" w:char="F0A3"/>
      </w:r>
      <w:r w:rsidRPr="00A97965">
        <w:rPr>
          <w:szCs w:val="22"/>
        </w:rPr>
        <w:t> 20 cigariet denne)</w:t>
      </w:r>
    </w:p>
    <w:p w:rsidR="00AC4391" w:rsidRPr="00A97965" w:rsidRDefault="00AC4391">
      <w:pPr>
        <w:pStyle w:val="EUNormal"/>
        <w:jc w:val="both"/>
        <w:rPr>
          <w:szCs w:val="22"/>
        </w:rPr>
      </w:pPr>
      <w:r w:rsidRPr="00A97965">
        <w:rPr>
          <w:szCs w:val="22"/>
        </w:rPr>
        <w:t xml:space="preserve">Liečba sa začína </w:t>
      </w:r>
      <w:r w:rsidRPr="00A97965">
        <w:rPr>
          <w:b/>
          <w:bCs/>
          <w:szCs w:val="22"/>
        </w:rPr>
        <w:t>Krokom 2 </w:t>
      </w:r>
      <w:r w:rsidRPr="00A97965">
        <w:rPr>
          <w:szCs w:val="22"/>
        </w:rPr>
        <w:t>– náplasťami 15 mg/16 h počas 8 týždňov jedna náplasť denne. Dávka nikotínu sa potom zníži v </w:t>
      </w:r>
      <w:r w:rsidRPr="00A97965">
        <w:rPr>
          <w:b/>
          <w:bCs/>
          <w:szCs w:val="22"/>
        </w:rPr>
        <w:t>Kroku 3</w:t>
      </w:r>
      <w:r w:rsidRPr="00A97965">
        <w:rPr>
          <w:szCs w:val="22"/>
        </w:rPr>
        <w:t xml:space="preserve"> používaním náplasti 10 mg/16 h po dobu 4 týždňov.</w:t>
      </w:r>
    </w:p>
    <w:p w:rsidR="00AC4391" w:rsidRPr="00A97965" w:rsidRDefault="00AC4391">
      <w:pPr>
        <w:pStyle w:val="EUNormal"/>
        <w:jc w:val="both"/>
        <w:rPr>
          <w:szCs w:val="22"/>
        </w:rPr>
      </w:pPr>
    </w:p>
    <w:p w:rsidR="00AC4391" w:rsidRPr="00A97965" w:rsidRDefault="00AC4391">
      <w:pPr>
        <w:pStyle w:val="EUNormal"/>
        <w:keepNext/>
        <w:spacing w:after="60"/>
        <w:jc w:val="both"/>
        <w:rPr>
          <w:szCs w:val="22"/>
        </w:rPr>
      </w:pPr>
      <w:r w:rsidRPr="00A97965">
        <w:rPr>
          <w:b/>
          <w:bCs/>
          <w:szCs w:val="22"/>
        </w:rPr>
        <w:t>Tabuľka č. 2 Dávkovacia schéma pre fajčiarov s nižším stupňom závislosti</w:t>
      </w:r>
    </w:p>
    <w:tbl>
      <w:tblPr>
        <w:tblW w:w="5095"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064"/>
        <w:gridCol w:w="5623"/>
        <w:gridCol w:w="2148"/>
      </w:tblGrid>
      <w:tr w:rsidR="00AC4391" w:rsidRPr="00A97965">
        <w:trPr>
          <w:tblCellSpacing w:w="0" w:type="dxa"/>
        </w:trPr>
        <w:tc>
          <w:tcPr>
            <w:tcW w:w="6687" w:type="dxa"/>
            <w:gridSpan w:val="2"/>
            <w:tcBorders>
              <w:top w:val="outset" w:sz="6" w:space="0" w:color="auto"/>
              <w:bottom w:val="outset" w:sz="6" w:space="0" w:color="auto"/>
              <w:right w:val="outset" w:sz="6" w:space="0" w:color="auto"/>
            </w:tcBorders>
          </w:tcPr>
          <w:p w:rsidR="00AC4391" w:rsidRPr="00A97965" w:rsidRDefault="00AC4391">
            <w:pPr>
              <w:pStyle w:val="EUNormal"/>
              <w:ind w:left="57" w:hanging="9"/>
              <w:jc w:val="both"/>
              <w:rPr>
                <w:b/>
                <w:bCs/>
              </w:rPr>
            </w:pPr>
            <w:r w:rsidRPr="00A97965">
              <w:rPr>
                <w:b/>
                <w:bCs/>
                <w:szCs w:val="22"/>
              </w:rPr>
              <w:t>Schéma dávkovania</w:t>
            </w:r>
          </w:p>
        </w:tc>
        <w:tc>
          <w:tcPr>
            <w:tcW w:w="2148" w:type="dxa"/>
            <w:tcBorders>
              <w:top w:val="outset" w:sz="6" w:space="0" w:color="auto"/>
              <w:left w:val="outset" w:sz="6" w:space="0" w:color="auto"/>
              <w:bottom w:val="outset" w:sz="6" w:space="0" w:color="auto"/>
            </w:tcBorders>
          </w:tcPr>
          <w:p w:rsidR="00AC4391" w:rsidRPr="00A97965" w:rsidRDefault="00AC4391">
            <w:pPr>
              <w:pStyle w:val="EUNormal"/>
              <w:ind w:left="57" w:hanging="9"/>
              <w:jc w:val="both"/>
              <w:rPr>
                <w:b/>
                <w:bCs/>
              </w:rPr>
            </w:pPr>
            <w:r w:rsidRPr="00A97965">
              <w:rPr>
                <w:b/>
                <w:bCs/>
                <w:szCs w:val="22"/>
              </w:rPr>
              <w:t>Trvanie</w:t>
            </w:r>
          </w:p>
        </w:tc>
      </w:tr>
      <w:tr w:rsidR="00AC4391" w:rsidRPr="00A97965">
        <w:trPr>
          <w:tblCellSpacing w:w="0" w:type="dxa"/>
        </w:trPr>
        <w:tc>
          <w:tcPr>
            <w:tcW w:w="1064" w:type="dxa"/>
            <w:tcBorders>
              <w:top w:val="outset" w:sz="6" w:space="0" w:color="auto"/>
              <w:bottom w:val="outset" w:sz="6" w:space="0" w:color="auto"/>
              <w:right w:val="outset" w:sz="6" w:space="0" w:color="auto"/>
            </w:tcBorders>
          </w:tcPr>
          <w:p w:rsidR="00AC4391" w:rsidRPr="00A97965" w:rsidRDefault="00AC4391">
            <w:pPr>
              <w:pStyle w:val="EUNormal"/>
              <w:ind w:left="57" w:hanging="9"/>
              <w:jc w:val="both"/>
            </w:pPr>
            <w:r w:rsidRPr="00A97965">
              <w:rPr>
                <w:szCs w:val="22"/>
              </w:rPr>
              <w:t>Krok 2</w:t>
            </w:r>
          </w:p>
        </w:tc>
        <w:tc>
          <w:tcPr>
            <w:tcW w:w="5623" w:type="dxa"/>
            <w:tcBorders>
              <w:top w:val="outset" w:sz="6" w:space="0" w:color="auto"/>
              <w:left w:val="outset" w:sz="6" w:space="0" w:color="auto"/>
              <w:bottom w:val="outset" w:sz="6" w:space="0" w:color="auto"/>
              <w:right w:val="outset" w:sz="6" w:space="0" w:color="auto"/>
            </w:tcBorders>
          </w:tcPr>
          <w:p w:rsidR="00AC4391" w:rsidRPr="00A97965" w:rsidRDefault="00AC4391">
            <w:pPr>
              <w:pStyle w:val="EUNormal"/>
              <w:ind w:left="57" w:hanging="9"/>
              <w:jc w:val="both"/>
            </w:pPr>
            <w:r w:rsidRPr="00A97965">
              <w:rPr>
                <w:szCs w:val="22"/>
              </w:rPr>
              <w:t>Nicorette invisipatch 15 mg/16 h jedna náplasť denne</w:t>
            </w:r>
          </w:p>
        </w:tc>
        <w:tc>
          <w:tcPr>
            <w:tcW w:w="2148" w:type="dxa"/>
            <w:tcBorders>
              <w:top w:val="outset" w:sz="6" w:space="0" w:color="auto"/>
              <w:left w:val="outset" w:sz="6" w:space="0" w:color="auto"/>
              <w:bottom w:val="outset" w:sz="6" w:space="0" w:color="auto"/>
            </w:tcBorders>
          </w:tcPr>
          <w:p w:rsidR="00AC4391" w:rsidRPr="00A97965" w:rsidRDefault="00AC4391">
            <w:pPr>
              <w:pStyle w:val="EUNormal"/>
              <w:ind w:left="57" w:hanging="9"/>
              <w:jc w:val="both"/>
            </w:pPr>
            <w:r w:rsidRPr="00A97965">
              <w:rPr>
                <w:szCs w:val="22"/>
              </w:rPr>
              <w:t>8 týždňov</w:t>
            </w:r>
          </w:p>
        </w:tc>
      </w:tr>
      <w:tr w:rsidR="00AC4391" w:rsidRPr="00A97965">
        <w:trPr>
          <w:tblCellSpacing w:w="0" w:type="dxa"/>
        </w:trPr>
        <w:tc>
          <w:tcPr>
            <w:tcW w:w="1064" w:type="dxa"/>
            <w:tcBorders>
              <w:top w:val="outset" w:sz="6" w:space="0" w:color="auto"/>
              <w:bottom w:val="outset" w:sz="6" w:space="0" w:color="auto"/>
              <w:right w:val="outset" w:sz="6" w:space="0" w:color="auto"/>
            </w:tcBorders>
          </w:tcPr>
          <w:p w:rsidR="00AC4391" w:rsidRPr="00A97965" w:rsidRDefault="00AC4391">
            <w:pPr>
              <w:pStyle w:val="EUNormal"/>
              <w:ind w:left="57" w:hanging="9"/>
              <w:jc w:val="both"/>
            </w:pPr>
            <w:r w:rsidRPr="00A97965">
              <w:rPr>
                <w:szCs w:val="22"/>
              </w:rPr>
              <w:t>Krok 3</w:t>
            </w:r>
          </w:p>
        </w:tc>
        <w:tc>
          <w:tcPr>
            <w:tcW w:w="5623" w:type="dxa"/>
            <w:tcBorders>
              <w:top w:val="outset" w:sz="6" w:space="0" w:color="auto"/>
              <w:left w:val="outset" w:sz="6" w:space="0" w:color="auto"/>
              <w:bottom w:val="outset" w:sz="6" w:space="0" w:color="auto"/>
              <w:right w:val="outset" w:sz="6" w:space="0" w:color="auto"/>
            </w:tcBorders>
          </w:tcPr>
          <w:p w:rsidR="00AC4391" w:rsidRPr="00A97965" w:rsidRDefault="00AC4391">
            <w:pPr>
              <w:pStyle w:val="EUNormal"/>
              <w:ind w:left="57" w:hanging="9"/>
              <w:jc w:val="both"/>
            </w:pPr>
            <w:r w:rsidRPr="00A97965">
              <w:rPr>
                <w:szCs w:val="22"/>
              </w:rPr>
              <w:t>Nicorette invisipatch 10 mg/16 h jedna náplasť denne</w:t>
            </w:r>
          </w:p>
        </w:tc>
        <w:tc>
          <w:tcPr>
            <w:tcW w:w="2148" w:type="dxa"/>
            <w:tcBorders>
              <w:top w:val="outset" w:sz="6" w:space="0" w:color="auto"/>
              <w:left w:val="outset" w:sz="6" w:space="0" w:color="auto"/>
              <w:bottom w:val="outset" w:sz="6" w:space="0" w:color="auto"/>
            </w:tcBorders>
          </w:tcPr>
          <w:p w:rsidR="00AC4391" w:rsidRPr="00A97965" w:rsidRDefault="00AC4391">
            <w:pPr>
              <w:pStyle w:val="EUNormal"/>
              <w:ind w:left="57" w:hanging="9"/>
              <w:jc w:val="both"/>
            </w:pPr>
            <w:r w:rsidRPr="00A97965">
              <w:rPr>
                <w:szCs w:val="22"/>
              </w:rPr>
              <w:t>4 týždne</w:t>
            </w:r>
          </w:p>
        </w:tc>
      </w:tr>
    </w:tbl>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Používanie náplastí dlhšie ako 6 mesiacov sa neodporúča. Niektorí bývalí fajčiari však môžu potrebovať dlhšiu liečbu, aby sa vyhli opätovnému návratu k fajčeniu.</w:t>
      </w:r>
    </w:p>
    <w:p w:rsidR="00AC4391" w:rsidRPr="00A97965" w:rsidRDefault="00AC4391">
      <w:pPr>
        <w:pStyle w:val="EUNormal"/>
        <w:jc w:val="both"/>
        <w:rPr>
          <w:szCs w:val="22"/>
        </w:rPr>
      </w:pPr>
    </w:p>
    <w:p w:rsidR="00AC4391" w:rsidRPr="00A97965" w:rsidRDefault="00AC4391">
      <w:pPr>
        <w:pStyle w:val="EUNormal"/>
        <w:keepNext/>
        <w:jc w:val="both"/>
        <w:rPr>
          <w:b/>
          <w:bCs/>
          <w:szCs w:val="22"/>
          <w:u w:val="single"/>
        </w:rPr>
      </w:pPr>
      <w:r w:rsidRPr="00A97965">
        <w:rPr>
          <w:b/>
          <w:bCs/>
          <w:szCs w:val="22"/>
          <w:u w:val="single"/>
        </w:rPr>
        <w:t>Spôsob podávania:</w:t>
      </w:r>
    </w:p>
    <w:p w:rsidR="00AC4391" w:rsidRPr="00A97965" w:rsidRDefault="00AC4391">
      <w:pPr>
        <w:pStyle w:val="EUNormal"/>
        <w:jc w:val="both"/>
        <w:rPr>
          <w:szCs w:val="22"/>
        </w:rPr>
      </w:pPr>
      <w:r w:rsidRPr="00A97965">
        <w:rPr>
          <w:szCs w:val="22"/>
        </w:rPr>
        <w:t xml:space="preserve">Náplasť sa aplikuje denne na čisté a suché miesto na koži bez prítomnosti ochlpenia alebo poranenia, najlepšie na rameno, bok alebo hrudník. Aby sa zabránilo miestnemu podráždeniu kože, náplasť si aplikujte striedavo na rôzne miesta na koži. Náplasť nelepte na rovnaké miesto dva dni po sebe. Zvolenú oblasť nie je vhodné ošetrovať kozmetickými prípravkami, telovými mliekami, zasypávať atď., aby náplasť dokonale priľnula. </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Náplasť si nalepujte hneď ráno po prebudení a odstráňte ju večer pred spaním tak, aby sa dodržala doba pôsobenia 16 hodín; teda aby boli pokryté potreby fajčiara, ale nenarušil sa jeho spánok.</w:t>
      </w:r>
    </w:p>
    <w:p w:rsidR="00AC4391" w:rsidRPr="00A97965" w:rsidRDefault="00AC4391">
      <w:pPr>
        <w:pStyle w:val="EUNormal"/>
        <w:jc w:val="both"/>
        <w:rPr>
          <w:szCs w:val="22"/>
        </w:rPr>
      </w:pPr>
    </w:p>
    <w:p w:rsidR="00AC4391" w:rsidRPr="00A97965" w:rsidRDefault="00AC4391">
      <w:pPr>
        <w:pStyle w:val="EUNormal"/>
        <w:numPr>
          <w:ilvl w:val="0"/>
          <w:numId w:val="30"/>
          <w:numberingChange w:id="18" w:author="Unknown" w:date="2013-03-25T08:47:00Z" w:original="%1:1:0:."/>
        </w:numPr>
        <w:tabs>
          <w:tab w:val="clear" w:pos="567"/>
          <w:tab w:val="num" w:pos="0"/>
          <w:tab w:val="left" w:pos="720"/>
        </w:tabs>
        <w:jc w:val="both"/>
        <w:rPr>
          <w:szCs w:val="22"/>
        </w:rPr>
      </w:pPr>
      <w:r w:rsidRPr="00A97965">
        <w:rPr>
          <w:szCs w:val="22"/>
        </w:rPr>
        <w:t>Pred prilepením náplasti si umyte ruky.</w:t>
      </w:r>
    </w:p>
    <w:p w:rsidR="00AC4391" w:rsidRPr="00A97965" w:rsidRDefault="00AC4391">
      <w:pPr>
        <w:pStyle w:val="EUNormal"/>
        <w:numPr>
          <w:ilvl w:val="0"/>
          <w:numId w:val="30"/>
          <w:numberingChange w:id="19" w:author="Unknown" w:date="2013-03-25T08:47:00Z" w:original="%1:2:0:."/>
        </w:numPr>
        <w:tabs>
          <w:tab w:val="clear" w:pos="567"/>
          <w:tab w:val="num" w:pos="0"/>
          <w:tab w:val="left" w:pos="720"/>
        </w:tabs>
        <w:jc w:val="both"/>
        <w:rPr>
          <w:szCs w:val="22"/>
        </w:rPr>
      </w:pPr>
      <w:r w:rsidRPr="00A97965">
        <w:rPr>
          <w:szCs w:val="22"/>
        </w:rPr>
        <w:t>Obal náplasti otvorte pomocou nožníc pozdĺž okraja na označenom mieste. Vyberte si vhodné miesto na aplikáciu náplasti – čisté, suché miesto na koži bez prítomnosti ochlpenia a poranení, napr. rameno, bok alebo hrudník.</w:t>
      </w:r>
    </w:p>
    <w:p w:rsidR="00AC4391" w:rsidRPr="00A97965" w:rsidRDefault="00AC4391">
      <w:pPr>
        <w:pStyle w:val="EUNormal"/>
        <w:numPr>
          <w:ilvl w:val="0"/>
          <w:numId w:val="30"/>
          <w:numberingChange w:id="20" w:author="Unknown" w:date="2013-03-25T08:47:00Z" w:original="%1:3:0:."/>
        </w:numPr>
        <w:tabs>
          <w:tab w:val="clear" w:pos="567"/>
          <w:tab w:val="num" w:pos="0"/>
          <w:tab w:val="left" w:pos="720"/>
        </w:tabs>
        <w:jc w:val="both"/>
        <w:rPr>
          <w:szCs w:val="22"/>
        </w:rPr>
      </w:pPr>
      <w:r w:rsidRPr="00A97965">
        <w:rPr>
          <w:szCs w:val="22"/>
        </w:rPr>
        <w:t>Pri nalepovaní oddeľte polovicu striebornej ochrannej fólie tak, aby ste sa nedotkli lepivého povrchu náplasti.</w:t>
      </w:r>
    </w:p>
    <w:p w:rsidR="00AC4391" w:rsidRPr="00A97965" w:rsidRDefault="00AC4391">
      <w:pPr>
        <w:pStyle w:val="EUNormal"/>
        <w:numPr>
          <w:ilvl w:val="0"/>
          <w:numId w:val="30"/>
          <w:numberingChange w:id="21" w:author="Unknown" w:date="2013-03-25T08:47:00Z" w:original="%1:4:0:."/>
        </w:numPr>
        <w:tabs>
          <w:tab w:val="clear" w:pos="567"/>
          <w:tab w:val="num" w:pos="0"/>
          <w:tab w:val="left" w:pos="720"/>
        </w:tabs>
        <w:jc w:val="both"/>
        <w:rPr>
          <w:szCs w:val="22"/>
        </w:rPr>
      </w:pPr>
      <w:r w:rsidRPr="00A97965">
        <w:rPr>
          <w:szCs w:val="22"/>
        </w:rPr>
        <w:t>Náplasť prilepte na zvolené miesto a odstráňte druhú časť striebornej ochrannej fólie.</w:t>
      </w:r>
    </w:p>
    <w:p w:rsidR="00AC4391" w:rsidRPr="00A97965" w:rsidRDefault="00AC4391">
      <w:pPr>
        <w:pStyle w:val="EUNormal"/>
        <w:numPr>
          <w:ilvl w:val="0"/>
          <w:numId w:val="30"/>
          <w:numberingChange w:id="22" w:author="Unknown" w:date="2013-03-25T08:47:00Z" w:original="%1:5:0:."/>
        </w:numPr>
        <w:tabs>
          <w:tab w:val="clear" w:pos="567"/>
          <w:tab w:val="num" w:pos="0"/>
          <w:tab w:val="left" w:pos="720"/>
        </w:tabs>
        <w:jc w:val="both"/>
        <w:rPr>
          <w:szCs w:val="22"/>
        </w:rPr>
      </w:pPr>
      <w:r w:rsidRPr="00A97965">
        <w:rPr>
          <w:szCs w:val="22"/>
        </w:rPr>
        <w:t>Náplasť dôkladne pritlačte dlaňou alebo prstami k pokožke.</w:t>
      </w:r>
    </w:p>
    <w:p w:rsidR="00AC4391" w:rsidRPr="00A97965" w:rsidRDefault="00AC4391">
      <w:pPr>
        <w:pStyle w:val="EUNormal"/>
        <w:numPr>
          <w:ilvl w:val="0"/>
          <w:numId w:val="30"/>
          <w:numberingChange w:id="23" w:author="Unknown" w:date="2013-03-25T08:47:00Z" w:original="%1:6:0:."/>
        </w:numPr>
        <w:tabs>
          <w:tab w:val="clear" w:pos="567"/>
          <w:tab w:val="num" w:pos="0"/>
          <w:tab w:val="left" w:pos="720"/>
        </w:tabs>
        <w:jc w:val="both"/>
        <w:rPr>
          <w:szCs w:val="22"/>
        </w:rPr>
      </w:pPr>
      <w:r w:rsidRPr="00A97965">
        <w:rPr>
          <w:szCs w:val="22"/>
        </w:rPr>
        <w:t xml:space="preserve">Uhlaďte celú plochu náplasti končekmi prstov a dôkladne pritlačte okraje náplasti, aby ste sa uistili, že náplasť na pokožke pevne drží.  </w:t>
      </w:r>
    </w:p>
    <w:p w:rsidR="00AC4391" w:rsidRPr="00A97965" w:rsidRDefault="00AC4391">
      <w:pPr>
        <w:pStyle w:val="EUNormal"/>
        <w:tabs>
          <w:tab w:val="clear" w:pos="567"/>
          <w:tab w:val="num" w:pos="0"/>
          <w:tab w:val="left" w:pos="720"/>
        </w:tabs>
        <w:jc w:val="both"/>
        <w:rPr>
          <w:szCs w:val="22"/>
        </w:rPr>
      </w:pPr>
    </w:p>
    <w:p w:rsidR="00AC4391" w:rsidRPr="00A97965" w:rsidRDefault="00AC4391">
      <w:pPr>
        <w:pStyle w:val="EUNormal"/>
        <w:jc w:val="both"/>
        <w:rPr>
          <w:szCs w:val="22"/>
        </w:rPr>
      </w:pPr>
      <w:r w:rsidRPr="00A97965">
        <w:rPr>
          <w:szCs w:val="22"/>
        </w:rPr>
        <w:t>Ak náplasť nalepíte zle alebo sa Vám počas dňa odlepí, použite novú náplasť. Náplasť nenechávajte pôsobiť cez noc. Použité náplasti po odlepení bezpečne zlikvidujte.</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Ak si nedopatrením zabudnete na noc náplasť odlepiť, môžete ráno po odlepení zabudnutej náplasti pokračovať v liečbe novou náplasťou zodpovedajúcej sily bez prestávky.</w:t>
      </w:r>
    </w:p>
    <w:p w:rsidR="00AC4391" w:rsidRPr="00A97965" w:rsidRDefault="00AC4391">
      <w:pPr>
        <w:pStyle w:val="EUNormal"/>
        <w:jc w:val="both"/>
        <w:rPr>
          <w:szCs w:val="22"/>
        </w:rPr>
      </w:pPr>
    </w:p>
    <w:p w:rsidR="00AC4391" w:rsidRPr="00A97965" w:rsidRDefault="00AC4391">
      <w:pPr>
        <w:pStyle w:val="EUheading3"/>
        <w:jc w:val="both"/>
        <w:rPr>
          <w:szCs w:val="22"/>
        </w:rPr>
      </w:pPr>
      <w:r w:rsidRPr="00A97965">
        <w:rPr>
          <w:szCs w:val="22"/>
        </w:rPr>
        <w:t>Ak použijete viac transdermálnych náplastí Nicorette invisipatch, ako máte</w:t>
      </w:r>
    </w:p>
    <w:p w:rsidR="00AC4391" w:rsidRPr="00A97965" w:rsidRDefault="00AC4391">
      <w:pPr>
        <w:pStyle w:val="EUNormal"/>
        <w:jc w:val="both"/>
        <w:rPr>
          <w:szCs w:val="22"/>
        </w:rPr>
      </w:pPr>
      <w:r w:rsidRPr="00A97965">
        <w:rPr>
          <w:szCs w:val="22"/>
        </w:rPr>
        <w:t>Nikotínom sa môžete predávkovať, ak pri používaní náplastí Nicorette invisipatch súčasne fajčíte a/alebo používate aj iné druhy náhradnej nikotínovej liečby. K predávkovaniu tiež môže dôjsť, ak ste fajčiar s nízkym stupňom závislosti na nikotíne.</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 xml:space="preserve">K príznakom predávkovania patrí bolesť hlavy, nevoľnosť, slinenie, bolesť brucha, hnačka, potenie, závraty, slabosť a poruchy sluchu. Po vysokých dávkach môže dôjsť k zníženiu krvného tlaku, slabému a nepravidelnému pulzu, poruchám dýchania, celkovému vyčerpaniu, obehovému kolapsu a kŕčom. </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Ak sa u Vás vyskytnú tieto príznaky, ak si nalepíte viac náplastí, prípadne ak zistíte, že liek použilo dieťa, náplasť odlepte a poraďte sa s lekárom či lekárnikom alebo ihneď vyhľadajte lekársku pomoc.</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Ak máte akékoľvek ďalšie otázky, týkajúce sa používania tohto lieku, spýtajte sa svojho lekára nebo lekárnika.</w:t>
      </w:r>
    </w:p>
    <w:p w:rsidR="00AC4391" w:rsidRPr="00A97965" w:rsidRDefault="00AC4391">
      <w:pPr>
        <w:pStyle w:val="EUNormal"/>
        <w:jc w:val="both"/>
        <w:rPr>
          <w:szCs w:val="22"/>
        </w:rPr>
      </w:pPr>
    </w:p>
    <w:p w:rsidR="00AC4391" w:rsidRPr="00A97965" w:rsidRDefault="00AC4391">
      <w:pPr>
        <w:pStyle w:val="EUNormal"/>
        <w:jc w:val="both"/>
        <w:rPr>
          <w:szCs w:val="22"/>
        </w:rPr>
      </w:pPr>
    </w:p>
    <w:p w:rsidR="00AC4391" w:rsidRPr="00A97965" w:rsidRDefault="00AC4391">
      <w:pPr>
        <w:pStyle w:val="EUHeading1"/>
        <w:jc w:val="both"/>
        <w:rPr>
          <w:szCs w:val="22"/>
        </w:rPr>
      </w:pPr>
      <w:r w:rsidRPr="00A97965">
        <w:rPr>
          <w:caps w:val="0"/>
          <w:szCs w:val="22"/>
        </w:rPr>
        <w:t>4.</w:t>
      </w:r>
      <w:r w:rsidRPr="00A97965">
        <w:rPr>
          <w:caps w:val="0"/>
          <w:szCs w:val="22"/>
        </w:rPr>
        <w:tab/>
        <w:t>Možné vedľajšie účinky</w:t>
      </w:r>
      <w:bookmarkEnd w:id="17"/>
    </w:p>
    <w:p w:rsidR="00AC4391" w:rsidRPr="00A97965" w:rsidRDefault="00AC4391">
      <w:pPr>
        <w:pStyle w:val="EUNormalafterheader"/>
        <w:jc w:val="both"/>
        <w:rPr>
          <w:szCs w:val="22"/>
        </w:rPr>
      </w:pPr>
    </w:p>
    <w:p w:rsidR="00AC4391" w:rsidRPr="00A97965" w:rsidRDefault="00AC4391">
      <w:pPr>
        <w:pStyle w:val="EUNormal"/>
        <w:jc w:val="both"/>
        <w:rPr>
          <w:szCs w:val="22"/>
        </w:rPr>
      </w:pPr>
      <w:bookmarkStart w:id="24" w:name="_Toc41370056"/>
      <w:r w:rsidRPr="00A97965">
        <w:rPr>
          <w:szCs w:val="22"/>
        </w:rPr>
        <w:t>Tak ako všetky lieky, Nicorette invisipatch môže spôsobovať nežiaduce účinky, hoci sa neprejavia u každého.</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 xml:space="preserve">Transdermálne náplasti Nicorette invisipatch môžu spôsobiť nežiaduce účinky, ktoré sú podobné ako pri používaní nikotínu iným spôsobom a sú závislé od dávky. </w:t>
      </w:r>
    </w:p>
    <w:p w:rsidR="00AC4391" w:rsidRPr="00A97965" w:rsidRDefault="00AC4391">
      <w:pPr>
        <w:pStyle w:val="EUNormal"/>
        <w:jc w:val="both"/>
        <w:rPr>
          <w:szCs w:val="22"/>
        </w:rPr>
      </w:pPr>
    </w:p>
    <w:p w:rsidR="00AC4391" w:rsidRPr="00A97965" w:rsidRDefault="00AC4391">
      <w:pPr>
        <w:pStyle w:val="EUNormal"/>
        <w:jc w:val="both"/>
        <w:rPr>
          <w:szCs w:val="22"/>
          <w:highlight w:val="cyan"/>
        </w:rPr>
      </w:pPr>
      <w:r w:rsidRPr="00A97965">
        <w:rPr>
          <w:szCs w:val="22"/>
        </w:rPr>
        <w:t>Veľmi časté nežiaduce účinky: svrbenie.</w:t>
      </w:r>
    </w:p>
    <w:p w:rsidR="00AC4391" w:rsidRPr="00A97965" w:rsidRDefault="00AC4391">
      <w:pPr>
        <w:pStyle w:val="EUNormal"/>
        <w:jc w:val="both"/>
        <w:rPr>
          <w:szCs w:val="22"/>
        </w:rPr>
      </w:pPr>
      <w:r w:rsidRPr="00A97965">
        <w:rPr>
          <w:szCs w:val="22"/>
        </w:rPr>
        <w:t>Časté nežiaduce účinky: závraty, bolesť hlavy, nepríjemné pocity v oblasti tráviaceho traktu, nevoľnosť, vracanie, erytém (začervenanie kože).</w:t>
      </w:r>
    </w:p>
    <w:p w:rsidR="00AC4391" w:rsidRPr="00A97965" w:rsidRDefault="00AC4391">
      <w:pPr>
        <w:pStyle w:val="EUNormal"/>
        <w:tabs>
          <w:tab w:val="left" w:pos="7831"/>
        </w:tabs>
        <w:jc w:val="both"/>
        <w:rPr>
          <w:szCs w:val="22"/>
          <w:highlight w:val="cyan"/>
        </w:rPr>
      </w:pPr>
      <w:r w:rsidRPr="00A97965">
        <w:rPr>
          <w:szCs w:val="22"/>
        </w:rPr>
        <w:t>Menej časté nežiaduce účinky: palpitácie (búšenie srdca), urtikária (žihľavka).</w:t>
      </w:r>
      <w:r w:rsidRPr="00A97965">
        <w:rPr>
          <w:szCs w:val="22"/>
        </w:rPr>
        <w:tab/>
      </w:r>
    </w:p>
    <w:p w:rsidR="00AC4391" w:rsidRPr="00A97965" w:rsidRDefault="00AC4391">
      <w:pPr>
        <w:pStyle w:val="EUNormal"/>
        <w:jc w:val="both"/>
        <w:rPr>
          <w:szCs w:val="22"/>
        </w:rPr>
      </w:pPr>
      <w:r w:rsidRPr="00A97965">
        <w:rPr>
          <w:szCs w:val="22"/>
        </w:rPr>
        <w:t>Veľmi zriedkavé nežiaduce účinky: reverzibilná fibrilácia predsiení (dočasná porucha srdcového rytmu).</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 xml:space="preserve">Niektoré opísané nežiaduce účinky ako napríklad závraty, bolesť hlavy a poruchy spánku, môžu súvisieť s abstinenčnými príznakmi vyskytujúcimi sa pri odvykaní od fajčenia. </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Po ukončení fajčenia môže dôjsť k výskytu áft (vriedkov) na sliznici ústnej dutiny, ale ich súvislosť s nikotínom nie je jasná.</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Ak začnete pociťovať akýkoľvek vedľajší účinok ako závažný alebo ak spozorujete vedľajšie účinky, ktoré nie sú uvedené v tejto písomnej informácii pre používateľov, povedzte to, prosím, svojmu lekárovi alebo lekárnikovi.</w:t>
      </w:r>
    </w:p>
    <w:p w:rsidR="00AC4391" w:rsidRPr="00A97965" w:rsidRDefault="00AC4391">
      <w:pPr>
        <w:pStyle w:val="EUNormal"/>
        <w:jc w:val="both"/>
        <w:rPr>
          <w:szCs w:val="22"/>
        </w:rPr>
      </w:pPr>
    </w:p>
    <w:p w:rsidR="00AC4391" w:rsidRPr="00A97965" w:rsidRDefault="00AC4391">
      <w:pPr>
        <w:pStyle w:val="EUNormal"/>
        <w:jc w:val="both"/>
        <w:rPr>
          <w:szCs w:val="22"/>
        </w:rPr>
      </w:pPr>
    </w:p>
    <w:p w:rsidR="00AC4391" w:rsidRPr="00A97965" w:rsidRDefault="00AC4391">
      <w:pPr>
        <w:pStyle w:val="EUHeading1"/>
        <w:jc w:val="both"/>
        <w:rPr>
          <w:szCs w:val="22"/>
        </w:rPr>
      </w:pPr>
      <w:r w:rsidRPr="00A97965">
        <w:rPr>
          <w:szCs w:val="22"/>
        </w:rPr>
        <w:t>5.</w:t>
      </w:r>
      <w:r w:rsidRPr="00A97965">
        <w:rPr>
          <w:szCs w:val="22"/>
        </w:rPr>
        <w:tab/>
        <w:t>A</w:t>
      </w:r>
      <w:r w:rsidRPr="00A97965">
        <w:rPr>
          <w:caps w:val="0"/>
          <w:szCs w:val="22"/>
        </w:rPr>
        <w:t>ko uchováv</w:t>
      </w:r>
      <w:bookmarkEnd w:id="24"/>
      <w:r w:rsidRPr="00A97965">
        <w:rPr>
          <w:caps w:val="0"/>
          <w:szCs w:val="22"/>
        </w:rPr>
        <w:t>ať Nicorette invisipatch</w:t>
      </w:r>
    </w:p>
    <w:p w:rsidR="00AC4391" w:rsidRPr="00A97965" w:rsidRDefault="00AC4391">
      <w:pPr>
        <w:pStyle w:val="EUNormalafterheader"/>
        <w:jc w:val="both"/>
        <w:rPr>
          <w:szCs w:val="22"/>
        </w:rPr>
      </w:pPr>
    </w:p>
    <w:p w:rsidR="00AC4391" w:rsidRPr="00A97965" w:rsidRDefault="00AC4391">
      <w:pPr>
        <w:pStyle w:val="EUNormal"/>
        <w:jc w:val="both"/>
        <w:rPr>
          <w:szCs w:val="22"/>
        </w:rPr>
      </w:pPr>
      <w:r w:rsidRPr="00A97965">
        <w:rPr>
          <w:szCs w:val="22"/>
        </w:rPr>
        <w:t xml:space="preserve">Uchovávajte mimo dohľadu </w:t>
      </w:r>
      <w:r>
        <w:rPr>
          <w:szCs w:val="22"/>
        </w:rPr>
        <w:t xml:space="preserve">a </w:t>
      </w:r>
      <w:r w:rsidRPr="00A97965">
        <w:rPr>
          <w:szCs w:val="22"/>
        </w:rPr>
        <w:t>dosahu detí.</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Uchovávajte pri teplote do 25</w:t>
      </w:r>
      <w:r>
        <w:rPr>
          <w:szCs w:val="22"/>
        </w:rPr>
        <w:t xml:space="preserve"> </w:t>
      </w:r>
      <w:r w:rsidRPr="00A97965">
        <w:rPr>
          <w:szCs w:val="22"/>
        </w:rPr>
        <w:sym w:font="Symbol" w:char="F0B0"/>
      </w:r>
      <w:r w:rsidRPr="00A97965">
        <w:rPr>
          <w:szCs w:val="22"/>
        </w:rPr>
        <w:t>C.</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Nepoužívajte Nicorette invisipatch po dátume exspirácie, ktorý je uvedený na škatuli po „Dátum exspirácie:“. Dátum exspirácie sa vzťahuje na posledný deň v mesiaci.</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Lieky sa nesmú likvidovať odpadovou vodou alebo domovým odpadom. Informujte sa u svojho lekárnika ako zlikvidovať lieky, ktoré už nepotrebujete. Tieto opatrenia pomôžu chrániť životné prostredie.</w:t>
      </w:r>
    </w:p>
    <w:p w:rsidR="00AC4391" w:rsidRPr="00A97965" w:rsidRDefault="00AC4391">
      <w:pPr>
        <w:pStyle w:val="EUNormal"/>
        <w:jc w:val="both"/>
        <w:rPr>
          <w:szCs w:val="22"/>
        </w:rPr>
      </w:pPr>
    </w:p>
    <w:p w:rsidR="00AC4391" w:rsidRPr="00A97965" w:rsidRDefault="00AC4391">
      <w:pPr>
        <w:pStyle w:val="EUNormal"/>
        <w:jc w:val="both"/>
        <w:rPr>
          <w:szCs w:val="22"/>
        </w:rPr>
      </w:pPr>
    </w:p>
    <w:p w:rsidR="00AC4391" w:rsidRPr="00A97965" w:rsidRDefault="00AC4391">
      <w:pPr>
        <w:pStyle w:val="EUHeading1"/>
        <w:jc w:val="both"/>
        <w:rPr>
          <w:szCs w:val="22"/>
        </w:rPr>
      </w:pPr>
      <w:r w:rsidRPr="00A97965">
        <w:rPr>
          <w:szCs w:val="22"/>
        </w:rPr>
        <w:t>6.</w:t>
      </w:r>
      <w:r w:rsidRPr="00A97965">
        <w:rPr>
          <w:szCs w:val="22"/>
        </w:rPr>
        <w:tab/>
        <w:t>o</w:t>
      </w:r>
      <w:r w:rsidRPr="00A97965">
        <w:rPr>
          <w:caps w:val="0"/>
          <w:szCs w:val="22"/>
        </w:rPr>
        <w:t>bsah balenia a ďalšie informácie</w:t>
      </w:r>
    </w:p>
    <w:p w:rsidR="00AC4391" w:rsidRPr="00A97965" w:rsidRDefault="00AC4391">
      <w:pPr>
        <w:pStyle w:val="EUNormalafterheader"/>
        <w:jc w:val="both"/>
        <w:rPr>
          <w:szCs w:val="22"/>
        </w:rPr>
      </w:pPr>
    </w:p>
    <w:p w:rsidR="00AC4391" w:rsidRPr="00A97965" w:rsidRDefault="00AC4391">
      <w:pPr>
        <w:pStyle w:val="EUheading3"/>
        <w:jc w:val="both"/>
        <w:rPr>
          <w:szCs w:val="22"/>
        </w:rPr>
      </w:pPr>
      <w:r w:rsidRPr="00A97965">
        <w:rPr>
          <w:szCs w:val="22"/>
        </w:rPr>
        <w:t>Čo Nicorette invisipatch obsahuje?</w:t>
      </w:r>
    </w:p>
    <w:p w:rsidR="00AC4391" w:rsidRPr="00A97965" w:rsidRDefault="00AC4391">
      <w:pPr>
        <w:pStyle w:val="EUBullet"/>
        <w:numPr>
          <w:ilvl w:val="0"/>
          <w:numId w:val="24"/>
          <w:numberingChange w:id="25" w:author="Unknown" w:date="2013-03-25T08:47:00Z" w:original="-"/>
        </w:numPr>
        <w:tabs>
          <w:tab w:val="clear" w:pos="720"/>
          <w:tab w:val="num" w:pos="360"/>
        </w:tabs>
        <w:ind w:left="360"/>
        <w:jc w:val="both"/>
        <w:rPr>
          <w:szCs w:val="22"/>
        </w:rPr>
      </w:pPr>
      <w:r w:rsidRPr="00A97965">
        <w:rPr>
          <w:szCs w:val="22"/>
        </w:rPr>
        <w:t>Liečivo je nikotín. Jedna transdermálna náplasť obsahuje 1,75 mg/cm</w:t>
      </w:r>
      <w:r w:rsidRPr="00A97965">
        <w:rPr>
          <w:szCs w:val="22"/>
          <w:vertAlign w:val="superscript"/>
        </w:rPr>
        <w:t>2</w:t>
      </w:r>
      <w:r w:rsidRPr="00A97965">
        <w:rPr>
          <w:szCs w:val="22"/>
        </w:rPr>
        <w:t xml:space="preserve"> nikotínu. </w:t>
      </w:r>
    </w:p>
    <w:p w:rsidR="00AC4391" w:rsidRPr="00A97965" w:rsidRDefault="00AC4391">
      <w:pPr>
        <w:pStyle w:val="EUBullet"/>
        <w:ind w:left="360"/>
        <w:jc w:val="both"/>
        <w:rPr>
          <w:szCs w:val="22"/>
        </w:rPr>
      </w:pPr>
      <w:r w:rsidRPr="00A97965">
        <w:rPr>
          <w:szCs w:val="22"/>
        </w:rPr>
        <w:t>Nicorette invisipatch 25 mg/16 h: veľkosť 22,5 cm</w:t>
      </w:r>
      <w:r w:rsidRPr="00A97965">
        <w:rPr>
          <w:szCs w:val="22"/>
          <w:vertAlign w:val="superscript"/>
        </w:rPr>
        <w:t>2</w:t>
      </w:r>
      <w:r w:rsidRPr="00A97965">
        <w:rPr>
          <w:szCs w:val="22"/>
        </w:rPr>
        <w:t xml:space="preserve">, uvoľňuje 25 mg nikotínu za 16 hodín. </w:t>
      </w:r>
    </w:p>
    <w:p w:rsidR="00AC4391" w:rsidRPr="00A97965" w:rsidRDefault="00AC4391">
      <w:pPr>
        <w:pStyle w:val="EUBullet"/>
        <w:ind w:left="360"/>
        <w:jc w:val="both"/>
        <w:rPr>
          <w:szCs w:val="22"/>
        </w:rPr>
      </w:pPr>
      <w:r w:rsidRPr="00A97965">
        <w:rPr>
          <w:szCs w:val="22"/>
        </w:rPr>
        <w:t>Nicorette invisipatch 15 mg/16 h: veľkosť 13,5 cm</w:t>
      </w:r>
      <w:r w:rsidRPr="00A97965">
        <w:rPr>
          <w:szCs w:val="22"/>
          <w:vertAlign w:val="superscript"/>
        </w:rPr>
        <w:t>2</w:t>
      </w:r>
      <w:r w:rsidRPr="00A97965">
        <w:rPr>
          <w:szCs w:val="22"/>
        </w:rPr>
        <w:t xml:space="preserve">, uvoľňuje 15 mg nikotínu za 16 hodín. </w:t>
      </w:r>
    </w:p>
    <w:p w:rsidR="00AC4391" w:rsidRPr="00A97965" w:rsidRDefault="00AC4391">
      <w:pPr>
        <w:pStyle w:val="EUBullet"/>
        <w:ind w:left="360"/>
        <w:jc w:val="both"/>
        <w:rPr>
          <w:szCs w:val="22"/>
        </w:rPr>
      </w:pPr>
      <w:r w:rsidRPr="00A97965">
        <w:rPr>
          <w:szCs w:val="22"/>
        </w:rPr>
        <w:t>Nicorette invisipatch 10 mg/16 h: veľkosť 9,0 cm</w:t>
      </w:r>
      <w:r w:rsidRPr="00A97965">
        <w:rPr>
          <w:szCs w:val="22"/>
          <w:vertAlign w:val="superscript"/>
        </w:rPr>
        <w:t>2</w:t>
      </w:r>
      <w:r w:rsidRPr="00A97965">
        <w:rPr>
          <w:szCs w:val="22"/>
        </w:rPr>
        <w:t xml:space="preserve">, uvoľňuje 10 mg nikotínu za 16 hodín. </w:t>
      </w:r>
    </w:p>
    <w:p w:rsidR="00AC4391" w:rsidRPr="00A97965" w:rsidRDefault="00AC4391">
      <w:pPr>
        <w:pStyle w:val="EUBullet"/>
        <w:tabs>
          <w:tab w:val="num" w:pos="360"/>
        </w:tabs>
        <w:jc w:val="both"/>
        <w:rPr>
          <w:szCs w:val="22"/>
        </w:rPr>
      </w:pPr>
    </w:p>
    <w:p w:rsidR="00AC4391" w:rsidRPr="00A97965" w:rsidRDefault="00AC4391">
      <w:pPr>
        <w:pStyle w:val="EUBullet"/>
        <w:numPr>
          <w:ilvl w:val="0"/>
          <w:numId w:val="24"/>
          <w:numberingChange w:id="26" w:author="Unknown" w:date="2013-03-25T08:47:00Z" w:original="-"/>
        </w:numPr>
        <w:tabs>
          <w:tab w:val="clear" w:pos="720"/>
          <w:tab w:val="num" w:pos="360"/>
        </w:tabs>
        <w:ind w:left="360"/>
        <w:jc w:val="both"/>
        <w:rPr>
          <w:szCs w:val="22"/>
        </w:rPr>
      </w:pPr>
      <w:r w:rsidRPr="00A97965">
        <w:rPr>
          <w:szCs w:val="22"/>
        </w:rPr>
        <w:t>Ďalšie zložky sú</w:t>
      </w:r>
      <w:r>
        <w:rPr>
          <w:szCs w:val="22"/>
        </w:rPr>
        <w:t>:</w:t>
      </w:r>
      <w:r w:rsidRPr="00A97965">
        <w:rPr>
          <w:szCs w:val="22"/>
        </w:rPr>
        <w:t xml:space="preserve"> stredne nasýtené triacylglyceroly, butylovaný kopolymér metakrylát, pegoterát, akrylátový adhezívny roztok, hydroxid draselný, sodná soľ kroskarmelózy, alumínium acetylacetonát, acetylacetonát, metanol, etylester kyseliny octovej.</w:t>
      </w:r>
    </w:p>
    <w:p w:rsidR="00AC4391" w:rsidRPr="00A97965" w:rsidRDefault="00AC4391">
      <w:pPr>
        <w:pStyle w:val="EUNormal"/>
        <w:jc w:val="both"/>
        <w:rPr>
          <w:szCs w:val="22"/>
        </w:rPr>
      </w:pPr>
    </w:p>
    <w:p w:rsidR="00AC4391" w:rsidRPr="00A97965" w:rsidRDefault="00AC4391">
      <w:pPr>
        <w:pStyle w:val="EUheading3"/>
        <w:jc w:val="both"/>
        <w:rPr>
          <w:szCs w:val="22"/>
        </w:rPr>
      </w:pPr>
      <w:r w:rsidRPr="00A97965">
        <w:rPr>
          <w:szCs w:val="22"/>
        </w:rPr>
        <w:t>Ako vyzerá Nicorette invisipatch a obsah balenia</w:t>
      </w:r>
    </w:p>
    <w:p w:rsidR="00AC4391" w:rsidRPr="00A97965" w:rsidRDefault="00AC4391">
      <w:pPr>
        <w:pStyle w:val="EUNormal"/>
        <w:jc w:val="both"/>
        <w:rPr>
          <w:szCs w:val="22"/>
        </w:rPr>
      </w:pPr>
      <w:r w:rsidRPr="00A97965">
        <w:rPr>
          <w:szCs w:val="22"/>
        </w:rPr>
        <w:t>Nicorette invisipatch je béžová polopriehľadná obdĺžniková náplasť s bledohnedou potlačou, zložená z vrchnej vrstvy, vrstvy obsahujúcej nikotín a adhezívnej vrstvy, ktorou sa náplasť lepí na pokožku a ktorej súčasťou je hliníkovo-silikónová vrstva.</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 xml:space="preserve">Náplasť je zatavená v laminátovom vrecku skladajúcom sa z papiera, PET vrstvy a kopolyméru alumínium-akrylnitritu. Vrecká sú vložené v škatuli spolu s písomnou informáciou pre používateľov. </w:t>
      </w:r>
    </w:p>
    <w:p w:rsidR="00AC4391" w:rsidRPr="00A97965" w:rsidRDefault="00AC4391">
      <w:pPr>
        <w:pStyle w:val="EUNormal"/>
        <w:jc w:val="both"/>
        <w:rPr>
          <w:szCs w:val="22"/>
        </w:rPr>
      </w:pPr>
    </w:p>
    <w:p w:rsidR="00AC4391" w:rsidRPr="00A97965" w:rsidRDefault="00AC4391">
      <w:pPr>
        <w:pStyle w:val="EUNormal"/>
        <w:jc w:val="both"/>
        <w:rPr>
          <w:szCs w:val="22"/>
        </w:rPr>
      </w:pPr>
      <w:r w:rsidRPr="00A97965">
        <w:rPr>
          <w:szCs w:val="22"/>
        </w:rPr>
        <w:t xml:space="preserve">Nicorette invisipatch 25 mg/16 h </w:t>
      </w:r>
      <w:r w:rsidRPr="00A97965">
        <w:rPr>
          <w:szCs w:val="22"/>
        </w:rPr>
        <w:tab/>
        <w:t xml:space="preserve">7, </w:t>
      </w:r>
      <w:smartTag w:uri="urn:schemas-microsoft-com:office:smarttags" w:element="metricconverter">
        <w:smartTagPr>
          <w:attr w:name="ProductID" w:val="14 a"/>
        </w:smartTagPr>
        <w:r w:rsidRPr="00A97965">
          <w:rPr>
            <w:szCs w:val="22"/>
          </w:rPr>
          <w:t>14 a</w:t>
        </w:r>
      </w:smartTag>
      <w:r w:rsidRPr="00A97965">
        <w:rPr>
          <w:szCs w:val="22"/>
        </w:rPr>
        <w:t xml:space="preserve"> 28 náplastí </w:t>
      </w:r>
    </w:p>
    <w:p w:rsidR="00AC4391" w:rsidRPr="00A97965" w:rsidRDefault="00AC4391">
      <w:pPr>
        <w:pStyle w:val="EUNormal"/>
        <w:jc w:val="both"/>
        <w:rPr>
          <w:szCs w:val="22"/>
        </w:rPr>
      </w:pPr>
      <w:r w:rsidRPr="00A97965">
        <w:rPr>
          <w:szCs w:val="22"/>
        </w:rPr>
        <w:t>Nicorette invisipatch 15 mg/16 h</w:t>
      </w:r>
      <w:r w:rsidRPr="00A97965">
        <w:rPr>
          <w:szCs w:val="22"/>
        </w:rPr>
        <w:tab/>
        <w:t xml:space="preserve">7, </w:t>
      </w:r>
      <w:smartTag w:uri="urn:schemas-microsoft-com:office:smarttags" w:element="metricconverter">
        <w:smartTagPr>
          <w:attr w:name="ProductID" w:val="14 a"/>
        </w:smartTagPr>
        <w:r w:rsidRPr="00A97965">
          <w:rPr>
            <w:szCs w:val="22"/>
          </w:rPr>
          <w:t>14 a</w:t>
        </w:r>
      </w:smartTag>
      <w:r w:rsidRPr="00A97965">
        <w:rPr>
          <w:szCs w:val="22"/>
        </w:rPr>
        <w:t xml:space="preserve"> 28 náplastí</w:t>
      </w:r>
    </w:p>
    <w:p w:rsidR="00AC4391" w:rsidRPr="00A97965" w:rsidRDefault="00AC4391">
      <w:pPr>
        <w:pStyle w:val="EUNormal"/>
        <w:jc w:val="both"/>
        <w:rPr>
          <w:szCs w:val="22"/>
        </w:rPr>
      </w:pPr>
      <w:r w:rsidRPr="00A97965">
        <w:rPr>
          <w:szCs w:val="22"/>
        </w:rPr>
        <w:t>Nicorette invisipatch 10 mg/16 h</w:t>
      </w:r>
      <w:r w:rsidRPr="00A97965">
        <w:rPr>
          <w:szCs w:val="22"/>
        </w:rPr>
        <w:tab/>
      </w:r>
      <w:smartTag w:uri="urn:schemas-microsoft-com:office:smarttags" w:element="metricconverter">
        <w:smartTagPr>
          <w:attr w:name="ProductID" w:val="7 a"/>
        </w:smartTagPr>
        <w:r w:rsidRPr="00A97965">
          <w:rPr>
            <w:szCs w:val="22"/>
          </w:rPr>
          <w:t>7 a</w:t>
        </w:r>
      </w:smartTag>
      <w:r w:rsidRPr="00A97965">
        <w:rPr>
          <w:szCs w:val="22"/>
        </w:rPr>
        <w:t xml:space="preserve"> 14 náplastí</w:t>
      </w:r>
    </w:p>
    <w:p w:rsidR="00AC4391" w:rsidRPr="00A97965" w:rsidRDefault="00AC4391">
      <w:pPr>
        <w:pStyle w:val="EUNormal"/>
        <w:jc w:val="both"/>
        <w:rPr>
          <w:szCs w:val="22"/>
        </w:rPr>
      </w:pPr>
    </w:p>
    <w:p w:rsidR="00AC4391" w:rsidRPr="00A97965" w:rsidRDefault="00AC4391">
      <w:pPr>
        <w:pStyle w:val="EUheading3"/>
        <w:jc w:val="both"/>
        <w:rPr>
          <w:szCs w:val="22"/>
        </w:rPr>
      </w:pPr>
      <w:r w:rsidRPr="00A97965">
        <w:rPr>
          <w:szCs w:val="22"/>
        </w:rPr>
        <w:t>Držiteľ rozhodnutia o registrácii</w:t>
      </w:r>
    </w:p>
    <w:p w:rsidR="00AC4391" w:rsidRPr="00A97965" w:rsidRDefault="00AC4391">
      <w:pPr>
        <w:pStyle w:val="EUNormal"/>
        <w:keepLines/>
        <w:jc w:val="both"/>
        <w:rPr>
          <w:szCs w:val="22"/>
        </w:rPr>
      </w:pPr>
      <w:r w:rsidRPr="00A97965">
        <w:rPr>
          <w:szCs w:val="22"/>
        </w:rPr>
        <w:t>McNeil AB</w:t>
      </w:r>
    </w:p>
    <w:p w:rsidR="00AC4391" w:rsidRPr="00A97965" w:rsidRDefault="00AC4391">
      <w:pPr>
        <w:pStyle w:val="EUNormal"/>
        <w:keepLines/>
        <w:jc w:val="both"/>
        <w:rPr>
          <w:szCs w:val="22"/>
        </w:rPr>
      </w:pPr>
      <w:r w:rsidRPr="00A97965">
        <w:rPr>
          <w:szCs w:val="22"/>
        </w:rPr>
        <w:t>251 09 Helsingborg</w:t>
      </w:r>
    </w:p>
    <w:p w:rsidR="00AC4391" w:rsidRPr="00A97965" w:rsidRDefault="00AC4391">
      <w:pPr>
        <w:pStyle w:val="EUNormal"/>
        <w:keepLines/>
        <w:jc w:val="both"/>
        <w:rPr>
          <w:szCs w:val="22"/>
        </w:rPr>
      </w:pPr>
      <w:r w:rsidRPr="00A97965">
        <w:rPr>
          <w:szCs w:val="22"/>
        </w:rPr>
        <w:t>Švédsko</w:t>
      </w:r>
    </w:p>
    <w:p w:rsidR="00AC4391" w:rsidRPr="00A97965" w:rsidRDefault="00AC4391">
      <w:pPr>
        <w:pStyle w:val="EUNormal"/>
        <w:keepLines/>
        <w:jc w:val="both"/>
        <w:rPr>
          <w:szCs w:val="22"/>
        </w:rPr>
      </w:pPr>
    </w:p>
    <w:p w:rsidR="00AC4391" w:rsidRPr="00A97965" w:rsidRDefault="00AC4391">
      <w:pPr>
        <w:pStyle w:val="EUNormal"/>
        <w:keepLines/>
        <w:jc w:val="both"/>
        <w:rPr>
          <w:b/>
          <w:bCs/>
          <w:szCs w:val="22"/>
        </w:rPr>
      </w:pPr>
      <w:r w:rsidRPr="00A97965">
        <w:rPr>
          <w:b/>
          <w:bCs/>
          <w:szCs w:val="22"/>
        </w:rPr>
        <w:t>Výrobca</w:t>
      </w:r>
    </w:p>
    <w:p w:rsidR="00AC4391" w:rsidRPr="00A97965" w:rsidRDefault="00AC4391">
      <w:pPr>
        <w:pStyle w:val="EUNormal"/>
        <w:jc w:val="both"/>
        <w:rPr>
          <w:szCs w:val="22"/>
        </w:rPr>
      </w:pPr>
      <w:r w:rsidRPr="00A97965">
        <w:rPr>
          <w:szCs w:val="22"/>
        </w:rPr>
        <w:t>LTS LOHMANN</w:t>
      </w:r>
    </w:p>
    <w:p w:rsidR="00AC4391" w:rsidRPr="00A97965" w:rsidRDefault="00AC4391">
      <w:pPr>
        <w:pStyle w:val="EUNormal"/>
        <w:jc w:val="both"/>
        <w:rPr>
          <w:szCs w:val="22"/>
        </w:rPr>
      </w:pPr>
      <w:r w:rsidRPr="00A97965">
        <w:rPr>
          <w:szCs w:val="22"/>
        </w:rPr>
        <w:t>THERAPIE-SYSTEME AG</w:t>
      </w:r>
    </w:p>
    <w:p w:rsidR="00AC4391" w:rsidRPr="00A97965" w:rsidRDefault="00AC4391">
      <w:pPr>
        <w:pStyle w:val="EUNormal"/>
        <w:jc w:val="both"/>
        <w:rPr>
          <w:szCs w:val="22"/>
        </w:rPr>
      </w:pPr>
      <w:r w:rsidRPr="00A97965">
        <w:rPr>
          <w:szCs w:val="22"/>
        </w:rPr>
        <w:t>ANDERNACH,</w:t>
      </w:r>
    </w:p>
    <w:p w:rsidR="00AC4391" w:rsidRPr="00A97965" w:rsidRDefault="00AC4391">
      <w:pPr>
        <w:pStyle w:val="EUNormal"/>
        <w:jc w:val="both"/>
        <w:rPr>
          <w:szCs w:val="22"/>
        </w:rPr>
      </w:pPr>
      <w:r w:rsidRPr="00A97965">
        <w:rPr>
          <w:szCs w:val="22"/>
        </w:rPr>
        <w:t>Nemecko</w:t>
      </w:r>
    </w:p>
    <w:p w:rsidR="00AC4391" w:rsidRPr="00A97965" w:rsidRDefault="00AC4391">
      <w:pPr>
        <w:pStyle w:val="EUNormal"/>
        <w:jc w:val="both"/>
        <w:rPr>
          <w:szCs w:val="22"/>
        </w:rPr>
      </w:pPr>
    </w:p>
    <w:p w:rsidR="00AC4391" w:rsidRDefault="00AC4391">
      <w:pPr>
        <w:pStyle w:val="EUNormal"/>
        <w:jc w:val="both"/>
        <w:rPr>
          <w:szCs w:val="22"/>
        </w:rPr>
      </w:pPr>
    </w:p>
    <w:p w:rsidR="00AC4391" w:rsidRPr="00A97965" w:rsidRDefault="00AC4391">
      <w:pPr>
        <w:pStyle w:val="EUNormal"/>
        <w:jc w:val="both"/>
        <w:rPr>
          <w:szCs w:val="22"/>
        </w:rPr>
      </w:pPr>
    </w:p>
    <w:p w:rsidR="00AC4391" w:rsidRPr="00A97965" w:rsidRDefault="00AC4391">
      <w:pPr>
        <w:pStyle w:val="EUNormal"/>
        <w:jc w:val="both"/>
        <w:rPr>
          <w:szCs w:val="22"/>
        </w:rPr>
      </w:pPr>
    </w:p>
    <w:p w:rsidR="00AC4391" w:rsidRPr="00A97965" w:rsidRDefault="00AC4391">
      <w:pPr>
        <w:pStyle w:val="EUNormal"/>
        <w:keepNext/>
        <w:jc w:val="both"/>
        <w:rPr>
          <w:szCs w:val="22"/>
        </w:rPr>
      </w:pPr>
      <w:r w:rsidRPr="00A97965">
        <w:rPr>
          <w:szCs w:val="22"/>
        </w:rPr>
        <w:t>Ak potrebujete akúkoľvek informáciu o tomto lieku, kontaktujte, prosím, miestneho zástupcu držiteľa rozhodnutia o registrácii:</w:t>
      </w:r>
    </w:p>
    <w:p w:rsidR="00AC4391" w:rsidRPr="00A97965" w:rsidRDefault="00AC4391">
      <w:pPr>
        <w:pStyle w:val="EUNormal"/>
        <w:jc w:val="both"/>
        <w:rPr>
          <w:szCs w:val="22"/>
        </w:rPr>
      </w:pPr>
      <w:r w:rsidRPr="00A97965">
        <w:rPr>
          <w:szCs w:val="22"/>
        </w:rPr>
        <w:t>Johnson &amp; Johnson, s. r. o., Karadžičova 12, 821 08 Bratislava, tel.: +421 232 408 400</w:t>
      </w:r>
    </w:p>
    <w:p w:rsidR="00AC4391" w:rsidRPr="00A97965" w:rsidRDefault="00AC4391">
      <w:pPr>
        <w:pStyle w:val="EUNormal"/>
        <w:jc w:val="both"/>
        <w:rPr>
          <w:szCs w:val="22"/>
        </w:rPr>
      </w:pPr>
    </w:p>
    <w:p w:rsidR="00AC4391" w:rsidRPr="00A97965" w:rsidRDefault="00AC4391">
      <w:pPr>
        <w:pStyle w:val="EUheading3"/>
        <w:jc w:val="both"/>
        <w:rPr>
          <w:szCs w:val="22"/>
        </w:rPr>
      </w:pPr>
    </w:p>
    <w:p w:rsidR="00AC4391" w:rsidRPr="00A97965" w:rsidRDefault="00AC4391">
      <w:pPr>
        <w:pStyle w:val="EUheading3"/>
        <w:jc w:val="both"/>
        <w:rPr>
          <w:szCs w:val="22"/>
        </w:rPr>
      </w:pPr>
      <w:r w:rsidRPr="00A97965">
        <w:rPr>
          <w:szCs w:val="22"/>
        </w:rPr>
        <w:t>Táto písomná informácia pre používateľov bola naposledy schválená v</w:t>
      </w:r>
      <w:r>
        <w:rPr>
          <w:szCs w:val="22"/>
        </w:rPr>
        <w:t> marci</w:t>
      </w:r>
      <w:r w:rsidRPr="00A97965">
        <w:rPr>
          <w:szCs w:val="22"/>
        </w:rPr>
        <w:t xml:space="preserve"> 201</w:t>
      </w:r>
      <w:r>
        <w:rPr>
          <w:szCs w:val="22"/>
        </w:rPr>
        <w:t>3</w:t>
      </w:r>
      <w:r w:rsidRPr="00A97965">
        <w:rPr>
          <w:szCs w:val="22"/>
        </w:rPr>
        <w:t xml:space="preserve">. </w:t>
      </w:r>
    </w:p>
    <w:sectPr w:rsidR="00AC4391" w:rsidRPr="00A97965" w:rsidSect="008E2B15">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391" w:rsidRDefault="00AC4391">
      <w:r>
        <w:separator/>
      </w:r>
    </w:p>
  </w:endnote>
  <w:endnote w:type="continuationSeparator" w:id="0">
    <w:p w:rsidR="00AC4391" w:rsidRDefault="00AC4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391" w:rsidRDefault="00AC4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4391" w:rsidRDefault="00AC439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391" w:rsidRDefault="00AC4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AC4391" w:rsidRDefault="00AC439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391" w:rsidRDefault="00AC4391">
      <w:r>
        <w:separator/>
      </w:r>
    </w:p>
  </w:footnote>
  <w:footnote w:type="continuationSeparator" w:id="0">
    <w:p w:rsidR="00AC4391" w:rsidRDefault="00AC43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8B7BA3"/>
    <w:multiLevelType w:val="hybridMultilevel"/>
    <w:tmpl w:val="D1424EEA"/>
    <w:lvl w:ilvl="0" w:tplc="FFFFFFFF">
      <w:start w:val="1"/>
      <w:numFmt w:val="decimal"/>
      <w:lvlText w:val="%1."/>
      <w:lvlJc w:val="left"/>
      <w:pPr>
        <w:tabs>
          <w:tab w:val="num" w:pos="36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4A5205F"/>
    <w:multiLevelType w:val="multilevel"/>
    <w:tmpl w:val="331C2CE6"/>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68941B5"/>
    <w:multiLevelType w:val="multilevel"/>
    <w:tmpl w:val="2B2A2D4C"/>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7083B99"/>
    <w:multiLevelType w:val="multilevel"/>
    <w:tmpl w:val="CD305246"/>
    <w:lvl w:ilvl="0">
      <w:start w:val="1"/>
      <w:numFmt w:val="decimal"/>
      <w:lvlText w:val="%1."/>
      <w:lvlJc w:val="left"/>
      <w:pPr>
        <w:tabs>
          <w:tab w:val="num" w:pos="567"/>
        </w:tabs>
        <w:ind w:left="567" w:hanging="567"/>
      </w:pPr>
      <w:rPr>
        <w:rFonts w:ascii="Times" w:hAnsi="Times" w:cs="Times New Roman" w:hint="default"/>
        <w:b/>
        <w:i w:val="0"/>
        <w:caps/>
        <w:strike w:val="0"/>
        <w:dstrike w:val="0"/>
        <w:shadow w:val="0"/>
        <w:emboss w:val="0"/>
        <w:imprint w:val="0"/>
        <w:vanish w:val="0"/>
        <w:sz w:val="22"/>
        <w:vertAlign w:val="baseline"/>
      </w:rPr>
    </w:lvl>
    <w:lvl w:ilvl="1">
      <w:start w:val="1"/>
      <w:numFmt w:val="decimal"/>
      <w:lvlText w:val="%1.%2"/>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2">
      <w:start w:val="1"/>
      <w:numFmt w:val="none"/>
      <w:lvlText w:val="%3"/>
      <w:lvlJc w:val="left"/>
      <w:pPr>
        <w:tabs>
          <w:tab w:val="num" w:pos="-1080"/>
        </w:tabs>
        <w:ind w:left="-1080" w:hanging="360"/>
      </w:pPr>
      <w:rPr>
        <w:rFonts w:ascii="Times New Roman" w:hAnsi="Times New Roman" w:cs="Times New Roman" w:hint="default"/>
        <w:b/>
        <w:i/>
        <w:caps w:val="0"/>
        <w:strike w:val="0"/>
        <w:dstrike w:val="0"/>
        <w:outline w:val="0"/>
        <w:shadow w:val="0"/>
        <w:emboss w:val="0"/>
        <w:imprint w:val="0"/>
        <w:vanish w:val="0"/>
        <w:sz w:val="22"/>
        <w:vertAlign w:val="baseline"/>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
        </w:tabs>
        <w:ind w:left="-360" w:hanging="360"/>
      </w:pPr>
      <w:rPr>
        <w:rFonts w:cs="Times New Roman" w:hint="default"/>
      </w:rPr>
    </w:lvl>
    <w:lvl w:ilvl="5">
      <w:start w:val="1"/>
      <w:numFmt w:val="lowerRoman"/>
      <w:lvlText w:val="(%6)"/>
      <w:lvlJc w:val="left"/>
      <w:pPr>
        <w:tabs>
          <w:tab w:val="num" w:pos="0"/>
        </w:tabs>
        <w:ind w:hanging="360"/>
      </w:pPr>
      <w:rPr>
        <w:rFonts w:cs="Times New Roman" w:hint="default"/>
      </w:rPr>
    </w:lvl>
    <w:lvl w:ilvl="6">
      <w:start w:val="1"/>
      <w:numFmt w:val="decimal"/>
      <w:lvlRestart w:val="0"/>
      <w:lvlText w:val="%7."/>
      <w:lvlJc w:val="left"/>
      <w:pPr>
        <w:tabs>
          <w:tab w:val="num" w:pos="567"/>
        </w:tabs>
        <w:ind w:left="567" w:hanging="567"/>
      </w:pPr>
      <w:rPr>
        <w:rFonts w:ascii="Times New Roman" w:hAnsi="Times New Roman" w:cs="Times New Roman" w:hint="default"/>
        <w:b/>
        <w:i w:val="0"/>
        <w:caps/>
        <w:strike w:val="0"/>
        <w:dstrike w:val="0"/>
        <w:outline w:val="0"/>
        <w:shadow w:val="0"/>
        <w:emboss w:val="0"/>
        <w:imprint w:val="0"/>
        <w:vanish w:val="0"/>
        <w:sz w:val="22"/>
        <w:vertAlign w:val="baseline"/>
      </w:rPr>
    </w:lvl>
    <w:lvl w:ilvl="7">
      <w:start w:val="1"/>
      <w:numFmt w:val="lowerLetter"/>
      <w:lvlText w:val="%8."/>
      <w:lvlJc w:val="left"/>
      <w:pPr>
        <w:tabs>
          <w:tab w:val="num" w:pos="720"/>
        </w:tabs>
        <w:ind w:left="720" w:hanging="360"/>
      </w:pPr>
      <w:rPr>
        <w:rFonts w:cs="Times New Roman" w:hint="default"/>
      </w:rPr>
    </w:lvl>
    <w:lvl w:ilvl="8">
      <w:start w:val="1"/>
      <w:numFmt w:val="lowerRoman"/>
      <w:lvlText w:val="%9."/>
      <w:lvlJc w:val="left"/>
      <w:pPr>
        <w:tabs>
          <w:tab w:val="num" w:pos="1080"/>
        </w:tabs>
        <w:ind w:left="1080" w:hanging="360"/>
      </w:pPr>
      <w:rPr>
        <w:rFonts w:cs="Times New Roman" w:hint="default"/>
      </w:rPr>
    </w:lvl>
  </w:abstractNum>
  <w:abstractNum w:abstractNumId="5">
    <w:nsid w:val="18693428"/>
    <w:multiLevelType w:val="hybridMultilevel"/>
    <w:tmpl w:val="270C3AB4"/>
    <w:lvl w:ilvl="0" w:tplc="7AAA6670">
      <w:start w:val="1"/>
      <w:numFmt w:val="decimal"/>
      <w:lvlText w:val="%1."/>
      <w:lvlJc w:val="left"/>
      <w:pPr>
        <w:tabs>
          <w:tab w:val="num" w:pos="360"/>
        </w:tabs>
        <w:ind w:left="34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C122B6"/>
    <w:multiLevelType w:val="multilevel"/>
    <w:tmpl w:val="5E1A881C"/>
    <w:lvl w:ilvl="0">
      <w:start w:val="1"/>
      <w:numFmt w:val="decimal"/>
      <w:lvlText w:val="%1."/>
      <w:lvlJc w:val="left"/>
      <w:pPr>
        <w:tabs>
          <w:tab w:val="num" w:pos="567"/>
        </w:tabs>
        <w:ind w:left="567" w:hanging="567"/>
      </w:pPr>
      <w:rPr>
        <w:rFonts w:ascii="Times" w:hAnsi="Times" w:cs="Times New Roman" w:hint="default"/>
        <w:b/>
        <w:i w:val="0"/>
        <w:caps/>
        <w:strike w:val="0"/>
        <w:dstrike w:val="0"/>
        <w:shadow w:val="0"/>
        <w:emboss w:val="0"/>
        <w:imprint w:val="0"/>
        <w:vanish w:val="0"/>
        <w:sz w:val="22"/>
        <w:vertAlign w:val="baseline"/>
      </w:rPr>
    </w:lvl>
    <w:lvl w:ilvl="1">
      <w:start w:val="1"/>
      <w:numFmt w:val="decimal"/>
      <w:lvlText w:val="%1.%2"/>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2">
      <w:start w:val="1"/>
      <w:numFmt w:val="none"/>
      <w:lvlText w:val="%3"/>
      <w:lvlJc w:val="left"/>
      <w:pPr>
        <w:tabs>
          <w:tab w:val="num" w:pos="-1080"/>
        </w:tabs>
        <w:ind w:left="-1080" w:hanging="360"/>
      </w:pPr>
      <w:rPr>
        <w:rFonts w:ascii="Times New Roman" w:hAnsi="Times New Roman" w:cs="Times New Roman" w:hint="default"/>
        <w:b/>
        <w:i/>
        <w:caps w:val="0"/>
        <w:strike w:val="0"/>
        <w:dstrike w:val="0"/>
        <w:outline w:val="0"/>
        <w:shadow w:val="0"/>
        <w:emboss w:val="0"/>
        <w:imprint w:val="0"/>
        <w:vanish w:val="0"/>
        <w:sz w:val="22"/>
        <w:vertAlign w:val="baseline"/>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
        </w:tabs>
        <w:ind w:left="-360" w:hanging="360"/>
      </w:pPr>
      <w:rPr>
        <w:rFonts w:cs="Times New Roman" w:hint="default"/>
      </w:rPr>
    </w:lvl>
    <w:lvl w:ilvl="5">
      <w:start w:val="1"/>
      <w:numFmt w:val="lowerRoman"/>
      <w:lvlText w:val="(%6)"/>
      <w:lvlJc w:val="left"/>
      <w:pPr>
        <w:tabs>
          <w:tab w:val="num" w:pos="0"/>
        </w:tabs>
        <w:ind w:hanging="360"/>
      </w:pPr>
      <w:rPr>
        <w:rFonts w:cs="Times New Roman" w:hint="default"/>
      </w:rPr>
    </w:lvl>
    <w:lvl w:ilvl="6">
      <w:start w:val="1"/>
      <w:numFmt w:val="decimal"/>
      <w:lvlRestart w:val="0"/>
      <w:lvlText w:val="%7."/>
      <w:lvlJc w:val="left"/>
      <w:pPr>
        <w:tabs>
          <w:tab w:val="num" w:pos="567"/>
        </w:tabs>
        <w:ind w:left="567" w:hanging="567"/>
      </w:pPr>
      <w:rPr>
        <w:rFonts w:ascii="Times New Roman" w:hAnsi="Times New Roman" w:cs="Times New Roman" w:hint="default"/>
        <w:b/>
        <w:i w:val="0"/>
        <w:caps/>
        <w:strike w:val="0"/>
        <w:dstrike w:val="0"/>
        <w:outline w:val="0"/>
        <w:shadow w:val="0"/>
        <w:emboss w:val="0"/>
        <w:imprint w:val="0"/>
        <w:vanish w:val="0"/>
        <w:sz w:val="22"/>
        <w:vertAlign w:val="baseline"/>
      </w:rPr>
    </w:lvl>
    <w:lvl w:ilvl="7">
      <w:start w:val="1"/>
      <w:numFmt w:val="lowerLetter"/>
      <w:lvlText w:val="%8."/>
      <w:lvlJc w:val="left"/>
      <w:pPr>
        <w:tabs>
          <w:tab w:val="num" w:pos="720"/>
        </w:tabs>
        <w:ind w:left="720" w:hanging="360"/>
      </w:pPr>
      <w:rPr>
        <w:rFonts w:cs="Times New Roman" w:hint="default"/>
      </w:rPr>
    </w:lvl>
    <w:lvl w:ilvl="8">
      <w:start w:val="1"/>
      <w:numFmt w:val="lowerRoman"/>
      <w:lvlText w:val="%9."/>
      <w:lvlJc w:val="left"/>
      <w:pPr>
        <w:tabs>
          <w:tab w:val="num" w:pos="1080"/>
        </w:tabs>
        <w:ind w:left="1080" w:hanging="360"/>
      </w:pPr>
      <w:rPr>
        <w:rFonts w:cs="Times New Roman" w:hint="default"/>
      </w:rPr>
    </w:lvl>
  </w:abstractNum>
  <w:abstractNum w:abstractNumId="7">
    <w:nsid w:val="1F4F5D14"/>
    <w:multiLevelType w:val="hybridMultilevel"/>
    <w:tmpl w:val="FBC66B68"/>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11C724C"/>
    <w:multiLevelType w:val="multilevel"/>
    <w:tmpl w:val="0E76049C"/>
    <w:lvl w:ilvl="0">
      <w:start w:val="1"/>
      <w:numFmt w:val="decimal"/>
      <w:lvlText w:val="%1."/>
      <w:lvlJc w:val="left"/>
      <w:pPr>
        <w:tabs>
          <w:tab w:val="num" w:pos="360"/>
        </w:tabs>
        <w:ind w:left="357" w:hanging="357"/>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23DF5343"/>
    <w:multiLevelType w:val="multilevel"/>
    <w:tmpl w:val="ED86B080"/>
    <w:lvl w:ilvl="0">
      <w:start w:val="1"/>
      <w:numFmt w:val="decimal"/>
      <w:lvlText w:val="%1."/>
      <w:lvlJc w:val="left"/>
      <w:pPr>
        <w:tabs>
          <w:tab w:val="num" w:pos="705"/>
        </w:tabs>
        <w:ind w:left="705" w:hanging="705"/>
      </w:pPr>
      <w:rPr>
        <w:rFonts w:cs="Times New Roman" w:hint="default"/>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250E5525"/>
    <w:multiLevelType w:val="hybridMultilevel"/>
    <w:tmpl w:val="6FDE0386"/>
    <w:lvl w:ilvl="0" w:tplc="0C0A5278">
      <w:start w:val="1"/>
      <w:numFmt w:val="decimal"/>
      <w:lvlText w:val="%1."/>
      <w:lvlJc w:val="left"/>
      <w:pPr>
        <w:tabs>
          <w:tab w:val="num" w:pos="567"/>
        </w:tabs>
        <w:ind w:left="567" w:hanging="567"/>
      </w:pPr>
      <w:rPr>
        <w:rFonts w:ascii="Times New Roman" w:hAnsi="Times New Roman"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CF570D3"/>
    <w:multiLevelType w:val="hybridMultilevel"/>
    <w:tmpl w:val="2FCABA9E"/>
    <w:lvl w:ilvl="0" w:tplc="005067C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36146B5D"/>
    <w:multiLevelType w:val="hybridMultilevel"/>
    <w:tmpl w:val="5706F894"/>
    <w:lvl w:ilvl="0" w:tplc="C226E2F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5165A9"/>
    <w:multiLevelType w:val="multilevel"/>
    <w:tmpl w:val="9FE0EFF8"/>
    <w:lvl w:ilvl="0">
      <w:start w:val="4"/>
      <w:numFmt w:val="decimal"/>
      <w:lvlText w:val="%1"/>
      <w:lvlJc w:val="left"/>
      <w:pPr>
        <w:tabs>
          <w:tab w:val="num" w:pos="540"/>
        </w:tabs>
        <w:ind w:left="540" w:hanging="540"/>
      </w:pPr>
      <w:rPr>
        <w:rFonts w:cs="Times New Roman" w:hint="default"/>
      </w:rPr>
    </w:lvl>
    <w:lvl w:ilvl="1">
      <w:start w:val="8"/>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E1037ED"/>
    <w:multiLevelType w:val="hybridMultilevel"/>
    <w:tmpl w:val="A4AA8F7E"/>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8434CB7"/>
    <w:multiLevelType w:val="hybridMultilevel"/>
    <w:tmpl w:val="7E9A57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ADA1FBC"/>
    <w:multiLevelType w:val="singleLevel"/>
    <w:tmpl w:val="367C8726"/>
    <w:lvl w:ilvl="0">
      <w:start w:val="4"/>
      <w:numFmt w:val="bullet"/>
      <w:lvlText w:val="-"/>
      <w:lvlJc w:val="left"/>
      <w:pPr>
        <w:tabs>
          <w:tab w:val="num" w:pos="705"/>
        </w:tabs>
        <w:ind w:left="705" w:hanging="705"/>
      </w:pPr>
      <w:rPr>
        <w:rFonts w:hint="default"/>
      </w:rPr>
    </w:lvl>
  </w:abstractNum>
  <w:abstractNum w:abstractNumId="17">
    <w:nsid w:val="622276B5"/>
    <w:multiLevelType w:val="multilevel"/>
    <w:tmpl w:val="8F7046E8"/>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360"/>
        </w:tabs>
        <w:ind w:left="357" w:hanging="357"/>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63561E55"/>
    <w:multiLevelType w:val="hybridMultilevel"/>
    <w:tmpl w:val="C4D82B78"/>
    <w:lvl w:ilvl="0" w:tplc="E4A2ABC2">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7D81E7E"/>
    <w:multiLevelType w:val="hybridMultilevel"/>
    <w:tmpl w:val="EDA8CFDA"/>
    <w:lvl w:ilvl="0" w:tplc="005067C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68350B6E"/>
    <w:multiLevelType w:val="hybridMultilevel"/>
    <w:tmpl w:val="38DA826E"/>
    <w:lvl w:ilvl="0" w:tplc="FFFFFFFF">
      <w:start w:val="1"/>
      <w:numFmt w:val="bullet"/>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1">
    <w:nsid w:val="68857120"/>
    <w:multiLevelType w:val="hybridMultilevel"/>
    <w:tmpl w:val="34BA48B6"/>
    <w:lvl w:ilvl="0" w:tplc="C226E2F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8B6E9E"/>
    <w:multiLevelType w:val="hybridMultilevel"/>
    <w:tmpl w:val="5B82FD3C"/>
    <w:lvl w:ilvl="0" w:tplc="DCC4EC84">
      <w:start w:val="1"/>
      <w:numFmt w:val="bullet"/>
      <w:lvlText w:val="-"/>
      <w:lvlJc w:val="left"/>
      <w:pPr>
        <w:tabs>
          <w:tab w:val="num" w:pos="567"/>
        </w:tabs>
        <w:ind w:left="567" w:hanging="567"/>
      </w:pPr>
      <w:rPr>
        <w:rFonts w:ascii="Times New Roman" w:hAnsi="Times New Roman" w:hint="default"/>
        <w:b w:val="0"/>
        <w:i w:val="0"/>
        <w:spacing w:val="0"/>
        <w:w w:val="100"/>
        <w:position w:val="0"/>
        <w:sz w:val="22"/>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nsid w:val="6AEB7CE9"/>
    <w:multiLevelType w:val="hybridMultilevel"/>
    <w:tmpl w:val="CF36CB02"/>
    <w:lvl w:ilvl="0" w:tplc="03C86584">
      <w:start w:val="1"/>
      <w:numFmt w:val="decimal"/>
      <w:lvlText w:val="%1."/>
      <w:lvlJc w:val="left"/>
      <w:pPr>
        <w:tabs>
          <w:tab w:val="num" w:pos="1080"/>
        </w:tabs>
        <w:ind w:left="1080" w:hanging="72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nsid w:val="71EC3448"/>
    <w:multiLevelType w:val="hybridMultilevel"/>
    <w:tmpl w:val="7CA8C3FA"/>
    <w:lvl w:ilvl="0" w:tplc="0409000B">
      <w:start w:val="1"/>
      <w:numFmt w:val="bullet"/>
      <w:lvlText w:val=""/>
      <w:lvlJc w:val="left"/>
      <w:pPr>
        <w:tabs>
          <w:tab w:val="num" w:pos="720"/>
        </w:tabs>
        <w:ind w:left="720" w:hanging="360"/>
      </w:pPr>
      <w:rPr>
        <w:rFonts w:ascii="Wingdings" w:hAnsi="Wingdings" w:hint="default"/>
      </w:rPr>
    </w:lvl>
    <w:lvl w:ilvl="1" w:tplc="E4121DBE">
      <w:numFmt w:val="bullet"/>
      <w:lvlText w:val="-"/>
      <w:lvlJc w:val="left"/>
      <w:pPr>
        <w:tabs>
          <w:tab w:val="num" w:pos="1440"/>
        </w:tabs>
        <w:ind w:left="144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8D63B2"/>
    <w:multiLevelType w:val="hybridMultilevel"/>
    <w:tmpl w:val="811C8374"/>
    <w:lvl w:ilvl="0" w:tplc="BBC4CD1A">
      <w:start w:val="1"/>
      <w:numFmt w:val="bullet"/>
      <w:lvlText w:val="-"/>
      <w:lvlJc w:val="left"/>
      <w:pPr>
        <w:tabs>
          <w:tab w:val="num" w:pos="567"/>
        </w:tabs>
        <w:ind w:left="567" w:hanging="567"/>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4E4D02"/>
    <w:multiLevelType w:val="hybridMultilevel"/>
    <w:tmpl w:val="7D1AF610"/>
    <w:lvl w:ilvl="0" w:tplc="C226E2F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1C0F46"/>
    <w:multiLevelType w:val="hybridMultilevel"/>
    <w:tmpl w:val="5E1E2B5C"/>
    <w:lvl w:ilvl="0" w:tplc="79A63AD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17"/>
  </w:num>
  <w:num w:numId="4">
    <w:abstractNumId w:val="6"/>
  </w:num>
  <w:num w:numId="5">
    <w:abstractNumId w:val="9"/>
  </w:num>
  <w:num w:numId="6">
    <w:abstractNumId w:val="16"/>
  </w:num>
  <w:num w:numId="7">
    <w:abstractNumId w:val="3"/>
  </w:num>
  <w:num w:numId="8">
    <w:abstractNumId w:val="4"/>
  </w:num>
  <w:num w:numId="9">
    <w:abstractNumId w:val="22"/>
  </w:num>
  <w:num w:numId="10">
    <w:abstractNumId w:val="10"/>
  </w:num>
  <w:num w:numId="11">
    <w:abstractNumId w:val="18"/>
  </w:num>
  <w:num w:numId="12">
    <w:abstractNumId w:val="25"/>
  </w:num>
  <w:num w:numId="13">
    <w:abstractNumId w:val="7"/>
  </w:num>
  <w:num w:numId="14">
    <w:abstractNumId w:val="14"/>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num>
  <w:num w:numId="18">
    <w:abstractNumId w:val="2"/>
  </w:num>
  <w:num w:numId="19">
    <w:abstractNumId w:val="13"/>
  </w:num>
  <w:num w:numId="20">
    <w:abstractNumId w:val="0"/>
    <w:lvlOverride w:ilvl="0">
      <w:lvl w:ilvl="0">
        <w:start w:val="1"/>
        <w:numFmt w:val="bullet"/>
        <w:lvlText w:val="-"/>
        <w:legacy w:legacy="1" w:legacySpace="0" w:legacyIndent="360"/>
        <w:lvlJc w:val="left"/>
        <w:pPr>
          <w:ind w:left="360" w:hanging="360"/>
        </w:pPr>
      </w:lvl>
    </w:lvlOverride>
  </w:num>
  <w:num w:numId="21">
    <w:abstractNumId w:val="24"/>
  </w:num>
  <w:num w:numId="22">
    <w:abstractNumId w:val="27"/>
  </w:num>
  <w:num w:numId="23">
    <w:abstractNumId w:val="26"/>
  </w:num>
  <w:num w:numId="24">
    <w:abstractNumId w:val="12"/>
  </w:num>
  <w:num w:numId="25">
    <w:abstractNumId w:val="21"/>
  </w:num>
  <w:num w:numId="26">
    <w:abstractNumId w:val="20"/>
  </w:num>
  <w:num w:numId="27">
    <w:abstractNumId w:val="19"/>
  </w:num>
  <w:num w:numId="28">
    <w:abstractNumId w:val="11"/>
  </w:num>
  <w:num w:numId="29">
    <w:abstractNumId w:val="23"/>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44D3"/>
    <w:rsid w:val="00022092"/>
    <w:rsid w:val="00076B39"/>
    <w:rsid w:val="001264DF"/>
    <w:rsid w:val="00211AC1"/>
    <w:rsid w:val="002570D1"/>
    <w:rsid w:val="002A62C5"/>
    <w:rsid w:val="003056F6"/>
    <w:rsid w:val="003176EB"/>
    <w:rsid w:val="0032760F"/>
    <w:rsid w:val="004C6BD1"/>
    <w:rsid w:val="0053352A"/>
    <w:rsid w:val="00622AAB"/>
    <w:rsid w:val="00690E12"/>
    <w:rsid w:val="006B71C0"/>
    <w:rsid w:val="00890448"/>
    <w:rsid w:val="008A1C36"/>
    <w:rsid w:val="008C53DE"/>
    <w:rsid w:val="008E2B15"/>
    <w:rsid w:val="009167FC"/>
    <w:rsid w:val="00970211"/>
    <w:rsid w:val="00980C4F"/>
    <w:rsid w:val="00A03DC8"/>
    <w:rsid w:val="00A97965"/>
    <w:rsid w:val="00AC4391"/>
    <w:rsid w:val="00B444D3"/>
    <w:rsid w:val="00BF6E7C"/>
    <w:rsid w:val="00C649DB"/>
    <w:rsid w:val="00CB50C2"/>
    <w:rsid w:val="00CC4097"/>
    <w:rsid w:val="00CC5DD5"/>
    <w:rsid w:val="00D637E4"/>
    <w:rsid w:val="00DF749A"/>
    <w:rsid w:val="00F41BED"/>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15"/>
    <w:rPr>
      <w:sz w:val="24"/>
      <w:szCs w:val="24"/>
      <w:lang w:val="en-US" w:eastAsia="en-US"/>
    </w:rPr>
  </w:style>
  <w:style w:type="paragraph" w:styleId="Heading1">
    <w:name w:val="heading 1"/>
    <w:basedOn w:val="Normal"/>
    <w:next w:val="EUNormalafterheader"/>
    <w:link w:val="Heading1Char"/>
    <w:uiPriority w:val="99"/>
    <w:qFormat/>
    <w:rsid w:val="008E2B15"/>
    <w:pPr>
      <w:keepNext/>
      <w:tabs>
        <w:tab w:val="left" w:pos="567"/>
      </w:tabs>
      <w:outlineLvl w:val="0"/>
    </w:pPr>
    <w:rPr>
      <w:b/>
      <w:bCs/>
      <w:caps/>
      <w:sz w:val="22"/>
      <w:lang w:val="sk-SK"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1AC1"/>
    <w:rPr>
      <w:rFonts w:ascii="Cambria" w:hAnsi="Cambria" w:cs="Times New Roman"/>
      <w:b/>
      <w:bCs/>
      <w:kern w:val="32"/>
      <w:sz w:val="32"/>
      <w:szCs w:val="32"/>
      <w:lang w:val="en-US" w:eastAsia="en-US"/>
    </w:rPr>
  </w:style>
  <w:style w:type="paragraph" w:customStyle="1" w:styleId="EUNormal">
    <w:name w:val="EU Normal"/>
    <w:basedOn w:val="Normal"/>
    <w:uiPriority w:val="99"/>
    <w:rsid w:val="008E2B15"/>
    <w:pPr>
      <w:tabs>
        <w:tab w:val="left" w:pos="567"/>
      </w:tabs>
    </w:pPr>
    <w:rPr>
      <w:sz w:val="22"/>
      <w:lang w:val="sk-SK"/>
    </w:rPr>
  </w:style>
  <w:style w:type="paragraph" w:customStyle="1" w:styleId="EUBullet">
    <w:name w:val="EU Bullet"/>
    <w:basedOn w:val="EUNormal"/>
    <w:uiPriority w:val="99"/>
    <w:rsid w:val="008E2B15"/>
    <w:pPr>
      <w:tabs>
        <w:tab w:val="clear" w:pos="567"/>
      </w:tabs>
    </w:pPr>
  </w:style>
  <w:style w:type="paragraph" w:styleId="BodyText">
    <w:name w:val="Body Text"/>
    <w:basedOn w:val="Normal"/>
    <w:link w:val="BodyTextChar"/>
    <w:uiPriority w:val="99"/>
    <w:rsid w:val="008E2B15"/>
    <w:pPr>
      <w:spacing w:line="360" w:lineRule="auto"/>
      <w:jc w:val="both"/>
    </w:pPr>
    <w:rPr>
      <w:szCs w:val="20"/>
      <w:lang w:val="sk-SK" w:eastAsia="cs-CZ"/>
    </w:rPr>
  </w:style>
  <w:style w:type="character" w:customStyle="1" w:styleId="BodyTextChar">
    <w:name w:val="Body Text Char"/>
    <w:basedOn w:val="DefaultParagraphFont"/>
    <w:link w:val="BodyText"/>
    <w:uiPriority w:val="99"/>
    <w:semiHidden/>
    <w:locked/>
    <w:rsid w:val="00211AC1"/>
    <w:rPr>
      <w:rFonts w:cs="Times New Roman"/>
      <w:sz w:val="24"/>
      <w:szCs w:val="24"/>
      <w:lang w:val="en-US" w:eastAsia="en-US"/>
    </w:rPr>
  </w:style>
  <w:style w:type="character" w:styleId="Strong">
    <w:name w:val="Strong"/>
    <w:basedOn w:val="DefaultParagraphFont"/>
    <w:uiPriority w:val="99"/>
    <w:qFormat/>
    <w:rsid w:val="008E2B15"/>
    <w:rPr>
      <w:rFonts w:cs="Times New Roman"/>
      <w:b/>
      <w:bCs/>
    </w:rPr>
  </w:style>
  <w:style w:type="paragraph" w:styleId="BodyText2">
    <w:name w:val="Body Text 2"/>
    <w:basedOn w:val="Normal"/>
    <w:link w:val="BodyText2Char"/>
    <w:uiPriority w:val="99"/>
    <w:rsid w:val="008E2B15"/>
    <w:rPr>
      <w:szCs w:val="20"/>
      <w:lang w:val="cs-CZ"/>
    </w:rPr>
  </w:style>
  <w:style w:type="character" w:customStyle="1" w:styleId="BodyText2Char">
    <w:name w:val="Body Text 2 Char"/>
    <w:basedOn w:val="DefaultParagraphFont"/>
    <w:link w:val="BodyText2"/>
    <w:uiPriority w:val="99"/>
    <w:semiHidden/>
    <w:locked/>
    <w:rsid w:val="00211AC1"/>
    <w:rPr>
      <w:rFonts w:cs="Times New Roman"/>
      <w:sz w:val="24"/>
      <w:szCs w:val="24"/>
      <w:lang w:val="en-US" w:eastAsia="en-US"/>
    </w:rPr>
  </w:style>
  <w:style w:type="paragraph" w:customStyle="1" w:styleId="Normln1">
    <w:name w:val="Normální1"/>
    <w:uiPriority w:val="99"/>
    <w:rsid w:val="008E2B15"/>
    <w:pPr>
      <w:widowControl w:val="0"/>
    </w:pPr>
    <w:rPr>
      <w:sz w:val="20"/>
      <w:szCs w:val="20"/>
      <w:lang w:val="cs-CZ" w:eastAsia="en-US"/>
    </w:rPr>
  </w:style>
  <w:style w:type="paragraph" w:styleId="BodyTextIndent3">
    <w:name w:val="Body Text Indent 3"/>
    <w:basedOn w:val="Normal"/>
    <w:link w:val="BodyTextIndent3Char"/>
    <w:uiPriority w:val="99"/>
    <w:rsid w:val="008E2B15"/>
    <w:pPr>
      <w:spacing w:after="120"/>
      <w:ind w:left="283" w:hanging="567"/>
    </w:pPr>
    <w:rPr>
      <w:sz w:val="16"/>
      <w:szCs w:val="16"/>
      <w:lang w:val="cs-CZ"/>
    </w:rPr>
  </w:style>
  <w:style w:type="character" w:customStyle="1" w:styleId="BodyTextIndent3Char">
    <w:name w:val="Body Text Indent 3 Char"/>
    <w:basedOn w:val="DefaultParagraphFont"/>
    <w:link w:val="BodyTextIndent3"/>
    <w:uiPriority w:val="99"/>
    <w:semiHidden/>
    <w:locked/>
    <w:rsid w:val="00211AC1"/>
    <w:rPr>
      <w:rFonts w:cs="Times New Roman"/>
      <w:sz w:val="16"/>
      <w:szCs w:val="16"/>
      <w:lang w:val="en-US" w:eastAsia="en-US"/>
    </w:rPr>
  </w:style>
  <w:style w:type="paragraph" w:customStyle="1" w:styleId="EUheading3">
    <w:name w:val="EU heading 3"/>
    <w:basedOn w:val="EUNormal"/>
    <w:next w:val="EUNormal"/>
    <w:uiPriority w:val="99"/>
    <w:rsid w:val="008E2B15"/>
    <w:pPr>
      <w:keepNext/>
    </w:pPr>
    <w:rPr>
      <w:b/>
      <w:bCs/>
    </w:rPr>
  </w:style>
  <w:style w:type="paragraph" w:customStyle="1" w:styleId="EUHeading1">
    <w:name w:val="EU Heading 1"/>
    <w:basedOn w:val="Heading1"/>
    <w:next w:val="EUNormalafterheader"/>
    <w:uiPriority w:val="99"/>
    <w:rsid w:val="008E2B15"/>
  </w:style>
  <w:style w:type="paragraph" w:customStyle="1" w:styleId="EUNormalafterheader">
    <w:name w:val="EU Normal after header"/>
    <w:basedOn w:val="EUNormal"/>
    <w:next w:val="EUNormal"/>
    <w:uiPriority w:val="99"/>
    <w:rsid w:val="008E2B15"/>
    <w:pPr>
      <w:keepNext/>
    </w:pPr>
  </w:style>
  <w:style w:type="paragraph" w:styleId="Header">
    <w:name w:val="header"/>
    <w:basedOn w:val="Normal"/>
    <w:link w:val="HeaderChar"/>
    <w:uiPriority w:val="99"/>
    <w:rsid w:val="008E2B15"/>
    <w:pPr>
      <w:tabs>
        <w:tab w:val="center" w:pos="4320"/>
        <w:tab w:val="right" w:pos="8640"/>
      </w:tabs>
      <w:overflowPunct w:val="0"/>
      <w:autoSpaceDE w:val="0"/>
      <w:autoSpaceDN w:val="0"/>
      <w:adjustRightInd w:val="0"/>
      <w:textAlignment w:val="baseline"/>
    </w:pPr>
    <w:rPr>
      <w:sz w:val="20"/>
      <w:szCs w:val="20"/>
      <w:lang w:val="sk-SK"/>
    </w:rPr>
  </w:style>
  <w:style w:type="character" w:customStyle="1" w:styleId="HeaderChar">
    <w:name w:val="Header Char"/>
    <w:basedOn w:val="DefaultParagraphFont"/>
    <w:link w:val="Header"/>
    <w:uiPriority w:val="99"/>
    <w:semiHidden/>
    <w:locked/>
    <w:rsid w:val="00211AC1"/>
    <w:rPr>
      <w:rFonts w:cs="Times New Roman"/>
      <w:sz w:val="24"/>
      <w:szCs w:val="24"/>
      <w:lang w:val="en-US" w:eastAsia="en-US"/>
    </w:rPr>
  </w:style>
  <w:style w:type="paragraph" w:styleId="Footer">
    <w:name w:val="footer"/>
    <w:basedOn w:val="Normal"/>
    <w:link w:val="FooterChar"/>
    <w:uiPriority w:val="99"/>
    <w:rsid w:val="008E2B15"/>
    <w:pPr>
      <w:tabs>
        <w:tab w:val="center" w:pos="4320"/>
        <w:tab w:val="right" w:pos="8640"/>
      </w:tabs>
      <w:overflowPunct w:val="0"/>
      <w:autoSpaceDE w:val="0"/>
      <w:autoSpaceDN w:val="0"/>
      <w:adjustRightInd w:val="0"/>
      <w:textAlignment w:val="baseline"/>
    </w:pPr>
    <w:rPr>
      <w:sz w:val="20"/>
      <w:szCs w:val="20"/>
      <w:lang w:val="sk-SK"/>
    </w:rPr>
  </w:style>
  <w:style w:type="character" w:customStyle="1" w:styleId="FooterChar">
    <w:name w:val="Footer Char"/>
    <w:basedOn w:val="DefaultParagraphFont"/>
    <w:link w:val="Footer"/>
    <w:uiPriority w:val="99"/>
    <w:semiHidden/>
    <w:locked/>
    <w:rsid w:val="00211AC1"/>
    <w:rPr>
      <w:rFonts w:cs="Times New Roman"/>
      <w:sz w:val="24"/>
      <w:szCs w:val="24"/>
      <w:lang w:val="en-US" w:eastAsia="en-US"/>
    </w:rPr>
  </w:style>
  <w:style w:type="character" w:styleId="PageNumber">
    <w:name w:val="page number"/>
    <w:basedOn w:val="DefaultParagraphFont"/>
    <w:uiPriority w:val="99"/>
    <w:rsid w:val="008E2B15"/>
    <w:rPr>
      <w:rFonts w:cs="Times New Roman"/>
    </w:rPr>
  </w:style>
  <w:style w:type="paragraph" w:styleId="NormalWeb">
    <w:name w:val="Normal (Web)"/>
    <w:basedOn w:val="Normal"/>
    <w:uiPriority w:val="99"/>
    <w:rsid w:val="008E2B15"/>
    <w:pPr>
      <w:spacing w:before="100" w:beforeAutospacing="1" w:after="100" w:afterAutospacing="1"/>
    </w:pPr>
  </w:style>
  <w:style w:type="character" w:styleId="Hyperlink">
    <w:name w:val="Hyperlink"/>
    <w:basedOn w:val="DefaultParagraphFont"/>
    <w:uiPriority w:val="99"/>
    <w:rsid w:val="008E2B15"/>
    <w:rPr>
      <w:rFonts w:cs="Times New Roman"/>
      <w:color w:val="0000FF"/>
      <w:u w:val="single"/>
    </w:rPr>
  </w:style>
  <w:style w:type="paragraph" w:styleId="Subtitle">
    <w:name w:val="Subtitle"/>
    <w:basedOn w:val="Normal"/>
    <w:link w:val="SubtitleChar"/>
    <w:uiPriority w:val="99"/>
    <w:qFormat/>
    <w:locked/>
    <w:rsid w:val="00A97965"/>
    <w:pPr>
      <w:jc w:val="center"/>
    </w:pPr>
    <w:rPr>
      <w:rFonts w:ascii="Arial" w:hAnsi="Arial"/>
      <w:b/>
      <w:szCs w:val="20"/>
      <w:u w:val="single"/>
      <w:lang w:val="sk-SK" w:eastAsia="en-GB"/>
    </w:rPr>
  </w:style>
  <w:style w:type="character" w:customStyle="1" w:styleId="SubtitleChar">
    <w:name w:val="Subtitle Char"/>
    <w:basedOn w:val="DefaultParagraphFont"/>
    <w:link w:val="Subtitle"/>
    <w:uiPriority w:val="99"/>
    <w:locked/>
    <w:rsid w:val="00211AC1"/>
    <w:rPr>
      <w:rFonts w:ascii="Cambria" w:hAnsi="Cambria" w:cs="Times New Roman"/>
      <w:sz w:val="24"/>
      <w:szCs w:val="24"/>
      <w:lang w:val="en-US" w:eastAsia="en-US"/>
    </w:rPr>
  </w:style>
  <w:style w:type="paragraph" w:styleId="BalloonText">
    <w:name w:val="Balloon Text"/>
    <w:basedOn w:val="Normal"/>
    <w:link w:val="BalloonTextChar"/>
    <w:uiPriority w:val="99"/>
    <w:semiHidden/>
    <w:rsid w:val="00A979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1AC1"/>
    <w:rPr>
      <w:rFonts w:cs="Times New Roman"/>
      <w:sz w:val="2"/>
      <w:lang w:val="en-US" w:eastAsia="en-US"/>
    </w:rPr>
  </w:style>
  <w:style w:type="paragraph" w:styleId="Title">
    <w:name w:val="Title"/>
    <w:basedOn w:val="Normal"/>
    <w:link w:val="TitleChar1"/>
    <w:uiPriority w:val="99"/>
    <w:qFormat/>
    <w:locked/>
    <w:rsid w:val="0032760F"/>
    <w:pPr>
      <w:tabs>
        <w:tab w:val="left" w:pos="5040"/>
        <w:tab w:val="left" w:pos="5760"/>
        <w:tab w:val="left" w:pos="6480"/>
        <w:tab w:val="left" w:pos="7200"/>
        <w:tab w:val="left" w:pos="7920"/>
        <w:tab w:val="left" w:pos="8640"/>
      </w:tabs>
      <w:jc w:val="center"/>
    </w:pPr>
    <w:rPr>
      <w:sz w:val="28"/>
      <w:szCs w:val="20"/>
      <w:u w:val="single"/>
      <w:lang w:val="en-AU" w:eastAsia="sk-SK"/>
    </w:rPr>
  </w:style>
  <w:style w:type="character" w:customStyle="1" w:styleId="TitleChar">
    <w:name w:val="Title Char"/>
    <w:basedOn w:val="DefaultParagraphFont"/>
    <w:link w:val="Title"/>
    <w:uiPriority w:val="10"/>
    <w:rsid w:val="00573BF7"/>
    <w:rPr>
      <w:rFonts w:asciiTheme="majorHAnsi" w:eastAsiaTheme="majorEastAsia" w:hAnsiTheme="majorHAnsi" w:cstheme="majorBidi"/>
      <w:b/>
      <w:bCs/>
      <w:kern w:val="28"/>
      <w:sz w:val="32"/>
      <w:szCs w:val="32"/>
      <w:lang w:val="en-US" w:eastAsia="en-US"/>
    </w:rPr>
  </w:style>
  <w:style w:type="character" w:customStyle="1" w:styleId="TitleChar1">
    <w:name w:val="Title Char1"/>
    <w:basedOn w:val="DefaultParagraphFont"/>
    <w:link w:val="Title"/>
    <w:uiPriority w:val="99"/>
    <w:locked/>
    <w:rsid w:val="0032760F"/>
    <w:rPr>
      <w:rFonts w:cs="Times New Roman"/>
      <w:sz w:val="28"/>
      <w:u w:val="single"/>
      <w:lang w:val="en-AU" w:eastAsia="sk-SK"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7</Pages>
  <Words>2226</Words>
  <Characters>12691</Characters>
  <Application>Microsoft Office Outlook</Application>
  <DocSecurity>0</DocSecurity>
  <Lines>0</Lines>
  <Paragraphs>0</Paragraphs>
  <ScaleCrop>false</ScaleCrop>
  <Company>Johnson &amp; Johnson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ZOrszagh</dc:creator>
  <cp:keywords/>
  <dc:description/>
  <cp:lastModifiedBy>Jana Urgosova</cp:lastModifiedBy>
  <cp:revision>3</cp:revision>
  <cp:lastPrinted>2012-04-30T08:54:00Z</cp:lastPrinted>
  <dcterms:created xsi:type="dcterms:W3CDTF">2013-03-25T07:38:00Z</dcterms:created>
  <dcterms:modified xsi:type="dcterms:W3CDTF">2013-03-25T07:49:00Z</dcterms:modified>
</cp:coreProperties>
</file>