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DC" w:rsidRDefault="006418DC" w:rsidP="009B0118">
      <w:pPr>
        <w:widowControl w:val="0"/>
        <w:outlineLvl w:val="0"/>
        <w:rPr>
          <w:b/>
          <w:sz w:val="22"/>
          <w:szCs w:val="22"/>
        </w:rPr>
      </w:pPr>
    </w:p>
    <w:p w:rsidR="006418DC" w:rsidRPr="00FA469B" w:rsidRDefault="006418DC" w:rsidP="006418DC">
      <w:pPr>
        <w:widowControl w:val="0"/>
        <w:jc w:val="center"/>
        <w:outlineLvl w:val="0"/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Písomná informácia pre používateľa</w:t>
      </w:r>
    </w:p>
    <w:p w:rsidR="006418DC" w:rsidRPr="00FA469B" w:rsidRDefault="006418DC" w:rsidP="006418DC">
      <w:pPr>
        <w:widowControl w:val="0"/>
        <w:jc w:val="center"/>
        <w:outlineLvl w:val="0"/>
        <w:rPr>
          <w:b/>
          <w:noProof/>
          <w:sz w:val="22"/>
          <w:szCs w:val="22"/>
          <w:lang w:val="en-GB" w:eastAsia="en-US"/>
        </w:rPr>
      </w:pPr>
    </w:p>
    <w:p w:rsidR="002D245A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r w:rsidRPr="00FA469B">
        <w:rPr>
          <w:b/>
          <w:noProof/>
          <w:sz w:val="22"/>
          <w:szCs w:val="22"/>
          <w:lang w:val="en-GB" w:eastAsia="en-US"/>
        </w:rPr>
        <w:t xml:space="preserve">Abrea </w:t>
      </w:r>
      <w:r w:rsidRPr="00FA469B">
        <w:rPr>
          <w:b/>
          <w:bCs/>
          <w:sz w:val="22"/>
          <w:szCs w:val="22"/>
          <w:lang w:val="en-US"/>
        </w:rPr>
        <w:t xml:space="preserve">75 mg </w:t>
      </w:r>
    </w:p>
    <w:p w:rsidR="006418DC" w:rsidRPr="002D245A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proofErr w:type="spellStart"/>
      <w:proofErr w:type="gramStart"/>
      <w:r w:rsidRPr="002D245A">
        <w:rPr>
          <w:b/>
          <w:bCs/>
          <w:sz w:val="22"/>
          <w:szCs w:val="22"/>
          <w:lang w:val="en-US"/>
        </w:rPr>
        <w:t>gastrorezistentné</w:t>
      </w:r>
      <w:proofErr w:type="spellEnd"/>
      <w:proofErr w:type="gramEnd"/>
      <w:r w:rsidRPr="002D245A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D245A">
        <w:rPr>
          <w:b/>
          <w:bCs/>
          <w:sz w:val="22"/>
          <w:szCs w:val="22"/>
          <w:lang w:val="en-US"/>
        </w:rPr>
        <w:t>tablety</w:t>
      </w:r>
      <w:proofErr w:type="spellEnd"/>
    </w:p>
    <w:p w:rsidR="002D245A" w:rsidRPr="009B0118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r w:rsidRPr="009B0118">
        <w:rPr>
          <w:b/>
          <w:noProof/>
          <w:sz w:val="22"/>
          <w:szCs w:val="22"/>
          <w:lang w:val="en-GB" w:eastAsia="en-US"/>
        </w:rPr>
        <w:t xml:space="preserve">Abrea </w:t>
      </w:r>
      <w:r w:rsidRPr="009B0118">
        <w:rPr>
          <w:b/>
          <w:bCs/>
          <w:sz w:val="22"/>
          <w:szCs w:val="22"/>
          <w:lang w:val="en-US"/>
        </w:rPr>
        <w:t xml:space="preserve">100 mg </w:t>
      </w:r>
    </w:p>
    <w:p w:rsidR="006418DC" w:rsidRPr="009B0118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proofErr w:type="spellStart"/>
      <w:proofErr w:type="gramStart"/>
      <w:r w:rsidRPr="009B0118">
        <w:rPr>
          <w:b/>
          <w:bCs/>
          <w:sz w:val="22"/>
          <w:szCs w:val="22"/>
          <w:lang w:val="en-US"/>
        </w:rPr>
        <w:t>gastrorezistentné</w:t>
      </w:r>
      <w:proofErr w:type="spellEnd"/>
      <w:proofErr w:type="gramEnd"/>
      <w:r w:rsidRPr="009B0118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B0118">
        <w:rPr>
          <w:b/>
          <w:bCs/>
          <w:sz w:val="22"/>
          <w:szCs w:val="22"/>
          <w:lang w:val="en-US"/>
        </w:rPr>
        <w:t>tablety</w:t>
      </w:r>
      <w:proofErr w:type="spellEnd"/>
    </w:p>
    <w:p w:rsidR="002D245A" w:rsidRPr="009B0118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r w:rsidRPr="009B0118">
        <w:rPr>
          <w:b/>
          <w:noProof/>
          <w:sz w:val="22"/>
          <w:szCs w:val="22"/>
          <w:lang w:val="en-GB" w:eastAsia="en-US"/>
        </w:rPr>
        <w:t xml:space="preserve">Abrea </w:t>
      </w:r>
      <w:r w:rsidRPr="009B0118">
        <w:rPr>
          <w:b/>
          <w:bCs/>
          <w:sz w:val="22"/>
          <w:szCs w:val="22"/>
          <w:lang w:val="en-US"/>
        </w:rPr>
        <w:t xml:space="preserve">160 mg </w:t>
      </w:r>
    </w:p>
    <w:p w:rsidR="006418DC" w:rsidRPr="00FA469B" w:rsidRDefault="006418DC" w:rsidP="006418DC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US"/>
        </w:rPr>
      </w:pPr>
      <w:proofErr w:type="spellStart"/>
      <w:proofErr w:type="gramStart"/>
      <w:r w:rsidRPr="009B0118">
        <w:rPr>
          <w:b/>
          <w:bCs/>
          <w:sz w:val="22"/>
          <w:szCs w:val="22"/>
          <w:lang w:val="en-US"/>
        </w:rPr>
        <w:t>gastrorezistentné</w:t>
      </w:r>
      <w:proofErr w:type="spellEnd"/>
      <w:proofErr w:type="gramEnd"/>
      <w:r w:rsidRPr="009B0118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9B0118">
        <w:rPr>
          <w:b/>
          <w:bCs/>
          <w:sz w:val="22"/>
          <w:szCs w:val="22"/>
          <w:lang w:val="en-US"/>
        </w:rPr>
        <w:t>tablety</w:t>
      </w:r>
      <w:proofErr w:type="spellEnd"/>
    </w:p>
    <w:p w:rsidR="006418DC" w:rsidRPr="00FA469B" w:rsidRDefault="006418DC" w:rsidP="006418DC">
      <w:pPr>
        <w:widowControl w:val="0"/>
        <w:tabs>
          <w:tab w:val="left" w:pos="567"/>
        </w:tabs>
        <w:jc w:val="center"/>
        <w:rPr>
          <w:iCs/>
          <w:sz w:val="22"/>
          <w:szCs w:val="22"/>
          <w:lang w:val="en-US" w:eastAsia="en-US"/>
        </w:rPr>
      </w:pPr>
    </w:p>
    <w:p w:rsidR="006418DC" w:rsidRPr="00FA469B" w:rsidRDefault="002D245A" w:rsidP="006418DC">
      <w:pPr>
        <w:numPr>
          <w:ilvl w:val="12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="006418DC" w:rsidRPr="00FA469B">
        <w:rPr>
          <w:sz w:val="22"/>
          <w:szCs w:val="22"/>
        </w:rPr>
        <w:t>yselina acetylsalicylová</w:t>
      </w:r>
    </w:p>
    <w:p w:rsidR="006418DC" w:rsidRPr="00FA469B" w:rsidRDefault="006418DC" w:rsidP="006418DC">
      <w:pPr>
        <w:widowControl w:val="0"/>
        <w:rPr>
          <w:sz w:val="22"/>
          <w:szCs w:val="22"/>
          <w:lang w:val="en-GB" w:eastAsia="en-US"/>
        </w:rPr>
      </w:pPr>
    </w:p>
    <w:p w:rsidR="006418DC" w:rsidRPr="00B419AB" w:rsidRDefault="006418DC" w:rsidP="006418DC">
      <w:pPr>
        <w:widowControl w:val="0"/>
        <w:rPr>
          <w:noProof/>
          <w:sz w:val="22"/>
          <w:szCs w:val="22"/>
          <w:lang w:val="en-GB" w:eastAsia="en-US"/>
        </w:rPr>
      </w:pPr>
      <w:r w:rsidRPr="00B419AB">
        <w:rPr>
          <w:b/>
          <w:sz w:val="22"/>
          <w:szCs w:val="22"/>
        </w:rPr>
        <w:t>Pozorne si prečítajte celú písomnú informáciu predtým, ako začnete užívať tento liek, pretože obsahuje pre vás dôležité informácie</w:t>
      </w:r>
      <w:r w:rsidRPr="00B419AB">
        <w:rPr>
          <w:b/>
          <w:noProof/>
          <w:sz w:val="22"/>
          <w:szCs w:val="22"/>
          <w:lang w:val="en-GB" w:eastAsia="en-US"/>
        </w:rPr>
        <w:t>.</w:t>
      </w:r>
    </w:p>
    <w:p w:rsidR="006418DC" w:rsidRPr="00B419AB" w:rsidRDefault="006418DC" w:rsidP="006418DC">
      <w:pPr>
        <w:widowControl w:val="0"/>
        <w:numPr>
          <w:ilvl w:val="0"/>
          <w:numId w:val="2"/>
        </w:numPr>
        <w:spacing w:line="260" w:lineRule="exact"/>
        <w:rPr>
          <w:noProof/>
          <w:sz w:val="22"/>
          <w:szCs w:val="22"/>
          <w:lang w:val="en-GB" w:eastAsia="en-US"/>
        </w:rPr>
      </w:pPr>
      <w:r w:rsidRPr="00B419AB">
        <w:rPr>
          <w:sz w:val="22"/>
          <w:szCs w:val="22"/>
        </w:rPr>
        <w:t>Túto písomnú informáciu si uschovajte. Možno bude potrebné, aby ste si ju znovu prečítali</w:t>
      </w:r>
      <w:r w:rsidRPr="00B419AB">
        <w:rPr>
          <w:noProof/>
          <w:sz w:val="22"/>
          <w:szCs w:val="22"/>
          <w:lang w:val="en-GB" w:eastAsia="en-US"/>
        </w:rPr>
        <w:t>.</w:t>
      </w:r>
    </w:p>
    <w:p w:rsidR="006418DC" w:rsidRPr="00B419AB" w:rsidRDefault="006418DC" w:rsidP="006418DC">
      <w:pPr>
        <w:widowControl w:val="0"/>
        <w:numPr>
          <w:ilvl w:val="0"/>
          <w:numId w:val="2"/>
        </w:numPr>
        <w:spacing w:line="260" w:lineRule="exact"/>
        <w:rPr>
          <w:noProof/>
          <w:sz w:val="22"/>
          <w:szCs w:val="22"/>
          <w:lang w:val="en-GB" w:eastAsia="en-US"/>
        </w:rPr>
      </w:pPr>
      <w:r w:rsidRPr="00B419AB">
        <w:rPr>
          <w:noProof/>
          <w:sz w:val="22"/>
          <w:szCs w:val="22"/>
          <w:lang w:val="en-GB" w:eastAsia="en-US"/>
        </w:rPr>
        <w:t>Ak máte akékoľvek ďalšie otázky, obráťte sa na svojho lekára alebo lekárnika.</w:t>
      </w:r>
    </w:p>
    <w:p w:rsidR="006418DC" w:rsidRPr="00B419AB" w:rsidRDefault="006418DC" w:rsidP="006418DC">
      <w:pPr>
        <w:widowControl w:val="0"/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noProof/>
          <w:sz w:val="22"/>
          <w:szCs w:val="22"/>
          <w:lang w:val="en-GB" w:eastAsia="en-US"/>
        </w:rPr>
      </w:pPr>
      <w:r w:rsidRPr="00B419AB">
        <w:rPr>
          <w:noProof/>
          <w:sz w:val="22"/>
          <w:szCs w:val="22"/>
          <w:lang w:val="en-GB" w:eastAsia="en-US"/>
        </w:rPr>
        <w:t>Tento liek bol predpísaný iba vám. Nedávajte ho nikomu inému. Môže mu uškodiť, dokonca aj vtedy, ak má rovnaké prejavy ochorenia ako vy.</w:t>
      </w:r>
    </w:p>
    <w:p w:rsidR="006418DC" w:rsidRPr="00FA469B" w:rsidRDefault="006418DC" w:rsidP="006418DC">
      <w:pPr>
        <w:widowControl w:val="0"/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noProof/>
          <w:sz w:val="22"/>
          <w:szCs w:val="22"/>
          <w:lang w:val="en-GB" w:eastAsia="en-US"/>
        </w:rPr>
      </w:pPr>
      <w:r w:rsidRPr="00B419AB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FA469B">
        <w:rPr>
          <w:sz w:val="22"/>
          <w:szCs w:val="22"/>
        </w:rPr>
        <w:t xml:space="preserve"> Pozri časť 4.</w:t>
      </w:r>
    </w:p>
    <w:p w:rsidR="006418DC" w:rsidRPr="00FA469B" w:rsidRDefault="006418DC" w:rsidP="006418DC">
      <w:pPr>
        <w:widowControl w:val="0"/>
        <w:rPr>
          <w:noProof/>
          <w:sz w:val="22"/>
          <w:szCs w:val="22"/>
          <w:highlight w:val="yellow"/>
          <w:lang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V tejto písomnej informácii sa dozviete</w:t>
      </w:r>
      <w:r>
        <w:rPr>
          <w:b/>
          <w:sz w:val="22"/>
          <w:szCs w:val="22"/>
          <w:lang w:val="en-GB" w:eastAsia="en-US"/>
        </w:rPr>
        <w:t>: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1.</w:t>
      </w:r>
      <w:r w:rsidRPr="00FA469B">
        <w:rPr>
          <w:sz w:val="22"/>
          <w:szCs w:val="22"/>
        </w:rPr>
        <w:tab/>
        <w:t>Čo je Abrea a na čo sa používa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2.</w:t>
      </w:r>
      <w:r w:rsidRPr="00FA469B">
        <w:rPr>
          <w:sz w:val="22"/>
          <w:szCs w:val="22"/>
        </w:rPr>
        <w:tab/>
        <w:t>Čo potrebujete vedieť predtým, ako užijete Abreu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3.</w:t>
      </w:r>
      <w:r w:rsidRPr="00FA469B">
        <w:rPr>
          <w:sz w:val="22"/>
          <w:szCs w:val="22"/>
        </w:rPr>
        <w:tab/>
        <w:t>Ako užívať Abreu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4.</w:t>
      </w:r>
      <w:r w:rsidRPr="00FA469B">
        <w:rPr>
          <w:sz w:val="22"/>
          <w:szCs w:val="22"/>
        </w:rPr>
        <w:tab/>
        <w:t>Možné vedľajšie účinky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5.</w:t>
      </w:r>
      <w:r w:rsidRPr="00FA469B">
        <w:rPr>
          <w:sz w:val="22"/>
          <w:szCs w:val="22"/>
        </w:rPr>
        <w:tab/>
        <w:t>Ako uchovávať Abreu</w:t>
      </w:r>
    </w:p>
    <w:p w:rsidR="006418DC" w:rsidRPr="00FA469B" w:rsidRDefault="006418DC" w:rsidP="006418DC">
      <w:p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6.</w:t>
      </w:r>
      <w:r w:rsidRPr="00FA469B">
        <w:rPr>
          <w:sz w:val="22"/>
          <w:szCs w:val="22"/>
        </w:rPr>
        <w:tab/>
        <w:t>Obsah balenia a ďalšie informácie</w:t>
      </w:r>
    </w:p>
    <w:p w:rsidR="006418DC" w:rsidRPr="00FA469B" w:rsidRDefault="006418DC" w:rsidP="006418DC">
      <w:pPr>
        <w:widowControl w:val="0"/>
        <w:tabs>
          <w:tab w:val="left" w:pos="567"/>
        </w:tabs>
        <w:ind w:left="567" w:right="-2" w:hanging="567"/>
        <w:outlineLvl w:val="0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1.</w:t>
      </w:r>
      <w:r w:rsidRPr="00FA469B">
        <w:rPr>
          <w:b/>
          <w:noProof/>
          <w:sz w:val="22"/>
          <w:szCs w:val="22"/>
          <w:lang w:val="en-GB" w:eastAsia="en-US"/>
        </w:rPr>
        <w:tab/>
      </w:r>
      <w:r w:rsidRPr="00FA469B">
        <w:rPr>
          <w:b/>
          <w:sz w:val="22"/>
          <w:szCs w:val="22"/>
        </w:rPr>
        <w:t>Čo je Abrea a </w:t>
      </w:r>
      <w:proofErr w:type="gramStart"/>
      <w:r w:rsidRPr="00FA469B">
        <w:rPr>
          <w:b/>
          <w:sz w:val="22"/>
          <w:szCs w:val="22"/>
        </w:rPr>
        <w:t>na</w:t>
      </w:r>
      <w:proofErr w:type="gramEnd"/>
      <w:r w:rsidRPr="00FA469B">
        <w:rPr>
          <w:b/>
          <w:sz w:val="22"/>
          <w:szCs w:val="22"/>
        </w:rPr>
        <w:t xml:space="preserve"> čo sa používa</w:t>
      </w:r>
      <w:r w:rsidRPr="00FA469B">
        <w:rPr>
          <w:b/>
          <w:noProof/>
          <w:sz w:val="22"/>
          <w:szCs w:val="22"/>
          <w:lang w:val="en-GB" w:eastAsia="en-US"/>
        </w:rPr>
        <w:t xml:space="preserve"> 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rPr>
          <w:noProof/>
          <w:sz w:val="22"/>
          <w:szCs w:val="22"/>
          <w:lang w:val="en-GB" w:eastAsia="en-US"/>
        </w:rPr>
      </w:pPr>
      <w:r w:rsidRPr="00FA469B">
        <w:rPr>
          <w:sz w:val="22"/>
          <w:szCs w:val="22"/>
        </w:rPr>
        <w:t>Abrea obsahuje kyselinu acetylsalicylovú, ktorá v malých dávkach patrí do skupiny liekov nazývaných antitrombotiká</w:t>
      </w:r>
      <w:r w:rsidR="006D075F">
        <w:rPr>
          <w:sz w:val="22"/>
          <w:szCs w:val="22"/>
        </w:rPr>
        <w:t xml:space="preserve"> (bránia</w:t>
      </w:r>
      <w:r w:rsidR="00614123">
        <w:rPr>
          <w:sz w:val="22"/>
          <w:szCs w:val="22"/>
        </w:rPr>
        <w:t xml:space="preserve"> zhlukovani</w:t>
      </w:r>
      <w:r w:rsidR="006D075F">
        <w:rPr>
          <w:sz w:val="22"/>
          <w:szCs w:val="22"/>
        </w:rPr>
        <w:t>u</w:t>
      </w:r>
      <w:r w:rsidR="00614123">
        <w:rPr>
          <w:sz w:val="22"/>
          <w:szCs w:val="22"/>
        </w:rPr>
        <w:t xml:space="preserve"> krvných doštičiek)</w:t>
      </w:r>
      <w:r w:rsidRPr="00FA469B">
        <w:rPr>
          <w:sz w:val="22"/>
          <w:szCs w:val="22"/>
        </w:rPr>
        <w:t>. Krvné doštičky sú drobné bunky v krvi, ktoré spôsobujú zrážanie krvi a sú súčasťou trombózy (zrážanie krvi v cievach). Keď sa v tepne objaví krvná zrazenina, zastaví sa prúdenie krvi a zamedzí sa prísun kyslíka. Keď sa to stane v srdci, môže to spôsobiť srdcový záchvat alebo srdcovú angínu; v mozgu to môže spôsobiť cievnu mozgovú príhodu (mŕtvicu).</w:t>
      </w:r>
    </w:p>
    <w:p w:rsidR="006418DC" w:rsidRPr="00FA469B" w:rsidRDefault="006418DC" w:rsidP="006418DC">
      <w:pPr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 xml:space="preserve">Abrea </w:t>
      </w:r>
      <w:r>
        <w:rPr>
          <w:sz w:val="22"/>
          <w:szCs w:val="22"/>
        </w:rPr>
        <w:t>sa p</w:t>
      </w:r>
      <w:r w:rsidRPr="00FA469B">
        <w:rPr>
          <w:sz w:val="22"/>
          <w:szCs w:val="22"/>
        </w:rPr>
        <w:t>oužíva sa na zníženie rizika tvorby krvných zrazenín, a tým sa následne predchádza: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srdcovým záchvatom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mŕtvici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srdcovo-cievnym problémom u pacientov, ktorí majú stabilnú alebo nestabilnú srdcovú angínu (druh bolesti na hrudníku).</w:t>
      </w:r>
    </w:p>
    <w:p w:rsidR="006418DC" w:rsidRPr="00FA469B" w:rsidRDefault="006418DC" w:rsidP="006418DC">
      <w:pPr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Abrea sa tiež používa na zamedzenie tvorby krvných zrazenín po určitých typoch operácií srdca s cieľom rozšíriť alebo odblokovať krvné cievy.</w:t>
      </w:r>
    </w:p>
    <w:p w:rsidR="006418DC" w:rsidRPr="00FA469B" w:rsidRDefault="006418DC" w:rsidP="006418DC">
      <w:pPr>
        <w:ind w:right="-2"/>
        <w:rPr>
          <w:sz w:val="22"/>
          <w:szCs w:val="22"/>
        </w:rPr>
      </w:pPr>
    </w:p>
    <w:p w:rsidR="006418DC" w:rsidRPr="00FA469B" w:rsidRDefault="006418DC" w:rsidP="006418DC">
      <w:p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Tento liek sa neodporúča na liečbu akútnych (náhlych) stavov. Môže sa používať len ako preventívna liečba.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FA469B" w:rsidRDefault="006418DC" w:rsidP="006418DC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2.</w:t>
      </w:r>
      <w:r w:rsidRPr="00FA469B">
        <w:rPr>
          <w:b/>
          <w:noProof/>
          <w:sz w:val="22"/>
          <w:szCs w:val="22"/>
          <w:lang w:val="en-GB" w:eastAsia="en-US"/>
        </w:rPr>
        <w:tab/>
      </w:r>
      <w:r w:rsidRPr="00FA469B">
        <w:rPr>
          <w:b/>
          <w:sz w:val="22"/>
          <w:szCs w:val="22"/>
        </w:rPr>
        <w:t>Čo potrebuje</w:t>
      </w:r>
      <w:r w:rsidR="00B41A41">
        <w:rPr>
          <w:b/>
          <w:sz w:val="22"/>
          <w:szCs w:val="22"/>
        </w:rPr>
        <w:t>te</w:t>
      </w:r>
      <w:r w:rsidRPr="00FA469B">
        <w:rPr>
          <w:b/>
          <w:sz w:val="22"/>
          <w:szCs w:val="22"/>
        </w:rPr>
        <w:t xml:space="preserve"> vedieť predtým, ako užijete Abreu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Neužívajte Abreu: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lastRenderedPageBreak/>
        <w:t>-</w:t>
      </w:r>
      <w:r w:rsidRPr="00FA469B">
        <w:rPr>
          <w:sz w:val="22"/>
          <w:szCs w:val="22"/>
        </w:rPr>
        <w:tab/>
        <w:t>ak ste alergický na kyselinu acetylsalicylovú alebo na ktorúkoľvek z ďalších zložiek tohto lieku (uvedených v časti 6).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ste alergický na iné salicyláty alebo nesteroidné protizápalové lieky (NSAID). NSAID sa často používajú na artritídu alebo reumatizmus a bolesť.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ste mali astmatický záchvat alebo opuch niektorých častí tela, napr. tváre, pier, hrdla alebo jazyka (angioedém) po užití salicylátov alebo NSAID.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momentálne máte alebo ste niekedy mali vredy vo vašom žalúdku alebo tenkom čreve alebo iný typ krvácania, ako je mŕtvica (krvácanie do mozgu).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ste niekedy mali problém, že sa správne nezrážala vaša krv.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máte závažné problémy s pečeňou alebo obličkami.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máte závažné problémy so srdcom, ktoré môžu spôsobiť dýchavičnosť alebo opuch členkov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ste v posledných 3 mesiacoch tehotenstva; nesmiete užívať dávky vyššie ako 100 mg na deň (pozri časť „Tehotenstvo a dojčenie“).</w:t>
      </w:r>
    </w:p>
    <w:p w:rsidR="006418DC" w:rsidRPr="00FA469B" w:rsidRDefault="006418DC" w:rsidP="006418D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ak užívate liek s liečivom nazývaným metotrexát (napr. ak máte nádor alebo reumatoidnú artritídu, zápalové ochorenie kĺbov) v dávkach vyšších než 15 mg za týždeň.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Upozornenia a opatrenia</w:t>
      </w:r>
      <w:r w:rsidRPr="00FA469B">
        <w:rPr>
          <w:b/>
          <w:noProof/>
          <w:sz w:val="22"/>
          <w:szCs w:val="22"/>
          <w:lang w:val="en-GB" w:eastAsia="en-US"/>
        </w:rPr>
        <w:t xml:space="preserve"> </w:t>
      </w:r>
    </w:p>
    <w:p w:rsidR="006418DC" w:rsidRPr="00FA469B" w:rsidRDefault="00322322" w:rsidP="006418DC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Predtým, ako začnete užívať Abreu, o</w:t>
      </w:r>
      <w:r w:rsidR="006418DC" w:rsidRPr="00FA469B">
        <w:rPr>
          <w:sz w:val="22"/>
          <w:szCs w:val="22"/>
        </w:rPr>
        <w:t>bráťte sa na svojho lekára</w:t>
      </w:r>
      <w:r>
        <w:rPr>
          <w:sz w:val="22"/>
          <w:szCs w:val="22"/>
        </w:rPr>
        <w:t xml:space="preserve"> alebo lekárnika</w:t>
      </w:r>
      <w:r w:rsidR="006418DC" w:rsidRPr="00FA469B">
        <w:rPr>
          <w:sz w:val="22"/>
          <w:szCs w:val="22"/>
        </w:rPr>
        <w:t>: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máte ťažkosti s vašimi obličkami, pečeňou alebo srdcom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máte alebo ste niekedy mali problémy s vaším žalúdkom alebo tenkým črevom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 xml:space="preserve">máte </w:t>
      </w:r>
      <w:r w:rsidR="00FC5217">
        <w:rPr>
          <w:sz w:val="22"/>
          <w:szCs w:val="22"/>
        </w:rPr>
        <w:t xml:space="preserve">nekontrolovaný </w:t>
      </w:r>
      <w:r w:rsidR="006418DC" w:rsidRPr="00FA469B">
        <w:rPr>
          <w:sz w:val="22"/>
          <w:szCs w:val="22"/>
        </w:rPr>
        <w:t>vysoký krvný tlak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ste astmatik, máte sennú nádchu, nosové polypy alebo iné chronické (pretrvávajúce) dýchacie ochorenia; kyselina acetylsalicylová môže vyvolať astmatický záchvat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ste niekedy mali dnu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máte silnú menštruáciu</w:t>
      </w:r>
    </w:p>
    <w:p w:rsidR="006418DC" w:rsidRPr="00FA469B" w:rsidRDefault="00322322" w:rsidP="006418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418DC" w:rsidRPr="00FA469B">
        <w:rPr>
          <w:sz w:val="22"/>
          <w:szCs w:val="22"/>
        </w:rPr>
        <w:t>máte nedostatok enzýmu glukóza-6-fosfátdehydrogenáza (G6PD)</w:t>
      </w:r>
    </w:p>
    <w:p w:rsidR="006418DC" w:rsidRPr="00FA469B" w:rsidRDefault="006418DC" w:rsidP="006418DC">
      <w:pPr>
        <w:numPr>
          <w:ilvl w:val="12"/>
          <w:numId w:val="0"/>
        </w:numPr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rPr>
          <w:sz w:val="22"/>
          <w:szCs w:val="22"/>
        </w:rPr>
      </w:pPr>
      <w:r w:rsidRPr="00FA469B">
        <w:rPr>
          <w:sz w:val="22"/>
          <w:szCs w:val="22"/>
        </w:rPr>
        <w:t xml:space="preserve">Okamžite musíte vyhľadať lekársku pomoc, ak sa vaše príznaky zhoršia alebo ak pocítite závažné alebo neočakávané vedľajšie účinky, napr. nezvyčajné príznaky krvácania, </w:t>
      </w:r>
      <w:r w:rsidR="00EF5449">
        <w:rPr>
          <w:sz w:val="22"/>
          <w:szCs w:val="22"/>
        </w:rPr>
        <w:t>závažn</w:t>
      </w:r>
      <w:r w:rsidRPr="00FA469B">
        <w:rPr>
          <w:sz w:val="22"/>
          <w:szCs w:val="22"/>
        </w:rPr>
        <w:t>é kožné reakcie alebo iný prejav silnej alergie (pozri časť „Možné vedľajšie účinky“).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</w:rPr>
      </w:pP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</w:rPr>
      </w:pPr>
      <w:r w:rsidRPr="00FA469B">
        <w:rPr>
          <w:sz w:val="22"/>
          <w:szCs w:val="22"/>
        </w:rPr>
        <w:t>Oznámte svojmu lekárovi, ak sa chystáte na operáciu (hoci aj malú ako je vytrhnutie zuba), pretože kyselina acetylsalicylová zrieďuje krv a môže zvyšovať riziko krvácania.</w:t>
      </w:r>
    </w:p>
    <w:p w:rsidR="006418DC" w:rsidRPr="00FA469B" w:rsidRDefault="006418DC" w:rsidP="006418DC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6418DC" w:rsidRPr="00FA469B" w:rsidRDefault="006418DC" w:rsidP="006418DC">
      <w:pPr>
        <w:numPr>
          <w:ilvl w:val="12"/>
          <w:numId w:val="0"/>
        </w:numPr>
        <w:rPr>
          <w:sz w:val="22"/>
          <w:szCs w:val="22"/>
        </w:rPr>
      </w:pPr>
      <w:r w:rsidRPr="00FA469B">
        <w:rPr>
          <w:sz w:val="22"/>
          <w:szCs w:val="22"/>
        </w:rPr>
        <w:t>Musíte dbať o to, aby ste neboli dehydratovaný (pocit smädu so suchými ústami), keďže súčasné užívanie kyseliny acetylsalicylovej môže spôsobiť zhoršenie funkcie obličiek.</w:t>
      </w:r>
    </w:p>
    <w:p w:rsidR="006418DC" w:rsidRPr="00FA469B" w:rsidRDefault="006418DC" w:rsidP="006418DC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6418DC" w:rsidRPr="00FA469B" w:rsidRDefault="006418DC" w:rsidP="006418DC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FA469B">
        <w:rPr>
          <w:sz w:val="22"/>
          <w:szCs w:val="22"/>
        </w:rPr>
        <w:t>Tento liek nie je vhodný ako liek proti bolesti alebo horúčke.</w:t>
      </w:r>
    </w:p>
    <w:p w:rsidR="006418DC" w:rsidRPr="00FA469B" w:rsidRDefault="006418DC" w:rsidP="006418DC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6418DC" w:rsidRPr="00FA469B" w:rsidRDefault="006418DC" w:rsidP="006418DC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FA469B">
        <w:rPr>
          <w:sz w:val="22"/>
          <w:szCs w:val="22"/>
        </w:rPr>
        <w:t>Ak sa vás týka niečo z vyššie uvedeného, alebo ak si niečím nie ste istý, obráťte sa na svojho lekára alebo lekárnika.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Deti a dospievajúci</w:t>
      </w:r>
    </w:p>
    <w:p w:rsidR="006418DC" w:rsidRPr="00FA469B" w:rsidRDefault="006418DC" w:rsidP="006418DC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  <w:r w:rsidRPr="00FA469B">
        <w:rPr>
          <w:sz w:val="22"/>
          <w:szCs w:val="22"/>
        </w:rPr>
        <w:t xml:space="preserve">Kyselina acetylsalicylová pri podávaní deťom môže vyvolať Reyeov syndróm. Reyeov syndróm je veľmi zriedkavé ochorenie, ktoré postihuje mozog a pečeň a môže ohrozovať život. Z tohto dôvodu sa Abrea nesmie podávať deťom a dospievajúcim </w:t>
      </w:r>
      <w:r w:rsidR="00B0157A">
        <w:rPr>
          <w:sz w:val="22"/>
          <w:szCs w:val="22"/>
        </w:rPr>
        <w:t>vo veku menej ako</w:t>
      </w:r>
      <w:r w:rsidRPr="00FA469B">
        <w:rPr>
          <w:sz w:val="22"/>
          <w:szCs w:val="22"/>
        </w:rPr>
        <w:t xml:space="preserve"> 16 rokov, pokiaľ tak neurčí lekár.</w:t>
      </w:r>
    </w:p>
    <w:p w:rsidR="006418DC" w:rsidRPr="00FA469B" w:rsidRDefault="006418DC" w:rsidP="006418DC">
      <w:pPr>
        <w:autoSpaceDE w:val="0"/>
        <w:autoSpaceDN w:val="0"/>
        <w:adjustRightInd w:val="0"/>
        <w:rPr>
          <w:bCs/>
          <w:sz w:val="22"/>
          <w:szCs w:val="22"/>
          <w:lang w:eastAsia="en-GB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Iné lieky a</w:t>
      </w:r>
      <w:r w:rsidRPr="00FA469B">
        <w:rPr>
          <w:b/>
          <w:noProof/>
          <w:sz w:val="22"/>
          <w:szCs w:val="22"/>
          <w:lang w:val="en-GB" w:eastAsia="en-US"/>
        </w:rPr>
        <w:t xml:space="preserve"> Abrea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FA469B">
        <w:rPr>
          <w:sz w:val="22"/>
          <w:szCs w:val="22"/>
        </w:rPr>
        <w:t>Ak teraz užívate alebo ste v poslednom čase užívali, či práve budete užívať</w:t>
      </w:r>
      <w:r w:rsidRPr="00FA469B">
        <w:rPr>
          <w:b/>
          <w:i/>
          <w:sz w:val="22"/>
          <w:szCs w:val="22"/>
        </w:rPr>
        <w:t xml:space="preserve"> </w:t>
      </w:r>
      <w:r w:rsidRPr="00FA469B">
        <w:rPr>
          <w:sz w:val="22"/>
          <w:szCs w:val="22"/>
        </w:rPr>
        <w:t>ďalšie lieky, povedzte to svojmu lekárovi alebo lekárnikovi.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eastAsia="en-US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Účinok liečby môže byť ovplyvnený, ak sa kyselina acetylsalicylová užíva súbežne s inými liekmi na: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zriedenie krvi/predchádzanie tvorby krvných zrazenín (napr. warfarín, heparín, klopidogrel, altepláza)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zamedzenie odvrhnutia orgán</w:t>
      </w:r>
      <w:r w:rsidR="000F6023">
        <w:rPr>
          <w:sz w:val="22"/>
          <w:szCs w:val="22"/>
        </w:rPr>
        <w:t>u</w:t>
      </w:r>
      <w:r w:rsidRPr="00FA469B">
        <w:rPr>
          <w:sz w:val="22"/>
          <w:szCs w:val="22"/>
        </w:rPr>
        <w:t xml:space="preserve"> po transplantácii (cyklosporín, takrolimus)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vysoký krvný tlak (napr. diuretiká a ACE inhibítory)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reguláciu srdcového rytmu (digoxín)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lastRenderedPageBreak/>
        <w:t>manicko-depresívne ochorenie (lítium)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bolesť a zápal (napr. NSAID ako je ibuprofen alebo steroidy)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dnu (napr. probenecid)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epilepsiu (valproát, fenytoín)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glaukóm (acetazolamid)</w:t>
      </w:r>
    </w:p>
    <w:p w:rsidR="006418DC" w:rsidRPr="00FA469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liečbu rakoviny alebo reumatoidnej artritídy (metotrexát v dávkach nižších než 15 mg za týždeň)</w:t>
      </w:r>
    </w:p>
    <w:p w:rsidR="006418DC" w:rsidRPr="00B419AB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cukrovku (napr. glibenklamid, inzulín)</w:t>
      </w:r>
    </w:p>
    <w:p w:rsidR="006418DC" w:rsidRPr="008576FE" w:rsidRDefault="006418DC" w:rsidP="006418DC">
      <w:pPr>
        <w:numPr>
          <w:ilvl w:val="0"/>
          <w:numId w:val="1"/>
        </w:numPr>
        <w:ind w:right="-2"/>
        <w:rPr>
          <w:sz w:val="22"/>
          <w:szCs w:val="22"/>
        </w:rPr>
      </w:pPr>
      <w:r w:rsidRPr="008576FE">
        <w:rPr>
          <w:sz w:val="22"/>
          <w:szCs w:val="22"/>
        </w:rPr>
        <w:t>depresiu (selektívne inhibítory spätného vychytávania s</w:t>
      </w:r>
      <w:r w:rsidR="00A43AD8" w:rsidRPr="008576FE">
        <w:rPr>
          <w:sz w:val="22"/>
          <w:szCs w:val="22"/>
        </w:rPr>
        <w:t>e</w:t>
      </w:r>
      <w:r w:rsidRPr="008576FE">
        <w:rPr>
          <w:sz w:val="22"/>
          <w:szCs w:val="22"/>
        </w:rPr>
        <w:t>rotonínu (SSRI) ako je sertralín alebo paroxetín)</w:t>
      </w:r>
    </w:p>
    <w:p w:rsidR="006418DC" w:rsidRPr="009B0118" w:rsidRDefault="006418DC" w:rsidP="006418DC">
      <w:pPr>
        <w:widowControl w:val="0"/>
        <w:numPr>
          <w:ilvl w:val="0"/>
          <w:numId w:val="1"/>
        </w:numPr>
        <w:ind w:right="-2"/>
        <w:outlineLvl w:val="0"/>
        <w:rPr>
          <w:b/>
          <w:noProof/>
          <w:sz w:val="22"/>
          <w:szCs w:val="22"/>
          <w:lang w:eastAsia="en-US"/>
        </w:rPr>
      </w:pPr>
      <w:r w:rsidRPr="008576FE">
        <w:rPr>
          <w:sz w:val="22"/>
          <w:szCs w:val="22"/>
        </w:rPr>
        <w:t>hormonálnu substitučnú liečbu, ak bola poškodená alebo odstránená nadoblička alebo podmozgová žľaza (hypofýza) alebo na liečbu zápalov vrátane reumatických ochorení a zápalu čriev (kortikosteroidy)</w:t>
      </w:r>
    </w:p>
    <w:p w:rsidR="006418DC" w:rsidRPr="009B0118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FA469B">
        <w:rPr>
          <w:b/>
          <w:noProof/>
          <w:sz w:val="22"/>
          <w:szCs w:val="22"/>
        </w:rPr>
        <w:t xml:space="preserve">Abrea </w:t>
      </w:r>
      <w:r w:rsidRPr="00FA469B">
        <w:rPr>
          <w:b/>
          <w:sz w:val="22"/>
          <w:szCs w:val="22"/>
        </w:rPr>
        <w:t>a jedlo, nápoje a alkohol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 xml:space="preserve">Požívanie alkoholu pravdepodobne môže zvýšiť riziko žalúdočno-črevného krvácania a predĺžiť čas krvácania. 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FA469B">
        <w:rPr>
          <w:b/>
          <w:noProof/>
          <w:sz w:val="22"/>
          <w:szCs w:val="22"/>
        </w:rPr>
        <w:t>Tehotenstvo, dojčenie a plodnosť</w:t>
      </w:r>
    </w:p>
    <w:p w:rsidR="006418DC" w:rsidRPr="00FA469B" w:rsidRDefault="006418DC" w:rsidP="006418DC">
      <w:pPr>
        <w:numPr>
          <w:ilvl w:val="12"/>
          <w:numId w:val="0"/>
        </w:numPr>
        <w:rPr>
          <w:sz w:val="22"/>
          <w:szCs w:val="22"/>
        </w:rPr>
      </w:pPr>
      <w:r w:rsidRPr="00FA469B">
        <w:rPr>
          <w:sz w:val="22"/>
          <w:szCs w:val="22"/>
        </w:rPr>
        <w:t>Ak ste tehotná alebo dojčíte, ak si myslíte, že ste tehotná alebo ak plánujete otehotnieť, poraďte sa so</w:t>
      </w:r>
      <w:r w:rsidR="002B5A30">
        <w:rPr>
          <w:sz w:val="22"/>
          <w:szCs w:val="22"/>
        </w:rPr>
        <w:t> </w:t>
      </w:r>
      <w:r w:rsidRPr="00FA469B">
        <w:rPr>
          <w:sz w:val="22"/>
          <w:szCs w:val="22"/>
        </w:rPr>
        <w:t>svojím lekárom alebo lekárnikom predtým, ako začnete užívať tento liek.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rPr>
          <w:sz w:val="22"/>
          <w:szCs w:val="22"/>
        </w:rPr>
      </w:pPr>
      <w:r w:rsidRPr="00FA469B">
        <w:rPr>
          <w:sz w:val="22"/>
          <w:szCs w:val="22"/>
        </w:rPr>
        <w:t>Tehotné ženy nesmú užívať kyselinu acetylsalicylovú počas tehotenstva, pokiaľ tak neurčí lekár. Nesmiete užívať Abreu, ak ste v posledných 3 mesiacoch tehotenstva, pokiaľ vám to nepovie váš lekár a ani vtedy denná dávka nesmie presiahnuť 100 mg (pozri časť „Neužívajte Abreu“). Určené alebo vyššie dávky tohto lieku v neskorom štádiu tehotenstva môžu vyvolať závažné komplikácie u matky alebo u dieťaťa.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en-US"/>
        </w:rPr>
      </w:pPr>
      <w:r w:rsidRPr="00FA469B">
        <w:rPr>
          <w:sz w:val="22"/>
          <w:szCs w:val="22"/>
        </w:rPr>
        <w:t>Dojčiace ženy nesmú užívať kyselinu acetylsalicylovú, pokiaľ tak neurčí ich lekár</w:t>
      </w:r>
      <w:r>
        <w:rPr>
          <w:sz w:val="22"/>
          <w:szCs w:val="22"/>
        </w:rPr>
        <w:t>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eastAsia="en-US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b/>
          <w:sz w:val="22"/>
          <w:szCs w:val="22"/>
        </w:rPr>
        <w:t>Vedenie vozidiel a obsluha strojov</w:t>
      </w:r>
      <w:r w:rsidRPr="00FA469B">
        <w:rPr>
          <w:sz w:val="22"/>
          <w:szCs w:val="22"/>
        </w:rPr>
        <w:t xml:space="preserve"> 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sz w:val="22"/>
          <w:szCs w:val="22"/>
        </w:rPr>
        <w:t>Abrea nem</w:t>
      </w:r>
      <w:r w:rsidR="00846D4F">
        <w:rPr>
          <w:sz w:val="22"/>
          <w:szCs w:val="22"/>
        </w:rPr>
        <w:t>á</w:t>
      </w:r>
      <w:r w:rsidRPr="00FA469B">
        <w:rPr>
          <w:sz w:val="22"/>
          <w:szCs w:val="22"/>
        </w:rPr>
        <w:t xml:space="preserve"> mať vplyv na vedenie vozidiel a obsluhu strojov.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Abrea obsahuje laktózu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 xml:space="preserve">Ak </w:t>
      </w:r>
      <w:r w:rsidR="0086433E">
        <w:rPr>
          <w:sz w:val="22"/>
          <w:szCs w:val="22"/>
        </w:rPr>
        <w:t>v</w:t>
      </w:r>
      <w:r w:rsidRPr="00FA469B">
        <w:rPr>
          <w:sz w:val="22"/>
          <w:szCs w:val="22"/>
        </w:rPr>
        <w:t xml:space="preserve">ám </w:t>
      </w:r>
      <w:r w:rsidR="0086433E">
        <w:rPr>
          <w:sz w:val="22"/>
          <w:szCs w:val="22"/>
        </w:rPr>
        <w:t>v</w:t>
      </w:r>
      <w:r w:rsidRPr="00FA469B">
        <w:rPr>
          <w:sz w:val="22"/>
          <w:szCs w:val="22"/>
        </w:rPr>
        <w:t xml:space="preserve">áš lekár povedal, že </w:t>
      </w:r>
      <w:r w:rsidR="0086433E">
        <w:rPr>
          <w:sz w:val="22"/>
          <w:szCs w:val="22"/>
        </w:rPr>
        <w:t>neznášate</w:t>
      </w:r>
      <w:r w:rsidRPr="00FA469B">
        <w:rPr>
          <w:sz w:val="22"/>
          <w:szCs w:val="22"/>
        </w:rPr>
        <w:t xml:space="preserve"> niektoré cukry, </w:t>
      </w:r>
      <w:r w:rsidR="0086433E">
        <w:rPr>
          <w:sz w:val="22"/>
          <w:szCs w:val="22"/>
        </w:rPr>
        <w:t>kontaktuj</w:t>
      </w:r>
      <w:r w:rsidRPr="00FA469B">
        <w:rPr>
          <w:sz w:val="22"/>
          <w:szCs w:val="22"/>
        </w:rPr>
        <w:t xml:space="preserve">te </w:t>
      </w:r>
      <w:r w:rsidR="0086433E">
        <w:rPr>
          <w:sz w:val="22"/>
          <w:szCs w:val="22"/>
        </w:rPr>
        <w:t xml:space="preserve">svojho </w:t>
      </w:r>
      <w:r w:rsidRPr="00FA469B">
        <w:rPr>
          <w:sz w:val="22"/>
          <w:szCs w:val="22"/>
        </w:rPr>
        <w:t>lekára pred už</w:t>
      </w:r>
      <w:r w:rsidR="0086433E">
        <w:rPr>
          <w:sz w:val="22"/>
          <w:szCs w:val="22"/>
        </w:rPr>
        <w:t>itím</w:t>
      </w:r>
      <w:r w:rsidRPr="00FA469B">
        <w:rPr>
          <w:sz w:val="22"/>
          <w:szCs w:val="22"/>
        </w:rPr>
        <w:t xml:space="preserve"> tohto lieku. 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8576FE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gramStart"/>
      <w:r w:rsidRPr="009B0118">
        <w:rPr>
          <w:b/>
          <w:noProof/>
          <w:sz w:val="22"/>
          <w:szCs w:val="22"/>
          <w:lang w:val="en-GB" w:eastAsia="en-US"/>
        </w:rPr>
        <w:t xml:space="preserve">Abrea </w:t>
      </w:r>
      <w:r w:rsidRPr="009B0118">
        <w:rPr>
          <w:b/>
          <w:sz w:val="22"/>
          <w:szCs w:val="22"/>
        </w:rPr>
        <w:t xml:space="preserve">75 mg obsahuje oranžovú žlť (E110), </w:t>
      </w:r>
      <w:r w:rsidRPr="009B0118">
        <w:rPr>
          <w:sz w:val="22"/>
          <w:szCs w:val="22"/>
        </w:rPr>
        <w:t>ktorá môže spôsobiť alergick</w:t>
      </w:r>
      <w:r w:rsidR="00125189">
        <w:rPr>
          <w:sz w:val="22"/>
          <w:szCs w:val="22"/>
        </w:rPr>
        <w:t>ú</w:t>
      </w:r>
      <w:r w:rsidRPr="009B0118">
        <w:rPr>
          <w:sz w:val="22"/>
          <w:szCs w:val="22"/>
        </w:rPr>
        <w:t xml:space="preserve"> reakci</w:t>
      </w:r>
      <w:r w:rsidR="00125189">
        <w:rPr>
          <w:sz w:val="22"/>
          <w:szCs w:val="22"/>
        </w:rPr>
        <w:t>u</w:t>
      </w:r>
      <w:r w:rsidRPr="009B0118">
        <w:rPr>
          <w:sz w:val="22"/>
          <w:szCs w:val="22"/>
        </w:rPr>
        <w:t>.</w:t>
      </w:r>
      <w:proofErr w:type="gramEnd"/>
      <w:r w:rsidRPr="009B0118">
        <w:rPr>
          <w:b/>
          <w:sz w:val="22"/>
          <w:szCs w:val="22"/>
        </w:rPr>
        <w:t xml:space="preserve"> </w:t>
      </w:r>
    </w:p>
    <w:p w:rsidR="006418DC" w:rsidRPr="008576FE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9B0118" w:rsidRDefault="006418DC" w:rsidP="006418D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B0118">
        <w:rPr>
          <w:b/>
          <w:noProof/>
          <w:sz w:val="22"/>
          <w:szCs w:val="22"/>
          <w:lang w:val="en-GB" w:eastAsia="en-US"/>
        </w:rPr>
        <w:t xml:space="preserve">Abrea </w:t>
      </w:r>
      <w:r w:rsidRPr="009B0118">
        <w:rPr>
          <w:b/>
          <w:sz w:val="22"/>
          <w:szCs w:val="22"/>
        </w:rPr>
        <w:t>160 mg obsahuje lecitín (sójový) (E322)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B0118">
        <w:rPr>
          <w:sz w:val="22"/>
          <w:szCs w:val="22"/>
        </w:rPr>
        <w:t>Ak ste alergický na arašidy alebo sóju, neužívajte tento liek.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FA469B" w:rsidRDefault="006418DC" w:rsidP="006418DC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3.</w:t>
      </w:r>
      <w:r w:rsidRPr="00FA469B">
        <w:rPr>
          <w:b/>
          <w:noProof/>
          <w:sz w:val="22"/>
          <w:szCs w:val="22"/>
          <w:lang w:val="en-GB" w:eastAsia="en-US"/>
        </w:rPr>
        <w:tab/>
        <w:t>Ako užívať Abreu</w:t>
      </w:r>
    </w:p>
    <w:p w:rsidR="006418DC" w:rsidRPr="00FA469B" w:rsidRDefault="006418DC" w:rsidP="006418DC">
      <w:pPr>
        <w:widowControl w:val="0"/>
        <w:ind w:right="-2"/>
        <w:rPr>
          <w:noProof/>
          <w:sz w:val="22"/>
          <w:szCs w:val="22"/>
          <w:lang w:val="en-GB" w:eastAsia="en-US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 xml:space="preserve">Vždy užívajte tento liek presne tak, ako vám povedal váš lekár alebo lekárnik. Ak si nie ste niečím istý, overte to u svojho lekára alebo lekárnika. 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Dospelí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Prevencia srdcových infarktov: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-</w:t>
      </w:r>
      <w:r w:rsidRPr="00B419AB">
        <w:rPr>
          <w:sz w:val="22"/>
          <w:szCs w:val="22"/>
        </w:rPr>
        <w:tab/>
        <w:t>Odporúčaná dávka je 75</w:t>
      </w:r>
      <w:r w:rsidR="004A271D">
        <w:rPr>
          <w:sz w:val="22"/>
          <w:szCs w:val="22"/>
        </w:rPr>
        <w:t xml:space="preserve"> – </w:t>
      </w:r>
      <w:r w:rsidRPr="00B419AB">
        <w:rPr>
          <w:sz w:val="22"/>
          <w:szCs w:val="22"/>
        </w:rPr>
        <w:t>160 mg jedenkrát denne.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Prevencia cievnej mozgovej príhody: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-</w:t>
      </w:r>
      <w:r w:rsidRPr="00B419AB">
        <w:rPr>
          <w:sz w:val="22"/>
          <w:szCs w:val="22"/>
        </w:rPr>
        <w:tab/>
        <w:t>Odporúčaná dávka je 75</w:t>
      </w:r>
      <w:r w:rsidR="004A271D">
        <w:rPr>
          <w:sz w:val="22"/>
          <w:szCs w:val="22"/>
        </w:rPr>
        <w:t xml:space="preserve"> – </w:t>
      </w:r>
      <w:r w:rsidRPr="00B419AB">
        <w:rPr>
          <w:sz w:val="22"/>
          <w:szCs w:val="22"/>
        </w:rPr>
        <w:t>325 mg jedenkrát denne.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Prevencia srdcovo-cievnych problémov u pacientov so stabilnou alebo nestabilnou srdcovou angínou (druh bolesti na hrudníku):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lastRenderedPageBreak/>
        <w:t>-</w:t>
      </w:r>
      <w:r w:rsidRPr="00B419AB">
        <w:rPr>
          <w:sz w:val="22"/>
          <w:szCs w:val="22"/>
        </w:rPr>
        <w:tab/>
        <w:t>Odporúčaná dávka je 75</w:t>
      </w:r>
      <w:r w:rsidR="004A271D">
        <w:rPr>
          <w:sz w:val="22"/>
          <w:szCs w:val="22"/>
        </w:rPr>
        <w:t xml:space="preserve"> – </w:t>
      </w:r>
      <w:r w:rsidRPr="00B419AB">
        <w:rPr>
          <w:sz w:val="22"/>
          <w:szCs w:val="22"/>
        </w:rPr>
        <w:t>160 mg jedenkrát denne.</w:t>
      </w: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B419A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Prevencia tvorby krvných zrazenín po určitých typoch operácie srdca: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19AB">
        <w:rPr>
          <w:sz w:val="22"/>
          <w:szCs w:val="22"/>
        </w:rPr>
        <w:t>-</w:t>
      </w:r>
      <w:r w:rsidRPr="00B419AB">
        <w:rPr>
          <w:sz w:val="22"/>
          <w:szCs w:val="22"/>
        </w:rPr>
        <w:tab/>
        <w:t>Odporúčaná dávka je 75</w:t>
      </w:r>
      <w:r w:rsidR="004A271D">
        <w:rPr>
          <w:sz w:val="22"/>
          <w:szCs w:val="22"/>
        </w:rPr>
        <w:t xml:space="preserve"> – </w:t>
      </w:r>
      <w:r w:rsidRPr="00B419AB">
        <w:rPr>
          <w:sz w:val="22"/>
          <w:szCs w:val="22"/>
        </w:rPr>
        <w:t>160 mg jedenkrát denne.</w:t>
      </w:r>
    </w:p>
    <w:p w:rsidR="006418DC" w:rsidRPr="00FA469B" w:rsidRDefault="006418DC" w:rsidP="006418DC">
      <w:pPr>
        <w:rPr>
          <w:sz w:val="22"/>
          <w:szCs w:val="22"/>
        </w:rPr>
      </w:pPr>
    </w:p>
    <w:p w:rsidR="003835A1" w:rsidRPr="00347946" w:rsidRDefault="003835A1" w:rsidP="003835A1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Pr="00347946">
        <w:rPr>
          <w:sz w:val="22"/>
          <w:szCs w:val="22"/>
        </w:rPr>
        <w:t xml:space="preserve"> sa nesmie užívať vo vyšších dávkach, pokiaľ tak neurčí lekár a predpí</w:t>
      </w:r>
      <w:r w:rsidR="00BB6280">
        <w:rPr>
          <w:sz w:val="22"/>
          <w:szCs w:val="22"/>
        </w:rPr>
        <w:t>saná dávka nesmie presiahnuť 325</w:t>
      </w:r>
      <w:r w:rsidRPr="00347946">
        <w:rPr>
          <w:sz w:val="22"/>
          <w:szCs w:val="22"/>
        </w:rPr>
        <w:t xml:space="preserve"> mg denne.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FA469B" w:rsidRDefault="006418DC" w:rsidP="006418DC">
      <w:pPr>
        <w:pStyle w:val="Zarkazkladnhotextu"/>
        <w:spacing w:after="0"/>
        <w:ind w:left="0"/>
        <w:rPr>
          <w:spacing w:val="-3"/>
          <w:sz w:val="22"/>
          <w:szCs w:val="22"/>
          <w:u w:val="single"/>
          <w:lang w:val="sk-SK"/>
        </w:rPr>
      </w:pPr>
      <w:r w:rsidRPr="00FA469B">
        <w:rPr>
          <w:spacing w:val="-3"/>
          <w:sz w:val="22"/>
          <w:szCs w:val="22"/>
          <w:u w:val="single"/>
          <w:lang w:val="sk-SK"/>
        </w:rPr>
        <w:t>Starší pacienti</w:t>
      </w:r>
    </w:p>
    <w:p w:rsidR="006418DC" w:rsidRPr="00FA469B" w:rsidRDefault="00920C62" w:rsidP="006418DC">
      <w:pPr>
        <w:pStyle w:val="Zarkazkladnhotextu"/>
        <w:spacing w:after="0"/>
        <w:ind w:left="0"/>
        <w:rPr>
          <w:spacing w:val="-3"/>
          <w:sz w:val="22"/>
          <w:szCs w:val="22"/>
          <w:lang w:val="sk-SK"/>
        </w:rPr>
      </w:pPr>
      <w:r>
        <w:rPr>
          <w:spacing w:val="-3"/>
          <w:sz w:val="22"/>
          <w:szCs w:val="22"/>
          <w:lang w:val="sk-SK"/>
        </w:rPr>
        <w:t>D</w:t>
      </w:r>
      <w:r w:rsidR="006418DC" w:rsidRPr="00FA469B">
        <w:rPr>
          <w:spacing w:val="-3"/>
          <w:sz w:val="22"/>
          <w:szCs w:val="22"/>
          <w:lang w:val="sk-SK"/>
        </w:rPr>
        <w:t xml:space="preserve">ávkovanie ako u dospelých. Kyselina </w:t>
      </w:r>
      <w:proofErr w:type="spellStart"/>
      <w:r w:rsidR="006418DC" w:rsidRPr="00FA469B">
        <w:rPr>
          <w:spacing w:val="-3"/>
          <w:sz w:val="22"/>
          <w:szCs w:val="22"/>
          <w:lang w:val="sk-SK"/>
        </w:rPr>
        <w:t>acetylsalicylová</w:t>
      </w:r>
      <w:proofErr w:type="spellEnd"/>
      <w:r w:rsidR="006418DC" w:rsidRPr="00FA469B">
        <w:rPr>
          <w:spacing w:val="-3"/>
          <w:sz w:val="22"/>
          <w:szCs w:val="22"/>
          <w:lang w:val="sk-SK"/>
        </w:rPr>
        <w:t xml:space="preserve"> sa u starších pacientov, ktorí sú náchylnejší na</w:t>
      </w:r>
      <w:r w:rsidR="00E85EBF">
        <w:rPr>
          <w:spacing w:val="-3"/>
          <w:sz w:val="22"/>
          <w:szCs w:val="22"/>
          <w:lang w:val="sk-SK"/>
        </w:rPr>
        <w:t> </w:t>
      </w:r>
      <w:r w:rsidR="006418DC" w:rsidRPr="00FA469B">
        <w:rPr>
          <w:spacing w:val="-3"/>
          <w:sz w:val="22"/>
          <w:szCs w:val="22"/>
          <w:lang w:val="sk-SK"/>
        </w:rPr>
        <w:t>nežiaduce udalosti,  spravidla má používať s opatrnosťou. Liečba sa má prehodnocovať v pravidelných intervaloch.</w:t>
      </w:r>
    </w:p>
    <w:p w:rsidR="006418DC" w:rsidRPr="00FA469B" w:rsidRDefault="006418DC" w:rsidP="006418DC">
      <w:pPr>
        <w:rPr>
          <w:spacing w:val="-5"/>
          <w:sz w:val="22"/>
          <w:szCs w:val="22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FA469B">
        <w:rPr>
          <w:b/>
          <w:bCs/>
          <w:sz w:val="22"/>
          <w:szCs w:val="22"/>
        </w:rPr>
        <w:t xml:space="preserve">Použitie u detí a dospievajúcich </w:t>
      </w:r>
    </w:p>
    <w:p w:rsidR="006418DC" w:rsidRPr="00FA469B" w:rsidRDefault="006418DC" w:rsidP="006418DC">
      <w:pPr>
        <w:rPr>
          <w:sz w:val="22"/>
          <w:szCs w:val="22"/>
        </w:rPr>
      </w:pPr>
      <w:r w:rsidRPr="00FA469B">
        <w:rPr>
          <w:spacing w:val="-3"/>
          <w:sz w:val="22"/>
          <w:szCs w:val="22"/>
        </w:rPr>
        <w:t xml:space="preserve">Kyselina acetylsalicylová sa nesmie podávať deťom a dospievajúcim </w:t>
      </w:r>
      <w:r w:rsidR="00F90430">
        <w:rPr>
          <w:spacing w:val="-3"/>
          <w:sz w:val="22"/>
          <w:szCs w:val="22"/>
        </w:rPr>
        <w:t>vo veku menej ako</w:t>
      </w:r>
      <w:r w:rsidRPr="00FA469B">
        <w:rPr>
          <w:spacing w:val="-3"/>
          <w:sz w:val="22"/>
          <w:szCs w:val="22"/>
        </w:rPr>
        <w:t xml:space="preserve"> 16 rokov, iba v prípade, ak liek predpíše lekár (pozri časť</w:t>
      </w:r>
      <w:r w:rsidR="00536798">
        <w:rPr>
          <w:spacing w:val="-3"/>
          <w:sz w:val="22"/>
          <w:szCs w:val="22"/>
        </w:rPr>
        <w:t xml:space="preserve"> </w:t>
      </w:r>
      <w:r w:rsidRPr="00FA469B">
        <w:rPr>
          <w:spacing w:val="-3"/>
          <w:sz w:val="22"/>
          <w:szCs w:val="22"/>
        </w:rPr>
        <w:t>2 „</w:t>
      </w:r>
      <w:r w:rsidR="00536798">
        <w:rPr>
          <w:spacing w:val="-3"/>
          <w:sz w:val="22"/>
          <w:szCs w:val="22"/>
        </w:rPr>
        <w:t>Upozornenia a opatrenia</w:t>
      </w:r>
      <w:r w:rsidRPr="00FA469B">
        <w:rPr>
          <w:sz w:val="22"/>
          <w:szCs w:val="22"/>
        </w:rPr>
        <w:t>“).</w:t>
      </w:r>
    </w:p>
    <w:p w:rsidR="006418DC" w:rsidRPr="00FA469B" w:rsidRDefault="006418DC" w:rsidP="006418DC">
      <w:pPr>
        <w:rPr>
          <w:spacing w:val="-5"/>
          <w:sz w:val="22"/>
          <w:szCs w:val="22"/>
        </w:rPr>
      </w:pPr>
    </w:p>
    <w:p w:rsidR="006418DC" w:rsidRPr="00FA469B" w:rsidRDefault="006418DC" w:rsidP="006418DC">
      <w:pPr>
        <w:rPr>
          <w:spacing w:val="-5"/>
          <w:sz w:val="22"/>
          <w:szCs w:val="22"/>
          <w:u w:val="single"/>
        </w:rPr>
      </w:pPr>
      <w:r w:rsidRPr="00FA469B">
        <w:rPr>
          <w:spacing w:val="-3"/>
          <w:sz w:val="22"/>
          <w:szCs w:val="22"/>
          <w:u w:val="single"/>
          <w:lang w:val="sk-SK"/>
        </w:rPr>
        <w:t>Spôsob podávania</w:t>
      </w:r>
      <w:r w:rsidRPr="00FA469B">
        <w:rPr>
          <w:spacing w:val="-5"/>
          <w:sz w:val="22"/>
          <w:szCs w:val="22"/>
          <w:u w:val="single"/>
        </w:rPr>
        <w:t xml:space="preserve"> </w:t>
      </w:r>
    </w:p>
    <w:p w:rsidR="006418DC" w:rsidRPr="00FA469B" w:rsidRDefault="006418DC" w:rsidP="006418DC">
      <w:pPr>
        <w:rPr>
          <w:spacing w:val="-5"/>
          <w:sz w:val="22"/>
          <w:szCs w:val="22"/>
        </w:rPr>
      </w:pPr>
      <w:r w:rsidRPr="00FA469B">
        <w:rPr>
          <w:spacing w:val="-5"/>
          <w:sz w:val="22"/>
          <w:szCs w:val="22"/>
        </w:rPr>
        <w:t xml:space="preserve">Na </w:t>
      </w:r>
      <w:r w:rsidR="00502C20">
        <w:rPr>
          <w:spacing w:val="-5"/>
          <w:sz w:val="22"/>
          <w:szCs w:val="22"/>
        </w:rPr>
        <w:t>perorálne</w:t>
      </w:r>
      <w:r w:rsidRPr="00FA469B">
        <w:rPr>
          <w:spacing w:val="-5"/>
          <w:sz w:val="22"/>
          <w:szCs w:val="22"/>
        </w:rPr>
        <w:t xml:space="preserve"> použitie</w:t>
      </w:r>
      <w:r w:rsidR="00502C20">
        <w:rPr>
          <w:spacing w:val="-5"/>
          <w:sz w:val="22"/>
          <w:szCs w:val="22"/>
        </w:rPr>
        <w:t xml:space="preserve"> (</w:t>
      </w:r>
      <w:r w:rsidR="00F60D74">
        <w:rPr>
          <w:spacing w:val="-5"/>
          <w:sz w:val="22"/>
          <w:szCs w:val="22"/>
        </w:rPr>
        <w:t xml:space="preserve">podanie </w:t>
      </w:r>
      <w:r w:rsidR="00502C20">
        <w:rPr>
          <w:spacing w:val="-5"/>
          <w:sz w:val="22"/>
          <w:szCs w:val="22"/>
        </w:rPr>
        <w:t>ústami)</w:t>
      </w:r>
      <w:r w:rsidRPr="00FA469B">
        <w:rPr>
          <w:spacing w:val="-5"/>
          <w:sz w:val="22"/>
          <w:szCs w:val="22"/>
        </w:rPr>
        <w:t>.</w:t>
      </w:r>
    </w:p>
    <w:p w:rsidR="006418DC" w:rsidRPr="00FA469B" w:rsidRDefault="006418DC" w:rsidP="006418DC">
      <w:pPr>
        <w:pStyle w:val="Zarkazkladnhotextu"/>
        <w:spacing w:after="0"/>
        <w:ind w:left="0"/>
        <w:rPr>
          <w:spacing w:val="-3"/>
          <w:sz w:val="22"/>
          <w:szCs w:val="22"/>
          <w:lang w:val="sk-SK"/>
        </w:rPr>
      </w:pPr>
      <w:bookmarkStart w:id="0" w:name="OLE_LINK1"/>
      <w:bookmarkStart w:id="1" w:name="OLE_LINK2"/>
      <w:r w:rsidRPr="00FA469B">
        <w:rPr>
          <w:spacing w:val="-3"/>
          <w:sz w:val="22"/>
          <w:szCs w:val="22"/>
          <w:lang w:val="sk-SK"/>
        </w:rPr>
        <w:t xml:space="preserve">Tablety sa majú prehltnúť celé a zapiť dostatočným množstvom tekutiny (1/2 pohára vody). Tablety majú </w:t>
      </w:r>
      <w:proofErr w:type="spellStart"/>
      <w:r w:rsidRPr="00FA469B">
        <w:rPr>
          <w:spacing w:val="-3"/>
          <w:sz w:val="22"/>
          <w:szCs w:val="22"/>
          <w:lang w:val="sk-SK"/>
        </w:rPr>
        <w:t>gastrorezistentný</w:t>
      </w:r>
      <w:proofErr w:type="spellEnd"/>
      <w:r w:rsidRPr="00FA469B">
        <w:rPr>
          <w:spacing w:val="-3"/>
          <w:sz w:val="22"/>
          <w:szCs w:val="22"/>
          <w:lang w:val="sk-SK"/>
        </w:rPr>
        <w:t xml:space="preserve"> obal, ktorý zamedzuje dráždiacim účinkom na črevá, a preto sa nesmú drviť, lámať ani hrýzť.</w:t>
      </w:r>
    </w:p>
    <w:bookmarkEnd w:id="0"/>
    <w:bookmarkEnd w:id="1"/>
    <w:p w:rsidR="006418DC" w:rsidRPr="00FA469B" w:rsidRDefault="006418DC" w:rsidP="006418DC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FA469B">
        <w:rPr>
          <w:b/>
          <w:sz w:val="22"/>
          <w:szCs w:val="22"/>
        </w:rPr>
        <w:t>Ak užijete viac</w:t>
      </w:r>
      <w:r w:rsidR="009549AB">
        <w:rPr>
          <w:b/>
          <w:sz w:val="22"/>
          <w:szCs w:val="22"/>
        </w:rPr>
        <w:t xml:space="preserve"> </w:t>
      </w:r>
      <w:r w:rsidRPr="00FA469B">
        <w:rPr>
          <w:b/>
          <w:sz w:val="22"/>
          <w:szCs w:val="22"/>
        </w:rPr>
        <w:t>Abre</w:t>
      </w:r>
      <w:r w:rsidR="009549AB">
        <w:rPr>
          <w:b/>
          <w:sz w:val="22"/>
          <w:szCs w:val="22"/>
        </w:rPr>
        <w:t>y</w:t>
      </w:r>
      <w:r w:rsidRPr="00FA469B">
        <w:rPr>
          <w:b/>
          <w:sz w:val="22"/>
          <w:szCs w:val="22"/>
        </w:rPr>
        <w:t>, ako máte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sz w:val="22"/>
          <w:szCs w:val="22"/>
        </w:rPr>
        <w:t xml:space="preserve">Ak vy (alebo niekto iný) omylom užijete priveľa tabliet, okamžite to musíte povedať svojmu lekárovi alebo hneď vyhľadať najbližšiu pohotovosť. Lekárovi ukážte </w:t>
      </w:r>
      <w:r w:rsidR="006158B6">
        <w:rPr>
          <w:sz w:val="22"/>
          <w:szCs w:val="22"/>
        </w:rPr>
        <w:t>zvyšné množstvo lieku</w:t>
      </w:r>
      <w:r w:rsidRPr="00FA469B">
        <w:rPr>
          <w:sz w:val="22"/>
          <w:szCs w:val="22"/>
        </w:rPr>
        <w:t xml:space="preserve"> alebo prázdny obal.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sz w:val="22"/>
          <w:szCs w:val="22"/>
        </w:rPr>
        <w:t>Medzi príznaky predávkovania môžu patriť zvonenie v ušiach, problémy so sluchom, bolesť hlavy, závrat, zmätenosť, nevoľnosť, vracanie a bolesť brucha. Predávkovanie veľkým množstvom môže viesť k rýchlejšiemu dýchaniu než je zvyčajné (hyperventilácia), horúčke, nadmernému poteniu, nepokoju, kŕčom, halucináciám, nízkej hladine cukru v krvi, kóme a šoku.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b/>
          <w:sz w:val="22"/>
          <w:szCs w:val="22"/>
        </w:rPr>
        <w:t>Ak zabudnete užiť Abreu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Ak zabudnete užiť dávku, počkajte na čas užitia ďalšej dávky a potom pokračujte ako zvyčajne.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Neužívajte dvojnásobnú dávku, aby ste nahradili vynechanú tabletu.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FA469B">
        <w:rPr>
          <w:b/>
          <w:sz w:val="22"/>
          <w:szCs w:val="22"/>
        </w:rPr>
        <w:t>Ak prestanete užívať Abreu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sz w:val="22"/>
          <w:szCs w:val="22"/>
        </w:rPr>
        <w:t>Nepr</w:t>
      </w:r>
      <w:r w:rsidR="006F6E9C">
        <w:rPr>
          <w:sz w:val="22"/>
          <w:szCs w:val="22"/>
        </w:rPr>
        <w:t>estávajte</w:t>
      </w:r>
      <w:r w:rsidRPr="00FA469B">
        <w:rPr>
          <w:sz w:val="22"/>
          <w:szCs w:val="22"/>
        </w:rPr>
        <w:t xml:space="preserve"> </w:t>
      </w:r>
      <w:r w:rsidR="006F6E9C">
        <w:rPr>
          <w:sz w:val="22"/>
          <w:szCs w:val="22"/>
        </w:rPr>
        <w:t>užívať</w:t>
      </w:r>
      <w:r w:rsidRPr="00FA469B">
        <w:rPr>
          <w:sz w:val="22"/>
          <w:szCs w:val="22"/>
        </w:rPr>
        <w:t xml:space="preserve"> Abreu bez toho, aby ste sa poradili so svojím lekárom.</w:t>
      </w: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A469B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4.</w:t>
      </w:r>
      <w:r w:rsidRPr="00FA469B">
        <w:rPr>
          <w:b/>
          <w:noProof/>
          <w:sz w:val="22"/>
          <w:szCs w:val="22"/>
          <w:lang w:val="en-GB" w:eastAsia="en-US"/>
        </w:rPr>
        <w:tab/>
        <w:t>Možné vedľajšie účinky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en-GB" w:eastAsia="en-US"/>
        </w:rPr>
      </w:pPr>
      <w:r w:rsidRPr="00FA469B">
        <w:rPr>
          <w:sz w:val="22"/>
          <w:szCs w:val="22"/>
        </w:rPr>
        <w:t>Tak ako všetky lieky, aj tento liek môže spôsobovať vedľajšie účinky, hoci sa neprejavia u každého.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FA469B">
        <w:rPr>
          <w:b/>
          <w:sz w:val="22"/>
          <w:szCs w:val="22"/>
        </w:rPr>
        <w:t>Ak zaznamenáte ktorýkoľvek z nasledovných závažných vedľajších účinkov, prestaňte užívať Abreu a okamžite vyhľadajte lekára:</w:t>
      </w:r>
    </w:p>
    <w:p w:rsidR="006418DC" w:rsidRPr="00FA469B" w:rsidRDefault="006418DC" w:rsidP="006418DC">
      <w:pPr>
        <w:tabs>
          <w:tab w:val="left" w:pos="426"/>
        </w:tabs>
        <w:ind w:left="426" w:right="-29" w:hanging="426"/>
        <w:outlineLvl w:val="0"/>
        <w:rPr>
          <w:sz w:val="22"/>
          <w:szCs w:val="22"/>
        </w:rPr>
      </w:pPr>
      <w:r w:rsidRPr="00FA469B">
        <w:rPr>
          <w:noProof/>
          <w:sz w:val="22"/>
          <w:szCs w:val="22"/>
        </w:rPr>
        <w:t>-</w:t>
      </w:r>
      <w:r w:rsidRPr="00FA469B">
        <w:rPr>
          <w:noProof/>
          <w:sz w:val="22"/>
          <w:szCs w:val="22"/>
        </w:rPr>
        <w:tab/>
      </w:r>
      <w:r w:rsidRPr="00FA469B">
        <w:rPr>
          <w:sz w:val="22"/>
          <w:szCs w:val="22"/>
        </w:rPr>
        <w:t>Náhly sipot, opuch pier, tváre a</w:t>
      </w:r>
      <w:r w:rsidR="008C47CA">
        <w:rPr>
          <w:sz w:val="22"/>
          <w:szCs w:val="22"/>
        </w:rPr>
        <w:t>lebo</w:t>
      </w:r>
      <w:r w:rsidRPr="00FA469B">
        <w:rPr>
          <w:sz w:val="22"/>
          <w:szCs w:val="22"/>
        </w:rPr>
        <w:t> tela, vyrážka, mdlob</w:t>
      </w:r>
      <w:r w:rsidR="008C47CA">
        <w:rPr>
          <w:sz w:val="22"/>
          <w:szCs w:val="22"/>
        </w:rPr>
        <w:t>a</w:t>
      </w:r>
      <w:r w:rsidRPr="00FA469B">
        <w:rPr>
          <w:sz w:val="22"/>
          <w:szCs w:val="22"/>
        </w:rPr>
        <w:t xml:space="preserve"> alebo ťažkosti s prehĺtaním (</w:t>
      </w:r>
      <w:r w:rsidR="008C47CA">
        <w:rPr>
          <w:sz w:val="22"/>
          <w:szCs w:val="22"/>
        </w:rPr>
        <w:t>závažn</w:t>
      </w:r>
      <w:r w:rsidRPr="00FA469B">
        <w:rPr>
          <w:sz w:val="22"/>
          <w:szCs w:val="22"/>
        </w:rPr>
        <w:t>á alergická reakcia).</w:t>
      </w:r>
    </w:p>
    <w:p w:rsidR="006418DC" w:rsidRPr="00FA469B" w:rsidRDefault="006418DC" w:rsidP="006418DC">
      <w:p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FA469B">
        <w:rPr>
          <w:sz w:val="22"/>
          <w:szCs w:val="22"/>
        </w:rPr>
        <w:t>-</w:t>
      </w:r>
      <w:r w:rsidRPr="00FA469B">
        <w:rPr>
          <w:sz w:val="22"/>
          <w:szCs w:val="22"/>
        </w:rPr>
        <w:tab/>
        <w:t>Sčervenenie kože s pľuzgiermi alebo olupovaním a môže súvisieť s vysokou horúčkou a bolesťami kĺbov. Toto môže byť multiformný erytém, Stevensov-Johnsonov syndróm alebo Lyellov syndróm.</w:t>
      </w:r>
    </w:p>
    <w:p w:rsidR="006418DC" w:rsidRPr="00FA469B" w:rsidRDefault="006418DC" w:rsidP="006418DC">
      <w:pPr>
        <w:autoSpaceDE w:val="0"/>
        <w:autoSpaceDN w:val="0"/>
        <w:adjustRightInd w:val="0"/>
        <w:ind w:left="426" w:hanging="426"/>
        <w:rPr>
          <w:sz w:val="22"/>
          <w:szCs w:val="22"/>
          <w:lang w:eastAsia="en-GB"/>
        </w:rPr>
      </w:pPr>
      <w:r w:rsidRPr="00FA469B">
        <w:rPr>
          <w:noProof/>
          <w:sz w:val="22"/>
          <w:szCs w:val="22"/>
        </w:rPr>
        <w:t>-</w:t>
      </w:r>
      <w:r w:rsidRPr="00FA469B">
        <w:rPr>
          <w:noProof/>
          <w:sz w:val="22"/>
          <w:szCs w:val="22"/>
        </w:rPr>
        <w:tab/>
      </w:r>
      <w:r w:rsidRPr="00FA469B">
        <w:rPr>
          <w:sz w:val="22"/>
          <w:szCs w:val="22"/>
        </w:rPr>
        <w:t xml:space="preserve">Nezvyčajné krvácanie ako je vykašliavanie krvi, krv vo vašich zvratkoch alebo moči alebo čierna stolica. 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  <w:highlight w:val="yellow"/>
          <w:lang w:eastAsia="en-GB"/>
        </w:rPr>
      </w:pPr>
    </w:p>
    <w:p w:rsidR="006418DC" w:rsidRPr="00FA469B" w:rsidRDefault="00145C90" w:rsidP="006418DC">
      <w:pPr>
        <w:autoSpaceDE w:val="0"/>
        <w:autoSpaceDN w:val="0"/>
        <w:adjustRightInd w:val="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>Ďalšie</w:t>
      </w:r>
      <w:r w:rsidR="006418DC" w:rsidRPr="00FA469B">
        <w:rPr>
          <w:b/>
          <w:sz w:val="22"/>
          <w:szCs w:val="22"/>
          <w:lang w:eastAsia="en-GB"/>
        </w:rPr>
        <w:t xml:space="preserve"> vedľajšie účinky</w:t>
      </w:r>
      <w:r w:rsidR="006D3B6C">
        <w:rPr>
          <w:b/>
          <w:sz w:val="22"/>
          <w:szCs w:val="22"/>
          <w:lang w:eastAsia="en-GB"/>
        </w:rPr>
        <w:t xml:space="preserve"> zahŕňajú</w:t>
      </w:r>
      <w:r w:rsidR="006418DC" w:rsidRPr="00FA469B">
        <w:rPr>
          <w:b/>
          <w:sz w:val="22"/>
          <w:szCs w:val="22"/>
          <w:lang w:eastAsia="en-GB"/>
        </w:rPr>
        <w:t>:</w:t>
      </w:r>
    </w:p>
    <w:p w:rsidR="006418DC" w:rsidRPr="00FA469B" w:rsidRDefault="006418DC" w:rsidP="006418DC">
      <w:pPr>
        <w:rPr>
          <w:sz w:val="22"/>
          <w:szCs w:val="22"/>
        </w:rPr>
      </w:pPr>
      <w:r w:rsidRPr="00FA469B">
        <w:rPr>
          <w:sz w:val="22"/>
          <w:szCs w:val="22"/>
        </w:rPr>
        <w:t xml:space="preserve">Časté (môže postihovať </w:t>
      </w:r>
      <w:r w:rsidR="00BF3762">
        <w:rPr>
          <w:sz w:val="22"/>
          <w:szCs w:val="22"/>
        </w:rPr>
        <w:t xml:space="preserve">menej ako </w:t>
      </w:r>
      <w:r w:rsidRPr="00FA469B">
        <w:rPr>
          <w:sz w:val="22"/>
          <w:szCs w:val="22"/>
        </w:rPr>
        <w:t>1 z 10 osôb):</w:t>
      </w:r>
    </w:p>
    <w:p w:rsidR="006418DC" w:rsidRPr="00FA469B" w:rsidRDefault="00BF3762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N</w:t>
      </w:r>
      <w:r w:rsidR="006418DC" w:rsidRPr="00FA469B">
        <w:rPr>
          <w:sz w:val="22"/>
          <w:szCs w:val="22"/>
        </w:rPr>
        <w:t>evoľnosť, vracanie, hnačka.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Porucha trávenia.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Zvýšená náchylnosť na krvácanie.</w:t>
      </w:r>
    </w:p>
    <w:p w:rsidR="006418DC" w:rsidRPr="00FA469B" w:rsidRDefault="006418DC" w:rsidP="006418DC">
      <w:pPr>
        <w:rPr>
          <w:rFonts w:ascii="Courier New" w:hAnsi="Courier New" w:cs="Courier New"/>
          <w:sz w:val="22"/>
          <w:szCs w:val="22"/>
        </w:rPr>
      </w:pPr>
    </w:p>
    <w:p w:rsidR="006418DC" w:rsidRPr="00FA469B" w:rsidRDefault="006418DC" w:rsidP="006418DC">
      <w:pPr>
        <w:ind w:left="426" w:hanging="426"/>
        <w:rPr>
          <w:sz w:val="22"/>
          <w:szCs w:val="22"/>
        </w:rPr>
      </w:pPr>
      <w:r w:rsidRPr="00FA469B">
        <w:rPr>
          <w:sz w:val="22"/>
          <w:szCs w:val="22"/>
        </w:rPr>
        <w:t xml:space="preserve">Menej časté (môžu postihovať </w:t>
      </w:r>
      <w:r w:rsidR="00BF3762">
        <w:rPr>
          <w:sz w:val="22"/>
          <w:szCs w:val="22"/>
        </w:rPr>
        <w:t xml:space="preserve">menej ako </w:t>
      </w:r>
      <w:r w:rsidRPr="00FA469B">
        <w:rPr>
          <w:sz w:val="22"/>
          <w:szCs w:val="22"/>
        </w:rPr>
        <w:t>1 zo 100 osôb):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Žihľavka</w:t>
      </w:r>
      <w:r w:rsidR="00BF3762">
        <w:rPr>
          <w:sz w:val="22"/>
          <w:szCs w:val="22"/>
        </w:rPr>
        <w:t>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Nádcha</w:t>
      </w:r>
      <w:r w:rsidR="00BF3762">
        <w:rPr>
          <w:sz w:val="22"/>
          <w:szCs w:val="22"/>
        </w:rPr>
        <w:t>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Ťažkosti s dýchaním.</w:t>
      </w:r>
    </w:p>
    <w:p w:rsidR="006418DC" w:rsidRPr="00FA469B" w:rsidRDefault="006418DC" w:rsidP="006418DC">
      <w:pPr>
        <w:ind w:left="426" w:hanging="426"/>
        <w:rPr>
          <w:sz w:val="22"/>
          <w:szCs w:val="22"/>
        </w:rPr>
      </w:pPr>
    </w:p>
    <w:p w:rsidR="006418DC" w:rsidRPr="00FA469B" w:rsidRDefault="006418DC" w:rsidP="006418DC">
      <w:pPr>
        <w:ind w:left="426" w:hanging="426"/>
        <w:rPr>
          <w:sz w:val="22"/>
          <w:szCs w:val="22"/>
        </w:rPr>
      </w:pPr>
      <w:r w:rsidRPr="00FA469B">
        <w:rPr>
          <w:sz w:val="22"/>
          <w:szCs w:val="22"/>
        </w:rPr>
        <w:t>Zriedkavé (môžu postihovať menej ako 1 z 1 000 osôb):</w:t>
      </w:r>
    </w:p>
    <w:p w:rsidR="006418DC" w:rsidRPr="00FA469B" w:rsidRDefault="00681433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Závažn</w:t>
      </w:r>
      <w:r w:rsidR="006418DC" w:rsidRPr="00FA469B">
        <w:rPr>
          <w:sz w:val="22"/>
          <w:szCs w:val="22"/>
        </w:rPr>
        <w:t>é krvácanie do žalúdka alebo do čriev, krvácanie do mozgu; zmenený počet krviniek.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Kŕče v dolných dýchacích cestách, astmatický záchvat.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Zápal krvných ciev.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Tvorba modrín s tmavoružovými bodkami (krvácanie do kože).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Závažné kožné reakcie prejavujúce sa vyrážkou, známe ako multiformný erytém a jeho život ohrozujúce formy Stevensov-Johnsonov syndróm a Lyellov syndróm</w:t>
      </w:r>
      <w:r w:rsidR="00EC1FB6">
        <w:rPr>
          <w:sz w:val="22"/>
          <w:szCs w:val="22"/>
        </w:rPr>
        <w:t>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 xml:space="preserve">Reakcie z precitlivenosti, ako </w:t>
      </w:r>
      <w:r w:rsidR="00EC1FB6">
        <w:rPr>
          <w:sz w:val="22"/>
          <w:szCs w:val="22"/>
        </w:rPr>
        <w:t>je</w:t>
      </w:r>
      <w:r w:rsidRPr="00FA469B">
        <w:rPr>
          <w:sz w:val="22"/>
          <w:szCs w:val="22"/>
        </w:rPr>
        <w:t xml:space="preserve"> opuch napr. pier, tváre alebo tela alebo šok</w:t>
      </w:r>
      <w:r w:rsidR="00EC1FB6">
        <w:rPr>
          <w:sz w:val="22"/>
          <w:szCs w:val="22"/>
        </w:rPr>
        <w:t>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Reyerov syndróm (veľmi zriedkavé ochorenie u detí, ktoré postihuje mozog a pečeň (pozri časť 2 „Deti a dospievajúci“)</w:t>
      </w:r>
      <w:r w:rsidR="00D64873">
        <w:rPr>
          <w:sz w:val="22"/>
          <w:szCs w:val="22"/>
        </w:rPr>
        <w:t>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Nezvyčajne silná a dlhotrvajúca menštruácia.</w:t>
      </w:r>
    </w:p>
    <w:p w:rsidR="006418DC" w:rsidRPr="00FA469B" w:rsidRDefault="006418DC" w:rsidP="006418DC">
      <w:pPr>
        <w:rPr>
          <w:sz w:val="22"/>
          <w:szCs w:val="22"/>
        </w:rPr>
      </w:pPr>
    </w:p>
    <w:p w:rsidR="006418DC" w:rsidRPr="006C73BE" w:rsidRDefault="00EC1FB6" w:rsidP="006418DC">
      <w:pPr>
        <w:rPr>
          <w:sz w:val="22"/>
          <w:szCs w:val="22"/>
        </w:rPr>
      </w:pPr>
      <w:r>
        <w:rPr>
          <w:sz w:val="22"/>
          <w:szCs w:val="22"/>
        </w:rPr>
        <w:t>Neznáme</w:t>
      </w:r>
      <w:r w:rsidR="006418DC" w:rsidRPr="006C73B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častosť sa nedá odhadnúť </w:t>
      </w:r>
      <w:r w:rsidR="006418DC" w:rsidRPr="006C73BE">
        <w:rPr>
          <w:sz w:val="22"/>
          <w:szCs w:val="22"/>
        </w:rPr>
        <w:t>z dostupných údajov):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Zvonenie v ušiach (tinnitus) alebo znížená schopnosť počúvania.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Bolesť hlavy.</w:t>
      </w:r>
    </w:p>
    <w:p w:rsidR="006418DC" w:rsidRPr="00FA469B" w:rsidRDefault="00D64873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Závrat.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Vredy v žalúdku alebo tenkom čreve a jeho prederavenie.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Predĺžený čas krvácania.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Poškodená funkcia obličiek</w:t>
      </w:r>
      <w:r w:rsidR="00D64873">
        <w:rPr>
          <w:sz w:val="22"/>
          <w:szCs w:val="22"/>
        </w:rPr>
        <w:t>, akútne zlyhanie obličiek.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Poškodená funkcia pečene</w:t>
      </w:r>
      <w:r w:rsidR="00D64873">
        <w:rPr>
          <w:sz w:val="22"/>
          <w:szCs w:val="22"/>
        </w:rPr>
        <w:t>, zvýšenie hladín pečeňových enzýmov.</w:t>
      </w:r>
    </w:p>
    <w:p w:rsidR="006418DC" w:rsidRPr="00FA469B" w:rsidRDefault="006418DC" w:rsidP="006418DC">
      <w:pPr>
        <w:numPr>
          <w:ilvl w:val="0"/>
          <w:numId w:val="1"/>
        </w:numPr>
        <w:ind w:right="-29"/>
        <w:rPr>
          <w:sz w:val="22"/>
          <w:szCs w:val="22"/>
        </w:rPr>
      </w:pPr>
      <w:r w:rsidRPr="00FA469B">
        <w:rPr>
          <w:sz w:val="22"/>
          <w:szCs w:val="22"/>
        </w:rPr>
        <w:t>Vysoká hladina kyseliny močovej</w:t>
      </w:r>
      <w:r w:rsidR="00D64873">
        <w:rPr>
          <w:sz w:val="22"/>
          <w:szCs w:val="22"/>
        </w:rPr>
        <w:t xml:space="preserve"> alebo nízke hladiny cukru v krvi</w:t>
      </w:r>
      <w:r w:rsidRPr="00FA469B">
        <w:rPr>
          <w:sz w:val="22"/>
          <w:szCs w:val="22"/>
        </w:rPr>
        <w:t>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FA469B">
        <w:rPr>
          <w:b/>
          <w:bCs/>
          <w:sz w:val="22"/>
          <w:szCs w:val="22"/>
        </w:rPr>
        <w:t>Hlásenie vedľajších účinkov</w:t>
      </w:r>
    </w:p>
    <w:p w:rsidR="006418DC" w:rsidRPr="00FA469B" w:rsidRDefault="006418DC" w:rsidP="006418DC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FA469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B21A0">
        <w:rPr>
          <w:sz w:val="22"/>
          <w:szCs w:val="22"/>
        </w:rPr>
        <w:t>na</w:t>
      </w:r>
      <w:r w:rsidR="000B21A0">
        <w:rPr>
          <w:sz w:val="22"/>
          <w:szCs w:val="22"/>
          <w:highlight w:val="lightGray"/>
        </w:rPr>
        <w:t xml:space="preserve"> </w:t>
      </w:r>
      <w:r w:rsidRPr="00FA469B">
        <w:rPr>
          <w:sz w:val="22"/>
          <w:szCs w:val="22"/>
          <w:highlight w:val="lightGray"/>
        </w:rPr>
        <w:t xml:space="preserve">národné </w:t>
      </w:r>
      <w:r w:rsidR="000B21A0">
        <w:rPr>
          <w:sz w:val="22"/>
          <w:szCs w:val="22"/>
          <w:highlight w:val="lightGray"/>
        </w:rPr>
        <w:t>centrum</w:t>
      </w:r>
      <w:r w:rsidRPr="00FA469B">
        <w:rPr>
          <w:sz w:val="22"/>
          <w:szCs w:val="22"/>
          <w:highlight w:val="lightGray"/>
        </w:rPr>
        <w:t xml:space="preserve"> hlásenia uvedené v </w:t>
      </w:r>
      <w:hyperlink r:id="rId8" w:history="1">
        <w:proofErr w:type="spellStart"/>
        <w:r w:rsidRPr="00FA469B">
          <w:rPr>
            <w:rStyle w:val="Hypertextovprepojenie"/>
            <w:sz w:val="22"/>
            <w:szCs w:val="22"/>
            <w:highlight w:val="lightGray"/>
          </w:rPr>
          <w:t>Prílohe</w:t>
        </w:r>
        <w:proofErr w:type="spellEnd"/>
        <w:r w:rsidRPr="00FA469B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FA469B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5.</w:t>
      </w:r>
      <w:r w:rsidRPr="00FA469B">
        <w:rPr>
          <w:b/>
          <w:noProof/>
          <w:sz w:val="22"/>
          <w:szCs w:val="22"/>
          <w:lang w:val="en-GB" w:eastAsia="en-US"/>
        </w:rPr>
        <w:tab/>
        <w:t>Ako uchovávať Abreu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FA469B">
        <w:rPr>
          <w:sz w:val="22"/>
          <w:szCs w:val="22"/>
        </w:rPr>
        <w:t>Tento liek uchovávajte mimo dohľadu a dosahu detí</w:t>
      </w:r>
      <w:r w:rsidRPr="00FA469B">
        <w:rPr>
          <w:noProof/>
          <w:sz w:val="22"/>
          <w:szCs w:val="22"/>
          <w:lang w:val="en-GB" w:eastAsia="en-US"/>
        </w:rPr>
        <w:t>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highlight w:val="yellow"/>
          <w:lang w:val="en-GB" w:eastAsia="en-US"/>
        </w:rPr>
      </w:pPr>
    </w:p>
    <w:p w:rsidR="006418DC" w:rsidRPr="00FA469B" w:rsidRDefault="006418DC" w:rsidP="006418DC">
      <w:pPr>
        <w:rPr>
          <w:sz w:val="22"/>
          <w:szCs w:val="22"/>
          <w:u w:val="single"/>
        </w:rPr>
      </w:pPr>
      <w:r w:rsidRPr="009B0118">
        <w:rPr>
          <w:bCs/>
          <w:noProof/>
          <w:sz w:val="22"/>
          <w:szCs w:val="22"/>
          <w:u w:val="single"/>
          <w:lang w:val="en-GB" w:eastAsia="en-US"/>
        </w:rPr>
        <w:t xml:space="preserve">Abrea </w:t>
      </w:r>
      <w:r w:rsidRPr="009B0118">
        <w:rPr>
          <w:sz w:val="22"/>
          <w:szCs w:val="22"/>
          <w:u w:val="single"/>
        </w:rPr>
        <w:t>75 mg:</w:t>
      </w:r>
    </w:p>
    <w:p w:rsidR="006418DC" w:rsidRPr="00FA469B" w:rsidRDefault="006418DC" w:rsidP="006418DC">
      <w:pPr>
        <w:rPr>
          <w:sz w:val="22"/>
          <w:szCs w:val="22"/>
        </w:rPr>
      </w:pPr>
      <w:r w:rsidRPr="00FA469B">
        <w:rPr>
          <w:noProof/>
          <w:sz w:val="22"/>
          <w:szCs w:val="22"/>
        </w:rPr>
        <w:t xml:space="preserve">Uchovávajte pri teplote neprevyšujúcej </w:t>
      </w:r>
      <w:r w:rsidRPr="00FA469B">
        <w:rPr>
          <w:sz w:val="22"/>
          <w:szCs w:val="22"/>
        </w:rPr>
        <w:t>25</w:t>
      </w:r>
      <w:r w:rsidR="004E17C8">
        <w:rPr>
          <w:sz w:val="22"/>
          <w:szCs w:val="22"/>
        </w:rPr>
        <w:t xml:space="preserve"> </w:t>
      </w:r>
      <w:r w:rsidRPr="00FA469B">
        <w:rPr>
          <w:sz w:val="22"/>
          <w:szCs w:val="22"/>
        </w:rPr>
        <w:t>°C.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  <w:lang w:val="en-US" w:eastAsia="es-ES"/>
        </w:rPr>
      </w:pPr>
      <w:r w:rsidRPr="00FA469B">
        <w:rPr>
          <w:noProof/>
          <w:sz w:val="22"/>
          <w:szCs w:val="22"/>
        </w:rPr>
        <w:t>Uchovávajte v pôvodnom obale na ochranu pred svetlom</w:t>
      </w:r>
      <w:r w:rsidRPr="00FA469B">
        <w:rPr>
          <w:sz w:val="22"/>
          <w:szCs w:val="22"/>
          <w:lang w:val="en-US" w:eastAsia="es-ES"/>
        </w:rPr>
        <w:t>.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  <w:highlight w:val="lightGray"/>
        </w:rPr>
      </w:pPr>
    </w:p>
    <w:p w:rsidR="006418DC" w:rsidRPr="004E17C8" w:rsidRDefault="006418DC" w:rsidP="006418DC">
      <w:pPr>
        <w:autoSpaceDE w:val="0"/>
        <w:autoSpaceDN w:val="0"/>
        <w:adjustRightInd w:val="0"/>
        <w:rPr>
          <w:sz w:val="22"/>
          <w:szCs w:val="22"/>
          <w:u w:val="single"/>
          <w:lang w:val="en-US" w:eastAsia="es-ES"/>
        </w:rPr>
      </w:pPr>
      <w:r w:rsidRPr="009B0118">
        <w:rPr>
          <w:bCs/>
          <w:noProof/>
          <w:sz w:val="22"/>
          <w:szCs w:val="22"/>
          <w:u w:val="single"/>
          <w:lang w:val="en-GB" w:eastAsia="en-US"/>
        </w:rPr>
        <w:t xml:space="preserve">Abrea </w:t>
      </w:r>
      <w:r w:rsidRPr="009B0118">
        <w:rPr>
          <w:sz w:val="22"/>
          <w:szCs w:val="22"/>
          <w:u w:val="single"/>
        </w:rPr>
        <w:t>100 mg:</w:t>
      </w:r>
    </w:p>
    <w:p w:rsidR="006418DC" w:rsidRPr="004E17C8" w:rsidRDefault="006418DC" w:rsidP="006418DC">
      <w:pPr>
        <w:rPr>
          <w:sz w:val="22"/>
          <w:szCs w:val="22"/>
        </w:rPr>
      </w:pPr>
      <w:r w:rsidRPr="009B0118">
        <w:rPr>
          <w:sz w:val="22"/>
          <w:szCs w:val="22"/>
        </w:rPr>
        <w:t>Uchovávajte pri teplote neprevyšujúcej 30</w:t>
      </w:r>
      <w:r w:rsidR="004E17C8">
        <w:rPr>
          <w:sz w:val="22"/>
          <w:szCs w:val="22"/>
        </w:rPr>
        <w:t xml:space="preserve"> </w:t>
      </w:r>
      <w:r w:rsidRPr="009B0118">
        <w:rPr>
          <w:sz w:val="22"/>
          <w:szCs w:val="22"/>
        </w:rPr>
        <w:t>°C.</w:t>
      </w:r>
    </w:p>
    <w:p w:rsidR="006418DC" w:rsidRPr="004E17C8" w:rsidRDefault="006418DC" w:rsidP="006418DC">
      <w:pPr>
        <w:widowControl w:val="0"/>
        <w:tabs>
          <w:tab w:val="left" w:pos="567"/>
        </w:tabs>
        <w:rPr>
          <w:noProof/>
          <w:sz w:val="22"/>
          <w:szCs w:val="22"/>
          <w:lang w:eastAsia="en-US"/>
        </w:rPr>
      </w:pPr>
    </w:p>
    <w:p w:rsidR="006418DC" w:rsidRPr="004E17C8" w:rsidRDefault="006418DC" w:rsidP="006418DC">
      <w:pPr>
        <w:rPr>
          <w:sz w:val="22"/>
          <w:szCs w:val="22"/>
          <w:u w:val="single"/>
        </w:rPr>
      </w:pPr>
      <w:r w:rsidRPr="009B0118">
        <w:rPr>
          <w:bCs/>
          <w:noProof/>
          <w:sz w:val="22"/>
          <w:szCs w:val="22"/>
          <w:u w:val="single"/>
          <w:lang w:val="en-GB" w:eastAsia="en-US"/>
        </w:rPr>
        <w:t xml:space="preserve">Abrea </w:t>
      </w:r>
      <w:r w:rsidRPr="009B0118">
        <w:rPr>
          <w:sz w:val="22"/>
          <w:szCs w:val="22"/>
          <w:u w:val="single"/>
        </w:rPr>
        <w:t>160 mg:</w:t>
      </w:r>
    </w:p>
    <w:p w:rsidR="006418DC" w:rsidRPr="009B0118" w:rsidRDefault="006418DC" w:rsidP="006418DC">
      <w:pPr>
        <w:rPr>
          <w:sz w:val="22"/>
          <w:szCs w:val="22"/>
        </w:rPr>
      </w:pPr>
      <w:r w:rsidRPr="009B0118">
        <w:rPr>
          <w:sz w:val="22"/>
          <w:szCs w:val="22"/>
        </w:rPr>
        <w:t>Uchovávajte pri teplote neprevyšujúcej 30</w:t>
      </w:r>
      <w:r w:rsidR="004E17C8">
        <w:rPr>
          <w:sz w:val="22"/>
          <w:szCs w:val="22"/>
        </w:rPr>
        <w:t xml:space="preserve"> </w:t>
      </w:r>
      <w:r w:rsidRPr="009B0118">
        <w:rPr>
          <w:sz w:val="22"/>
          <w:szCs w:val="22"/>
        </w:rPr>
        <w:t>°C.</w:t>
      </w:r>
    </w:p>
    <w:p w:rsidR="006418DC" w:rsidRPr="00FA469B" w:rsidRDefault="006418DC" w:rsidP="006418DC">
      <w:pPr>
        <w:autoSpaceDE w:val="0"/>
        <w:autoSpaceDN w:val="0"/>
        <w:adjustRightInd w:val="0"/>
        <w:rPr>
          <w:sz w:val="22"/>
          <w:szCs w:val="22"/>
          <w:lang w:val="en-US" w:eastAsia="es-ES"/>
        </w:rPr>
      </w:pPr>
      <w:proofErr w:type="spellStart"/>
      <w:r w:rsidRPr="009B0118">
        <w:rPr>
          <w:sz w:val="22"/>
          <w:szCs w:val="22"/>
          <w:lang w:val="en-US" w:eastAsia="es-ES"/>
        </w:rPr>
        <w:t>Uchovávajte</w:t>
      </w:r>
      <w:proofErr w:type="spellEnd"/>
      <w:r w:rsidRPr="009B0118">
        <w:rPr>
          <w:sz w:val="22"/>
          <w:szCs w:val="22"/>
          <w:lang w:val="en-US" w:eastAsia="es-ES"/>
        </w:rPr>
        <w:t xml:space="preserve"> v </w:t>
      </w:r>
      <w:proofErr w:type="spellStart"/>
      <w:r w:rsidRPr="009B0118">
        <w:rPr>
          <w:sz w:val="22"/>
          <w:szCs w:val="22"/>
          <w:lang w:val="en-US" w:eastAsia="es-ES"/>
        </w:rPr>
        <w:t>pôvodnom</w:t>
      </w:r>
      <w:proofErr w:type="spellEnd"/>
      <w:r w:rsidRPr="009B0118">
        <w:rPr>
          <w:sz w:val="22"/>
          <w:szCs w:val="22"/>
          <w:lang w:val="en-US" w:eastAsia="es-ES"/>
        </w:rPr>
        <w:t xml:space="preserve"> </w:t>
      </w:r>
      <w:proofErr w:type="spellStart"/>
      <w:r w:rsidRPr="009B0118">
        <w:rPr>
          <w:sz w:val="22"/>
          <w:szCs w:val="22"/>
          <w:lang w:val="en-US" w:eastAsia="es-ES"/>
        </w:rPr>
        <w:t>obalen</w:t>
      </w:r>
      <w:proofErr w:type="spellEnd"/>
      <w:r w:rsidRPr="009B0118">
        <w:rPr>
          <w:sz w:val="22"/>
          <w:szCs w:val="22"/>
          <w:lang w:val="en-US" w:eastAsia="es-ES"/>
        </w:rPr>
        <w:t xml:space="preserve"> </w:t>
      </w:r>
      <w:proofErr w:type="spellStart"/>
      <w:proofErr w:type="gramStart"/>
      <w:r w:rsidRPr="009B0118">
        <w:rPr>
          <w:sz w:val="22"/>
          <w:szCs w:val="22"/>
          <w:lang w:val="en-US" w:eastAsia="es-ES"/>
        </w:rPr>
        <w:t>na</w:t>
      </w:r>
      <w:proofErr w:type="spellEnd"/>
      <w:proofErr w:type="gramEnd"/>
      <w:r w:rsidRPr="009B0118">
        <w:rPr>
          <w:sz w:val="22"/>
          <w:szCs w:val="22"/>
          <w:lang w:val="en-US" w:eastAsia="es-ES"/>
        </w:rPr>
        <w:t xml:space="preserve"> </w:t>
      </w:r>
      <w:proofErr w:type="spellStart"/>
      <w:r w:rsidRPr="009B0118">
        <w:rPr>
          <w:sz w:val="22"/>
          <w:szCs w:val="22"/>
          <w:lang w:val="en-US" w:eastAsia="es-ES"/>
        </w:rPr>
        <w:t>ochranu</w:t>
      </w:r>
      <w:proofErr w:type="spellEnd"/>
      <w:r w:rsidRPr="009B0118">
        <w:rPr>
          <w:sz w:val="22"/>
          <w:szCs w:val="22"/>
          <w:lang w:val="en-US" w:eastAsia="es-ES"/>
        </w:rPr>
        <w:t xml:space="preserve"> </w:t>
      </w:r>
      <w:proofErr w:type="spellStart"/>
      <w:r w:rsidRPr="009B0118">
        <w:rPr>
          <w:sz w:val="22"/>
          <w:szCs w:val="22"/>
          <w:lang w:val="en-US" w:eastAsia="es-ES"/>
        </w:rPr>
        <w:t>pred</w:t>
      </w:r>
      <w:proofErr w:type="spellEnd"/>
      <w:r w:rsidRPr="009B0118">
        <w:rPr>
          <w:sz w:val="22"/>
          <w:szCs w:val="22"/>
          <w:lang w:val="en-US" w:eastAsia="es-ES"/>
        </w:rPr>
        <w:t xml:space="preserve"> </w:t>
      </w:r>
      <w:proofErr w:type="spellStart"/>
      <w:r w:rsidRPr="009B0118">
        <w:rPr>
          <w:sz w:val="22"/>
          <w:szCs w:val="22"/>
          <w:lang w:val="en-US" w:eastAsia="es-ES"/>
        </w:rPr>
        <w:t>svetlom</w:t>
      </w:r>
      <w:proofErr w:type="spellEnd"/>
      <w:r w:rsidRPr="009B0118">
        <w:rPr>
          <w:sz w:val="22"/>
          <w:szCs w:val="22"/>
          <w:lang w:val="en-US" w:eastAsia="es-ES"/>
        </w:rPr>
        <w:t>.</w:t>
      </w:r>
    </w:p>
    <w:p w:rsidR="006418DC" w:rsidRPr="00FA469B" w:rsidRDefault="006418DC" w:rsidP="006418DC">
      <w:pPr>
        <w:widowControl w:val="0"/>
        <w:tabs>
          <w:tab w:val="left" w:pos="567"/>
        </w:tabs>
        <w:rPr>
          <w:noProof/>
          <w:sz w:val="22"/>
          <w:szCs w:val="22"/>
          <w:lang w:val="en-US" w:eastAsia="en-US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lastRenderedPageBreak/>
        <w:t>Neužívajte</w:t>
      </w:r>
      <w:r w:rsidR="004E17C8">
        <w:rPr>
          <w:sz w:val="22"/>
          <w:szCs w:val="22"/>
        </w:rPr>
        <w:t xml:space="preserve"> tento liek</w:t>
      </w:r>
      <w:r w:rsidRPr="00FA469B">
        <w:rPr>
          <w:b/>
          <w:sz w:val="22"/>
          <w:szCs w:val="22"/>
        </w:rPr>
        <w:t xml:space="preserve"> </w:t>
      </w:r>
      <w:r w:rsidRPr="00FA469B">
        <w:rPr>
          <w:sz w:val="22"/>
          <w:szCs w:val="22"/>
        </w:rPr>
        <w:t>po dátume exspirácie, ktorý je uvedený na blistri po EXP. Dátum exspirácie sa vzťahuje na posledný deň v danom mesiaci.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A469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FA469B">
        <w:rPr>
          <w:b/>
          <w:noProof/>
          <w:sz w:val="22"/>
          <w:szCs w:val="22"/>
          <w:lang w:val="en-GB" w:eastAsia="en-US"/>
        </w:rPr>
        <w:t>6.</w:t>
      </w:r>
      <w:r w:rsidRPr="00FA469B">
        <w:rPr>
          <w:b/>
          <w:noProof/>
          <w:sz w:val="22"/>
          <w:szCs w:val="22"/>
          <w:lang w:val="en-GB" w:eastAsia="en-US"/>
        </w:rPr>
        <w:tab/>
        <w:t>Obsah balenia a ďalšie informácie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:rsidR="006418DC" w:rsidRDefault="006418DC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FA469B">
        <w:rPr>
          <w:b/>
          <w:bCs/>
          <w:noProof/>
          <w:sz w:val="22"/>
          <w:szCs w:val="22"/>
          <w:lang w:val="en-GB" w:eastAsia="en-US"/>
        </w:rPr>
        <w:t>Čo Abrea obsahuje</w:t>
      </w:r>
    </w:p>
    <w:p w:rsidR="0098131E" w:rsidRPr="00FA469B" w:rsidRDefault="0098131E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</w:p>
    <w:p w:rsidR="006418DC" w:rsidRPr="00FA469B" w:rsidRDefault="006418DC" w:rsidP="006418DC">
      <w:pPr>
        <w:numPr>
          <w:ilvl w:val="0"/>
          <w:numId w:val="4"/>
        </w:numPr>
        <w:ind w:left="567" w:hanging="567"/>
        <w:rPr>
          <w:noProof/>
          <w:sz w:val="22"/>
          <w:szCs w:val="22"/>
          <w:lang w:val="en-GB" w:eastAsia="en-US"/>
        </w:rPr>
      </w:pPr>
      <w:r w:rsidRPr="00FA469B">
        <w:rPr>
          <w:noProof/>
          <w:sz w:val="22"/>
          <w:szCs w:val="22"/>
          <w:lang w:val="en-GB" w:eastAsia="en-US"/>
        </w:rPr>
        <w:t>Liečivo je kyselina acetylsalicylová.</w:t>
      </w:r>
    </w:p>
    <w:p w:rsidR="006418DC" w:rsidRPr="00FA469B" w:rsidRDefault="006418DC" w:rsidP="006418DC">
      <w:pPr>
        <w:ind w:left="567"/>
        <w:rPr>
          <w:sz w:val="22"/>
          <w:szCs w:val="22"/>
        </w:rPr>
      </w:pPr>
      <w:r w:rsidRPr="00FA469B">
        <w:rPr>
          <w:sz w:val="22"/>
          <w:szCs w:val="22"/>
        </w:rPr>
        <w:t>Každá gastrorezistentná tableta obsahuje 75 mg</w:t>
      </w:r>
      <w:r w:rsidRPr="009B0118">
        <w:rPr>
          <w:sz w:val="22"/>
          <w:szCs w:val="22"/>
        </w:rPr>
        <w:t>, 100 mg alebo 160 mg</w:t>
      </w:r>
      <w:r w:rsidRPr="00FA469B">
        <w:rPr>
          <w:sz w:val="22"/>
          <w:szCs w:val="22"/>
        </w:rPr>
        <w:t xml:space="preserve"> kyseliny acetylsalicylovej.</w:t>
      </w:r>
    </w:p>
    <w:p w:rsidR="006418DC" w:rsidRPr="00FA469B" w:rsidRDefault="006418DC" w:rsidP="006418DC">
      <w:pPr>
        <w:ind w:left="567"/>
        <w:rPr>
          <w:sz w:val="22"/>
          <w:szCs w:val="22"/>
        </w:rPr>
      </w:pPr>
    </w:p>
    <w:p w:rsidR="006418DC" w:rsidRPr="009B0118" w:rsidRDefault="006418DC" w:rsidP="006418D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i/>
          <w:noProof/>
          <w:sz w:val="22"/>
          <w:szCs w:val="22"/>
          <w:lang w:val="en-GB" w:eastAsia="en-US"/>
        </w:rPr>
      </w:pPr>
      <w:r w:rsidRPr="0098131E">
        <w:rPr>
          <w:noProof/>
          <w:sz w:val="22"/>
          <w:szCs w:val="22"/>
          <w:lang w:val="en-GB" w:eastAsia="en-US"/>
        </w:rPr>
        <w:t xml:space="preserve">Ďalšie zložky sú: </w:t>
      </w:r>
      <w:r w:rsidRPr="009B0118">
        <w:rPr>
          <w:noProof/>
          <w:sz w:val="22"/>
          <w:szCs w:val="22"/>
          <w:lang w:val="en-GB" w:eastAsia="en-US"/>
        </w:rPr>
        <w:t>Abraea</w:t>
      </w:r>
      <w:r w:rsidRPr="009B0118">
        <w:rPr>
          <w:bCs/>
          <w:noProof/>
          <w:sz w:val="22"/>
          <w:szCs w:val="22"/>
          <w:lang w:val="en-GB" w:eastAsia="en-US"/>
        </w:rPr>
        <w:t xml:space="preserve"> 75 mg</w:t>
      </w:r>
      <w:r w:rsidRPr="009B0118">
        <w:rPr>
          <w:noProof/>
          <w:sz w:val="22"/>
          <w:szCs w:val="22"/>
          <w:lang w:val="en-GB" w:eastAsia="en-US"/>
        </w:rPr>
        <w:t>:</w:t>
      </w:r>
    </w:p>
    <w:p w:rsidR="006418DC" w:rsidRPr="0098131E" w:rsidRDefault="006418DC" w:rsidP="006418DC">
      <w:pPr>
        <w:ind w:left="567"/>
        <w:rPr>
          <w:sz w:val="22"/>
          <w:szCs w:val="22"/>
        </w:rPr>
      </w:pPr>
      <w:r w:rsidRPr="0098131E">
        <w:rPr>
          <w:i/>
          <w:sz w:val="22"/>
          <w:szCs w:val="22"/>
        </w:rPr>
        <w:t>Jadro tablety:</w:t>
      </w:r>
      <w:r w:rsidRPr="0098131E">
        <w:rPr>
          <w:sz w:val="22"/>
          <w:szCs w:val="22"/>
        </w:rPr>
        <w:t xml:space="preserve"> monohydrát laktózy, mikrokryštalická celulóza, koloidný oxid kremičitý bezvodý, zemiakový škrob, mastenec, triacetín, </w:t>
      </w:r>
      <w:r w:rsidR="00C602B0">
        <w:rPr>
          <w:sz w:val="22"/>
          <w:szCs w:val="22"/>
        </w:rPr>
        <w:t xml:space="preserve">30 % disperzia </w:t>
      </w:r>
      <w:r w:rsidRPr="0098131E">
        <w:rPr>
          <w:sz w:val="22"/>
          <w:szCs w:val="22"/>
        </w:rPr>
        <w:t>kopolymér</w:t>
      </w:r>
      <w:r w:rsidR="00C602B0">
        <w:rPr>
          <w:sz w:val="22"/>
          <w:szCs w:val="22"/>
        </w:rPr>
        <w:t>u</w:t>
      </w:r>
      <w:r w:rsidRPr="0098131E">
        <w:rPr>
          <w:sz w:val="22"/>
          <w:szCs w:val="22"/>
        </w:rPr>
        <w:t xml:space="preserve"> kyseliny metakrylovej </w:t>
      </w:r>
      <w:r w:rsidR="00C602B0">
        <w:rPr>
          <w:sz w:val="22"/>
          <w:szCs w:val="22"/>
        </w:rPr>
        <w:t>s</w:t>
      </w:r>
      <w:r w:rsidRPr="0098131E">
        <w:rPr>
          <w:sz w:val="22"/>
          <w:szCs w:val="22"/>
        </w:rPr>
        <w:t xml:space="preserve"> etylakrylát</w:t>
      </w:r>
      <w:r w:rsidR="00C602B0">
        <w:rPr>
          <w:sz w:val="22"/>
          <w:szCs w:val="22"/>
        </w:rPr>
        <w:t>om</w:t>
      </w:r>
      <w:r w:rsidRPr="0098131E">
        <w:rPr>
          <w:sz w:val="22"/>
          <w:szCs w:val="22"/>
        </w:rPr>
        <w:t xml:space="preserve">  (1:1), dodecyls</w:t>
      </w:r>
      <w:r w:rsidR="005F6F11">
        <w:rPr>
          <w:sz w:val="22"/>
          <w:szCs w:val="22"/>
        </w:rPr>
        <w:t>íran</w:t>
      </w:r>
      <w:r w:rsidRPr="0098131E">
        <w:rPr>
          <w:sz w:val="22"/>
          <w:szCs w:val="22"/>
        </w:rPr>
        <w:t xml:space="preserve"> sodný</w:t>
      </w:r>
      <w:r w:rsidRPr="0098131E">
        <w:rPr>
          <w:sz w:val="22"/>
          <w:szCs w:val="22"/>
          <w:lang w:eastAsia="en-US"/>
        </w:rPr>
        <w:t>* a polysorbát 80*</w:t>
      </w:r>
      <w:r w:rsidRPr="0098131E">
        <w:rPr>
          <w:sz w:val="22"/>
          <w:szCs w:val="22"/>
        </w:rPr>
        <w:t>.</w:t>
      </w:r>
    </w:p>
    <w:p w:rsidR="006418DC" w:rsidRPr="0098131E" w:rsidRDefault="006418DC" w:rsidP="006418DC">
      <w:pPr>
        <w:ind w:left="567"/>
        <w:rPr>
          <w:sz w:val="22"/>
          <w:szCs w:val="22"/>
        </w:rPr>
      </w:pPr>
      <w:r w:rsidRPr="0098131E">
        <w:rPr>
          <w:i/>
          <w:sz w:val="22"/>
          <w:szCs w:val="22"/>
        </w:rPr>
        <w:t>Filmový obal:</w:t>
      </w:r>
      <w:r w:rsidRPr="0098131E">
        <w:rPr>
          <w:sz w:val="22"/>
          <w:szCs w:val="22"/>
        </w:rPr>
        <w:t xml:space="preserve"> polyvinylalkohol (E1203), oxid titaničitý (E171), makrogol 3350 (E1521), karmín (E120), oranžová žlť</w:t>
      </w:r>
      <w:r w:rsidR="005F6F11">
        <w:rPr>
          <w:sz w:val="22"/>
          <w:szCs w:val="22"/>
        </w:rPr>
        <w:t>,</w:t>
      </w:r>
      <w:r w:rsidRPr="0098131E">
        <w:rPr>
          <w:sz w:val="22"/>
          <w:szCs w:val="22"/>
        </w:rPr>
        <w:t xml:space="preserve"> hlinitý lak (E110).</w:t>
      </w:r>
    </w:p>
    <w:p w:rsidR="006418DC" w:rsidRPr="0098131E" w:rsidRDefault="006418DC" w:rsidP="006418DC">
      <w:pPr>
        <w:ind w:left="567"/>
        <w:rPr>
          <w:sz w:val="22"/>
          <w:szCs w:val="22"/>
        </w:rPr>
      </w:pPr>
    </w:p>
    <w:p w:rsidR="006418DC" w:rsidRPr="009B0118" w:rsidRDefault="006418DC" w:rsidP="006418D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i/>
          <w:noProof/>
          <w:sz w:val="22"/>
          <w:szCs w:val="22"/>
          <w:lang w:val="en-GB" w:eastAsia="en-US"/>
        </w:rPr>
      </w:pPr>
      <w:r w:rsidRPr="009B0118">
        <w:rPr>
          <w:noProof/>
          <w:sz w:val="22"/>
          <w:szCs w:val="22"/>
          <w:lang w:val="en-GB" w:eastAsia="en-US"/>
        </w:rPr>
        <w:t xml:space="preserve">Ďalšie zložky sú: Abrea </w:t>
      </w:r>
      <w:r w:rsidRPr="009B0118">
        <w:rPr>
          <w:bCs/>
          <w:noProof/>
          <w:sz w:val="22"/>
          <w:szCs w:val="22"/>
          <w:lang w:val="en-GB" w:eastAsia="en-US"/>
        </w:rPr>
        <w:t>100 mg</w:t>
      </w:r>
      <w:r w:rsidRPr="009B0118">
        <w:rPr>
          <w:noProof/>
          <w:sz w:val="22"/>
          <w:szCs w:val="22"/>
          <w:lang w:val="en-GB" w:eastAsia="en-US"/>
        </w:rPr>
        <w:t>:</w:t>
      </w:r>
    </w:p>
    <w:p w:rsidR="006418DC" w:rsidRPr="009B0118" w:rsidRDefault="006418DC" w:rsidP="006418DC">
      <w:pPr>
        <w:ind w:left="567"/>
        <w:rPr>
          <w:i/>
          <w:sz w:val="22"/>
          <w:szCs w:val="22"/>
          <w:u w:val="single"/>
        </w:rPr>
      </w:pPr>
      <w:r w:rsidRPr="009B0118">
        <w:rPr>
          <w:i/>
          <w:sz w:val="22"/>
          <w:szCs w:val="22"/>
          <w:u w:val="single"/>
        </w:rPr>
        <w:t xml:space="preserve">Jadro tablety: </w:t>
      </w:r>
      <w:r w:rsidRPr="009B0118">
        <w:rPr>
          <w:sz w:val="22"/>
          <w:szCs w:val="22"/>
        </w:rPr>
        <w:t>monohydrát laktózy</w:t>
      </w:r>
      <w:r w:rsidRPr="009B0118">
        <w:rPr>
          <w:i/>
          <w:sz w:val="22"/>
          <w:szCs w:val="22"/>
        </w:rPr>
        <w:t xml:space="preserve">, </w:t>
      </w:r>
      <w:r w:rsidRPr="009B0118">
        <w:rPr>
          <w:sz w:val="22"/>
          <w:szCs w:val="22"/>
        </w:rPr>
        <w:t>mikrokryštalická celulóza, koloidný oxid kremičitý bezvodý, zemiakový škrob</w:t>
      </w:r>
    </w:p>
    <w:p w:rsidR="006418DC" w:rsidRPr="0098131E" w:rsidRDefault="006418DC" w:rsidP="006418DC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/>
        </w:rPr>
      </w:pPr>
      <w:proofErr w:type="spellStart"/>
      <w:r w:rsidRPr="009B0118">
        <w:rPr>
          <w:i/>
          <w:iCs/>
          <w:sz w:val="22"/>
          <w:szCs w:val="22"/>
          <w:u w:val="single"/>
          <w:lang w:val="en-GB"/>
        </w:rPr>
        <w:t>Filmový</w:t>
      </w:r>
      <w:proofErr w:type="spellEnd"/>
      <w:r w:rsidRPr="009B0118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9B0118">
        <w:rPr>
          <w:i/>
          <w:iCs/>
          <w:sz w:val="22"/>
          <w:szCs w:val="22"/>
          <w:u w:val="single"/>
          <w:lang w:val="en-GB"/>
        </w:rPr>
        <w:t>obal</w:t>
      </w:r>
      <w:proofErr w:type="spellEnd"/>
      <w:r w:rsidRPr="009B0118">
        <w:rPr>
          <w:sz w:val="22"/>
          <w:szCs w:val="22"/>
        </w:rPr>
        <w:t xml:space="preserve">: mastenec, triacetín, </w:t>
      </w:r>
      <w:r w:rsidR="00B07E48">
        <w:rPr>
          <w:sz w:val="22"/>
          <w:szCs w:val="22"/>
        </w:rPr>
        <w:t>30 % disperzia</w:t>
      </w:r>
      <w:r w:rsidR="00B07E48" w:rsidRPr="00B07E48">
        <w:rPr>
          <w:sz w:val="22"/>
          <w:szCs w:val="22"/>
        </w:rPr>
        <w:t xml:space="preserve"> </w:t>
      </w:r>
      <w:r w:rsidRPr="009B0118">
        <w:rPr>
          <w:sz w:val="22"/>
          <w:szCs w:val="22"/>
        </w:rPr>
        <w:t>kopolymér</w:t>
      </w:r>
      <w:r w:rsidR="00B07E48">
        <w:rPr>
          <w:sz w:val="22"/>
          <w:szCs w:val="22"/>
        </w:rPr>
        <w:t>u</w:t>
      </w:r>
      <w:r w:rsidRPr="009B0118">
        <w:rPr>
          <w:sz w:val="22"/>
          <w:szCs w:val="22"/>
        </w:rPr>
        <w:t xml:space="preserve"> kyseliny metakrylovej </w:t>
      </w:r>
      <w:r w:rsidR="00B07E48">
        <w:rPr>
          <w:sz w:val="22"/>
          <w:szCs w:val="22"/>
        </w:rPr>
        <w:t>s </w:t>
      </w:r>
      <w:r w:rsidRPr="009B0118">
        <w:rPr>
          <w:sz w:val="22"/>
          <w:szCs w:val="22"/>
        </w:rPr>
        <w:t>etylakrylát</w:t>
      </w:r>
      <w:r w:rsidR="00B07E48">
        <w:rPr>
          <w:sz w:val="22"/>
          <w:szCs w:val="22"/>
        </w:rPr>
        <w:t>om</w:t>
      </w:r>
      <w:r w:rsidRPr="009B0118">
        <w:rPr>
          <w:sz w:val="22"/>
          <w:szCs w:val="22"/>
        </w:rPr>
        <w:t xml:space="preserve"> (1:1), dodecyls</w:t>
      </w:r>
      <w:r w:rsidR="005F6F11">
        <w:rPr>
          <w:sz w:val="22"/>
          <w:szCs w:val="22"/>
        </w:rPr>
        <w:t>íran</w:t>
      </w:r>
      <w:r w:rsidRPr="009B0118">
        <w:rPr>
          <w:sz w:val="22"/>
          <w:szCs w:val="22"/>
        </w:rPr>
        <w:t xml:space="preserve"> sodný *, polysorbát</w:t>
      </w:r>
      <w:r w:rsidRPr="009B0118">
        <w:rPr>
          <w:sz w:val="22"/>
          <w:szCs w:val="22"/>
          <w:lang w:eastAsia="en-US"/>
        </w:rPr>
        <w:t xml:space="preserve"> 80*</w:t>
      </w:r>
    </w:p>
    <w:p w:rsidR="006418DC" w:rsidRPr="009B0118" w:rsidRDefault="006418DC" w:rsidP="006418DC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en-GB"/>
        </w:rPr>
      </w:pPr>
    </w:p>
    <w:p w:rsidR="006418DC" w:rsidRPr="009B0118" w:rsidRDefault="006418DC" w:rsidP="006418D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i/>
          <w:noProof/>
          <w:sz w:val="22"/>
          <w:szCs w:val="22"/>
          <w:lang w:val="en-GB" w:eastAsia="en-US"/>
        </w:rPr>
      </w:pPr>
      <w:r w:rsidRPr="009B0118">
        <w:rPr>
          <w:noProof/>
          <w:sz w:val="22"/>
          <w:szCs w:val="22"/>
          <w:lang w:val="en-GB" w:eastAsia="en-US"/>
        </w:rPr>
        <w:t>Ďalšie zložky sú: Abrea</w:t>
      </w:r>
      <w:r w:rsidRPr="009B0118">
        <w:rPr>
          <w:bCs/>
          <w:noProof/>
          <w:sz w:val="22"/>
          <w:szCs w:val="22"/>
          <w:lang w:val="en-GB" w:eastAsia="en-US"/>
        </w:rPr>
        <w:t xml:space="preserve"> 160 mg</w:t>
      </w:r>
      <w:r w:rsidRPr="009B0118">
        <w:rPr>
          <w:noProof/>
          <w:sz w:val="22"/>
          <w:szCs w:val="22"/>
          <w:lang w:val="en-GB" w:eastAsia="en-US"/>
        </w:rPr>
        <w:t>:</w:t>
      </w:r>
    </w:p>
    <w:p w:rsidR="006418DC" w:rsidRPr="009B0118" w:rsidRDefault="00B07E48" w:rsidP="006418DC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/>
        </w:rPr>
      </w:pPr>
      <w:proofErr w:type="spellStart"/>
      <w:r>
        <w:rPr>
          <w:i/>
          <w:iCs/>
          <w:sz w:val="22"/>
          <w:szCs w:val="22"/>
          <w:u w:val="single"/>
          <w:lang w:val="en-GB"/>
        </w:rPr>
        <w:t>Jadro</w:t>
      </w:r>
      <w:proofErr w:type="spellEnd"/>
      <w:r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i/>
          <w:iCs/>
          <w:sz w:val="22"/>
          <w:szCs w:val="22"/>
          <w:u w:val="single"/>
          <w:lang w:val="en-GB"/>
        </w:rPr>
        <w:t>tablety</w:t>
      </w:r>
      <w:proofErr w:type="spellEnd"/>
      <w:r w:rsidR="006418DC" w:rsidRPr="009B0118">
        <w:rPr>
          <w:i/>
          <w:iCs/>
          <w:sz w:val="22"/>
          <w:szCs w:val="22"/>
          <w:u w:val="single"/>
          <w:lang w:val="en-GB"/>
        </w:rPr>
        <w:t xml:space="preserve">: </w:t>
      </w:r>
      <w:r w:rsidR="006418DC" w:rsidRPr="009B0118">
        <w:rPr>
          <w:sz w:val="22"/>
          <w:szCs w:val="22"/>
        </w:rPr>
        <w:t xml:space="preserve">monohydrát laktózy, mikrokryštalická celulóza, koloidný oxid kremičitý bezvodý, zemiakový škrob, mastenec, triacetín, </w:t>
      </w:r>
      <w:r>
        <w:rPr>
          <w:sz w:val="22"/>
          <w:szCs w:val="22"/>
        </w:rPr>
        <w:t>30 % disperzia</w:t>
      </w:r>
      <w:r w:rsidRPr="00B07E48">
        <w:rPr>
          <w:sz w:val="22"/>
          <w:szCs w:val="22"/>
        </w:rPr>
        <w:t xml:space="preserve"> </w:t>
      </w:r>
      <w:r w:rsidR="006418DC" w:rsidRPr="009B0118">
        <w:rPr>
          <w:sz w:val="22"/>
          <w:szCs w:val="22"/>
        </w:rPr>
        <w:t>kopolymér</w:t>
      </w:r>
      <w:r>
        <w:rPr>
          <w:sz w:val="22"/>
          <w:szCs w:val="22"/>
        </w:rPr>
        <w:t>u</w:t>
      </w:r>
      <w:r w:rsidR="006418DC" w:rsidRPr="009B0118">
        <w:rPr>
          <w:sz w:val="22"/>
          <w:szCs w:val="22"/>
        </w:rPr>
        <w:t xml:space="preserve"> kyseliny metakrylovej </w:t>
      </w:r>
      <w:r>
        <w:rPr>
          <w:sz w:val="22"/>
          <w:szCs w:val="22"/>
        </w:rPr>
        <w:t>s</w:t>
      </w:r>
      <w:r w:rsidR="006418DC" w:rsidRPr="009B0118">
        <w:rPr>
          <w:sz w:val="22"/>
          <w:szCs w:val="22"/>
        </w:rPr>
        <w:t xml:space="preserve"> etylakrylát</w:t>
      </w:r>
      <w:r>
        <w:rPr>
          <w:sz w:val="22"/>
          <w:szCs w:val="22"/>
        </w:rPr>
        <w:t>om</w:t>
      </w:r>
      <w:r w:rsidR="006418DC" w:rsidRPr="009B0118">
        <w:rPr>
          <w:sz w:val="22"/>
          <w:szCs w:val="22"/>
        </w:rPr>
        <w:t xml:space="preserve"> (1:1), dodecyls</w:t>
      </w:r>
      <w:r w:rsidR="005F6F11">
        <w:rPr>
          <w:sz w:val="22"/>
          <w:szCs w:val="22"/>
        </w:rPr>
        <w:t>íran</w:t>
      </w:r>
      <w:r w:rsidR="006418DC" w:rsidRPr="009B0118">
        <w:rPr>
          <w:sz w:val="22"/>
          <w:szCs w:val="22"/>
        </w:rPr>
        <w:t xml:space="preserve"> sodný *, polysorbát 80*</w:t>
      </w:r>
    </w:p>
    <w:p w:rsidR="006418DC" w:rsidRPr="00FA469B" w:rsidRDefault="006418DC" w:rsidP="006418DC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/>
        </w:rPr>
      </w:pPr>
      <w:proofErr w:type="spellStart"/>
      <w:r w:rsidRPr="009B0118">
        <w:rPr>
          <w:i/>
          <w:iCs/>
          <w:sz w:val="22"/>
          <w:szCs w:val="22"/>
          <w:u w:val="single"/>
          <w:lang w:val="en-GB"/>
        </w:rPr>
        <w:t>Filmový</w:t>
      </w:r>
      <w:proofErr w:type="spellEnd"/>
      <w:r w:rsidRPr="009B0118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9B0118">
        <w:rPr>
          <w:i/>
          <w:iCs/>
          <w:sz w:val="22"/>
          <w:szCs w:val="22"/>
          <w:u w:val="single"/>
          <w:lang w:val="en-GB"/>
        </w:rPr>
        <w:t>obal</w:t>
      </w:r>
      <w:proofErr w:type="spellEnd"/>
      <w:r w:rsidRPr="009B0118">
        <w:rPr>
          <w:sz w:val="22"/>
          <w:szCs w:val="22"/>
        </w:rPr>
        <w:t>: polyvinylalkohol (E1203), oxid titaničitý (E171), makrogol 3350 (E1521), sójový lecitín (E322), žltý oxid železitý (E172)</w:t>
      </w:r>
    </w:p>
    <w:p w:rsidR="006418DC" w:rsidRPr="00FA469B" w:rsidRDefault="006418DC" w:rsidP="006418DC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6418DC" w:rsidRPr="00FA469B" w:rsidRDefault="006418DC" w:rsidP="006418DC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en-US" w:eastAsia="es-ES"/>
        </w:rPr>
      </w:pPr>
      <w:r w:rsidRPr="00FA469B">
        <w:rPr>
          <w:sz w:val="22"/>
          <w:szCs w:val="22"/>
          <w:lang w:eastAsia="en-US"/>
        </w:rPr>
        <w:t>*</w:t>
      </w:r>
      <w:r w:rsidRPr="00FA469B">
        <w:rPr>
          <w:sz w:val="22"/>
          <w:szCs w:val="22"/>
          <w:lang w:eastAsia="en-US"/>
        </w:rPr>
        <w:tab/>
        <w:t>Môže obsahovať dodecyls</w:t>
      </w:r>
      <w:r w:rsidR="005F6F11">
        <w:rPr>
          <w:sz w:val="22"/>
          <w:szCs w:val="22"/>
          <w:lang w:eastAsia="en-US"/>
        </w:rPr>
        <w:t>íran</w:t>
      </w:r>
      <w:r w:rsidRPr="00FA469B">
        <w:rPr>
          <w:sz w:val="22"/>
          <w:szCs w:val="22"/>
          <w:lang w:eastAsia="en-US"/>
        </w:rPr>
        <w:t xml:space="preserve"> a polysorbát</w:t>
      </w:r>
      <w:r w:rsidRPr="00FA469B">
        <w:rPr>
          <w:sz w:val="22"/>
          <w:szCs w:val="22"/>
          <w:lang w:val="en-US" w:eastAsia="es-ES"/>
        </w:rPr>
        <w:t xml:space="preserve"> 80</w:t>
      </w:r>
    </w:p>
    <w:p w:rsidR="006418DC" w:rsidRPr="00FA469B" w:rsidRDefault="006418DC" w:rsidP="006418DC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z w:val="22"/>
          <w:szCs w:val="22"/>
          <w:lang w:eastAsia="en-US"/>
        </w:rPr>
      </w:pPr>
    </w:p>
    <w:p w:rsidR="006418DC" w:rsidRDefault="006418DC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FA469B">
        <w:rPr>
          <w:b/>
          <w:bCs/>
          <w:noProof/>
          <w:sz w:val="22"/>
          <w:szCs w:val="22"/>
          <w:lang w:val="en-GB" w:eastAsia="en-US"/>
        </w:rPr>
        <w:t>Ako vyzerá Abrea a obsah balenia</w:t>
      </w:r>
    </w:p>
    <w:p w:rsidR="006243C9" w:rsidRPr="00FA469B" w:rsidRDefault="006243C9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</w:p>
    <w:p w:rsidR="00FA40B7" w:rsidRDefault="006418DC" w:rsidP="006418DC">
      <w:pPr>
        <w:jc w:val="both"/>
        <w:rPr>
          <w:sz w:val="22"/>
          <w:szCs w:val="22"/>
        </w:rPr>
      </w:pPr>
      <w:r w:rsidRPr="009B0118">
        <w:rPr>
          <w:bCs/>
          <w:i/>
          <w:noProof/>
          <w:sz w:val="22"/>
          <w:szCs w:val="22"/>
          <w:lang w:val="en-GB" w:eastAsia="en-US"/>
        </w:rPr>
        <w:t xml:space="preserve">Abrea 75 mg: </w:t>
      </w:r>
      <w:r w:rsidRPr="006243C9">
        <w:rPr>
          <w:sz w:val="22"/>
          <w:szCs w:val="22"/>
        </w:rPr>
        <w:t>ružové</w:t>
      </w:r>
      <w:r w:rsidR="006243C9">
        <w:rPr>
          <w:sz w:val="22"/>
          <w:szCs w:val="22"/>
        </w:rPr>
        <w:t>,</w:t>
      </w:r>
      <w:r w:rsidRPr="006243C9">
        <w:rPr>
          <w:sz w:val="22"/>
          <w:szCs w:val="22"/>
        </w:rPr>
        <w:t xml:space="preserve"> okrúhle</w:t>
      </w:r>
      <w:r w:rsidR="006243C9">
        <w:rPr>
          <w:sz w:val="22"/>
          <w:szCs w:val="22"/>
        </w:rPr>
        <w:t>,</w:t>
      </w:r>
      <w:r w:rsidRPr="006243C9">
        <w:rPr>
          <w:sz w:val="22"/>
          <w:szCs w:val="22"/>
        </w:rPr>
        <w:t xml:space="preserve"> </w:t>
      </w:r>
      <w:r w:rsidR="006243C9">
        <w:rPr>
          <w:sz w:val="22"/>
          <w:szCs w:val="22"/>
        </w:rPr>
        <w:t>z oboch strán vypukl</w:t>
      </w:r>
      <w:r w:rsidRPr="006243C9">
        <w:rPr>
          <w:sz w:val="22"/>
          <w:szCs w:val="22"/>
        </w:rPr>
        <w:t xml:space="preserve">é filmom obalené tablety s priemerom okolo </w:t>
      </w:r>
    </w:p>
    <w:p w:rsidR="006418DC" w:rsidRPr="006243C9" w:rsidRDefault="006418DC" w:rsidP="006418DC">
      <w:pPr>
        <w:jc w:val="both"/>
        <w:rPr>
          <w:sz w:val="22"/>
          <w:szCs w:val="22"/>
          <w:u w:val="single"/>
        </w:rPr>
      </w:pPr>
      <w:r w:rsidRPr="006243C9">
        <w:rPr>
          <w:sz w:val="22"/>
          <w:szCs w:val="22"/>
        </w:rPr>
        <w:t>7,2 mm.</w:t>
      </w:r>
    </w:p>
    <w:p w:rsidR="00FA40B7" w:rsidRDefault="006418DC" w:rsidP="006418DC">
      <w:pPr>
        <w:jc w:val="both"/>
        <w:rPr>
          <w:sz w:val="22"/>
          <w:szCs w:val="22"/>
        </w:rPr>
      </w:pPr>
      <w:r w:rsidRPr="009B0118">
        <w:rPr>
          <w:bCs/>
          <w:i/>
          <w:noProof/>
          <w:sz w:val="22"/>
          <w:szCs w:val="22"/>
          <w:lang w:val="en-GB" w:eastAsia="en-US"/>
        </w:rPr>
        <w:t xml:space="preserve">Abrea 100 mg: </w:t>
      </w:r>
      <w:r w:rsidRPr="009B0118">
        <w:rPr>
          <w:sz w:val="22"/>
          <w:szCs w:val="22"/>
        </w:rPr>
        <w:t>biele</w:t>
      </w:r>
      <w:r w:rsidR="00EE50E1">
        <w:rPr>
          <w:sz w:val="22"/>
          <w:szCs w:val="22"/>
        </w:rPr>
        <w:t>,</w:t>
      </w:r>
      <w:r w:rsidRPr="009B0118">
        <w:rPr>
          <w:sz w:val="22"/>
          <w:szCs w:val="22"/>
        </w:rPr>
        <w:t xml:space="preserve"> okrúhle</w:t>
      </w:r>
      <w:r w:rsidR="00EE50E1">
        <w:rPr>
          <w:sz w:val="22"/>
          <w:szCs w:val="22"/>
        </w:rPr>
        <w:t>,</w:t>
      </w:r>
      <w:r w:rsidRPr="009B0118">
        <w:rPr>
          <w:sz w:val="22"/>
          <w:szCs w:val="22"/>
        </w:rPr>
        <w:t xml:space="preserve"> </w:t>
      </w:r>
      <w:r w:rsidR="006243C9">
        <w:rPr>
          <w:sz w:val="22"/>
          <w:szCs w:val="22"/>
        </w:rPr>
        <w:t>z oboch strán vypukl</w:t>
      </w:r>
      <w:r w:rsidR="006243C9" w:rsidRPr="006243C9">
        <w:rPr>
          <w:sz w:val="22"/>
          <w:szCs w:val="22"/>
        </w:rPr>
        <w:t>é</w:t>
      </w:r>
      <w:r w:rsidRPr="009B0118">
        <w:rPr>
          <w:sz w:val="22"/>
          <w:szCs w:val="22"/>
        </w:rPr>
        <w:t xml:space="preserve"> filmom obalené tablety s priemerom okolo </w:t>
      </w:r>
    </w:p>
    <w:p w:rsidR="006418DC" w:rsidRPr="009B0118" w:rsidRDefault="006418DC" w:rsidP="006418DC">
      <w:pPr>
        <w:jc w:val="both"/>
        <w:rPr>
          <w:sz w:val="22"/>
          <w:szCs w:val="22"/>
          <w:u w:val="single"/>
        </w:rPr>
      </w:pPr>
      <w:r w:rsidRPr="009B0118">
        <w:rPr>
          <w:sz w:val="22"/>
          <w:szCs w:val="22"/>
        </w:rPr>
        <w:t>8,1 mm.</w:t>
      </w:r>
    </w:p>
    <w:p w:rsidR="00FA40B7" w:rsidRDefault="006418DC" w:rsidP="006418DC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0118">
        <w:rPr>
          <w:bCs/>
          <w:i/>
          <w:noProof/>
          <w:sz w:val="22"/>
          <w:szCs w:val="22"/>
          <w:lang w:val="en-GB" w:eastAsia="en-US"/>
        </w:rPr>
        <w:t xml:space="preserve">Abrea 160 mg: </w:t>
      </w:r>
      <w:r w:rsidRPr="009B0118">
        <w:rPr>
          <w:sz w:val="22"/>
          <w:szCs w:val="22"/>
        </w:rPr>
        <w:t>žlté</w:t>
      </w:r>
      <w:r w:rsidR="00EE50E1">
        <w:rPr>
          <w:sz w:val="22"/>
          <w:szCs w:val="22"/>
        </w:rPr>
        <w:t>,</w:t>
      </w:r>
      <w:r w:rsidRPr="009B0118">
        <w:rPr>
          <w:sz w:val="22"/>
          <w:szCs w:val="22"/>
        </w:rPr>
        <w:t xml:space="preserve"> okrúhle</w:t>
      </w:r>
      <w:r w:rsidR="00EE50E1">
        <w:rPr>
          <w:sz w:val="22"/>
          <w:szCs w:val="22"/>
        </w:rPr>
        <w:t>,</w:t>
      </w:r>
      <w:r w:rsidRPr="009B0118">
        <w:rPr>
          <w:sz w:val="22"/>
          <w:szCs w:val="22"/>
        </w:rPr>
        <w:t xml:space="preserve"> </w:t>
      </w:r>
      <w:r w:rsidR="006243C9">
        <w:rPr>
          <w:sz w:val="22"/>
          <w:szCs w:val="22"/>
        </w:rPr>
        <w:t>z oboch strán vypukl</w:t>
      </w:r>
      <w:r w:rsidR="006243C9" w:rsidRPr="006243C9">
        <w:rPr>
          <w:sz w:val="22"/>
          <w:szCs w:val="22"/>
        </w:rPr>
        <w:t>é</w:t>
      </w:r>
      <w:r w:rsidRPr="009B0118">
        <w:rPr>
          <w:sz w:val="22"/>
          <w:szCs w:val="22"/>
        </w:rPr>
        <w:t xml:space="preserve"> filmom obalené tablety s priemerom okolo </w:t>
      </w:r>
    </w:p>
    <w:p w:rsidR="006418DC" w:rsidRPr="009B0118" w:rsidRDefault="006418DC" w:rsidP="006418DC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0118">
        <w:rPr>
          <w:sz w:val="22"/>
          <w:szCs w:val="22"/>
        </w:rPr>
        <w:t>9,2 mm.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FA469B">
        <w:rPr>
          <w:noProof/>
          <w:sz w:val="22"/>
          <w:szCs w:val="22"/>
          <w:lang w:val="en-GB" w:eastAsia="en-US"/>
        </w:rPr>
        <w:t>Veľkosti balenia: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en-GB" w:eastAsia="en-US"/>
        </w:rPr>
      </w:pPr>
      <w:r w:rsidRPr="00FA469B">
        <w:rPr>
          <w:sz w:val="22"/>
          <w:szCs w:val="22"/>
        </w:rPr>
        <w:t xml:space="preserve">Blistre: </w:t>
      </w:r>
      <w:r w:rsidRPr="00FA469B">
        <w:rPr>
          <w:bCs/>
          <w:sz w:val="22"/>
          <w:szCs w:val="22"/>
          <w:lang w:val="en-GB"/>
        </w:rPr>
        <w:t>20,</w:t>
      </w:r>
      <w:r w:rsidRPr="00FA469B">
        <w:rPr>
          <w:b/>
          <w:bCs/>
          <w:sz w:val="22"/>
          <w:szCs w:val="22"/>
          <w:lang w:val="en-GB"/>
        </w:rPr>
        <w:t xml:space="preserve"> </w:t>
      </w:r>
      <w:r w:rsidRPr="00FA469B">
        <w:rPr>
          <w:sz w:val="22"/>
          <w:szCs w:val="22"/>
          <w:lang w:val="en-GB"/>
        </w:rPr>
        <w:t>28, 30, 50, 56, 60, 84, 90 a 100</w:t>
      </w:r>
      <w:r w:rsidRPr="00FA469B">
        <w:rPr>
          <w:color w:val="0070C0"/>
          <w:sz w:val="22"/>
          <w:szCs w:val="22"/>
          <w:lang w:val="en-GB"/>
        </w:rPr>
        <w:t xml:space="preserve"> </w:t>
      </w:r>
      <w:r w:rsidRPr="00FA469B">
        <w:rPr>
          <w:sz w:val="22"/>
          <w:szCs w:val="22"/>
        </w:rPr>
        <w:t>gastrorezistentných tabliet.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en-GB" w:eastAsia="en-US"/>
        </w:rPr>
      </w:pP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  <w:r w:rsidRPr="00FA469B">
        <w:rPr>
          <w:sz w:val="22"/>
          <w:szCs w:val="22"/>
        </w:rPr>
        <w:t>Na trh nemusia byť uvedené všetky veľkosti balenia</w:t>
      </w:r>
      <w:r w:rsidRPr="00FA469B">
        <w:rPr>
          <w:noProof/>
          <w:sz w:val="22"/>
          <w:szCs w:val="22"/>
          <w:lang w:val="en-GB" w:eastAsia="en-US"/>
        </w:rPr>
        <w:t>.</w:t>
      </w:r>
    </w:p>
    <w:p w:rsidR="006418DC" w:rsidRPr="00FA469B" w:rsidRDefault="006418DC" w:rsidP="006418D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en-GB" w:eastAsia="en-US"/>
        </w:rPr>
      </w:pPr>
    </w:p>
    <w:p w:rsidR="00775A9E" w:rsidRDefault="006418DC" w:rsidP="006418D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A469B">
        <w:rPr>
          <w:b/>
          <w:sz w:val="22"/>
          <w:szCs w:val="22"/>
        </w:rPr>
        <w:t>Držiteľ rozhodnutia o registrácii</w:t>
      </w:r>
    </w:p>
    <w:p w:rsidR="006418DC" w:rsidRDefault="006418DC" w:rsidP="009B011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418DC" w:rsidRDefault="006418DC" w:rsidP="006418DC">
      <w:pPr>
        <w:rPr>
          <w:sz w:val="22"/>
          <w:szCs w:val="22"/>
        </w:rPr>
      </w:pPr>
      <w:r>
        <w:rPr>
          <w:sz w:val="22"/>
          <w:szCs w:val="22"/>
        </w:rPr>
        <w:t>KRKA, d.d., Novo mesto</w:t>
      </w:r>
    </w:p>
    <w:p w:rsidR="006418DC" w:rsidRDefault="006418DC" w:rsidP="006418DC">
      <w:pPr>
        <w:rPr>
          <w:sz w:val="22"/>
          <w:szCs w:val="22"/>
        </w:rPr>
      </w:pPr>
      <w:r>
        <w:rPr>
          <w:sz w:val="22"/>
          <w:szCs w:val="22"/>
        </w:rPr>
        <w:t>Šmarješka cesta 6</w:t>
      </w:r>
    </w:p>
    <w:p w:rsidR="006418DC" w:rsidRDefault="006418DC" w:rsidP="006418DC">
      <w:pPr>
        <w:rPr>
          <w:sz w:val="22"/>
          <w:szCs w:val="22"/>
        </w:rPr>
      </w:pPr>
      <w:r>
        <w:rPr>
          <w:sz w:val="22"/>
          <w:szCs w:val="22"/>
        </w:rPr>
        <w:t>8501 Novo mesto</w:t>
      </w:r>
    </w:p>
    <w:p w:rsidR="006418DC" w:rsidRDefault="006418DC" w:rsidP="006418DC">
      <w:pPr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775A9E" w:rsidRDefault="00775A9E" w:rsidP="00775A9E">
      <w:pPr>
        <w:rPr>
          <w:b/>
          <w:sz w:val="22"/>
          <w:szCs w:val="22"/>
        </w:rPr>
      </w:pPr>
      <w:r w:rsidRPr="009B0118">
        <w:rPr>
          <w:b/>
          <w:sz w:val="22"/>
          <w:szCs w:val="22"/>
        </w:rPr>
        <w:lastRenderedPageBreak/>
        <w:t>Výrobca</w:t>
      </w:r>
    </w:p>
    <w:p w:rsidR="00775A9E" w:rsidRPr="009B0118" w:rsidRDefault="00775A9E" w:rsidP="00775A9E">
      <w:pPr>
        <w:rPr>
          <w:b/>
          <w:sz w:val="22"/>
          <w:szCs w:val="22"/>
        </w:rPr>
      </w:pPr>
    </w:p>
    <w:p w:rsidR="00775A9E" w:rsidRDefault="00775A9E" w:rsidP="00775A9E">
      <w:pPr>
        <w:rPr>
          <w:sz w:val="22"/>
          <w:szCs w:val="22"/>
        </w:rPr>
      </w:pPr>
      <w:r>
        <w:rPr>
          <w:sz w:val="22"/>
          <w:szCs w:val="22"/>
        </w:rPr>
        <w:t>KRKA, d.d., Novo mesto</w:t>
      </w:r>
    </w:p>
    <w:p w:rsidR="00775A9E" w:rsidRDefault="00775A9E" w:rsidP="00775A9E">
      <w:pPr>
        <w:rPr>
          <w:sz w:val="22"/>
          <w:szCs w:val="22"/>
        </w:rPr>
      </w:pPr>
      <w:r>
        <w:rPr>
          <w:sz w:val="22"/>
          <w:szCs w:val="22"/>
        </w:rPr>
        <w:t>Šmarješka cesta 6</w:t>
      </w:r>
    </w:p>
    <w:p w:rsidR="00775A9E" w:rsidRDefault="00775A9E" w:rsidP="00775A9E">
      <w:pPr>
        <w:rPr>
          <w:sz w:val="22"/>
          <w:szCs w:val="22"/>
        </w:rPr>
      </w:pPr>
      <w:r>
        <w:rPr>
          <w:sz w:val="22"/>
          <w:szCs w:val="22"/>
        </w:rPr>
        <w:t>8501 Novo mesto</w:t>
      </w:r>
    </w:p>
    <w:p w:rsidR="00775A9E" w:rsidRDefault="00775A9E" w:rsidP="00775A9E">
      <w:pPr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775A9E" w:rsidRDefault="00775A9E" w:rsidP="00775A9E">
      <w:pPr>
        <w:rPr>
          <w:sz w:val="22"/>
          <w:szCs w:val="22"/>
        </w:rPr>
      </w:pPr>
    </w:p>
    <w:p w:rsidR="00FA40B7" w:rsidRPr="00FA40B7" w:rsidRDefault="00FA40B7" w:rsidP="006418DC">
      <w:pPr>
        <w:rPr>
          <w:sz w:val="22"/>
          <w:szCs w:val="22"/>
        </w:rPr>
      </w:pPr>
      <w:r w:rsidRPr="00FA40B7">
        <w:rPr>
          <w:sz w:val="22"/>
          <w:szCs w:val="22"/>
        </w:rPr>
        <w:t>TAD Pharma GmbH</w:t>
      </w:r>
    </w:p>
    <w:p w:rsidR="00FA40B7" w:rsidRDefault="00FA40B7" w:rsidP="006418DC">
      <w:pPr>
        <w:rPr>
          <w:sz w:val="22"/>
          <w:szCs w:val="22"/>
        </w:rPr>
      </w:pPr>
      <w:r w:rsidRPr="00FA40B7">
        <w:rPr>
          <w:sz w:val="22"/>
          <w:szCs w:val="22"/>
        </w:rPr>
        <w:t>Heinz-Lohmann-Straße 5</w:t>
      </w:r>
    </w:p>
    <w:p w:rsidR="00FA40B7" w:rsidRDefault="00FA40B7" w:rsidP="006418DC">
      <w:pPr>
        <w:rPr>
          <w:sz w:val="22"/>
          <w:szCs w:val="22"/>
        </w:rPr>
      </w:pPr>
      <w:r>
        <w:rPr>
          <w:sz w:val="22"/>
          <w:szCs w:val="22"/>
        </w:rPr>
        <w:t>27472 Cuxhaven</w:t>
      </w:r>
      <w:bookmarkStart w:id="2" w:name="_GoBack"/>
      <w:bookmarkEnd w:id="2"/>
    </w:p>
    <w:p w:rsidR="00FA40B7" w:rsidRDefault="00FA40B7" w:rsidP="006418DC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2D2B25" w:rsidRPr="00FA40B7" w:rsidRDefault="002D2B25" w:rsidP="006418DC">
      <w:pPr>
        <w:rPr>
          <w:sz w:val="22"/>
          <w:szCs w:val="22"/>
        </w:rPr>
      </w:pPr>
    </w:p>
    <w:p w:rsidR="004B7843" w:rsidRPr="009B0118" w:rsidRDefault="004B7843" w:rsidP="004B7843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n-GB" w:eastAsia="en-US"/>
        </w:rPr>
      </w:pPr>
      <w:r w:rsidRPr="009B0118">
        <w:rPr>
          <w:b/>
          <w:noProof/>
          <w:sz w:val="22"/>
          <w:szCs w:val="22"/>
          <w:lang w:val="en-GB" w:eastAsia="en-US"/>
        </w:rPr>
        <w:t>Liek je schválený v členských štátoch Európskeho hospodárskeho priestoru (EHP) pod nasledovnými názvami:</w:t>
      </w:r>
    </w:p>
    <w:p w:rsidR="00253D44" w:rsidRPr="009B0118" w:rsidRDefault="00253D44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  <w:lang w:val="sk-SK"/>
              </w:rPr>
            </w:pPr>
            <w:r w:rsidRPr="009B0118">
              <w:rPr>
                <w:b/>
                <w:sz w:val="22"/>
                <w:szCs w:val="22"/>
                <w:lang w:val="sk-SK"/>
              </w:rPr>
              <w:t>Názov členského štátu</w:t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  <w:lang w:val="sk-SK"/>
              </w:rPr>
            </w:pPr>
            <w:r w:rsidRPr="009B0118">
              <w:rPr>
                <w:b/>
                <w:sz w:val="22"/>
                <w:szCs w:val="22"/>
                <w:lang w:val="sk-SK"/>
              </w:rPr>
              <w:t>Názov lieku</w:t>
            </w:r>
          </w:p>
        </w:tc>
      </w:tr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noProof/>
                <w:sz w:val="22"/>
                <w:szCs w:val="22"/>
                <w:lang w:val="sk-SK" w:eastAsia="en-US"/>
              </w:rPr>
              <w:t>Česká republika</w:t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rPr>
                <w:sz w:val="22"/>
                <w:szCs w:val="22"/>
                <w:lang w:val="sk-SK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Acetylsalicylic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acid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Krka</w:t>
            </w:r>
            <w:proofErr w:type="spellEnd"/>
          </w:p>
        </w:tc>
      </w:tr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Nemecko</w:t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ASS TAD 75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protect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magensaftresistente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Tabletten</w:t>
            </w:r>
            <w:proofErr w:type="spellEnd"/>
          </w:p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ASS TAD 100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protect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magensaftresistente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Tabletten</w:t>
            </w:r>
            <w:proofErr w:type="spellEnd"/>
          </w:p>
        </w:tc>
      </w:tr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Poľsko</w:t>
            </w: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ab/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 w:val="22"/>
                <w:szCs w:val="22"/>
                <w:lang w:val="sk-SK" w:eastAsia="sk-SK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Abrea</w:t>
            </w:r>
            <w:proofErr w:type="spellEnd"/>
          </w:p>
        </w:tc>
      </w:tr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Slovenská republika</w:t>
            </w:r>
          </w:p>
        </w:tc>
        <w:tc>
          <w:tcPr>
            <w:tcW w:w="6379" w:type="dxa"/>
          </w:tcPr>
          <w:p w:rsidR="004B7843" w:rsidRPr="009B0118" w:rsidRDefault="004B7843" w:rsidP="004B7843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  <w:lang w:val="sk-SK" w:eastAsia="en-US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Abrea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75 mg</w:t>
            </w:r>
          </w:p>
          <w:p w:rsidR="004B7843" w:rsidRPr="009B0118" w:rsidRDefault="004B7843" w:rsidP="004B7843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  <w:lang w:val="sk-SK" w:eastAsia="en-US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Abrea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100 mg</w:t>
            </w:r>
          </w:p>
          <w:p w:rsidR="004B7843" w:rsidRPr="009B0118" w:rsidRDefault="004B7843" w:rsidP="004B784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Abrea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160 mg</w:t>
            </w:r>
          </w:p>
        </w:tc>
      </w:tr>
      <w:tr w:rsidR="004B7843" w:rsidRPr="004B7843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sz w:val="22"/>
                <w:szCs w:val="22"/>
                <w:lang w:val="sk-SK"/>
              </w:rPr>
              <w:t>Španielsko</w:t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Ácido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acetilsalicílico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Krka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100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comprimidos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gastroresistentes</w:t>
            </w:r>
            <w:proofErr w:type="spellEnd"/>
          </w:p>
        </w:tc>
      </w:tr>
      <w:tr w:rsidR="004B7843" w:rsidRPr="00FD5E16" w:rsidTr="00165756">
        <w:tc>
          <w:tcPr>
            <w:tcW w:w="2410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9B0118">
              <w:rPr>
                <w:noProof/>
                <w:sz w:val="22"/>
                <w:szCs w:val="22"/>
                <w:lang w:val="sk-SK" w:eastAsia="en-US"/>
              </w:rPr>
              <w:t>Švédsko</w:t>
            </w:r>
          </w:p>
        </w:tc>
        <w:tc>
          <w:tcPr>
            <w:tcW w:w="6379" w:type="dxa"/>
          </w:tcPr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  <w:lang w:val="sk-SK" w:eastAsia="en-US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Bartal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75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Enterotablett</w:t>
            </w:r>
            <w:proofErr w:type="spellEnd"/>
          </w:p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rFonts w:eastAsiaTheme="minorHAnsi"/>
                <w:sz w:val="22"/>
                <w:szCs w:val="22"/>
                <w:lang w:val="sk-SK" w:eastAsia="en-US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Bartal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100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Enterotablett</w:t>
            </w:r>
            <w:proofErr w:type="spellEnd"/>
          </w:p>
          <w:p w:rsidR="004B7843" w:rsidRPr="009B0118" w:rsidRDefault="004B7843" w:rsidP="0016575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Bartal</w:t>
            </w:r>
            <w:proofErr w:type="spellEnd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 xml:space="preserve"> 160 mg </w:t>
            </w:r>
            <w:proofErr w:type="spellStart"/>
            <w:r w:rsidRPr="009B0118">
              <w:rPr>
                <w:rFonts w:eastAsiaTheme="minorHAnsi"/>
                <w:sz w:val="22"/>
                <w:szCs w:val="22"/>
                <w:lang w:val="sk-SK" w:eastAsia="en-US"/>
              </w:rPr>
              <w:t>Enterotablett</w:t>
            </w:r>
            <w:proofErr w:type="spellEnd"/>
          </w:p>
        </w:tc>
      </w:tr>
    </w:tbl>
    <w:p w:rsidR="004B7843" w:rsidRDefault="004B7843" w:rsidP="006418DC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highlight w:val="yellow"/>
          <w:lang w:val="en-GB" w:eastAsia="en-US"/>
        </w:rPr>
      </w:pPr>
    </w:p>
    <w:p w:rsidR="006418DC" w:rsidRPr="00FA469B" w:rsidRDefault="006418DC" w:rsidP="006418D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 w:eastAsia="en-US"/>
        </w:rPr>
      </w:pPr>
      <w:r w:rsidRPr="00FA469B">
        <w:rPr>
          <w:b/>
          <w:sz w:val="22"/>
          <w:szCs w:val="22"/>
        </w:rPr>
        <w:t>Táto písomná informácia bola naposledy aktualizovaná v</w:t>
      </w:r>
      <w:r w:rsidRPr="00FA469B">
        <w:rPr>
          <w:sz w:val="22"/>
          <w:szCs w:val="22"/>
          <w:lang w:val="en-GB" w:eastAsia="en-US"/>
        </w:rPr>
        <w:t xml:space="preserve"> </w:t>
      </w:r>
      <w:r w:rsidR="00641CDF" w:rsidRPr="009B0118">
        <w:rPr>
          <w:b/>
          <w:sz w:val="22"/>
          <w:szCs w:val="22"/>
          <w:lang w:val="en-GB" w:eastAsia="en-US"/>
        </w:rPr>
        <w:t>01/2017.</w:t>
      </w:r>
    </w:p>
    <w:p w:rsidR="006418DC" w:rsidRPr="00FA469B" w:rsidRDefault="006418DC" w:rsidP="006418DC">
      <w:pPr>
        <w:rPr>
          <w:sz w:val="22"/>
          <w:szCs w:val="22"/>
        </w:rPr>
      </w:pPr>
    </w:p>
    <w:p w:rsidR="00444B38" w:rsidRDefault="00444B38"/>
    <w:sectPr w:rsidR="00444B38" w:rsidSect="009B01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04" w:rsidRDefault="00477904">
      <w:r>
        <w:separator/>
      </w:r>
    </w:p>
  </w:endnote>
  <w:endnote w:type="continuationSeparator" w:id="0">
    <w:p w:rsidR="00477904" w:rsidRDefault="004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B1" w:rsidRDefault="006418D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C5AB1" w:rsidRDefault="00477904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1977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F2C67" w:rsidRPr="009B0118" w:rsidRDefault="008F2C67">
        <w:pPr>
          <w:pStyle w:val="Pta"/>
          <w:jc w:val="center"/>
          <w:rPr>
            <w:sz w:val="18"/>
            <w:szCs w:val="18"/>
          </w:rPr>
        </w:pPr>
        <w:r w:rsidRPr="009B0118">
          <w:rPr>
            <w:sz w:val="18"/>
            <w:szCs w:val="18"/>
          </w:rPr>
          <w:fldChar w:fldCharType="begin"/>
        </w:r>
        <w:r w:rsidRPr="009B0118">
          <w:rPr>
            <w:sz w:val="18"/>
            <w:szCs w:val="18"/>
          </w:rPr>
          <w:instrText>PAGE   \* MERGEFORMAT</w:instrText>
        </w:r>
        <w:r w:rsidRPr="009B0118">
          <w:rPr>
            <w:sz w:val="18"/>
            <w:szCs w:val="18"/>
          </w:rPr>
          <w:fldChar w:fldCharType="separate"/>
        </w:r>
        <w:r w:rsidR="009B0118" w:rsidRPr="009B0118">
          <w:rPr>
            <w:noProof/>
            <w:sz w:val="18"/>
            <w:szCs w:val="18"/>
            <w:lang w:val="sk-SK"/>
          </w:rPr>
          <w:t>2</w:t>
        </w:r>
        <w:r w:rsidRPr="009B0118">
          <w:rPr>
            <w:sz w:val="18"/>
            <w:szCs w:val="18"/>
          </w:rPr>
          <w:fldChar w:fldCharType="end"/>
        </w:r>
      </w:p>
    </w:sdtContent>
  </w:sdt>
  <w:p w:rsidR="008F2C67" w:rsidRDefault="008F2C6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7948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F2C67" w:rsidRPr="009B0118" w:rsidRDefault="008F2C67">
        <w:pPr>
          <w:pStyle w:val="Pta"/>
          <w:jc w:val="center"/>
          <w:rPr>
            <w:sz w:val="18"/>
            <w:szCs w:val="18"/>
          </w:rPr>
        </w:pPr>
        <w:r w:rsidRPr="009B0118">
          <w:rPr>
            <w:sz w:val="18"/>
            <w:szCs w:val="18"/>
          </w:rPr>
          <w:fldChar w:fldCharType="begin"/>
        </w:r>
        <w:r w:rsidRPr="009B0118">
          <w:rPr>
            <w:sz w:val="18"/>
            <w:szCs w:val="18"/>
          </w:rPr>
          <w:instrText>PAGE   \* MERGEFORMAT</w:instrText>
        </w:r>
        <w:r w:rsidRPr="009B0118">
          <w:rPr>
            <w:sz w:val="18"/>
            <w:szCs w:val="18"/>
          </w:rPr>
          <w:fldChar w:fldCharType="separate"/>
        </w:r>
        <w:r w:rsidR="009B0118" w:rsidRPr="009B0118">
          <w:rPr>
            <w:noProof/>
            <w:sz w:val="18"/>
            <w:szCs w:val="18"/>
            <w:lang w:val="sk-SK"/>
          </w:rPr>
          <w:t>1</w:t>
        </w:r>
        <w:r w:rsidRPr="009B0118">
          <w:rPr>
            <w:sz w:val="18"/>
            <w:szCs w:val="18"/>
          </w:rPr>
          <w:fldChar w:fldCharType="end"/>
        </w:r>
      </w:p>
    </w:sdtContent>
  </w:sdt>
  <w:p w:rsidR="008F2C67" w:rsidRDefault="008F2C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04" w:rsidRDefault="00477904">
      <w:r>
        <w:separator/>
      </w:r>
    </w:p>
  </w:footnote>
  <w:footnote w:type="continuationSeparator" w:id="0">
    <w:p w:rsidR="00477904" w:rsidRDefault="0047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B1" w:rsidRDefault="00477904" w:rsidP="00C05838">
    <w:pPr>
      <w:spacing w:line="20" w:lineRule="exact"/>
    </w:pPr>
  </w:p>
  <w:p w:rsidR="005C5AB1" w:rsidRDefault="00477904">
    <w:pPr>
      <w:pStyle w:val="Hlavika"/>
    </w:pPr>
    <w:bookmarkStart w:id="3" w:name="TableTag1"/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67" w:rsidRDefault="008F2C67" w:rsidP="008F2C67">
    <w:pPr>
      <w:widowControl w:val="0"/>
      <w:outlineLvl w:val="0"/>
      <w:rPr>
        <w:b/>
        <w:sz w:val="22"/>
        <w:szCs w:val="22"/>
      </w:rPr>
    </w:pPr>
    <w:r w:rsidRPr="006D69C2">
      <w:rPr>
        <w:sz w:val="18"/>
        <w:szCs w:val="18"/>
      </w:rPr>
      <w:t>Schválený text k rozhodnutiu o registrácii, ev.č.:</w:t>
    </w:r>
    <w:r>
      <w:rPr>
        <w:sz w:val="18"/>
        <w:szCs w:val="18"/>
      </w:rPr>
      <w:t xml:space="preserve"> 2016/00366-REG, 2016/00367-REG,</w:t>
    </w:r>
    <w:r w:rsidRPr="00EA3A88">
      <w:rPr>
        <w:sz w:val="18"/>
        <w:szCs w:val="18"/>
      </w:rPr>
      <w:t xml:space="preserve"> </w:t>
    </w:r>
    <w:r>
      <w:rPr>
        <w:sz w:val="18"/>
        <w:szCs w:val="18"/>
      </w:rPr>
      <w:t>2016/00368-REG</w:t>
    </w:r>
  </w:p>
  <w:p w:rsidR="008F2C67" w:rsidRDefault="008F2C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775A7"/>
    <w:multiLevelType w:val="hybridMultilevel"/>
    <w:tmpl w:val="CEE0F89A"/>
    <w:lvl w:ilvl="0" w:tplc="D45091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81F14"/>
    <w:multiLevelType w:val="hybridMultilevel"/>
    <w:tmpl w:val="D8586A4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DC"/>
    <w:rsid w:val="000B21A0"/>
    <w:rsid w:val="000B37C0"/>
    <w:rsid w:val="000F6023"/>
    <w:rsid w:val="00125189"/>
    <w:rsid w:val="00140E24"/>
    <w:rsid w:val="00145C90"/>
    <w:rsid w:val="00157CB6"/>
    <w:rsid w:val="00253D44"/>
    <w:rsid w:val="002B5A30"/>
    <w:rsid w:val="002D245A"/>
    <w:rsid w:val="002D2B25"/>
    <w:rsid w:val="00322322"/>
    <w:rsid w:val="00343C30"/>
    <w:rsid w:val="003835A1"/>
    <w:rsid w:val="003D180A"/>
    <w:rsid w:val="003F5ACD"/>
    <w:rsid w:val="00432010"/>
    <w:rsid w:val="00444B38"/>
    <w:rsid w:val="00477904"/>
    <w:rsid w:val="0049348F"/>
    <w:rsid w:val="004A271D"/>
    <w:rsid w:val="004B7843"/>
    <w:rsid w:val="004E17C8"/>
    <w:rsid w:val="00502C20"/>
    <w:rsid w:val="00536798"/>
    <w:rsid w:val="005D2182"/>
    <w:rsid w:val="005F6F11"/>
    <w:rsid w:val="00614123"/>
    <w:rsid w:val="006158B6"/>
    <w:rsid w:val="006243C9"/>
    <w:rsid w:val="006418DC"/>
    <w:rsid w:val="00641CDF"/>
    <w:rsid w:val="00681433"/>
    <w:rsid w:val="006D075F"/>
    <w:rsid w:val="006D3B6C"/>
    <w:rsid w:val="006F6E9C"/>
    <w:rsid w:val="00752171"/>
    <w:rsid w:val="00775A9E"/>
    <w:rsid w:val="00846D4F"/>
    <w:rsid w:val="008576FE"/>
    <w:rsid w:val="0086433E"/>
    <w:rsid w:val="008C47CA"/>
    <w:rsid w:val="008F2C67"/>
    <w:rsid w:val="00920C62"/>
    <w:rsid w:val="00946AEE"/>
    <w:rsid w:val="009549AB"/>
    <w:rsid w:val="0098131E"/>
    <w:rsid w:val="009B0118"/>
    <w:rsid w:val="009D6ECF"/>
    <w:rsid w:val="00A112E3"/>
    <w:rsid w:val="00A42588"/>
    <w:rsid w:val="00A43AD8"/>
    <w:rsid w:val="00AC4809"/>
    <w:rsid w:val="00AF0018"/>
    <w:rsid w:val="00B0157A"/>
    <w:rsid w:val="00B07E48"/>
    <w:rsid w:val="00B41A41"/>
    <w:rsid w:val="00B65F6C"/>
    <w:rsid w:val="00BB6280"/>
    <w:rsid w:val="00BF3762"/>
    <w:rsid w:val="00C41690"/>
    <w:rsid w:val="00C602B0"/>
    <w:rsid w:val="00C86F7D"/>
    <w:rsid w:val="00D64873"/>
    <w:rsid w:val="00E2604F"/>
    <w:rsid w:val="00E85EBF"/>
    <w:rsid w:val="00EB03BB"/>
    <w:rsid w:val="00EC1FB6"/>
    <w:rsid w:val="00EC6EE3"/>
    <w:rsid w:val="00EE50E1"/>
    <w:rsid w:val="00EF5449"/>
    <w:rsid w:val="00F60D74"/>
    <w:rsid w:val="00F90430"/>
    <w:rsid w:val="00FA40B7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8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418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6418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6418DC"/>
  </w:style>
  <w:style w:type="character" w:styleId="Hypertextovprepojenie">
    <w:name w:val="Hyperlink"/>
    <w:rsid w:val="006418DC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Zarkazkladnhotextu">
    <w:name w:val="Body Text Indent"/>
    <w:basedOn w:val="Normlny"/>
    <w:link w:val="ZarkazkladnhotextuChar"/>
    <w:rsid w:val="006418D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C67"/>
    <w:rPr>
      <w:rFonts w:ascii="Tahoma" w:eastAsia="Times New Roman" w:hAnsi="Tahoma" w:cs="Tahoma"/>
      <w:sz w:val="16"/>
      <w:szCs w:val="16"/>
      <w:lang w:val="sl-SI" w:eastAsia="sl-SI"/>
    </w:rPr>
  </w:style>
  <w:style w:type="paragraph" w:styleId="Revzia">
    <w:name w:val="Revision"/>
    <w:hidden/>
    <w:uiPriority w:val="99"/>
    <w:semiHidden/>
    <w:rsid w:val="008F2C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21A0"/>
    <w:rPr>
      <w:color w:val="800080" w:themeColor="followedHyperlink"/>
      <w:u w:val="single"/>
    </w:rPr>
  </w:style>
  <w:style w:type="paragraph" w:customStyle="1" w:styleId="WW-NormlWeb">
    <w:name w:val="WW-Normál (Web)"/>
    <w:basedOn w:val="Normlny"/>
    <w:rsid w:val="004B7843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8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418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6418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6418DC"/>
  </w:style>
  <w:style w:type="character" w:styleId="Hypertextovprepojenie">
    <w:name w:val="Hyperlink"/>
    <w:rsid w:val="006418DC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Zarkazkladnhotextu">
    <w:name w:val="Body Text Indent"/>
    <w:basedOn w:val="Normlny"/>
    <w:link w:val="ZarkazkladnhotextuChar"/>
    <w:rsid w:val="006418D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418D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C67"/>
    <w:rPr>
      <w:rFonts w:ascii="Tahoma" w:eastAsia="Times New Roman" w:hAnsi="Tahoma" w:cs="Tahoma"/>
      <w:sz w:val="16"/>
      <w:szCs w:val="16"/>
      <w:lang w:val="sl-SI" w:eastAsia="sl-SI"/>
    </w:rPr>
  </w:style>
  <w:style w:type="paragraph" w:styleId="Revzia">
    <w:name w:val="Revision"/>
    <w:hidden/>
    <w:uiPriority w:val="99"/>
    <w:semiHidden/>
    <w:rsid w:val="008F2C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21A0"/>
    <w:rPr>
      <w:color w:val="800080" w:themeColor="followedHyperlink"/>
      <w:u w:val="single"/>
    </w:rPr>
  </w:style>
  <w:style w:type="paragraph" w:customStyle="1" w:styleId="WW-NormlWeb">
    <w:name w:val="WW-Normál (Web)"/>
    <w:basedOn w:val="Normlny"/>
    <w:rsid w:val="004B7843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Derianova, Martina</dc:creator>
  <cp:lastModifiedBy>Košuthová, Katarína</cp:lastModifiedBy>
  <cp:revision>4</cp:revision>
  <dcterms:created xsi:type="dcterms:W3CDTF">2017-01-12T07:34:00Z</dcterms:created>
  <dcterms:modified xsi:type="dcterms:W3CDTF">2017-01-12T09:25:00Z</dcterms:modified>
</cp:coreProperties>
</file>