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73" w:rsidRDefault="00DA1B73" w:rsidP="0063792D">
      <w:pPr>
        <w:tabs>
          <w:tab w:val="left" w:pos="1710"/>
          <w:tab w:val="center" w:pos="4535"/>
        </w:tabs>
        <w:outlineLvl w:val="0"/>
        <w:rPr>
          <w:noProof/>
          <w:sz w:val="18"/>
          <w:szCs w:val="18"/>
        </w:rPr>
      </w:pPr>
      <w:r>
        <w:rPr>
          <w:noProof/>
          <w:sz w:val="18"/>
          <w:szCs w:val="18"/>
        </w:rPr>
        <w:t>Príloha č. 2 k notifikácii o zmene, ev. č.: 2016/06732-Z1B</w:t>
      </w:r>
    </w:p>
    <w:p w:rsidR="0063792D" w:rsidRPr="0063792D" w:rsidRDefault="0063792D" w:rsidP="0063792D">
      <w:pPr>
        <w:tabs>
          <w:tab w:val="left" w:pos="1710"/>
          <w:tab w:val="center" w:pos="4535"/>
        </w:tabs>
        <w:outlineLvl w:val="0"/>
        <w:rPr>
          <w:noProof/>
          <w:sz w:val="18"/>
          <w:szCs w:val="18"/>
        </w:rPr>
      </w:pPr>
      <w:r w:rsidRPr="0063792D">
        <w:rPr>
          <w:noProof/>
          <w:sz w:val="18"/>
          <w:szCs w:val="18"/>
        </w:rPr>
        <w:t xml:space="preserve">Príloha č. </w:t>
      </w:r>
      <w:r w:rsidR="00CC6232">
        <w:rPr>
          <w:noProof/>
          <w:sz w:val="18"/>
          <w:szCs w:val="18"/>
        </w:rPr>
        <w:t>3</w:t>
      </w:r>
      <w:r w:rsidR="00CC6232" w:rsidRPr="0063792D">
        <w:rPr>
          <w:noProof/>
          <w:sz w:val="18"/>
          <w:szCs w:val="18"/>
        </w:rPr>
        <w:t xml:space="preserve"> </w:t>
      </w:r>
      <w:r w:rsidRPr="0063792D">
        <w:rPr>
          <w:noProof/>
          <w:sz w:val="18"/>
          <w:szCs w:val="18"/>
        </w:rPr>
        <w:t xml:space="preserve">k notifikácii </w:t>
      </w:r>
      <w:r w:rsidR="00960CCD">
        <w:rPr>
          <w:noProof/>
          <w:sz w:val="18"/>
          <w:szCs w:val="18"/>
        </w:rPr>
        <w:t xml:space="preserve">o </w:t>
      </w:r>
      <w:r w:rsidRPr="0063792D">
        <w:rPr>
          <w:noProof/>
          <w:sz w:val="18"/>
          <w:szCs w:val="18"/>
        </w:rPr>
        <w:t>zmen</w:t>
      </w:r>
      <w:r w:rsidR="001F6448">
        <w:rPr>
          <w:noProof/>
          <w:sz w:val="18"/>
          <w:szCs w:val="18"/>
        </w:rPr>
        <w:t>e</w:t>
      </w:r>
      <w:r w:rsidRPr="0063792D">
        <w:rPr>
          <w:noProof/>
          <w:sz w:val="18"/>
          <w:szCs w:val="18"/>
        </w:rPr>
        <w:t>, ev.č.</w:t>
      </w:r>
      <w:r w:rsidR="008F5537">
        <w:rPr>
          <w:noProof/>
          <w:sz w:val="18"/>
          <w:szCs w:val="18"/>
        </w:rPr>
        <w:t xml:space="preserve"> </w:t>
      </w:r>
      <w:r w:rsidR="00CC6232" w:rsidRPr="00F2477C">
        <w:rPr>
          <w:noProof/>
          <w:sz w:val="18"/>
          <w:szCs w:val="18"/>
        </w:rPr>
        <w:t>2016/05778-Z1A</w:t>
      </w:r>
      <w:r w:rsidR="00CC6232" w:rsidDel="00C27F98">
        <w:rPr>
          <w:noProof/>
          <w:sz w:val="18"/>
          <w:szCs w:val="18"/>
        </w:rPr>
        <w:t xml:space="preserve"> </w:t>
      </w:r>
    </w:p>
    <w:p w:rsidR="0077136D" w:rsidRPr="0077136D" w:rsidRDefault="0077136D" w:rsidP="0077136D">
      <w:pPr>
        <w:tabs>
          <w:tab w:val="left" w:pos="1710"/>
          <w:tab w:val="center" w:pos="4535"/>
        </w:tabs>
        <w:outlineLvl w:val="0"/>
        <w:rPr>
          <w:noProof/>
          <w:szCs w:val="22"/>
        </w:rPr>
      </w:pPr>
    </w:p>
    <w:p w:rsidR="0077136D" w:rsidRDefault="0077136D" w:rsidP="0077136D">
      <w:pPr>
        <w:tabs>
          <w:tab w:val="left" w:pos="1710"/>
          <w:tab w:val="center" w:pos="4535"/>
        </w:tabs>
        <w:jc w:val="center"/>
        <w:outlineLvl w:val="0"/>
        <w:rPr>
          <w:b/>
          <w:noProof/>
          <w:szCs w:val="22"/>
        </w:rPr>
      </w:pPr>
      <w:r w:rsidRPr="0077136D">
        <w:rPr>
          <w:b/>
          <w:noProof/>
          <w:szCs w:val="22"/>
        </w:rPr>
        <w:t>Písomná informácia pre používateľ</w:t>
      </w:r>
      <w:r w:rsidR="0063792D">
        <w:rPr>
          <w:b/>
          <w:noProof/>
          <w:szCs w:val="22"/>
        </w:rPr>
        <w:t>a</w:t>
      </w:r>
      <w:r w:rsidR="00894631" w:rsidRPr="00894631">
        <w:rPr>
          <w:rFonts w:ascii="Arial" w:hAnsi="Arial"/>
          <w:b/>
          <w:i/>
          <w:sz w:val="20"/>
          <w:szCs w:val="20"/>
        </w:rPr>
        <w:t xml:space="preserve"> </w:t>
      </w:r>
    </w:p>
    <w:p w:rsidR="0077136D" w:rsidRPr="0077136D" w:rsidRDefault="0077136D" w:rsidP="0077136D">
      <w:pPr>
        <w:tabs>
          <w:tab w:val="left" w:pos="1710"/>
          <w:tab w:val="center" w:pos="4535"/>
        </w:tabs>
        <w:jc w:val="center"/>
        <w:outlineLvl w:val="0"/>
        <w:rPr>
          <w:noProof/>
          <w:szCs w:val="22"/>
        </w:rPr>
      </w:pPr>
    </w:p>
    <w:p w:rsidR="00996FE5" w:rsidRDefault="00996FE5" w:rsidP="0077136D">
      <w:pPr>
        <w:autoSpaceDE w:val="0"/>
        <w:autoSpaceDN w:val="0"/>
        <w:adjustRightInd w:val="0"/>
        <w:ind w:left="0" w:firstLine="0"/>
        <w:jc w:val="center"/>
        <w:rPr>
          <w:b/>
          <w:bCs/>
          <w:noProof/>
        </w:rPr>
      </w:pPr>
      <w:r w:rsidRPr="00996FE5">
        <w:rPr>
          <w:b/>
          <w:bCs/>
          <w:noProof/>
        </w:rPr>
        <w:t xml:space="preserve">SYNTOSTIGMIN </w:t>
      </w:r>
      <w:r w:rsidR="00C27F98">
        <w:rPr>
          <w:b/>
          <w:bCs/>
          <w:noProof/>
        </w:rPr>
        <w:t>inj</w:t>
      </w:r>
    </w:p>
    <w:p w:rsidR="0077136D" w:rsidRPr="0077136D" w:rsidRDefault="0077136D" w:rsidP="0077136D">
      <w:pPr>
        <w:autoSpaceDE w:val="0"/>
        <w:autoSpaceDN w:val="0"/>
        <w:adjustRightInd w:val="0"/>
        <w:ind w:left="0" w:firstLine="0"/>
        <w:jc w:val="center"/>
        <w:rPr>
          <w:b/>
          <w:bCs/>
          <w:noProof/>
        </w:rPr>
      </w:pPr>
      <w:r w:rsidRPr="0077136D">
        <w:rPr>
          <w:b/>
          <w:bCs/>
          <w:noProof/>
        </w:rPr>
        <w:t xml:space="preserve">injekčný roztok </w:t>
      </w:r>
    </w:p>
    <w:p w:rsidR="0077136D" w:rsidRDefault="0077136D" w:rsidP="0077136D">
      <w:pPr>
        <w:autoSpaceDE w:val="0"/>
        <w:autoSpaceDN w:val="0"/>
        <w:adjustRightInd w:val="0"/>
        <w:ind w:left="0" w:firstLine="0"/>
        <w:jc w:val="center"/>
        <w:rPr>
          <w:b/>
          <w:bCs/>
          <w:noProof/>
        </w:rPr>
      </w:pPr>
    </w:p>
    <w:p w:rsidR="00960CCD" w:rsidRDefault="00996FE5" w:rsidP="00960CCD">
      <w:pPr>
        <w:jc w:val="center"/>
        <w:rPr>
          <w:bCs/>
          <w:i/>
          <w:noProof/>
        </w:rPr>
      </w:pPr>
      <w:r w:rsidRPr="00996FE5">
        <w:rPr>
          <w:bCs/>
          <w:i/>
          <w:noProof/>
          <w:u w:val="single"/>
        </w:rPr>
        <w:t>Neostigmíniummetylsulfát</w:t>
      </w:r>
      <w:r w:rsidRPr="00996FE5" w:rsidDel="00996FE5">
        <w:rPr>
          <w:bCs/>
          <w:i/>
          <w:noProof/>
        </w:rPr>
        <w:t xml:space="preserve"> </w:t>
      </w:r>
    </w:p>
    <w:p w:rsidR="00780926" w:rsidRPr="003021DE" w:rsidRDefault="00780926" w:rsidP="00960CCD">
      <w:pPr>
        <w:jc w:val="center"/>
        <w:rPr>
          <w:noProof/>
          <w:szCs w:val="22"/>
        </w:rPr>
      </w:pPr>
    </w:p>
    <w:p w:rsidR="00ED5CBB" w:rsidRPr="00ED5CBB" w:rsidRDefault="00ED5CBB" w:rsidP="00ED5CBB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ED5CBB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:rsidR="00ED5CBB" w:rsidRPr="00ED5CBB" w:rsidRDefault="00ED5CBB" w:rsidP="00ED5CBB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-</w:t>
      </w:r>
      <w:r w:rsidR="00121164">
        <w:rPr>
          <w:noProof/>
          <w:szCs w:val="22"/>
        </w:rPr>
        <w:tab/>
      </w:r>
      <w:r w:rsidRPr="00ED5CBB">
        <w:rPr>
          <w:noProof/>
          <w:szCs w:val="22"/>
        </w:rPr>
        <w:t>Túto písomnú informáciu si uschovajte. Možno bude potrebné, aby ste si ju znovu prečítali.</w:t>
      </w:r>
    </w:p>
    <w:p w:rsidR="00ED5CBB" w:rsidRPr="00ED5CBB" w:rsidRDefault="00121164" w:rsidP="00ED5CBB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ED5CBB" w:rsidRPr="00ED5CBB">
        <w:rPr>
          <w:noProof/>
          <w:szCs w:val="22"/>
        </w:rPr>
        <w:t>Ak máte akékoľvek ďalšie otázky, obráťte sa na svojho lekára alebo lekárnika.</w:t>
      </w:r>
    </w:p>
    <w:p w:rsidR="00ED5CBB" w:rsidRPr="00ED5CBB" w:rsidRDefault="00ED5CBB" w:rsidP="00ED5CBB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 w:rsidRPr="00ED5CBB">
        <w:rPr>
          <w:noProof/>
          <w:szCs w:val="22"/>
        </w:rPr>
        <w:t>-</w:t>
      </w:r>
      <w:r w:rsidRPr="00ED5CBB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:rsidR="00ED5CBB" w:rsidRPr="00ED5CBB" w:rsidRDefault="00ED5CBB" w:rsidP="00ED5CBB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 w:rsidRPr="00ED5CBB">
        <w:rPr>
          <w:noProof/>
          <w:szCs w:val="22"/>
        </w:rPr>
        <w:t>-</w:t>
      </w:r>
      <w:r w:rsidRPr="00ED5CBB">
        <w:rPr>
          <w:noProof/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780926" w:rsidRPr="003021DE" w:rsidRDefault="00780926" w:rsidP="001967D9"/>
    <w:p w:rsidR="00780926" w:rsidRPr="003021DE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>Čo je</w:t>
      </w:r>
      <w:r w:rsidR="00ED5CBB" w:rsidRPr="00ED5CBB">
        <w:t xml:space="preserve"> </w:t>
      </w:r>
      <w:r w:rsidR="00996FE5" w:rsidRPr="00996FE5">
        <w:rPr>
          <w:noProof/>
          <w:szCs w:val="22"/>
        </w:rPr>
        <w:t>SYNTOSTIGMIN</w:t>
      </w:r>
      <w:r w:rsidR="00C27F98">
        <w:rPr>
          <w:noProof/>
          <w:szCs w:val="22"/>
        </w:rPr>
        <w:t xml:space="preserve"> inj</w:t>
      </w:r>
      <w:r w:rsidR="00894631">
        <w:rPr>
          <w:noProof/>
          <w:szCs w:val="22"/>
        </w:rPr>
        <w:t xml:space="preserve"> </w:t>
      </w:r>
      <w:r w:rsidRPr="003021DE">
        <w:rPr>
          <w:noProof/>
          <w:szCs w:val="22"/>
        </w:rPr>
        <w:t>a na čo sa používa</w:t>
      </w:r>
    </w:p>
    <w:p w:rsidR="00ED5CBB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="002C428B" w:rsidRPr="00B13F68">
        <w:rPr>
          <w:noProof/>
        </w:rPr>
        <w:t xml:space="preserve">Čo potrebujete vedieť </w:t>
      </w:r>
      <w:r w:rsidR="00671E24" w:rsidRPr="00B13F68">
        <w:rPr>
          <w:noProof/>
        </w:rPr>
        <w:t>predtým</w:t>
      </w:r>
      <w:r w:rsidR="002C428B" w:rsidRPr="00B13F68">
        <w:rPr>
          <w:noProof/>
        </w:rPr>
        <w:t>,</w:t>
      </w:r>
      <w:r w:rsidRPr="003021DE">
        <w:rPr>
          <w:noProof/>
          <w:szCs w:val="22"/>
        </w:rPr>
        <w:t xml:space="preserve"> ako </w:t>
      </w:r>
      <w:r w:rsidR="002C428B" w:rsidRPr="003021DE">
        <w:rPr>
          <w:noProof/>
          <w:szCs w:val="22"/>
        </w:rPr>
        <w:t>po</w:t>
      </w:r>
      <w:r w:rsidR="00ED5CBB">
        <w:rPr>
          <w:noProof/>
          <w:szCs w:val="22"/>
        </w:rPr>
        <w:t>užijete</w:t>
      </w:r>
      <w:r w:rsidRPr="003021DE">
        <w:rPr>
          <w:noProof/>
          <w:szCs w:val="22"/>
        </w:rPr>
        <w:t xml:space="preserve"> </w:t>
      </w:r>
      <w:r w:rsidR="00996FE5" w:rsidRPr="00996FE5">
        <w:rPr>
          <w:noProof/>
          <w:szCs w:val="22"/>
        </w:rPr>
        <w:t>SYNTOSTIGMIN</w:t>
      </w:r>
      <w:r w:rsidR="00C27F98">
        <w:rPr>
          <w:noProof/>
          <w:szCs w:val="22"/>
        </w:rPr>
        <w:t xml:space="preserve"> inj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 xml:space="preserve">Ako </w:t>
      </w:r>
      <w:r w:rsidR="00ED5CBB">
        <w:rPr>
          <w:noProof/>
          <w:szCs w:val="22"/>
        </w:rPr>
        <w:t>používať</w:t>
      </w:r>
      <w:r w:rsidRPr="003021DE">
        <w:rPr>
          <w:noProof/>
          <w:szCs w:val="22"/>
        </w:rPr>
        <w:t xml:space="preserve"> </w:t>
      </w:r>
      <w:r w:rsidR="00996FE5" w:rsidRPr="00996FE5">
        <w:rPr>
          <w:noProof/>
          <w:szCs w:val="22"/>
        </w:rPr>
        <w:t>SYNTOSTIGMIN</w:t>
      </w:r>
      <w:r w:rsidR="00C27F98">
        <w:rPr>
          <w:noProof/>
          <w:szCs w:val="22"/>
        </w:rPr>
        <w:t xml:space="preserve"> inj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r w:rsidR="00996FE5" w:rsidRPr="00996FE5">
        <w:rPr>
          <w:noProof/>
          <w:szCs w:val="22"/>
        </w:rPr>
        <w:t>SYNTOSTIGMIN</w:t>
      </w:r>
      <w:r w:rsidR="00C27F98">
        <w:rPr>
          <w:noProof/>
          <w:szCs w:val="22"/>
        </w:rPr>
        <w:t xml:space="preserve"> inj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="0015367B" w:rsidRPr="00B13F68">
        <w:rPr>
          <w:noProof/>
        </w:rPr>
        <w:t>Obsah balenia a</w:t>
      </w:r>
      <w:r w:rsidR="00FA099B">
        <w:rPr>
          <w:noProof/>
        </w:rPr>
        <w:t> </w:t>
      </w:r>
      <w:r w:rsidR="0015367B"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:rsidR="00780926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07357" w:rsidRPr="003021DE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="00486C3D" w:rsidRPr="00B13F68">
        <w:rPr>
          <w:b/>
          <w:noProof/>
        </w:rPr>
        <w:t>Čo</w:t>
      </w:r>
      <w:r w:rsidR="00486C3D" w:rsidRPr="00B13F68">
        <w:rPr>
          <w:b/>
        </w:rPr>
        <w:t xml:space="preserve"> je </w:t>
      </w:r>
      <w:r w:rsidR="00996FE5" w:rsidRPr="00996FE5">
        <w:rPr>
          <w:b/>
          <w:noProof/>
        </w:rPr>
        <w:t>SYNTOSTIGMIN</w:t>
      </w:r>
      <w:r w:rsidR="00C27F98">
        <w:rPr>
          <w:b/>
          <w:noProof/>
        </w:rPr>
        <w:t xml:space="preserve"> inj</w:t>
      </w:r>
      <w:r w:rsidR="00894631">
        <w:rPr>
          <w:b/>
          <w:noProof/>
        </w:rPr>
        <w:t xml:space="preserve"> </w:t>
      </w:r>
      <w:r w:rsidR="00486C3D" w:rsidRPr="00B13F68">
        <w:rPr>
          <w:b/>
          <w:noProof/>
        </w:rPr>
        <w:t>a </w:t>
      </w:r>
      <w:r w:rsidR="00486C3D" w:rsidRPr="00B13F68">
        <w:rPr>
          <w:b/>
        </w:rPr>
        <w:t xml:space="preserve">na </w:t>
      </w:r>
      <w:r w:rsidR="00486C3D" w:rsidRPr="00B13F68">
        <w:rPr>
          <w:b/>
          <w:noProof/>
        </w:rPr>
        <w:t>čo sa používa</w:t>
      </w: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94631" w:rsidRPr="00894631" w:rsidRDefault="00996FE5" w:rsidP="00894631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SYNTOSTIGMIN </w:t>
      </w:r>
      <w:r w:rsidR="00B12618">
        <w:rPr>
          <w:noProof/>
          <w:szCs w:val="22"/>
        </w:rPr>
        <w:t xml:space="preserve">inj </w:t>
      </w:r>
      <w:r w:rsidR="00BB1F77">
        <w:rPr>
          <w:noProof/>
          <w:szCs w:val="22"/>
        </w:rPr>
        <w:t>obsahuje</w:t>
      </w:r>
      <w:r w:rsidR="00894631" w:rsidRPr="00894631">
        <w:rPr>
          <w:noProof/>
          <w:szCs w:val="22"/>
        </w:rPr>
        <w:t xml:space="preserve"> </w:t>
      </w:r>
      <w:r w:rsidR="00D90BA5">
        <w:rPr>
          <w:noProof/>
          <w:szCs w:val="22"/>
        </w:rPr>
        <w:t xml:space="preserve">neostigmíniummetylsulfát, čo je </w:t>
      </w:r>
      <w:r>
        <w:rPr>
          <w:noProof/>
          <w:szCs w:val="22"/>
        </w:rPr>
        <w:t>i</w:t>
      </w:r>
      <w:r w:rsidRPr="00996FE5">
        <w:rPr>
          <w:noProof/>
          <w:szCs w:val="22"/>
        </w:rPr>
        <w:t>nhibítor acetylcholínesterázy s podobným účinkom ako fyzostigmín. Je výhodnejší pre nižšie riziko nežiaducich účinkov.</w:t>
      </w:r>
    </w:p>
    <w:p w:rsidR="004B0E47" w:rsidRDefault="004B0E47" w:rsidP="00ED5CBB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94631" w:rsidRPr="00894631" w:rsidRDefault="00996FE5" w:rsidP="00894631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SYNTOSTIGMIN</w:t>
      </w:r>
      <w:r w:rsidR="00B12618">
        <w:rPr>
          <w:noProof/>
          <w:szCs w:val="22"/>
        </w:rPr>
        <w:t xml:space="preserve"> inj</w:t>
      </w:r>
      <w:r w:rsidR="00BB1F77" w:rsidRPr="00BB1F77">
        <w:rPr>
          <w:noProof/>
          <w:szCs w:val="22"/>
        </w:rPr>
        <w:t xml:space="preserve"> </w:t>
      </w:r>
      <w:r w:rsidR="00BB1F77">
        <w:rPr>
          <w:noProof/>
          <w:szCs w:val="22"/>
        </w:rPr>
        <w:t xml:space="preserve">sa používa </w:t>
      </w:r>
      <w:r>
        <w:rPr>
          <w:noProof/>
          <w:szCs w:val="22"/>
        </w:rPr>
        <w:t>na</w:t>
      </w:r>
      <w:r w:rsidR="00BB1F77">
        <w:rPr>
          <w:noProof/>
          <w:szCs w:val="22"/>
        </w:rPr>
        <w:t xml:space="preserve"> </w:t>
      </w:r>
      <w:r>
        <w:rPr>
          <w:noProof/>
          <w:szCs w:val="22"/>
        </w:rPr>
        <w:t>ú</w:t>
      </w:r>
      <w:r w:rsidRPr="00996FE5">
        <w:rPr>
          <w:noProof/>
          <w:szCs w:val="22"/>
        </w:rPr>
        <w:t>tlm črevnej peristaltiky až paralytický ileus</w:t>
      </w:r>
      <w:r w:rsidR="00E85527">
        <w:rPr>
          <w:noProof/>
          <w:szCs w:val="22"/>
        </w:rPr>
        <w:t xml:space="preserve"> </w:t>
      </w:r>
      <w:r w:rsidR="008F5537">
        <w:rPr>
          <w:noProof/>
          <w:szCs w:val="22"/>
        </w:rPr>
        <w:t>(</w:t>
      </w:r>
      <w:r w:rsidR="00E85527">
        <w:rPr>
          <w:noProof/>
          <w:szCs w:val="22"/>
        </w:rPr>
        <w:t>nepriechodnosť čriev</w:t>
      </w:r>
      <w:r w:rsidRPr="00996FE5">
        <w:rPr>
          <w:noProof/>
          <w:szCs w:val="22"/>
        </w:rPr>
        <w:t xml:space="preserve"> (najmä pooperačný)</w:t>
      </w:r>
      <w:r w:rsidR="008F5537">
        <w:rPr>
          <w:noProof/>
          <w:szCs w:val="22"/>
        </w:rPr>
        <w:t>)</w:t>
      </w:r>
      <w:r w:rsidRPr="00996FE5">
        <w:rPr>
          <w:noProof/>
          <w:szCs w:val="22"/>
        </w:rPr>
        <w:t>, pooperačná atónia (ochabnutosť močového mechúra), myastenia gravis</w:t>
      </w:r>
      <w:r w:rsidR="00E85527">
        <w:rPr>
          <w:noProof/>
          <w:szCs w:val="22"/>
        </w:rPr>
        <w:t xml:space="preserve"> (</w:t>
      </w:r>
      <w:r w:rsidR="00E85527" w:rsidRPr="00E85527">
        <w:rPr>
          <w:noProof/>
          <w:szCs w:val="22"/>
        </w:rPr>
        <w:t>neurologické ochorenie, ktoré spôsobuje svalovú slabosť</w:t>
      </w:r>
      <w:r w:rsidR="00E85527">
        <w:rPr>
          <w:noProof/>
          <w:szCs w:val="22"/>
        </w:rPr>
        <w:t>)</w:t>
      </w:r>
      <w:r w:rsidRPr="00996FE5">
        <w:rPr>
          <w:noProof/>
          <w:szCs w:val="22"/>
        </w:rPr>
        <w:t>, bulbárne syndrómy</w:t>
      </w:r>
      <w:r w:rsidR="00E85527">
        <w:rPr>
          <w:noProof/>
          <w:szCs w:val="22"/>
        </w:rPr>
        <w:t xml:space="preserve"> (poškodenie mozgových nervov)</w:t>
      </w:r>
      <w:r w:rsidRPr="00996FE5">
        <w:rPr>
          <w:noProof/>
          <w:szCs w:val="22"/>
        </w:rPr>
        <w:t xml:space="preserve"> rôzne</w:t>
      </w:r>
      <w:r w:rsidR="00E85527">
        <w:rPr>
          <w:noProof/>
          <w:szCs w:val="22"/>
        </w:rPr>
        <w:t>ho</w:t>
      </w:r>
      <w:r w:rsidRPr="00996FE5">
        <w:rPr>
          <w:noProof/>
          <w:szCs w:val="22"/>
        </w:rPr>
        <w:t xml:space="preserve"> </w:t>
      </w:r>
      <w:r w:rsidR="00E85527">
        <w:rPr>
          <w:noProof/>
          <w:szCs w:val="22"/>
        </w:rPr>
        <w:t>pôvodu</w:t>
      </w:r>
      <w:r w:rsidRPr="00996FE5">
        <w:rPr>
          <w:noProof/>
          <w:szCs w:val="22"/>
        </w:rPr>
        <w:t>, funkčná amenorea (vynechanie menštruácie u ženy v období plodnosti), ako antidotum myorelaxačného účinku nedepolarizujúcich svalových relaxancií, na zabránenie retencie (zadržiavanie) moču po podaní tymoleptík, po zvládnutí akútneho stavu glaukómu fyzostigmínom (okrem glaukómu so zatvoreným uhlom).</w:t>
      </w:r>
    </w:p>
    <w:p w:rsidR="00ED5CBB" w:rsidRDefault="00ED5CBB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5CBB" w:rsidRPr="00ED5CBB" w:rsidRDefault="00ED5CBB" w:rsidP="00ED5CBB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ED5CBB">
        <w:rPr>
          <w:i/>
          <w:noProof/>
          <w:szCs w:val="22"/>
        </w:rPr>
        <w:t>Farmakokinetické údaje</w:t>
      </w:r>
    </w:p>
    <w:p w:rsidR="00996FE5" w:rsidRPr="00996FE5" w:rsidRDefault="00996FE5" w:rsidP="00996FE5">
      <w:pPr>
        <w:numPr>
          <w:ilvl w:val="12"/>
          <w:numId w:val="0"/>
        </w:numPr>
        <w:ind w:right="-2"/>
        <w:rPr>
          <w:noProof/>
          <w:szCs w:val="22"/>
        </w:rPr>
      </w:pPr>
      <w:r w:rsidRPr="00996FE5">
        <w:rPr>
          <w:noProof/>
          <w:szCs w:val="22"/>
        </w:rPr>
        <w:t xml:space="preserve">SYNTOSTIGMIN </w:t>
      </w:r>
      <w:r w:rsidR="00B12618">
        <w:rPr>
          <w:noProof/>
          <w:szCs w:val="22"/>
        </w:rPr>
        <w:t xml:space="preserve">inj </w:t>
      </w:r>
      <w:r w:rsidRPr="00996FE5">
        <w:rPr>
          <w:noProof/>
          <w:szCs w:val="22"/>
        </w:rPr>
        <w:t>sa rýchlo resorbuje zo subkutánneho a svalového tkaniva. Čiastočne sa biotransformuje, pravdepodobne hydrolýzou esterovej väzby. Pri parenterálnom podaní sa vylučuje 60 % až 70</w:t>
      </w:r>
      <w:r w:rsidR="00E9558B">
        <w:rPr>
          <w:noProof/>
          <w:szCs w:val="22"/>
        </w:rPr>
        <w:t xml:space="preserve"> </w:t>
      </w:r>
      <w:r w:rsidRPr="00996FE5">
        <w:rPr>
          <w:noProof/>
          <w:szCs w:val="22"/>
        </w:rPr>
        <w:t>% nezmeneného neostigmíniummetylsulfátu močom. Neostigmíniummetylsulfát sa rýchlo eliminuje z plazmy pacientov, ktorým bol podaný intravenózne. Plazmatická koncentrácia neostigmíniummetylsulfátu klesá v priebehu 5 minút na 8 % pôvodných hodnôt, pričom jeho distribučný polčas je kratší ako 1 minúta. Eliminačný polčas sa pohybuje v rozmedzí 15 - 30 minút. 1 hodinu po i.v. podaní neostigmíniummetylsulfátu sa v plazme stanovujú iba jeho stopové množstvá. Predpokladá sa, že metabolické pochody a biliárna exkrécia môžu hrať v eliminácii neostigmíniummetylsulfátu významnú úlohu.</w:t>
      </w: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="00E13A3E" w:rsidRPr="00B13F68">
        <w:rPr>
          <w:b/>
          <w:noProof/>
        </w:rPr>
        <w:t>Čo potrebuje</w:t>
      </w:r>
      <w:r w:rsidR="00282559" w:rsidRPr="00B13F68">
        <w:rPr>
          <w:b/>
          <w:noProof/>
        </w:rPr>
        <w:t>te</w:t>
      </w:r>
      <w:r w:rsidR="00E13A3E" w:rsidRPr="00B13F68">
        <w:rPr>
          <w:b/>
          <w:noProof/>
        </w:rPr>
        <w:t xml:space="preserve"> vedieť </w:t>
      </w:r>
      <w:r w:rsidR="00671E24" w:rsidRPr="00B13F68">
        <w:rPr>
          <w:b/>
          <w:noProof/>
        </w:rPr>
        <w:t>predtým</w:t>
      </w:r>
      <w:r w:rsidR="00E13A3E" w:rsidRPr="00B13F68">
        <w:rPr>
          <w:b/>
          <w:noProof/>
        </w:rPr>
        <w:t>, ako použijete</w:t>
      </w:r>
      <w:r w:rsidRPr="003021DE">
        <w:rPr>
          <w:b/>
          <w:noProof/>
          <w:szCs w:val="22"/>
        </w:rPr>
        <w:t xml:space="preserve"> </w:t>
      </w:r>
      <w:r w:rsidR="00996FE5" w:rsidRPr="00996FE5">
        <w:rPr>
          <w:b/>
          <w:noProof/>
          <w:szCs w:val="22"/>
        </w:rPr>
        <w:t>SYNTOSTIGMIN</w:t>
      </w:r>
      <w:r w:rsidR="008562C0">
        <w:rPr>
          <w:b/>
          <w:noProof/>
          <w:szCs w:val="22"/>
        </w:rPr>
        <w:t xml:space="preserve"> inj</w:t>
      </w: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Ne</w:t>
      </w:r>
      <w:r w:rsidR="00E13A3E" w:rsidRPr="003021DE">
        <w:rPr>
          <w:b/>
          <w:noProof/>
          <w:szCs w:val="22"/>
        </w:rPr>
        <w:t>po</w:t>
      </w:r>
      <w:r w:rsidR="004B0E47">
        <w:rPr>
          <w:b/>
          <w:noProof/>
          <w:szCs w:val="22"/>
        </w:rPr>
        <w:t>užívajte</w:t>
      </w:r>
      <w:r w:rsidRPr="003021DE">
        <w:rPr>
          <w:b/>
          <w:noProof/>
          <w:szCs w:val="22"/>
        </w:rPr>
        <w:t xml:space="preserve"> </w:t>
      </w:r>
      <w:r w:rsidR="00996FE5" w:rsidRPr="00996FE5">
        <w:rPr>
          <w:b/>
          <w:noProof/>
          <w:szCs w:val="22"/>
        </w:rPr>
        <w:t>SYNTOSTIGMIN</w:t>
      </w:r>
      <w:r w:rsidR="008562C0">
        <w:rPr>
          <w:b/>
          <w:noProof/>
          <w:szCs w:val="22"/>
        </w:rPr>
        <w:t xml:space="preserve"> inj</w:t>
      </w:r>
    </w:p>
    <w:p w:rsidR="003A60B7" w:rsidRPr="003A60B7" w:rsidRDefault="003A60B7" w:rsidP="003A60B7">
      <w:pPr>
        <w:numPr>
          <w:ilvl w:val="0"/>
          <w:numId w:val="1"/>
        </w:numPr>
        <w:rPr>
          <w:noProof/>
          <w:szCs w:val="22"/>
        </w:rPr>
      </w:pPr>
      <w:r w:rsidRPr="003A60B7">
        <w:rPr>
          <w:noProof/>
          <w:szCs w:val="22"/>
        </w:rPr>
        <w:lastRenderedPageBreak/>
        <w:t xml:space="preserve">ak ste alergický na </w:t>
      </w:r>
      <w:r w:rsidR="008F5537">
        <w:rPr>
          <w:noProof/>
          <w:szCs w:val="22"/>
        </w:rPr>
        <w:t>neostigmíniummetylsulfát</w:t>
      </w:r>
      <w:r w:rsidRPr="003A60B7">
        <w:rPr>
          <w:noProof/>
          <w:szCs w:val="22"/>
        </w:rPr>
        <w:t xml:space="preserve"> alebo na ktorúkoľvek z ďalších zložiek tohto lieku (uvedených v časti 6),</w:t>
      </w:r>
    </w:p>
    <w:p w:rsidR="00996FE5" w:rsidRPr="00996FE5" w:rsidRDefault="00E85527" w:rsidP="00996FE5">
      <w:pPr>
        <w:numPr>
          <w:ilvl w:val="0"/>
          <w:numId w:val="1"/>
        </w:numPr>
        <w:rPr>
          <w:noProof/>
          <w:szCs w:val="22"/>
        </w:rPr>
      </w:pPr>
      <w:r>
        <w:rPr>
          <w:rFonts w:cs="Arial"/>
        </w:rPr>
        <w:t>ak trpíte o</w:t>
      </w:r>
      <w:r w:rsidR="00996FE5" w:rsidRPr="00996FE5">
        <w:rPr>
          <w:rFonts w:cs="Arial"/>
        </w:rPr>
        <w:t>bštrukčný</w:t>
      </w:r>
      <w:r>
        <w:rPr>
          <w:rFonts w:cs="Arial"/>
        </w:rPr>
        <w:t>m</w:t>
      </w:r>
      <w:r w:rsidR="00996FE5" w:rsidRPr="00996FE5">
        <w:rPr>
          <w:rFonts w:cs="Arial"/>
        </w:rPr>
        <w:t xml:space="preserve"> </w:t>
      </w:r>
      <w:proofErr w:type="spellStart"/>
      <w:r w:rsidR="00996FE5" w:rsidRPr="00996FE5">
        <w:rPr>
          <w:rFonts w:cs="Arial"/>
        </w:rPr>
        <w:t>ileus</w:t>
      </w:r>
      <w:r>
        <w:rPr>
          <w:rFonts w:cs="Arial"/>
        </w:rPr>
        <w:t>om</w:t>
      </w:r>
      <w:proofErr w:type="spellEnd"/>
      <w:r>
        <w:rPr>
          <w:rFonts w:cs="Arial"/>
        </w:rPr>
        <w:t xml:space="preserve"> – nepriechodnosťou čriev</w:t>
      </w:r>
      <w:r w:rsidR="00996FE5" w:rsidRPr="00996FE5">
        <w:rPr>
          <w:rFonts w:cs="Arial"/>
        </w:rPr>
        <w:t xml:space="preserve"> (zapríčinený uzavretím črevného priesvitu zvnútra), </w:t>
      </w:r>
    </w:p>
    <w:p w:rsidR="00996FE5" w:rsidRPr="00996FE5" w:rsidRDefault="00E85527" w:rsidP="00996FE5">
      <w:pPr>
        <w:numPr>
          <w:ilvl w:val="0"/>
          <w:numId w:val="1"/>
        </w:numPr>
        <w:rPr>
          <w:noProof/>
          <w:szCs w:val="22"/>
        </w:rPr>
      </w:pPr>
      <w:r>
        <w:rPr>
          <w:rFonts w:cs="Arial"/>
        </w:rPr>
        <w:t xml:space="preserve">ak máte </w:t>
      </w:r>
      <w:r w:rsidR="00996FE5" w:rsidRPr="00996FE5">
        <w:rPr>
          <w:rFonts w:cs="Arial"/>
        </w:rPr>
        <w:t xml:space="preserve">zadržiavanie moču vyvolané mechanickou zábranou, </w:t>
      </w:r>
    </w:p>
    <w:p w:rsidR="00996FE5" w:rsidRDefault="00E85527" w:rsidP="00996FE5">
      <w:pPr>
        <w:numPr>
          <w:ilvl w:val="0"/>
          <w:numId w:val="1"/>
        </w:numPr>
        <w:rPr>
          <w:noProof/>
          <w:szCs w:val="22"/>
        </w:rPr>
      </w:pPr>
      <w:r>
        <w:rPr>
          <w:rFonts w:cs="Arial"/>
        </w:rPr>
        <w:t xml:space="preserve">ak trpíte </w:t>
      </w:r>
      <w:r w:rsidR="00996FE5" w:rsidRPr="00E85527">
        <w:rPr>
          <w:rFonts w:cs="Arial"/>
        </w:rPr>
        <w:t>bronchiáln</w:t>
      </w:r>
      <w:r>
        <w:rPr>
          <w:rFonts w:cs="Arial"/>
        </w:rPr>
        <w:t>ou</w:t>
      </w:r>
      <w:r w:rsidR="00996FE5" w:rsidRPr="00E85527">
        <w:rPr>
          <w:rFonts w:cs="Arial"/>
        </w:rPr>
        <w:t xml:space="preserve"> astm</w:t>
      </w:r>
      <w:r>
        <w:rPr>
          <w:rFonts w:cs="Arial"/>
        </w:rPr>
        <w:t>ou</w:t>
      </w:r>
      <w:r w:rsidR="00996FE5" w:rsidRPr="00E85527">
        <w:rPr>
          <w:rFonts w:cs="Arial"/>
        </w:rPr>
        <w:t xml:space="preserve">, </w:t>
      </w:r>
    </w:p>
    <w:p w:rsidR="00996FE5" w:rsidRPr="00996FE5" w:rsidRDefault="00E85527" w:rsidP="00996FE5">
      <w:pPr>
        <w:numPr>
          <w:ilvl w:val="0"/>
          <w:numId w:val="1"/>
        </w:numPr>
        <w:rPr>
          <w:noProof/>
          <w:szCs w:val="22"/>
        </w:rPr>
      </w:pPr>
      <w:r>
        <w:rPr>
          <w:rFonts w:cs="Arial"/>
        </w:rPr>
        <w:t xml:space="preserve">ak trpíte </w:t>
      </w:r>
      <w:r w:rsidR="008F5537">
        <w:rPr>
          <w:rFonts w:cs="Arial"/>
        </w:rPr>
        <w:t xml:space="preserve">nejakou </w:t>
      </w:r>
      <w:r w:rsidR="00996FE5" w:rsidRPr="00996FE5">
        <w:rPr>
          <w:rFonts w:cs="Arial"/>
        </w:rPr>
        <w:t>form</w:t>
      </w:r>
      <w:r w:rsidR="008F5537">
        <w:rPr>
          <w:rFonts w:cs="Arial"/>
        </w:rPr>
        <w:t>ou</w:t>
      </w:r>
      <w:r w:rsidR="00996FE5" w:rsidRPr="00996FE5">
        <w:rPr>
          <w:rFonts w:cs="Arial"/>
        </w:rPr>
        <w:t xml:space="preserve"> </w:t>
      </w:r>
      <w:proofErr w:type="spellStart"/>
      <w:r w:rsidR="00996FE5" w:rsidRPr="00996FE5">
        <w:rPr>
          <w:rFonts w:cs="Arial"/>
        </w:rPr>
        <w:t>myotónie</w:t>
      </w:r>
      <w:proofErr w:type="spellEnd"/>
      <w:r w:rsidR="00996FE5" w:rsidRPr="00996FE5">
        <w:rPr>
          <w:rFonts w:cs="Arial"/>
        </w:rPr>
        <w:t xml:space="preserve"> (tonické kŕče svalstva). </w:t>
      </w:r>
    </w:p>
    <w:p w:rsidR="00996FE5" w:rsidRPr="008562C0" w:rsidRDefault="00996FE5" w:rsidP="00365F81">
      <w:pPr>
        <w:ind w:left="0" w:firstLine="0"/>
        <w:rPr>
          <w:noProof/>
          <w:szCs w:val="22"/>
        </w:rPr>
      </w:pPr>
    </w:p>
    <w:p w:rsidR="00F00D87" w:rsidRPr="00B13F68" w:rsidRDefault="00F00D87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:rsidR="002D4F81" w:rsidRDefault="002D4F81" w:rsidP="002D4F81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Predtým, ako začnete používať</w:t>
      </w:r>
      <w:r w:rsidR="00671E24" w:rsidRPr="003021DE">
        <w:rPr>
          <w:noProof/>
          <w:szCs w:val="22"/>
        </w:rPr>
        <w:t xml:space="preserve"> </w:t>
      </w:r>
      <w:r w:rsidR="00996FE5" w:rsidRPr="00996FE5">
        <w:rPr>
          <w:noProof/>
          <w:szCs w:val="22"/>
        </w:rPr>
        <w:t>SYNTOSTIGMIN</w:t>
      </w:r>
      <w:r w:rsidR="008562C0">
        <w:rPr>
          <w:noProof/>
          <w:szCs w:val="22"/>
        </w:rPr>
        <w:t xml:space="preserve"> inj</w:t>
      </w:r>
      <w:r w:rsidR="00671E24" w:rsidRPr="003021DE">
        <w:rPr>
          <w:noProof/>
          <w:szCs w:val="22"/>
        </w:rPr>
        <w:t xml:space="preserve">, </w:t>
      </w:r>
      <w:r w:rsidRPr="002D4F81">
        <w:rPr>
          <w:noProof/>
          <w:szCs w:val="22"/>
        </w:rPr>
        <w:t>obráťte sa na svojho lekára, lekárnika alebo zdravotnú sestru.</w:t>
      </w:r>
    </w:p>
    <w:p w:rsidR="00996FE5" w:rsidRDefault="00996FE5" w:rsidP="002D4F81">
      <w:pPr>
        <w:numPr>
          <w:ilvl w:val="12"/>
          <w:numId w:val="0"/>
        </w:numPr>
        <w:rPr>
          <w:noProof/>
          <w:szCs w:val="22"/>
        </w:rPr>
      </w:pPr>
    </w:p>
    <w:p w:rsidR="00996FE5" w:rsidRDefault="00996FE5" w:rsidP="002D4F81">
      <w:pPr>
        <w:numPr>
          <w:ilvl w:val="12"/>
          <w:numId w:val="0"/>
        </w:numPr>
        <w:rPr>
          <w:noProof/>
          <w:szCs w:val="22"/>
        </w:rPr>
      </w:pPr>
      <w:r w:rsidRPr="00996FE5">
        <w:rPr>
          <w:noProof/>
          <w:szCs w:val="22"/>
        </w:rPr>
        <w:t>Opatrnosť je potrebná u pacientov s bradykardiou (spomalená srdcová činnosť), čerstvou koronárnou oklúziou (uzavretie srdcových ciev), epilepsiou a hypotenziou (nízky tlak krvi).</w:t>
      </w:r>
    </w:p>
    <w:p w:rsidR="00CF3F40" w:rsidRDefault="00CF3F40" w:rsidP="002D4F81">
      <w:pPr>
        <w:numPr>
          <w:ilvl w:val="12"/>
          <w:numId w:val="0"/>
        </w:numPr>
        <w:rPr>
          <w:noProof/>
          <w:szCs w:val="22"/>
        </w:rPr>
      </w:pPr>
    </w:p>
    <w:p w:rsidR="00996FE5" w:rsidRPr="002D4F81" w:rsidRDefault="00996FE5" w:rsidP="002D4F81">
      <w:pPr>
        <w:numPr>
          <w:ilvl w:val="12"/>
          <w:numId w:val="0"/>
        </w:numPr>
        <w:rPr>
          <w:noProof/>
          <w:szCs w:val="22"/>
        </w:rPr>
      </w:pPr>
      <w:r w:rsidRPr="00996FE5">
        <w:rPr>
          <w:noProof/>
          <w:szCs w:val="22"/>
        </w:rPr>
        <w:t>SYNTOSTIGMIN</w:t>
      </w:r>
      <w:r w:rsidR="008562C0">
        <w:rPr>
          <w:noProof/>
          <w:szCs w:val="22"/>
        </w:rPr>
        <w:t xml:space="preserve"> inj</w:t>
      </w:r>
      <w:r w:rsidRPr="00996FE5">
        <w:rPr>
          <w:noProof/>
          <w:szCs w:val="22"/>
        </w:rPr>
        <w:t xml:space="preserve"> môže niekedy vyvolať paradoxné nežiaduce účinky, tachykardiu (zrýchlenie srdcovej činnosti) a hypertenziu ( zvýšenie tlaku krvi). Vysvetľuje sa to interakciou nikotínových a muskarínových účinkov.</w:t>
      </w:r>
    </w:p>
    <w:p w:rsidR="00F00D87" w:rsidRPr="00B13F68" w:rsidRDefault="00F00D87" w:rsidP="002D4F81">
      <w:pPr>
        <w:numPr>
          <w:ilvl w:val="12"/>
          <w:numId w:val="0"/>
        </w:numPr>
        <w:rPr>
          <w:noProof/>
          <w:szCs w:val="22"/>
        </w:rPr>
      </w:pPr>
    </w:p>
    <w:p w:rsidR="00894631" w:rsidRDefault="00F00D87" w:rsidP="008E6701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>Iné lieky a</w:t>
      </w:r>
      <w:r w:rsidR="008562C0">
        <w:rPr>
          <w:b/>
          <w:noProof/>
          <w:szCs w:val="22"/>
        </w:rPr>
        <w:t> </w:t>
      </w:r>
      <w:r w:rsidR="00996FE5" w:rsidRPr="00996FE5">
        <w:rPr>
          <w:b/>
          <w:noProof/>
          <w:szCs w:val="22"/>
        </w:rPr>
        <w:t>SYNTOSTIGMIN</w:t>
      </w:r>
      <w:r w:rsidR="008562C0">
        <w:rPr>
          <w:b/>
          <w:noProof/>
          <w:szCs w:val="22"/>
        </w:rPr>
        <w:t xml:space="preserve"> inj</w:t>
      </w:r>
    </w:p>
    <w:p w:rsidR="008E6701" w:rsidRPr="008E6701" w:rsidRDefault="008E6701" w:rsidP="008E6701">
      <w:pPr>
        <w:numPr>
          <w:ilvl w:val="12"/>
          <w:numId w:val="0"/>
        </w:numPr>
        <w:ind w:right="-2"/>
        <w:rPr>
          <w:noProof/>
          <w:szCs w:val="22"/>
        </w:rPr>
      </w:pPr>
      <w:r w:rsidRPr="008E6701">
        <w:rPr>
          <w:noProof/>
          <w:szCs w:val="22"/>
        </w:rPr>
        <w:t>Ak teraz používate alebo ste v poslednom čase používali, či práve budete používať</w:t>
      </w:r>
      <w:r w:rsidRPr="008E6701">
        <w:rPr>
          <w:b/>
          <w:i/>
          <w:noProof/>
          <w:szCs w:val="22"/>
        </w:rPr>
        <w:t xml:space="preserve"> </w:t>
      </w:r>
      <w:r w:rsidRPr="008E6701">
        <w:rPr>
          <w:noProof/>
          <w:szCs w:val="22"/>
        </w:rPr>
        <w:t>ďalšie lieky, povedzte to svojmu lekárovi alebo lekárnikovi.</w:t>
      </w:r>
    </w:p>
    <w:p w:rsidR="008E6701" w:rsidRPr="008E6701" w:rsidRDefault="008E6701" w:rsidP="008E6701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Default="00996FE5" w:rsidP="003021DE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SYNTOSTIGMIN</w:t>
      </w:r>
      <w:r w:rsidR="008562C0">
        <w:rPr>
          <w:noProof/>
          <w:szCs w:val="22"/>
        </w:rPr>
        <w:t xml:space="preserve"> inj</w:t>
      </w:r>
      <w:r w:rsidRPr="00996FE5">
        <w:rPr>
          <w:noProof/>
          <w:szCs w:val="22"/>
        </w:rPr>
        <w:t xml:space="preserve"> zosilňuje analgetickú účinnosť analgetík-anodýn, zosilňuje účinnosť sukcinylcholínu, hypotenzív, vazodilatancií, antiarytmík, kardiotoník, beta-blokátorov, antagonizuje myorelaxačné účinky </w:t>
      </w:r>
      <w:r w:rsidR="00E85527">
        <w:rPr>
          <w:noProof/>
          <w:szCs w:val="22"/>
        </w:rPr>
        <w:t>(</w:t>
      </w:r>
      <w:r w:rsidR="0095301F">
        <w:rPr>
          <w:noProof/>
          <w:szCs w:val="22"/>
        </w:rPr>
        <w:t>zníženie</w:t>
      </w:r>
      <w:r w:rsidR="00E85527" w:rsidRPr="00E85527">
        <w:rPr>
          <w:noProof/>
          <w:szCs w:val="22"/>
        </w:rPr>
        <w:t xml:space="preserve"> svalové</w:t>
      </w:r>
      <w:r w:rsidR="0095301F">
        <w:rPr>
          <w:noProof/>
          <w:szCs w:val="22"/>
        </w:rPr>
        <w:t>ho napätia</w:t>
      </w:r>
      <w:r w:rsidR="00E85527">
        <w:rPr>
          <w:noProof/>
          <w:szCs w:val="22"/>
        </w:rPr>
        <w:t xml:space="preserve">) </w:t>
      </w:r>
      <w:r w:rsidRPr="00996FE5">
        <w:rPr>
          <w:noProof/>
          <w:szCs w:val="22"/>
        </w:rPr>
        <w:t>periférnych myorelaxancií kompetitívneho typu, antagonizuje obstipačné účinky morfínu a retenciu moču pri aplikácii cholinolytických látok. Účinnosť lieku zosilňujú cholinergné látky a kyselina pantoténová vo vysokých dávkach, účinok zoslabujú okrem bežných cholinolytík aj syntetické spazmolytiká.</w:t>
      </w:r>
    </w:p>
    <w:p w:rsidR="00996FE5" w:rsidRDefault="00996FE5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51BEF" w:rsidRPr="00951BEF" w:rsidRDefault="00BB1F77" w:rsidP="00951BEF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Tehotenstvo, </w:t>
      </w:r>
      <w:r w:rsidR="00951BEF" w:rsidRPr="00951BEF">
        <w:rPr>
          <w:b/>
          <w:noProof/>
          <w:szCs w:val="22"/>
        </w:rPr>
        <w:t>dojčenie a plodnosť</w:t>
      </w:r>
    </w:p>
    <w:p w:rsidR="003A60B7" w:rsidRPr="00996FE5" w:rsidRDefault="003A60B7" w:rsidP="003A60B7">
      <w:pPr>
        <w:numPr>
          <w:ilvl w:val="12"/>
          <w:numId w:val="0"/>
        </w:numPr>
        <w:ind w:right="-2"/>
        <w:rPr>
          <w:noProof/>
          <w:szCs w:val="22"/>
        </w:rPr>
      </w:pPr>
      <w:r w:rsidRPr="00996FE5">
        <w:rPr>
          <w:noProof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996FE5" w:rsidRPr="00996FE5" w:rsidRDefault="00996FE5" w:rsidP="003A60B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F5537" w:rsidRPr="00996FE5" w:rsidRDefault="00996FE5" w:rsidP="00996FE5">
      <w:pPr>
        <w:numPr>
          <w:ilvl w:val="12"/>
          <w:numId w:val="0"/>
        </w:numPr>
        <w:ind w:right="-2"/>
        <w:rPr>
          <w:noProof/>
          <w:szCs w:val="22"/>
        </w:rPr>
      </w:pPr>
      <w:r w:rsidRPr="00996FE5">
        <w:rPr>
          <w:noProof/>
          <w:szCs w:val="22"/>
        </w:rPr>
        <w:t>Tehotenstvo</w:t>
      </w:r>
    </w:p>
    <w:p w:rsidR="00996FE5" w:rsidRDefault="00996FE5" w:rsidP="00996FE5">
      <w:pPr>
        <w:numPr>
          <w:ilvl w:val="12"/>
          <w:numId w:val="0"/>
        </w:numPr>
        <w:ind w:right="-2"/>
        <w:rPr>
          <w:noProof/>
          <w:szCs w:val="22"/>
        </w:rPr>
      </w:pPr>
      <w:r w:rsidRPr="00996FE5">
        <w:rPr>
          <w:noProof/>
          <w:szCs w:val="22"/>
        </w:rPr>
        <w:t xml:space="preserve">Používanie počas tehotenstva je riskantné. </w:t>
      </w:r>
      <w:r>
        <w:rPr>
          <w:noProof/>
          <w:szCs w:val="22"/>
        </w:rPr>
        <w:t>SYNTOSTIGMIN</w:t>
      </w:r>
      <w:r w:rsidRPr="00996FE5">
        <w:rPr>
          <w:noProof/>
          <w:szCs w:val="22"/>
        </w:rPr>
        <w:t xml:space="preserve"> </w:t>
      </w:r>
      <w:r w:rsidR="00940D6B">
        <w:rPr>
          <w:noProof/>
          <w:szCs w:val="22"/>
        </w:rPr>
        <w:t xml:space="preserve">inj </w:t>
      </w:r>
      <w:r w:rsidRPr="00996FE5">
        <w:rPr>
          <w:noProof/>
          <w:szCs w:val="22"/>
        </w:rPr>
        <w:t>prechádza placentárnou bariérou, môže vyvolať kontrakcie</w:t>
      </w:r>
      <w:r w:rsidR="0095301F">
        <w:rPr>
          <w:noProof/>
          <w:szCs w:val="22"/>
        </w:rPr>
        <w:t xml:space="preserve"> (sťahy)</w:t>
      </w:r>
      <w:r w:rsidRPr="00996FE5">
        <w:rPr>
          <w:noProof/>
          <w:szCs w:val="22"/>
        </w:rPr>
        <w:t xml:space="preserve"> maternice a riziko potratu.</w:t>
      </w:r>
    </w:p>
    <w:p w:rsidR="0095301F" w:rsidRPr="00996FE5" w:rsidRDefault="0095301F" w:rsidP="00996FE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96FE5" w:rsidRPr="00996FE5" w:rsidRDefault="00996FE5" w:rsidP="00996FE5">
      <w:pPr>
        <w:numPr>
          <w:ilvl w:val="12"/>
          <w:numId w:val="0"/>
        </w:numPr>
        <w:ind w:right="-2"/>
        <w:rPr>
          <w:noProof/>
          <w:szCs w:val="22"/>
        </w:rPr>
      </w:pPr>
      <w:r w:rsidRPr="00996FE5">
        <w:rPr>
          <w:noProof/>
          <w:szCs w:val="22"/>
        </w:rPr>
        <w:t>Dojčenie</w:t>
      </w:r>
    </w:p>
    <w:p w:rsidR="006C27F1" w:rsidRDefault="00996FE5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996FE5">
        <w:rPr>
          <w:noProof/>
          <w:szCs w:val="22"/>
        </w:rPr>
        <w:t>Nie sú dostupné informácie o prechode SYNTOSTIGMIN</w:t>
      </w:r>
      <w:r w:rsidR="002A6080">
        <w:rPr>
          <w:noProof/>
          <w:szCs w:val="22"/>
        </w:rPr>
        <w:t>U</w:t>
      </w:r>
      <w:r w:rsidRPr="00996FE5">
        <w:rPr>
          <w:noProof/>
          <w:szCs w:val="22"/>
        </w:rPr>
        <w:t xml:space="preserve"> </w:t>
      </w:r>
      <w:r w:rsidR="00940D6B">
        <w:rPr>
          <w:noProof/>
          <w:szCs w:val="22"/>
        </w:rPr>
        <w:t xml:space="preserve">inj </w:t>
      </w:r>
      <w:r w:rsidRPr="00996FE5">
        <w:rPr>
          <w:noProof/>
          <w:szCs w:val="22"/>
        </w:rPr>
        <w:t xml:space="preserve">do </w:t>
      </w:r>
      <w:r w:rsidR="008F5537">
        <w:rPr>
          <w:noProof/>
          <w:szCs w:val="22"/>
        </w:rPr>
        <w:t>ľudského</w:t>
      </w:r>
      <w:r w:rsidR="008F5537" w:rsidRPr="00996FE5">
        <w:rPr>
          <w:noProof/>
          <w:szCs w:val="22"/>
        </w:rPr>
        <w:t xml:space="preserve"> </w:t>
      </w:r>
      <w:r w:rsidRPr="00996FE5">
        <w:rPr>
          <w:noProof/>
          <w:szCs w:val="22"/>
        </w:rPr>
        <w:t>mlieka.</w:t>
      </w:r>
    </w:p>
    <w:p w:rsidR="00996FE5" w:rsidRPr="003021DE" w:rsidRDefault="00996FE5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51BEF" w:rsidRPr="00951BEF" w:rsidRDefault="00951BEF" w:rsidP="00951BEF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951BEF">
        <w:rPr>
          <w:b/>
          <w:noProof/>
          <w:szCs w:val="22"/>
        </w:rPr>
        <w:t>Vedenie vozidiel a obsluha strojov</w:t>
      </w:r>
    </w:p>
    <w:p w:rsidR="00CF3F40" w:rsidRDefault="00CF3F40" w:rsidP="00A75ECC">
      <w:pPr>
        <w:numPr>
          <w:ilvl w:val="12"/>
          <w:numId w:val="0"/>
        </w:numPr>
        <w:ind w:right="-2"/>
        <w:rPr>
          <w:noProof/>
          <w:szCs w:val="22"/>
        </w:rPr>
      </w:pPr>
      <w:r w:rsidRPr="00CF3F40">
        <w:rPr>
          <w:noProof/>
          <w:szCs w:val="22"/>
        </w:rPr>
        <w:t xml:space="preserve">SYNTOSTIGMIN </w:t>
      </w:r>
      <w:r w:rsidR="00940D6B">
        <w:rPr>
          <w:noProof/>
          <w:szCs w:val="22"/>
        </w:rPr>
        <w:t xml:space="preserve">inj </w:t>
      </w:r>
      <w:r w:rsidRPr="00CF3F40">
        <w:rPr>
          <w:noProof/>
          <w:szCs w:val="22"/>
        </w:rPr>
        <w:t>nemá tlmivý vplyv na centrálny nervový systém, ale pretože spôsobuje miózu a neostré videnie do diaľky, v konečnom dôsledku môže ovplyvniť pozornosť pri riadení motorového vozidla alebo obsluhe strojov.</w:t>
      </w:r>
    </w:p>
    <w:p w:rsidR="00CF3F40" w:rsidRDefault="00CF3F40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57816" w:rsidRPr="00057816" w:rsidRDefault="00057816" w:rsidP="00057816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SYNTOSTIGMIN </w:t>
      </w:r>
      <w:r w:rsidR="00775371">
        <w:rPr>
          <w:b/>
          <w:noProof/>
          <w:szCs w:val="22"/>
        </w:rPr>
        <w:t xml:space="preserve">inj </w:t>
      </w:r>
      <w:r>
        <w:rPr>
          <w:b/>
          <w:noProof/>
          <w:szCs w:val="22"/>
        </w:rPr>
        <w:t xml:space="preserve">obsahuje </w:t>
      </w:r>
      <w:r w:rsidRPr="00057816">
        <w:rPr>
          <w:b/>
          <w:noProof/>
          <w:szCs w:val="22"/>
        </w:rPr>
        <w:t>3,542 mg/ml</w:t>
      </w:r>
      <w:r>
        <w:rPr>
          <w:b/>
          <w:noProof/>
          <w:szCs w:val="22"/>
        </w:rPr>
        <w:t xml:space="preserve"> sodíka</w:t>
      </w:r>
      <w:r w:rsidRPr="00057816">
        <w:rPr>
          <w:b/>
          <w:noProof/>
          <w:szCs w:val="22"/>
        </w:rPr>
        <w:t>, to zodpovedá 0,154 mmol/ml.</w:t>
      </w:r>
    </w:p>
    <w:p w:rsidR="00057816" w:rsidRDefault="0005781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CF3F40" w:rsidRPr="003021DE" w:rsidRDefault="00CF3F40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</w:r>
      <w:r w:rsidR="00B4307B">
        <w:rPr>
          <w:b/>
          <w:noProof/>
          <w:szCs w:val="22"/>
        </w:rPr>
        <w:t xml:space="preserve">Ako používať </w:t>
      </w:r>
      <w:r w:rsidR="00996FE5" w:rsidRPr="00996FE5">
        <w:rPr>
          <w:b/>
          <w:noProof/>
          <w:szCs w:val="22"/>
        </w:rPr>
        <w:t>SYNTOSTIGMIN</w:t>
      </w:r>
      <w:r w:rsidR="00775371">
        <w:rPr>
          <w:b/>
          <w:noProof/>
          <w:szCs w:val="22"/>
        </w:rPr>
        <w:t xml:space="preserve"> inj</w:t>
      </w:r>
    </w:p>
    <w:p w:rsidR="003355AD" w:rsidRPr="00775371" w:rsidRDefault="003355AD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3355AD" w:rsidRPr="003021DE" w:rsidRDefault="003355AD" w:rsidP="003355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355AD">
        <w:rPr>
          <w:noProof/>
          <w:szCs w:val="22"/>
        </w:rPr>
        <w:t>Vždy používajte tento liek presne tak, ako je to uvedené v tejto písomnej informácii alebo ako vám povedal váš lekár alebo lekárnik. Ak si nie ste niečím istý, overte si to u svojho lekára alebo lekárnika.</w:t>
      </w:r>
    </w:p>
    <w:p w:rsidR="00780926" w:rsidRPr="008F35B5" w:rsidRDefault="00780926" w:rsidP="008F35B5">
      <w:pPr>
        <w:ind w:left="0" w:firstLine="0"/>
        <w:rPr>
          <w:bCs/>
          <w:noProof/>
          <w:szCs w:val="22"/>
        </w:rPr>
      </w:pPr>
    </w:p>
    <w:p w:rsidR="00996FE5" w:rsidRPr="00996FE5" w:rsidRDefault="00996FE5" w:rsidP="00996FE5">
      <w:pPr>
        <w:numPr>
          <w:ilvl w:val="12"/>
          <w:numId w:val="0"/>
        </w:numPr>
        <w:ind w:right="-2"/>
        <w:rPr>
          <w:bCs/>
          <w:i/>
          <w:noProof/>
          <w:szCs w:val="22"/>
        </w:rPr>
      </w:pPr>
      <w:r w:rsidRPr="00996FE5">
        <w:rPr>
          <w:bCs/>
          <w:i/>
          <w:noProof/>
          <w:szCs w:val="22"/>
        </w:rPr>
        <w:t>Dospelí</w:t>
      </w:r>
    </w:p>
    <w:p w:rsidR="00996FE5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996FE5">
        <w:rPr>
          <w:bCs/>
          <w:noProof/>
          <w:szCs w:val="22"/>
          <w:u w:val="single"/>
        </w:rPr>
        <w:t>Pri atónii čriev a močového mechúra:</w:t>
      </w:r>
      <w:r w:rsidRPr="00996FE5">
        <w:rPr>
          <w:bCs/>
          <w:noProof/>
          <w:szCs w:val="22"/>
        </w:rPr>
        <w:t xml:space="preserve"> </w:t>
      </w:r>
    </w:p>
    <w:p w:rsidR="00996FE5" w:rsidRPr="00996FE5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lastRenderedPageBreak/>
        <w:t xml:space="preserve">Podáva sa </w:t>
      </w:r>
      <w:r w:rsidRPr="00996FE5">
        <w:rPr>
          <w:bCs/>
          <w:noProof/>
          <w:szCs w:val="22"/>
        </w:rPr>
        <w:t>1 ampulku podkožne, do svalu alebo pomaly intravenózne</w:t>
      </w:r>
      <w:r w:rsidR="0095301F">
        <w:rPr>
          <w:bCs/>
          <w:noProof/>
          <w:szCs w:val="22"/>
        </w:rPr>
        <w:t xml:space="preserve"> (vnútrožilovo)</w:t>
      </w:r>
      <w:r w:rsidRPr="00996FE5">
        <w:rPr>
          <w:bCs/>
          <w:noProof/>
          <w:szCs w:val="22"/>
        </w:rPr>
        <w:t xml:space="preserve">. Opakovať možno po 3 až 6 hodinách. Intravenózne sa odporúča podávať SYNTOSTIGMIN </w:t>
      </w:r>
      <w:r w:rsidR="005832B2">
        <w:rPr>
          <w:bCs/>
          <w:noProof/>
          <w:szCs w:val="22"/>
        </w:rPr>
        <w:t xml:space="preserve">inj </w:t>
      </w:r>
      <w:r w:rsidRPr="00996FE5">
        <w:rPr>
          <w:bCs/>
          <w:noProof/>
          <w:szCs w:val="22"/>
        </w:rPr>
        <w:t xml:space="preserve">riedený v infúznych roztokoch (izotonický roztok chloridu sodného, 5 % roztok glukózy). SYNTOSTIGMIN </w:t>
      </w:r>
      <w:r w:rsidR="005832B2">
        <w:rPr>
          <w:bCs/>
          <w:noProof/>
          <w:szCs w:val="22"/>
        </w:rPr>
        <w:t xml:space="preserve">inj </w:t>
      </w:r>
      <w:r w:rsidRPr="00996FE5">
        <w:rPr>
          <w:bCs/>
          <w:noProof/>
          <w:szCs w:val="22"/>
        </w:rPr>
        <w:t>možno podať aj preventívne tesne po operácii v polovičnej dávke (1/2 ampulky) subkutánne</w:t>
      </w:r>
      <w:r w:rsidR="0095301F">
        <w:rPr>
          <w:bCs/>
          <w:noProof/>
          <w:szCs w:val="22"/>
        </w:rPr>
        <w:t xml:space="preserve"> (podkožne)</w:t>
      </w:r>
      <w:r w:rsidRPr="00996FE5">
        <w:rPr>
          <w:bCs/>
          <w:noProof/>
          <w:szCs w:val="22"/>
        </w:rPr>
        <w:t xml:space="preserve"> alebo intramuskulárne</w:t>
      </w:r>
      <w:r w:rsidR="0095301F">
        <w:rPr>
          <w:bCs/>
          <w:noProof/>
          <w:szCs w:val="22"/>
        </w:rPr>
        <w:t xml:space="preserve"> (do svalu)</w:t>
      </w:r>
      <w:r w:rsidRPr="00996FE5">
        <w:rPr>
          <w:bCs/>
          <w:noProof/>
          <w:szCs w:val="22"/>
        </w:rPr>
        <w:t xml:space="preserve">, prípadne dávku zopakovať po 4 až 6 hodinách. </w:t>
      </w:r>
    </w:p>
    <w:p w:rsidR="008F5537" w:rsidRDefault="008F5537" w:rsidP="00996FE5">
      <w:pPr>
        <w:numPr>
          <w:ilvl w:val="12"/>
          <w:numId w:val="0"/>
        </w:numPr>
        <w:ind w:right="-2"/>
        <w:rPr>
          <w:bCs/>
          <w:noProof/>
          <w:szCs w:val="22"/>
          <w:u w:val="single"/>
        </w:rPr>
      </w:pPr>
    </w:p>
    <w:p w:rsidR="00996FE5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996FE5">
        <w:rPr>
          <w:bCs/>
          <w:noProof/>
          <w:szCs w:val="22"/>
          <w:u w:val="single"/>
        </w:rPr>
        <w:t>Pri myasthenia gravis</w:t>
      </w:r>
      <w:r w:rsidR="0095301F">
        <w:rPr>
          <w:bCs/>
          <w:noProof/>
          <w:szCs w:val="22"/>
          <w:u w:val="single"/>
        </w:rPr>
        <w:t xml:space="preserve"> </w:t>
      </w:r>
      <w:r w:rsidR="0095301F" w:rsidRPr="0095301F">
        <w:rPr>
          <w:bCs/>
          <w:noProof/>
          <w:szCs w:val="22"/>
          <w:u w:val="single"/>
        </w:rPr>
        <w:t>(neurologické ochorenie, ktoré spôsobuje svalovú slabosť)</w:t>
      </w:r>
      <w:r w:rsidRPr="00996FE5">
        <w:rPr>
          <w:bCs/>
          <w:noProof/>
          <w:szCs w:val="22"/>
          <w:u w:val="single"/>
        </w:rPr>
        <w:t>:</w:t>
      </w:r>
      <w:r w:rsidRPr="00996FE5">
        <w:rPr>
          <w:bCs/>
          <w:noProof/>
          <w:szCs w:val="22"/>
        </w:rPr>
        <w:t xml:space="preserve"> </w:t>
      </w:r>
    </w:p>
    <w:p w:rsidR="00996FE5" w:rsidRPr="00996FE5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t>P</w:t>
      </w:r>
      <w:r w:rsidRPr="00996FE5">
        <w:rPr>
          <w:bCs/>
          <w:noProof/>
          <w:szCs w:val="22"/>
        </w:rPr>
        <w:t xml:space="preserve">odávajú sa 1 až 2 ampulky subkutánne </w:t>
      </w:r>
      <w:r w:rsidR="0095301F">
        <w:rPr>
          <w:bCs/>
          <w:noProof/>
          <w:szCs w:val="22"/>
        </w:rPr>
        <w:t xml:space="preserve">(podkožne) </w:t>
      </w:r>
      <w:r w:rsidRPr="00996FE5">
        <w:rPr>
          <w:bCs/>
          <w:noProof/>
          <w:szCs w:val="22"/>
        </w:rPr>
        <w:t>alebo intramuskulárne</w:t>
      </w:r>
      <w:r w:rsidR="0095301F">
        <w:rPr>
          <w:bCs/>
          <w:noProof/>
          <w:szCs w:val="22"/>
        </w:rPr>
        <w:t xml:space="preserve"> (do svalu)</w:t>
      </w:r>
      <w:r w:rsidRPr="00996FE5">
        <w:rPr>
          <w:bCs/>
          <w:noProof/>
          <w:szCs w:val="22"/>
        </w:rPr>
        <w:t>.</w:t>
      </w:r>
    </w:p>
    <w:p w:rsidR="008F5537" w:rsidRDefault="008F5537" w:rsidP="00996FE5">
      <w:pPr>
        <w:numPr>
          <w:ilvl w:val="12"/>
          <w:numId w:val="0"/>
        </w:numPr>
        <w:ind w:right="-2"/>
        <w:rPr>
          <w:bCs/>
          <w:noProof/>
          <w:szCs w:val="22"/>
          <w:u w:val="single"/>
        </w:rPr>
      </w:pPr>
    </w:p>
    <w:p w:rsidR="00996FE5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996FE5">
        <w:rPr>
          <w:bCs/>
          <w:noProof/>
          <w:szCs w:val="22"/>
          <w:u w:val="single"/>
        </w:rPr>
        <w:t>Pri bulbárnych syndrómoch</w:t>
      </w:r>
      <w:r w:rsidR="0095301F">
        <w:rPr>
          <w:bCs/>
          <w:noProof/>
          <w:szCs w:val="22"/>
          <w:u w:val="single"/>
        </w:rPr>
        <w:t xml:space="preserve"> </w:t>
      </w:r>
      <w:r w:rsidR="0095301F" w:rsidRPr="0095301F">
        <w:rPr>
          <w:bCs/>
          <w:noProof/>
          <w:szCs w:val="22"/>
          <w:u w:val="single"/>
        </w:rPr>
        <w:t>(poškodenie mozgových nervov)</w:t>
      </w:r>
      <w:r w:rsidRPr="00996FE5">
        <w:rPr>
          <w:bCs/>
          <w:noProof/>
          <w:szCs w:val="22"/>
          <w:u w:val="single"/>
        </w:rPr>
        <w:t>:</w:t>
      </w:r>
      <w:r w:rsidRPr="00996FE5">
        <w:rPr>
          <w:bCs/>
          <w:noProof/>
          <w:szCs w:val="22"/>
        </w:rPr>
        <w:t xml:space="preserve"> </w:t>
      </w:r>
    </w:p>
    <w:p w:rsidR="00996FE5" w:rsidRPr="00996FE5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t>O</w:t>
      </w:r>
      <w:r w:rsidRPr="00996FE5">
        <w:rPr>
          <w:bCs/>
          <w:noProof/>
          <w:szCs w:val="22"/>
        </w:rPr>
        <w:t>dporúča sa 1/2 - 1 ampulku 1 až 2 krát denne subkutánne</w:t>
      </w:r>
      <w:r w:rsidR="0095301F">
        <w:rPr>
          <w:bCs/>
          <w:noProof/>
          <w:szCs w:val="22"/>
        </w:rPr>
        <w:t xml:space="preserve"> (podkožne)</w:t>
      </w:r>
      <w:r w:rsidRPr="00996FE5">
        <w:rPr>
          <w:bCs/>
          <w:noProof/>
          <w:szCs w:val="22"/>
        </w:rPr>
        <w:t xml:space="preserve"> alebo intramuskulárne</w:t>
      </w:r>
      <w:r w:rsidR="0095301F">
        <w:rPr>
          <w:bCs/>
          <w:noProof/>
          <w:szCs w:val="22"/>
        </w:rPr>
        <w:t xml:space="preserve"> (do svalu)</w:t>
      </w:r>
      <w:r w:rsidRPr="00996FE5">
        <w:rPr>
          <w:bCs/>
          <w:noProof/>
          <w:szCs w:val="22"/>
        </w:rPr>
        <w:t xml:space="preserve">. </w:t>
      </w:r>
    </w:p>
    <w:p w:rsidR="008F5537" w:rsidRDefault="008F5537" w:rsidP="00996FE5">
      <w:pPr>
        <w:numPr>
          <w:ilvl w:val="12"/>
          <w:numId w:val="0"/>
        </w:numPr>
        <w:ind w:right="-2"/>
        <w:rPr>
          <w:bCs/>
          <w:noProof/>
          <w:szCs w:val="22"/>
          <w:u w:val="single"/>
        </w:rPr>
      </w:pPr>
    </w:p>
    <w:p w:rsidR="00996FE5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996FE5">
        <w:rPr>
          <w:bCs/>
          <w:noProof/>
          <w:szCs w:val="22"/>
          <w:u w:val="single"/>
        </w:rPr>
        <w:t>V</w:t>
      </w:r>
      <w:r w:rsidR="0095301F">
        <w:rPr>
          <w:bCs/>
          <w:noProof/>
          <w:szCs w:val="22"/>
          <w:u w:val="single"/>
        </w:rPr>
        <w:t> </w:t>
      </w:r>
      <w:r w:rsidRPr="00996FE5">
        <w:rPr>
          <w:bCs/>
          <w:noProof/>
          <w:szCs w:val="22"/>
          <w:u w:val="single"/>
        </w:rPr>
        <w:t>anestéziológii</w:t>
      </w:r>
      <w:r w:rsidR="0095301F">
        <w:rPr>
          <w:bCs/>
          <w:noProof/>
          <w:szCs w:val="22"/>
          <w:u w:val="single"/>
        </w:rPr>
        <w:t>:</w:t>
      </w:r>
      <w:r w:rsidRPr="00996FE5">
        <w:rPr>
          <w:bCs/>
          <w:noProof/>
          <w:szCs w:val="22"/>
        </w:rPr>
        <w:t xml:space="preserve"> </w:t>
      </w:r>
    </w:p>
    <w:p w:rsidR="00996FE5" w:rsidRPr="00996FE5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t>Používa sa a</w:t>
      </w:r>
      <w:r w:rsidRPr="00996FE5">
        <w:rPr>
          <w:bCs/>
          <w:noProof/>
          <w:szCs w:val="22"/>
        </w:rPr>
        <w:t>ko antidotum myorelaxačného účinku tubukurarínu: 1</w:t>
      </w:r>
      <w:r w:rsidR="005832B2">
        <w:rPr>
          <w:bCs/>
          <w:noProof/>
          <w:szCs w:val="22"/>
        </w:rPr>
        <w:t xml:space="preserve"> </w:t>
      </w:r>
      <w:r w:rsidRPr="00996FE5">
        <w:rPr>
          <w:bCs/>
          <w:noProof/>
          <w:szCs w:val="22"/>
        </w:rPr>
        <w:t>-</w:t>
      </w:r>
      <w:r w:rsidR="005832B2">
        <w:rPr>
          <w:bCs/>
          <w:noProof/>
          <w:szCs w:val="22"/>
        </w:rPr>
        <w:t xml:space="preserve"> </w:t>
      </w:r>
      <w:r w:rsidRPr="00996FE5">
        <w:rPr>
          <w:bCs/>
          <w:noProof/>
          <w:szCs w:val="22"/>
        </w:rPr>
        <w:t>2 mg neostigmínu v kombinácii s 0,5 až 1 mg atropínu.</w:t>
      </w:r>
      <w:r>
        <w:rPr>
          <w:bCs/>
          <w:noProof/>
          <w:szCs w:val="22"/>
        </w:rPr>
        <w:t xml:space="preserve"> </w:t>
      </w:r>
      <w:r w:rsidRPr="00996FE5">
        <w:rPr>
          <w:bCs/>
          <w:noProof/>
          <w:szCs w:val="22"/>
        </w:rPr>
        <w:t xml:space="preserve">Na odstránenie vedľajších účinkov </w:t>
      </w:r>
      <w:r w:rsidR="00CF3F40" w:rsidRPr="00CF3F40">
        <w:rPr>
          <w:bCs/>
          <w:noProof/>
          <w:szCs w:val="22"/>
        </w:rPr>
        <w:t>SYNTOSTIGMIN</w:t>
      </w:r>
      <w:r w:rsidR="008F5537">
        <w:rPr>
          <w:bCs/>
          <w:noProof/>
          <w:szCs w:val="22"/>
        </w:rPr>
        <w:t>U</w:t>
      </w:r>
      <w:r w:rsidRPr="00996FE5">
        <w:rPr>
          <w:bCs/>
          <w:noProof/>
          <w:szCs w:val="22"/>
        </w:rPr>
        <w:t xml:space="preserve"> </w:t>
      </w:r>
      <w:r w:rsidR="005832B2">
        <w:rPr>
          <w:bCs/>
          <w:noProof/>
          <w:szCs w:val="22"/>
        </w:rPr>
        <w:t xml:space="preserve">inj </w:t>
      </w:r>
      <w:r w:rsidRPr="00996FE5">
        <w:rPr>
          <w:bCs/>
          <w:noProof/>
          <w:szCs w:val="22"/>
        </w:rPr>
        <w:t>je vhodné v niektorých prípadoch podávať súčasne atropín v dávke 0,1 - 0,5 mg 3 krát denne.</w:t>
      </w:r>
    </w:p>
    <w:p w:rsidR="00996FE5" w:rsidRPr="00996FE5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  <w:u w:val="single"/>
        </w:rPr>
      </w:pPr>
    </w:p>
    <w:p w:rsidR="00996FE5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996FE5">
        <w:rPr>
          <w:bCs/>
          <w:noProof/>
          <w:szCs w:val="22"/>
          <w:u w:val="single"/>
        </w:rPr>
        <w:t>Doporučené terapeutické dávky</w:t>
      </w:r>
      <w:r w:rsidRPr="00996FE5">
        <w:rPr>
          <w:bCs/>
          <w:noProof/>
          <w:szCs w:val="22"/>
        </w:rPr>
        <w:t xml:space="preserve"> pri podkožnom a vnútrosvalovom podaní sú vo všeobecnosti 0,25</w:t>
      </w:r>
      <w:r w:rsidR="0095301F">
        <w:rPr>
          <w:bCs/>
          <w:noProof/>
          <w:szCs w:val="22"/>
        </w:rPr>
        <w:t xml:space="preserve"> </w:t>
      </w:r>
      <w:r w:rsidRPr="00996FE5">
        <w:rPr>
          <w:bCs/>
          <w:noProof/>
          <w:szCs w:val="22"/>
        </w:rPr>
        <w:t>-</w:t>
      </w:r>
      <w:r w:rsidR="0095301F">
        <w:rPr>
          <w:bCs/>
          <w:noProof/>
          <w:szCs w:val="22"/>
        </w:rPr>
        <w:t xml:space="preserve"> </w:t>
      </w:r>
      <w:r w:rsidRPr="00996FE5">
        <w:rPr>
          <w:bCs/>
          <w:noProof/>
          <w:szCs w:val="22"/>
        </w:rPr>
        <w:t xml:space="preserve">0,5 mg. </w:t>
      </w:r>
    </w:p>
    <w:p w:rsidR="00CF3F40" w:rsidRPr="00996FE5" w:rsidRDefault="00CF3F40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:rsidR="00BB1F77" w:rsidRDefault="00996FE5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996FE5">
        <w:rPr>
          <w:bCs/>
          <w:noProof/>
          <w:szCs w:val="22"/>
        </w:rPr>
        <w:t>Maximálna jednotlivá dávka je 1 mg, maximálna denná dávka je 3 mg.</w:t>
      </w:r>
    </w:p>
    <w:p w:rsidR="00CF3F40" w:rsidRDefault="00CF3F40" w:rsidP="00996FE5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:rsidR="00CF3F40" w:rsidRPr="00CF3F40" w:rsidRDefault="00CF3F40" w:rsidP="00CF3F40">
      <w:pPr>
        <w:numPr>
          <w:ilvl w:val="12"/>
          <w:numId w:val="0"/>
        </w:numPr>
        <w:ind w:right="-2"/>
        <w:rPr>
          <w:bCs/>
          <w:i/>
          <w:noProof/>
          <w:szCs w:val="22"/>
          <w:u w:val="single"/>
        </w:rPr>
      </w:pPr>
      <w:r w:rsidRPr="00CF3F40">
        <w:rPr>
          <w:bCs/>
          <w:i/>
          <w:noProof/>
          <w:szCs w:val="22"/>
          <w:u w:val="single"/>
        </w:rPr>
        <w:t xml:space="preserve">Použitie u detí: </w:t>
      </w:r>
    </w:p>
    <w:p w:rsidR="00CF3F40" w:rsidRDefault="00CF3F40" w:rsidP="00CF3F40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CF3F40">
        <w:rPr>
          <w:bCs/>
          <w:noProof/>
          <w:szCs w:val="22"/>
        </w:rPr>
        <w:t xml:space="preserve">Dávka pre deti je 20 </w:t>
      </w:r>
      <w:r w:rsidRPr="00CF3F40">
        <w:rPr>
          <w:bCs/>
          <w:noProof/>
          <w:szCs w:val="22"/>
        </w:rPr>
        <w:sym w:font="Times New Roman" w:char="00B5"/>
      </w:r>
      <w:r w:rsidRPr="00CF3F40">
        <w:rPr>
          <w:bCs/>
          <w:noProof/>
          <w:szCs w:val="22"/>
        </w:rPr>
        <w:t>g/kg, teda</w:t>
      </w:r>
      <w:r>
        <w:rPr>
          <w:bCs/>
          <w:noProof/>
          <w:szCs w:val="22"/>
        </w:rPr>
        <w:t>:</w:t>
      </w:r>
    </w:p>
    <w:p w:rsidR="00CF3F40" w:rsidRDefault="00CF3F40" w:rsidP="00CF3F40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tab/>
      </w:r>
      <w:r w:rsidRPr="00CF3F40">
        <w:rPr>
          <w:bCs/>
          <w:noProof/>
          <w:szCs w:val="22"/>
        </w:rPr>
        <w:t>do 1 roka 0,15 - 0,20 mg</w:t>
      </w:r>
      <w:r>
        <w:rPr>
          <w:bCs/>
          <w:noProof/>
          <w:szCs w:val="22"/>
        </w:rPr>
        <w:t xml:space="preserve"> denne</w:t>
      </w:r>
      <w:r w:rsidRPr="00CF3F40">
        <w:rPr>
          <w:bCs/>
          <w:noProof/>
          <w:szCs w:val="22"/>
        </w:rPr>
        <w:t xml:space="preserve">, </w:t>
      </w:r>
    </w:p>
    <w:p w:rsidR="00CF3F40" w:rsidRDefault="00CF3F40" w:rsidP="00CF3F40">
      <w:pPr>
        <w:numPr>
          <w:ilvl w:val="12"/>
          <w:numId w:val="0"/>
        </w:numPr>
        <w:ind w:right="-2" w:firstLine="708"/>
        <w:rPr>
          <w:bCs/>
          <w:noProof/>
          <w:szCs w:val="22"/>
        </w:rPr>
      </w:pPr>
      <w:r>
        <w:rPr>
          <w:bCs/>
          <w:noProof/>
          <w:szCs w:val="22"/>
        </w:rPr>
        <w:t xml:space="preserve">od </w:t>
      </w:r>
      <w:r w:rsidRPr="00CF3F40">
        <w:rPr>
          <w:bCs/>
          <w:noProof/>
          <w:szCs w:val="22"/>
        </w:rPr>
        <w:t>1</w:t>
      </w:r>
      <w:r>
        <w:rPr>
          <w:bCs/>
          <w:noProof/>
          <w:szCs w:val="22"/>
        </w:rPr>
        <w:t xml:space="preserve"> roka do</w:t>
      </w:r>
      <w:r w:rsidRPr="00CF3F40">
        <w:rPr>
          <w:bCs/>
          <w:noProof/>
          <w:szCs w:val="22"/>
        </w:rPr>
        <w:t xml:space="preserve"> 6 rokov 0,25 - 0,30 mg</w:t>
      </w:r>
      <w:r>
        <w:rPr>
          <w:bCs/>
          <w:noProof/>
          <w:szCs w:val="22"/>
        </w:rPr>
        <w:t xml:space="preserve"> denne</w:t>
      </w:r>
      <w:r w:rsidRPr="00CF3F40">
        <w:rPr>
          <w:bCs/>
          <w:noProof/>
          <w:szCs w:val="22"/>
        </w:rPr>
        <w:t>,</w:t>
      </w:r>
    </w:p>
    <w:p w:rsidR="00CF3F40" w:rsidRPr="00CF3F40" w:rsidRDefault="00CF3F40" w:rsidP="00CF3F40">
      <w:pPr>
        <w:numPr>
          <w:ilvl w:val="12"/>
          <w:numId w:val="0"/>
        </w:numPr>
        <w:ind w:right="-2" w:firstLine="708"/>
        <w:rPr>
          <w:bCs/>
          <w:noProof/>
          <w:szCs w:val="22"/>
        </w:rPr>
      </w:pPr>
      <w:r>
        <w:rPr>
          <w:bCs/>
          <w:noProof/>
          <w:szCs w:val="22"/>
        </w:rPr>
        <w:t xml:space="preserve">od </w:t>
      </w:r>
      <w:r w:rsidRPr="00CF3F40">
        <w:rPr>
          <w:bCs/>
          <w:noProof/>
          <w:szCs w:val="22"/>
        </w:rPr>
        <w:t>6</w:t>
      </w:r>
      <w:r>
        <w:rPr>
          <w:bCs/>
          <w:noProof/>
          <w:szCs w:val="22"/>
        </w:rPr>
        <w:t xml:space="preserve"> rokov do</w:t>
      </w:r>
      <w:r w:rsidRPr="00CF3F40">
        <w:rPr>
          <w:bCs/>
          <w:noProof/>
          <w:szCs w:val="22"/>
        </w:rPr>
        <w:t xml:space="preserve"> 15 rokov 0,30 - 0,50 mg denne.</w:t>
      </w:r>
    </w:p>
    <w:p w:rsidR="00595044" w:rsidRPr="00595044" w:rsidRDefault="00595044" w:rsidP="00595044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:rsidR="002D4F81" w:rsidRDefault="002D4F81" w:rsidP="002D4F81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D4F81">
        <w:rPr>
          <w:b/>
          <w:noProof/>
          <w:szCs w:val="22"/>
        </w:rPr>
        <w:t>Ak p</w:t>
      </w:r>
      <w:r w:rsidR="00B4307B">
        <w:rPr>
          <w:b/>
          <w:noProof/>
          <w:szCs w:val="22"/>
        </w:rPr>
        <w:t xml:space="preserve">oužijete viac </w:t>
      </w:r>
      <w:r w:rsidR="00996FE5" w:rsidRPr="00996FE5">
        <w:rPr>
          <w:b/>
          <w:noProof/>
          <w:szCs w:val="22"/>
        </w:rPr>
        <w:t>SYNTOSTIGMIN</w:t>
      </w:r>
      <w:r w:rsidR="006B037E">
        <w:rPr>
          <w:b/>
          <w:noProof/>
          <w:szCs w:val="22"/>
        </w:rPr>
        <w:t xml:space="preserve"> inj</w:t>
      </w:r>
      <w:r w:rsidRPr="002D4F81">
        <w:rPr>
          <w:b/>
          <w:noProof/>
          <w:szCs w:val="22"/>
        </w:rPr>
        <w:t xml:space="preserve">, ako máte </w:t>
      </w:r>
    </w:p>
    <w:p w:rsidR="002D4F81" w:rsidRDefault="002D4F81" w:rsidP="002D4F8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D4F81">
        <w:rPr>
          <w:noProof/>
          <w:szCs w:val="22"/>
        </w:rPr>
        <w:t>Tento liek vám bude podávať lekár alebo zdravotná sestra a preto nie je pravdepodobné, že dostanete zlú dávku.</w:t>
      </w:r>
    </w:p>
    <w:p w:rsidR="00BF6E8D" w:rsidRDefault="00BF6E8D" w:rsidP="002D4F8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BF6E8D" w:rsidRDefault="00BF6E8D" w:rsidP="00BF6E8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F6E8D">
        <w:rPr>
          <w:noProof/>
          <w:szCs w:val="22"/>
        </w:rPr>
        <w:t>Ak máte akékoľvek ďalšie otázky týkajúce sa použitia tohto lieku, opýtajte sa svojho lekára, lekárnika alebo zdravotnej sestry.</w:t>
      </w:r>
    </w:p>
    <w:p w:rsidR="004B71A0" w:rsidRDefault="004B71A0" w:rsidP="00BF6E8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CF3F40" w:rsidRPr="00CF3F40" w:rsidRDefault="00CF3F40" w:rsidP="00CF3F4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CF3F40">
        <w:rPr>
          <w:noProof/>
          <w:szCs w:val="22"/>
        </w:rPr>
        <w:t>Intoxikácia a predávkovanie môžu vzniknúť pri rýchlej intravenóznej injekcii. Prízn</w:t>
      </w:r>
      <w:r>
        <w:rPr>
          <w:noProof/>
          <w:szCs w:val="22"/>
        </w:rPr>
        <w:t xml:space="preserve">aky sa prejavujú muskarínovými </w:t>
      </w:r>
      <w:r w:rsidRPr="00CF3F40">
        <w:rPr>
          <w:noProof/>
          <w:szCs w:val="22"/>
        </w:rPr>
        <w:t>a nikotínovými centrálnymi aj periférnymi účinkami (cholinergná kríza). U pacientov s myastheniou gravis sú príznaky predávkovania menej výrazné a môžu sa prejaviť len svalovou slabosťou.</w:t>
      </w:r>
    </w:p>
    <w:p w:rsidR="008F5537" w:rsidRDefault="008F5537" w:rsidP="00CF3F40">
      <w:pPr>
        <w:numPr>
          <w:ilvl w:val="12"/>
          <w:numId w:val="0"/>
        </w:numPr>
        <w:ind w:right="-2"/>
        <w:outlineLvl w:val="0"/>
        <w:rPr>
          <w:i/>
          <w:noProof/>
          <w:szCs w:val="22"/>
        </w:rPr>
      </w:pPr>
    </w:p>
    <w:p w:rsidR="00CF3F40" w:rsidRPr="00CF3F40" w:rsidRDefault="00CF3F40" w:rsidP="00CF3F4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CF3F40">
        <w:rPr>
          <w:i/>
          <w:noProof/>
          <w:szCs w:val="22"/>
        </w:rPr>
        <w:t>Liečba:</w:t>
      </w:r>
      <w:r w:rsidRPr="00CF3F40">
        <w:rPr>
          <w:noProof/>
          <w:szCs w:val="22"/>
        </w:rPr>
        <w:t xml:space="preserve"> Prioritu majú respiračné funkcie. Muskarínové príznaky sa dajú potlačiť intravenóznym podaním atropínu v počiatočnej dávke 1 až 2 mg, ktorú je možné v prípade potreby opakovať. Nikotínové účinky, vrátane svalovej slabosti a paralýzy, sa nedajú ovplyvniť atropínom.</w:t>
      </w:r>
    </w:p>
    <w:p w:rsidR="00CF3F40" w:rsidRDefault="00CF3F40" w:rsidP="00BF6E8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373DDA" w:rsidRPr="00BF6E8D" w:rsidRDefault="00373DDA" w:rsidP="00BF6E8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780926" w:rsidRPr="00B13F68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</w:r>
      <w:r w:rsidR="002A24BE" w:rsidRPr="00D513D2">
        <w:rPr>
          <w:b/>
          <w:noProof/>
          <w:szCs w:val="22"/>
        </w:rPr>
        <w:t>Možné vedľajšie účinky</w:t>
      </w:r>
    </w:p>
    <w:p w:rsidR="00780926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3A60B7" w:rsidRPr="008F35B5" w:rsidRDefault="003A60B7" w:rsidP="008F5537">
      <w:pPr>
        <w:ind w:left="0" w:right="-29" w:firstLine="0"/>
        <w:rPr>
          <w:noProof/>
          <w:szCs w:val="22"/>
        </w:rPr>
      </w:pPr>
      <w:r w:rsidRPr="008F35B5">
        <w:rPr>
          <w:noProof/>
          <w:szCs w:val="22"/>
        </w:rPr>
        <w:t>Tak ako všetky lieky, aj tento liek môže spôsobovať vedľajšie účinky, hoci sa neprejavia u každého.</w:t>
      </w:r>
    </w:p>
    <w:p w:rsidR="003A60B7" w:rsidRPr="008F35B5" w:rsidRDefault="003A60B7" w:rsidP="00BB1F77">
      <w:pPr>
        <w:ind w:left="360" w:right="-29" w:firstLine="0"/>
        <w:rPr>
          <w:noProof/>
          <w:szCs w:val="22"/>
        </w:rPr>
      </w:pPr>
    </w:p>
    <w:p w:rsidR="003A60B7" w:rsidRPr="008F35B5" w:rsidRDefault="007065F0" w:rsidP="003A60B7">
      <w:pPr>
        <w:numPr>
          <w:ilvl w:val="0"/>
          <w:numId w:val="1"/>
        </w:numPr>
        <w:ind w:right="-29"/>
        <w:rPr>
          <w:noProof/>
          <w:szCs w:val="22"/>
        </w:rPr>
      </w:pPr>
      <w:r>
        <w:rPr>
          <w:noProof/>
          <w:szCs w:val="22"/>
        </w:rPr>
        <w:t xml:space="preserve">Veľmi časté: </w:t>
      </w:r>
      <w:r>
        <w:rPr>
          <w:noProof/>
          <w:szCs w:val="22"/>
        </w:rPr>
        <w:tab/>
      </w:r>
      <w:r w:rsidR="003A60B7" w:rsidRPr="008F35B5">
        <w:rPr>
          <w:noProof/>
          <w:szCs w:val="22"/>
        </w:rPr>
        <w:t>môžu postihovať viac ako 1 z 10 osôb</w:t>
      </w:r>
    </w:p>
    <w:p w:rsidR="003A60B7" w:rsidRPr="008F35B5" w:rsidRDefault="007065F0" w:rsidP="003A60B7">
      <w:pPr>
        <w:numPr>
          <w:ilvl w:val="0"/>
          <w:numId w:val="1"/>
        </w:numPr>
        <w:ind w:right="-29"/>
        <w:rPr>
          <w:noProof/>
          <w:szCs w:val="22"/>
        </w:rPr>
      </w:pPr>
      <w:r>
        <w:rPr>
          <w:noProof/>
          <w:szCs w:val="22"/>
        </w:rPr>
        <w:t>Časté:</w:t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 w:rsidR="003A60B7" w:rsidRPr="008F35B5">
        <w:rPr>
          <w:noProof/>
          <w:szCs w:val="22"/>
        </w:rPr>
        <w:t>môžu postihovať menej ako 1 z 10 osôb</w:t>
      </w:r>
    </w:p>
    <w:p w:rsidR="003A60B7" w:rsidRPr="008F35B5" w:rsidRDefault="007065F0" w:rsidP="003A60B7">
      <w:pPr>
        <w:numPr>
          <w:ilvl w:val="0"/>
          <w:numId w:val="1"/>
        </w:numPr>
        <w:ind w:right="-29"/>
        <w:rPr>
          <w:noProof/>
          <w:szCs w:val="22"/>
        </w:rPr>
      </w:pPr>
      <w:r>
        <w:rPr>
          <w:noProof/>
          <w:szCs w:val="22"/>
        </w:rPr>
        <w:t>Menej časté:</w:t>
      </w:r>
      <w:r>
        <w:rPr>
          <w:noProof/>
          <w:szCs w:val="22"/>
        </w:rPr>
        <w:tab/>
      </w:r>
      <w:r w:rsidR="003A60B7" w:rsidRPr="008F35B5">
        <w:rPr>
          <w:noProof/>
          <w:szCs w:val="22"/>
        </w:rPr>
        <w:t>môžu postihovať menej ako 1 zo 100 osôb </w:t>
      </w:r>
    </w:p>
    <w:p w:rsidR="003A60B7" w:rsidRPr="008F35B5" w:rsidRDefault="003A60B7" w:rsidP="003A60B7">
      <w:pPr>
        <w:numPr>
          <w:ilvl w:val="0"/>
          <w:numId w:val="1"/>
        </w:numPr>
        <w:ind w:right="-29"/>
        <w:rPr>
          <w:noProof/>
          <w:szCs w:val="22"/>
        </w:rPr>
      </w:pPr>
      <w:r w:rsidRPr="008F35B5">
        <w:rPr>
          <w:noProof/>
          <w:szCs w:val="22"/>
        </w:rPr>
        <w:t>Zriedkavé:</w:t>
      </w:r>
      <w:r w:rsidRPr="008F35B5">
        <w:rPr>
          <w:noProof/>
          <w:szCs w:val="22"/>
        </w:rPr>
        <w:tab/>
      </w:r>
      <w:r w:rsidRPr="008F35B5">
        <w:rPr>
          <w:noProof/>
          <w:szCs w:val="22"/>
        </w:rPr>
        <w:tab/>
        <w:t>môžu postihovať menej ako 1 z 1 000 osôb</w:t>
      </w:r>
    </w:p>
    <w:p w:rsidR="003A60B7" w:rsidRPr="008F35B5" w:rsidRDefault="003A60B7" w:rsidP="003A60B7">
      <w:pPr>
        <w:numPr>
          <w:ilvl w:val="0"/>
          <w:numId w:val="1"/>
        </w:numPr>
        <w:ind w:right="-29"/>
        <w:rPr>
          <w:noProof/>
          <w:szCs w:val="22"/>
        </w:rPr>
      </w:pPr>
      <w:r w:rsidRPr="008F35B5">
        <w:rPr>
          <w:noProof/>
          <w:szCs w:val="22"/>
        </w:rPr>
        <w:t>Veľmi zriedkavé:</w:t>
      </w:r>
      <w:r w:rsidRPr="008F35B5">
        <w:rPr>
          <w:noProof/>
          <w:szCs w:val="22"/>
        </w:rPr>
        <w:tab/>
        <w:t>môžu postihovať menej ako 1 z 10 000 osôb</w:t>
      </w:r>
    </w:p>
    <w:p w:rsidR="003A60B7" w:rsidRPr="008F35B5" w:rsidRDefault="003A60B7" w:rsidP="003A60B7">
      <w:pPr>
        <w:numPr>
          <w:ilvl w:val="0"/>
          <w:numId w:val="1"/>
        </w:numPr>
        <w:ind w:right="-29"/>
        <w:rPr>
          <w:noProof/>
          <w:szCs w:val="22"/>
        </w:rPr>
      </w:pPr>
      <w:r w:rsidRPr="008F35B5">
        <w:rPr>
          <w:noProof/>
          <w:szCs w:val="22"/>
        </w:rPr>
        <w:t>Neznáme:</w:t>
      </w:r>
      <w:r w:rsidRPr="008F35B5">
        <w:rPr>
          <w:noProof/>
          <w:szCs w:val="22"/>
        </w:rPr>
        <w:tab/>
      </w:r>
      <w:r w:rsidRPr="008F35B5">
        <w:rPr>
          <w:noProof/>
          <w:szCs w:val="22"/>
        </w:rPr>
        <w:tab/>
        <w:t>z dostupných údajov</w:t>
      </w:r>
    </w:p>
    <w:p w:rsidR="00CF3F40" w:rsidRDefault="00CF3F40" w:rsidP="00CF3F40">
      <w:pPr>
        <w:ind w:left="0" w:right="-29" w:firstLine="0"/>
        <w:rPr>
          <w:i/>
          <w:noProof/>
          <w:szCs w:val="22"/>
        </w:rPr>
      </w:pPr>
    </w:p>
    <w:p w:rsidR="003A60B7" w:rsidRPr="008F35B5" w:rsidRDefault="003A60B7" w:rsidP="003A60B7">
      <w:pPr>
        <w:numPr>
          <w:ilvl w:val="0"/>
          <w:numId w:val="1"/>
        </w:numPr>
        <w:ind w:right="-29"/>
        <w:rPr>
          <w:i/>
          <w:noProof/>
          <w:szCs w:val="22"/>
        </w:rPr>
      </w:pPr>
      <w:r w:rsidRPr="008F35B5">
        <w:rPr>
          <w:i/>
          <w:noProof/>
          <w:szCs w:val="22"/>
        </w:rPr>
        <w:lastRenderedPageBreak/>
        <w:t>Neznáme</w:t>
      </w:r>
      <w:r>
        <w:rPr>
          <w:i/>
          <w:noProof/>
          <w:szCs w:val="22"/>
        </w:rPr>
        <w:t xml:space="preserve"> </w:t>
      </w:r>
      <w:r w:rsidR="00BA78AA">
        <w:rPr>
          <w:i/>
          <w:noProof/>
          <w:szCs w:val="22"/>
        </w:rPr>
        <w:t>(z dostupných údajov)</w:t>
      </w:r>
      <w:r w:rsidRPr="008F35B5">
        <w:rPr>
          <w:i/>
          <w:noProof/>
          <w:szCs w:val="22"/>
        </w:rPr>
        <w:t>:</w:t>
      </w:r>
    </w:p>
    <w:p w:rsidR="00CF3F40" w:rsidRDefault="00CF3F40" w:rsidP="00CF3F40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p</w:t>
      </w:r>
      <w:r w:rsidRPr="002E6E44">
        <w:rPr>
          <w:szCs w:val="22"/>
        </w:rPr>
        <w:t xml:space="preserve">rofúzna (nadmerná) sekrécia (slinenie, slzenie, priedušková sekrécia s kašľom, potenie), </w:t>
      </w:r>
    </w:p>
    <w:p w:rsidR="00CF3F40" w:rsidRDefault="00CF3F40" w:rsidP="00CF3F40">
      <w:pPr>
        <w:numPr>
          <w:ilvl w:val="0"/>
          <w:numId w:val="1"/>
        </w:numPr>
        <w:rPr>
          <w:szCs w:val="22"/>
        </w:rPr>
      </w:pPr>
      <w:proofErr w:type="spellStart"/>
      <w:r w:rsidRPr="002E6E44">
        <w:rPr>
          <w:szCs w:val="22"/>
        </w:rPr>
        <w:t>mióza</w:t>
      </w:r>
      <w:proofErr w:type="spellEnd"/>
      <w:r w:rsidRPr="002E6E44">
        <w:rPr>
          <w:szCs w:val="22"/>
        </w:rPr>
        <w:t xml:space="preserve"> (zúženie zreníc), </w:t>
      </w:r>
    </w:p>
    <w:p w:rsidR="00CF3F40" w:rsidRDefault="00CF3F40" w:rsidP="00CF3F40">
      <w:pPr>
        <w:numPr>
          <w:ilvl w:val="0"/>
          <w:numId w:val="1"/>
        </w:numPr>
        <w:rPr>
          <w:szCs w:val="22"/>
        </w:rPr>
      </w:pPr>
      <w:r w:rsidRPr="002E6E44">
        <w:rPr>
          <w:szCs w:val="22"/>
        </w:rPr>
        <w:t xml:space="preserve">neostré videnie do diaľky, </w:t>
      </w:r>
    </w:p>
    <w:p w:rsidR="00CF3F40" w:rsidRDefault="00CF3F40" w:rsidP="00CF3F40">
      <w:pPr>
        <w:numPr>
          <w:ilvl w:val="0"/>
          <w:numId w:val="1"/>
        </w:numPr>
        <w:rPr>
          <w:szCs w:val="22"/>
        </w:rPr>
      </w:pPr>
      <w:r w:rsidRPr="002E6E44">
        <w:rPr>
          <w:szCs w:val="22"/>
        </w:rPr>
        <w:t xml:space="preserve">zvýšená </w:t>
      </w:r>
      <w:proofErr w:type="spellStart"/>
      <w:r w:rsidRPr="002E6E44">
        <w:rPr>
          <w:szCs w:val="22"/>
        </w:rPr>
        <w:t>peristaltika</w:t>
      </w:r>
      <w:proofErr w:type="spellEnd"/>
      <w:r w:rsidRPr="002E6E44">
        <w:rPr>
          <w:szCs w:val="22"/>
        </w:rPr>
        <w:t xml:space="preserve"> až kŕče v tráviacej sústave, </w:t>
      </w:r>
    </w:p>
    <w:p w:rsidR="00CF3F40" w:rsidRDefault="00CF3F40" w:rsidP="00CF3F40">
      <w:pPr>
        <w:numPr>
          <w:ilvl w:val="0"/>
          <w:numId w:val="1"/>
        </w:numPr>
        <w:rPr>
          <w:szCs w:val="22"/>
        </w:rPr>
      </w:pPr>
      <w:r w:rsidRPr="002E6E44">
        <w:rPr>
          <w:szCs w:val="22"/>
        </w:rPr>
        <w:t xml:space="preserve">hnačka, </w:t>
      </w:r>
    </w:p>
    <w:p w:rsidR="00CF3F40" w:rsidRDefault="00CF3F40" w:rsidP="00CF3F40">
      <w:pPr>
        <w:numPr>
          <w:ilvl w:val="0"/>
          <w:numId w:val="1"/>
        </w:numPr>
        <w:rPr>
          <w:szCs w:val="22"/>
        </w:rPr>
      </w:pPr>
      <w:r w:rsidRPr="002E6E44">
        <w:rPr>
          <w:szCs w:val="22"/>
        </w:rPr>
        <w:t xml:space="preserve">dávenie, </w:t>
      </w:r>
    </w:p>
    <w:p w:rsidR="00CF3F40" w:rsidRDefault="00CF3F40" w:rsidP="00CF3F40">
      <w:pPr>
        <w:numPr>
          <w:ilvl w:val="0"/>
          <w:numId w:val="1"/>
        </w:numPr>
        <w:rPr>
          <w:szCs w:val="22"/>
        </w:rPr>
      </w:pPr>
      <w:proofErr w:type="spellStart"/>
      <w:r w:rsidRPr="002E6E44">
        <w:rPr>
          <w:szCs w:val="22"/>
        </w:rPr>
        <w:t>kolikovité</w:t>
      </w:r>
      <w:proofErr w:type="spellEnd"/>
      <w:r w:rsidRPr="002E6E44">
        <w:rPr>
          <w:szCs w:val="22"/>
        </w:rPr>
        <w:t xml:space="preserve"> bolesti, </w:t>
      </w:r>
    </w:p>
    <w:p w:rsidR="00CF3F40" w:rsidRDefault="00CF3F40" w:rsidP="00CF3F40">
      <w:pPr>
        <w:numPr>
          <w:ilvl w:val="0"/>
          <w:numId w:val="1"/>
        </w:numPr>
        <w:rPr>
          <w:szCs w:val="22"/>
        </w:rPr>
      </w:pPr>
      <w:proofErr w:type="spellStart"/>
      <w:r w:rsidRPr="002E6E44">
        <w:rPr>
          <w:szCs w:val="22"/>
        </w:rPr>
        <w:t>polakisúria</w:t>
      </w:r>
      <w:proofErr w:type="spellEnd"/>
      <w:r w:rsidRPr="002E6E44">
        <w:rPr>
          <w:szCs w:val="22"/>
        </w:rPr>
        <w:t xml:space="preserve"> (časté nutkanie na močenie), </w:t>
      </w:r>
    </w:p>
    <w:p w:rsidR="00CF3F40" w:rsidRDefault="00CF3F40" w:rsidP="00CF3F40">
      <w:pPr>
        <w:numPr>
          <w:ilvl w:val="0"/>
          <w:numId w:val="1"/>
        </w:numPr>
        <w:rPr>
          <w:szCs w:val="22"/>
        </w:rPr>
      </w:pPr>
      <w:r w:rsidRPr="002E6E44">
        <w:rPr>
          <w:szCs w:val="22"/>
        </w:rPr>
        <w:t xml:space="preserve">svalové </w:t>
      </w:r>
      <w:proofErr w:type="spellStart"/>
      <w:r w:rsidRPr="002E6E44">
        <w:rPr>
          <w:szCs w:val="22"/>
        </w:rPr>
        <w:t>zášklby</w:t>
      </w:r>
      <w:proofErr w:type="spellEnd"/>
      <w:r w:rsidRPr="002E6E44">
        <w:rPr>
          <w:szCs w:val="22"/>
        </w:rPr>
        <w:t xml:space="preserve"> až tonické kŕče, </w:t>
      </w:r>
    </w:p>
    <w:p w:rsidR="00CF3F40" w:rsidRDefault="00CF3F40" w:rsidP="00CF3F40">
      <w:pPr>
        <w:numPr>
          <w:ilvl w:val="0"/>
          <w:numId w:val="1"/>
        </w:numPr>
        <w:rPr>
          <w:szCs w:val="22"/>
        </w:rPr>
      </w:pPr>
      <w:r w:rsidRPr="002E6E44">
        <w:rPr>
          <w:szCs w:val="22"/>
        </w:rPr>
        <w:t xml:space="preserve">riziko provokácie astmatického záchvatu, </w:t>
      </w:r>
    </w:p>
    <w:p w:rsidR="00CF3F40" w:rsidRPr="002E6E44" w:rsidRDefault="00CF3F40" w:rsidP="00CF3F40">
      <w:pPr>
        <w:numPr>
          <w:ilvl w:val="0"/>
          <w:numId w:val="1"/>
        </w:numPr>
        <w:rPr>
          <w:szCs w:val="22"/>
        </w:rPr>
      </w:pPr>
      <w:r w:rsidRPr="002E6E44">
        <w:rPr>
          <w:szCs w:val="22"/>
        </w:rPr>
        <w:t>hypotenzia (nízky tlak krvi).</w:t>
      </w:r>
    </w:p>
    <w:p w:rsidR="008F35B5" w:rsidRPr="003021DE" w:rsidRDefault="008F35B5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8F35B5" w:rsidRPr="008F35B5" w:rsidRDefault="008F35B5" w:rsidP="008F35B5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F35B5">
        <w:rPr>
          <w:b/>
          <w:noProof/>
          <w:szCs w:val="22"/>
        </w:rPr>
        <w:t>Hlásenie vedľajších účinkov</w:t>
      </w:r>
    </w:p>
    <w:p w:rsidR="008F35B5" w:rsidRPr="008F35B5" w:rsidRDefault="008F35B5" w:rsidP="008F35B5">
      <w:pPr>
        <w:numPr>
          <w:ilvl w:val="12"/>
          <w:numId w:val="0"/>
        </w:numPr>
        <w:ind w:right="-2"/>
        <w:rPr>
          <w:noProof/>
          <w:szCs w:val="22"/>
        </w:rPr>
      </w:pPr>
      <w:r w:rsidRPr="008F35B5">
        <w:rPr>
          <w:noProof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066A21">
        <w:rPr>
          <w:noProof/>
          <w:szCs w:val="22"/>
        </w:rPr>
        <w:t>na</w:t>
      </w:r>
      <w:r w:rsidR="00066A21" w:rsidRPr="008F35B5">
        <w:rPr>
          <w:noProof/>
          <w:szCs w:val="22"/>
        </w:rPr>
        <w:t xml:space="preserve"> </w:t>
      </w:r>
      <w:r w:rsidRPr="00A7481D">
        <w:rPr>
          <w:noProof/>
          <w:szCs w:val="22"/>
          <w:highlight w:val="lightGray"/>
        </w:rPr>
        <w:t>národné</w:t>
      </w:r>
      <w:r w:rsidR="00066A21">
        <w:rPr>
          <w:noProof/>
          <w:szCs w:val="22"/>
          <w:highlight w:val="lightGray"/>
        </w:rPr>
        <w:t xml:space="preserve"> centrum</w:t>
      </w:r>
      <w:r w:rsidRPr="00A7481D">
        <w:rPr>
          <w:noProof/>
          <w:szCs w:val="22"/>
          <w:highlight w:val="lightGray"/>
        </w:rPr>
        <w:t xml:space="preserve"> hlásenia </w:t>
      </w:r>
      <w:r w:rsidR="00C73109" w:rsidRPr="00A7481D">
        <w:rPr>
          <w:szCs w:val="22"/>
          <w:highlight w:val="lightGray"/>
        </w:rPr>
        <w:t xml:space="preserve">uvedené v </w:t>
      </w:r>
      <w:hyperlink r:id="rId8" w:history="1">
        <w:r w:rsidR="00C73109" w:rsidRPr="00A7481D">
          <w:rPr>
            <w:color w:val="0000FF"/>
            <w:szCs w:val="22"/>
            <w:highlight w:val="lightGray"/>
            <w:u w:val="single"/>
          </w:rPr>
          <w:t>Prílohe V</w:t>
        </w:r>
      </w:hyperlink>
      <w:r w:rsidR="00C73109" w:rsidRPr="00A7481D">
        <w:rPr>
          <w:szCs w:val="22"/>
          <w:highlight w:val="lightGray"/>
        </w:rPr>
        <w:t>.</w:t>
      </w:r>
      <w:r w:rsidR="00A7481D">
        <w:rPr>
          <w:szCs w:val="22"/>
        </w:rPr>
        <w:t xml:space="preserve"> Hlásením vedľajších účinkov môžete prispieť k získaniu ďalších informácií o bezpečnosti tohto lieku.</w:t>
      </w:r>
    </w:p>
    <w:p w:rsidR="00650EBD" w:rsidRPr="008F35B5" w:rsidRDefault="00650EBD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</w:r>
      <w:r w:rsidR="002A24BE" w:rsidRPr="003021DE">
        <w:rPr>
          <w:b/>
          <w:noProof/>
          <w:szCs w:val="22"/>
        </w:rPr>
        <w:t xml:space="preserve">Ako uchovávať </w:t>
      </w:r>
      <w:r w:rsidR="00996FE5" w:rsidRPr="00996FE5">
        <w:rPr>
          <w:b/>
          <w:noProof/>
          <w:szCs w:val="22"/>
        </w:rPr>
        <w:t>SYNTOSTIGMIN</w:t>
      </w:r>
      <w:r w:rsidR="00066A21">
        <w:rPr>
          <w:b/>
          <w:noProof/>
          <w:szCs w:val="22"/>
        </w:rPr>
        <w:t xml:space="preserve"> inj</w:t>
      </w: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949BD" w:rsidRPr="004949BD" w:rsidRDefault="004949BD" w:rsidP="004949BD">
      <w:pPr>
        <w:numPr>
          <w:ilvl w:val="12"/>
          <w:numId w:val="0"/>
        </w:numPr>
        <w:ind w:right="-2"/>
        <w:rPr>
          <w:noProof/>
          <w:szCs w:val="22"/>
        </w:rPr>
      </w:pPr>
      <w:r w:rsidRPr="004949BD">
        <w:rPr>
          <w:noProof/>
          <w:szCs w:val="22"/>
        </w:rPr>
        <w:t>Tento liek uchovávajte mimo dohľadu a dosahu detí.</w:t>
      </w:r>
    </w:p>
    <w:p w:rsidR="004949BD" w:rsidRPr="004949BD" w:rsidRDefault="004949BD" w:rsidP="004949BD">
      <w:pPr>
        <w:numPr>
          <w:ilvl w:val="12"/>
          <w:numId w:val="0"/>
        </w:numPr>
        <w:ind w:right="-2"/>
        <w:rPr>
          <w:noProof/>
          <w:szCs w:val="22"/>
        </w:rPr>
      </w:pPr>
      <w:r w:rsidRPr="004949BD">
        <w:rPr>
          <w:noProof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4949BD">
          <w:rPr>
            <w:noProof/>
            <w:szCs w:val="22"/>
          </w:rPr>
          <w:t>25 °C</w:t>
        </w:r>
      </w:smartTag>
      <w:r w:rsidRPr="004949BD">
        <w:rPr>
          <w:noProof/>
          <w:szCs w:val="22"/>
        </w:rPr>
        <w:t>.</w:t>
      </w: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949BD" w:rsidRPr="004949BD" w:rsidRDefault="004949BD" w:rsidP="004949BD">
      <w:pPr>
        <w:numPr>
          <w:ilvl w:val="12"/>
          <w:numId w:val="0"/>
        </w:numPr>
        <w:ind w:right="-2"/>
        <w:rPr>
          <w:noProof/>
          <w:szCs w:val="22"/>
        </w:rPr>
      </w:pPr>
      <w:r w:rsidRPr="004949BD">
        <w:rPr>
          <w:noProof/>
          <w:szCs w:val="22"/>
        </w:rPr>
        <w:t>Nepoužívajte tento liek po dátume exspirácie, ktorý je uvedený na škatuľke po EXP</w:t>
      </w:r>
      <w:r w:rsidR="00A7481D">
        <w:rPr>
          <w:noProof/>
          <w:szCs w:val="22"/>
        </w:rPr>
        <w:t xml:space="preserve">. </w:t>
      </w:r>
      <w:r w:rsidRPr="004949BD">
        <w:rPr>
          <w:noProof/>
          <w:szCs w:val="22"/>
        </w:rPr>
        <w:t>Dátum exspirácie sa vzťahuje na posledný deň v danom mesiaci.</w:t>
      </w:r>
    </w:p>
    <w:p w:rsidR="004949BD" w:rsidRPr="004949BD" w:rsidRDefault="004949BD" w:rsidP="004949B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949BD" w:rsidRPr="004949BD" w:rsidRDefault="004949BD" w:rsidP="004949BD">
      <w:pPr>
        <w:numPr>
          <w:ilvl w:val="12"/>
          <w:numId w:val="0"/>
        </w:numPr>
        <w:ind w:right="-2"/>
        <w:rPr>
          <w:noProof/>
          <w:szCs w:val="22"/>
        </w:rPr>
      </w:pPr>
      <w:r w:rsidRPr="004949BD">
        <w:rPr>
          <w:noProof/>
          <w:szCs w:val="22"/>
        </w:rPr>
        <w:t xml:space="preserve">Nepoužívajte tento liek, ak spozorujete viditeľné poškodenia lieku. </w:t>
      </w:r>
    </w:p>
    <w:p w:rsidR="004949BD" w:rsidRPr="004949BD" w:rsidRDefault="004949BD" w:rsidP="004949B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949BD" w:rsidRPr="004949BD" w:rsidRDefault="004949BD" w:rsidP="004949BD">
      <w:pPr>
        <w:numPr>
          <w:ilvl w:val="12"/>
          <w:numId w:val="0"/>
        </w:numPr>
        <w:ind w:right="-2"/>
        <w:rPr>
          <w:noProof/>
          <w:szCs w:val="22"/>
        </w:rPr>
      </w:pPr>
      <w:r w:rsidRPr="004949BD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C32A7E" w:rsidRDefault="00C32A7E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B13F68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</w:r>
      <w:r w:rsidR="00724E11" w:rsidRPr="00D513D2">
        <w:rPr>
          <w:b/>
          <w:noProof/>
          <w:szCs w:val="22"/>
        </w:rPr>
        <w:t>Obsah balenia a ďalšie informácie</w:t>
      </w: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Čo </w:t>
      </w:r>
      <w:r w:rsidR="00996FE5" w:rsidRPr="00996FE5">
        <w:rPr>
          <w:b/>
          <w:noProof/>
          <w:szCs w:val="22"/>
        </w:rPr>
        <w:t>SYNTOSTIGMIN</w:t>
      </w:r>
      <w:r w:rsidR="00894631">
        <w:rPr>
          <w:b/>
          <w:noProof/>
          <w:szCs w:val="22"/>
        </w:rPr>
        <w:t xml:space="preserve"> </w:t>
      </w:r>
      <w:r w:rsidR="00066A21">
        <w:rPr>
          <w:b/>
          <w:noProof/>
          <w:szCs w:val="22"/>
        </w:rPr>
        <w:t xml:space="preserve">inj </w:t>
      </w:r>
      <w:r w:rsidRPr="00B13F68">
        <w:rPr>
          <w:b/>
          <w:noProof/>
          <w:szCs w:val="22"/>
        </w:rPr>
        <w:t>obsahuje</w:t>
      </w: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CF3F40" w:rsidRPr="00CF3F40" w:rsidRDefault="00780926" w:rsidP="00CF3F40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</w:r>
      <w:r w:rsidR="00CF3F40" w:rsidRPr="00CF3F40">
        <w:rPr>
          <w:noProof/>
          <w:szCs w:val="22"/>
        </w:rPr>
        <w:t>Jedna 1 ml ampulka obsahuje 0,5 mg liečiva</w:t>
      </w:r>
      <w:r w:rsidR="00CF3F40">
        <w:rPr>
          <w:noProof/>
          <w:szCs w:val="22"/>
        </w:rPr>
        <w:t>:</w:t>
      </w:r>
      <w:r w:rsidR="00CF3F40" w:rsidRPr="00CF3F40">
        <w:rPr>
          <w:noProof/>
          <w:szCs w:val="22"/>
        </w:rPr>
        <w:t xml:space="preserve"> </w:t>
      </w:r>
      <w:r w:rsidR="00CF3F40">
        <w:rPr>
          <w:noProof/>
          <w:szCs w:val="22"/>
        </w:rPr>
        <w:t>neostigmíniummetylsulfát.</w:t>
      </w:r>
    </w:p>
    <w:p w:rsidR="00C32A7E" w:rsidRDefault="00780926" w:rsidP="00C32A7E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  <w:t>Ďalši</w:t>
      </w:r>
      <w:r w:rsidR="00CF3F40">
        <w:rPr>
          <w:noProof/>
          <w:szCs w:val="22"/>
        </w:rPr>
        <w:t>e</w:t>
      </w:r>
      <w:r w:rsidR="00C32A7E" w:rsidRPr="00C32A7E">
        <w:rPr>
          <w:noProof/>
          <w:szCs w:val="22"/>
        </w:rPr>
        <w:t xml:space="preserve"> zložk</w:t>
      </w:r>
      <w:r w:rsidR="00CF3F40">
        <w:rPr>
          <w:noProof/>
          <w:szCs w:val="22"/>
        </w:rPr>
        <w:t>y</w:t>
      </w:r>
      <w:r w:rsidR="00C32A7E">
        <w:rPr>
          <w:noProof/>
          <w:szCs w:val="22"/>
        </w:rPr>
        <w:t xml:space="preserve"> </w:t>
      </w:r>
      <w:r w:rsidR="00CF3F40">
        <w:rPr>
          <w:noProof/>
          <w:szCs w:val="22"/>
        </w:rPr>
        <w:t>sú</w:t>
      </w:r>
      <w:r w:rsidR="00CF3F40" w:rsidRPr="00CF3F40">
        <w:rPr>
          <w:rFonts w:ascii="Arial" w:hAnsi="Arial"/>
          <w:szCs w:val="22"/>
        </w:rPr>
        <w:t xml:space="preserve"> </w:t>
      </w:r>
      <w:r w:rsidR="00CF3F40">
        <w:rPr>
          <w:noProof/>
          <w:szCs w:val="22"/>
        </w:rPr>
        <w:t>chlorid sodný</w:t>
      </w:r>
      <w:r w:rsidR="00DA1B73">
        <w:rPr>
          <w:noProof/>
          <w:szCs w:val="22"/>
        </w:rPr>
        <w:t>, kyselina chlorovodíková</w:t>
      </w:r>
      <w:bookmarkStart w:id="0" w:name="_GoBack"/>
      <w:bookmarkEnd w:id="0"/>
      <w:r w:rsidR="00DA1B73">
        <w:rPr>
          <w:noProof/>
          <w:szCs w:val="22"/>
        </w:rPr>
        <w:t xml:space="preserve"> (na úpravu pH)</w:t>
      </w:r>
      <w:r w:rsidR="00CF3F40">
        <w:rPr>
          <w:noProof/>
          <w:szCs w:val="22"/>
        </w:rPr>
        <w:t xml:space="preserve"> a </w:t>
      </w:r>
      <w:r w:rsidR="00C32A7E" w:rsidRPr="00C32A7E">
        <w:rPr>
          <w:noProof/>
          <w:szCs w:val="22"/>
        </w:rPr>
        <w:t>voda na injekciu.</w:t>
      </w:r>
    </w:p>
    <w:p w:rsidR="00C32A7E" w:rsidRDefault="00C32A7E" w:rsidP="00C32A7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B13F68" w:rsidRDefault="00780926" w:rsidP="00C32A7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vyzerá </w:t>
      </w:r>
      <w:r w:rsidR="00996FE5" w:rsidRPr="00996FE5">
        <w:rPr>
          <w:b/>
          <w:noProof/>
          <w:szCs w:val="22"/>
        </w:rPr>
        <w:t>SYNTOSTIGMIN</w:t>
      </w:r>
      <w:r w:rsidRPr="00B13F68">
        <w:rPr>
          <w:b/>
          <w:noProof/>
          <w:szCs w:val="22"/>
        </w:rPr>
        <w:t xml:space="preserve"> </w:t>
      </w:r>
      <w:r w:rsidR="00846A5B">
        <w:rPr>
          <w:b/>
          <w:noProof/>
          <w:szCs w:val="22"/>
        </w:rPr>
        <w:t xml:space="preserve">inj </w:t>
      </w:r>
      <w:r w:rsidR="001001CE">
        <w:rPr>
          <w:b/>
          <w:noProof/>
          <w:szCs w:val="22"/>
        </w:rPr>
        <w:t xml:space="preserve">a obsah </w:t>
      </w:r>
      <w:r w:rsidRPr="00B13F68">
        <w:rPr>
          <w:b/>
          <w:noProof/>
          <w:szCs w:val="22"/>
        </w:rPr>
        <w:t>balenia</w:t>
      </w: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C32A7E" w:rsidRPr="00C32A7E" w:rsidRDefault="00C32A7E" w:rsidP="00C32A7E">
      <w:pPr>
        <w:rPr>
          <w:szCs w:val="22"/>
        </w:rPr>
      </w:pPr>
      <w:r w:rsidRPr="00C32A7E">
        <w:rPr>
          <w:szCs w:val="22"/>
        </w:rPr>
        <w:t xml:space="preserve">Veľkosť balenia: </w:t>
      </w:r>
    </w:p>
    <w:p w:rsidR="00C32A7E" w:rsidRPr="00C32A7E" w:rsidRDefault="00CF3F40" w:rsidP="00C32A7E">
      <w:pPr>
        <w:rPr>
          <w:szCs w:val="22"/>
        </w:rPr>
      </w:pPr>
      <w:r>
        <w:rPr>
          <w:szCs w:val="22"/>
        </w:rPr>
        <w:t>10</w:t>
      </w:r>
      <w:r w:rsidR="00C32A7E" w:rsidRPr="00C32A7E">
        <w:rPr>
          <w:szCs w:val="22"/>
        </w:rPr>
        <w:t xml:space="preserve"> amp</w:t>
      </w:r>
      <w:r w:rsidR="002C521C">
        <w:rPr>
          <w:szCs w:val="22"/>
        </w:rPr>
        <w:t>u</w:t>
      </w:r>
      <w:r w:rsidR="00C32A7E" w:rsidRPr="00C32A7E">
        <w:rPr>
          <w:szCs w:val="22"/>
        </w:rPr>
        <w:t>l</w:t>
      </w:r>
      <w:r w:rsidR="002C521C">
        <w:rPr>
          <w:szCs w:val="22"/>
        </w:rPr>
        <w:t>iek</w:t>
      </w:r>
      <w:r w:rsidR="00C32A7E" w:rsidRPr="00C32A7E">
        <w:rPr>
          <w:szCs w:val="22"/>
        </w:rPr>
        <w:t xml:space="preserve"> po </w:t>
      </w:r>
      <w:r>
        <w:rPr>
          <w:szCs w:val="22"/>
        </w:rPr>
        <w:t>1</w:t>
      </w:r>
      <w:r w:rsidR="00C32A7E" w:rsidRPr="00C32A7E">
        <w:rPr>
          <w:szCs w:val="22"/>
        </w:rPr>
        <w:t xml:space="preserve"> ml</w:t>
      </w: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C32A7E" w:rsidRPr="00C32A7E" w:rsidRDefault="00C32A7E" w:rsidP="00C32A7E">
      <w:pPr>
        <w:ind w:left="0" w:firstLine="0"/>
        <w:jc w:val="both"/>
        <w:rPr>
          <w:szCs w:val="22"/>
          <w:u w:val="single"/>
        </w:rPr>
      </w:pPr>
      <w:r w:rsidRPr="00C32A7E">
        <w:rPr>
          <w:szCs w:val="22"/>
          <w:u w:val="single"/>
        </w:rPr>
        <w:t>Držiteľ rozhodnutia o registrácii</w:t>
      </w:r>
    </w:p>
    <w:p w:rsidR="00C32A7E" w:rsidRPr="00C32A7E" w:rsidRDefault="00C32A7E" w:rsidP="00C32A7E">
      <w:pPr>
        <w:ind w:left="0" w:firstLine="0"/>
        <w:rPr>
          <w:szCs w:val="22"/>
        </w:rPr>
      </w:pPr>
      <w:r w:rsidRPr="00C32A7E">
        <w:rPr>
          <w:szCs w:val="22"/>
        </w:rPr>
        <w:t xml:space="preserve">BB </w:t>
      </w:r>
      <w:proofErr w:type="spellStart"/>
      <w:r w:rsidRPr="00C32A7E">
        <w:rPr>
          <w:szCs w:val="22"/>
        </w:rPr>
        <w:t>Pharma</w:t>
      </w:r>
      <w:proofErr w:type="spellEnd"/>
      <w:r w:rsidRPr="00C32A7E">
        <w:rPr>
          <w:szCs w:val="22"/>
        </w:rPr>
        <w:t xml:space="preserve"> a.s., </w:t>
      </w:r>
      <w:proofErr w:type="spellStart"/>
      <w:r w:rsidR="00846A5B">
        <w:rPr>
          <w:szCs w:val="22"/>
        </w:rPr>
        <w:t>Durychova</w:t>
      </w:r>
      <w:proofErr w:type="spellEnd"/>
      <w:r w:rsidR="00846A5B">
        <w:rPr>
          <w:szCs w:val="22"/>
        </w:rPr>
        <w:t xml:space="preserve"> 101/66</w:t>
      </w:r>
      <w:r w:rsidRPr="00C32A7E">
        <w:rPr>
          <w:szCs w:val="22"/>
        </w:rPr>
        <w:t xml:space="preserve">, </w:t>
      </w:r>
      <w:r w:rsidR="00846A5B" w:rsidRPr="00C32A7E">
        <w:rPr>
          <w:szCs w:val="22"/>
        </w:rPr>
        <w:t>14</w:t>
      </w:r>
      <w:r w:rsidR="00846A5B">
        <w:rPr>
          <w:szCs w:val="22"/>
        </w:rPr>
        <w:t xml:space="preserve">2 </w:t>
      </w:r>
      <w:r w:rsidRPr="00C32A7E">
        <w:rPr>
          <w:szCs w:val="22"/>
        </w:rPr>
        <w:t>00 Praha 4</w:t>
      </w:r>
      <w:r w:rsidR="00CC6232">
        <w:rPr>
          <w:szCs w:val="22"/>
        </w:rPr>
        <w:t xml:space="preserve"> - </w:t>
      </w:r>
      <w:proofErr w:type="spellStart"/>
      <w:r w:rsidR="00CC6232">
        <w:rPr>
          <w:szCs w:val="22"/>
        </w:rPr>
        <w:t>Lhotka</w:t>
      </w:r>
      <w:proofErr w:type="spellEnd"/>
      <w:r w:rsidRPr="00C32A7E">
        <w:rPr>
          <w:szCs w:val="22"/>
        </w:rPr>
        <w:t>, Česká republika</w:t>
      </w:r>
    </w:p>
    <w:p w:rsidR="00C32A7E" w:rsidRPr="00C32A7E" w:rsidRDefault="00C32A7E" w:rsidP="00C32A7E">
      <w:pPr>
        <w:ind w:left="0" w:firstLine="0"/>
        <w:rPr>
          <w:szCs w:val="22"/>
        </w:rPr>
      </w:pPr>
    </w:p>
    <w:p w:rsidR="00FF26D3" w:rsidRPr="00FF26D3" w:rsidRDefault="00FF26D3" w:rsidP="00FF26D3">
      <w:pPr>
        <w:ind w:left="0" w:firstLine="0"/>
        <w:rPr>
          <w:szCs w:val="22"/>
          <w:u w:val="single"/>
        </w:rPr>
      </w:pPr>
      <w:r w:rsidRPr="00FF26D3">
        <w:rPr>
          <w:szCs w:val="22"/>
          <w:u w:val="single"/>
        </w:rPr>
        <w:t>Výrobca</w:t>
      </w:r>
    </w:p>
    <w:p w:rsidR="00FF26D3" w:rsidRPr="00FF26D3" w:rsidRDefault="00FF26D3" w:rsidP="00FF26D3">
      <w:pPr>
        <w:ind w:left="0" w:firstLine="0"/>
        <w:rPr>
          <w:szCs w:val="22"/>
        </w:rPr>
      </w:pPr>
      <w:r w:rsidRPr="00FF26D3">
        <w:rPr>
          <w:szCs w:val="22"/>
        </w:rPr>
        <w:t xml:space="preserve">HBM </w:t>
      </w:r>
      <w:proofErr w:type="spellStart"/>
      <w:r w:rsidRPr="00FF26D3">
        <w:rPr>
          <w:szCs w:val="22"/>
        </w:rPr>
        <w:t>Pharma</w:t>
      </w:r>
      <w:proofErr w:type="spellEnd"/>
      <w:r w:rsidRPr="00FF26D3">
        <w:rPr>
          <w:szCs w:val="22"/>
        </w:rPr>
        <w:t xml:space="preserve"> s.r.o., Sklabinská 30, 036 80 Martin, Slovenská republika</w:t>
      </w:r>
    </w:p>
    <w:p w:rsidR="00C32A7E" w:rsidRPr="00C32A7E" w:rsidRDefault="00C32A7E" w:rsidP="00C32A7E">
      <w:pPr>
        <w:ind w:left="0" w:firstLine="0"/>
        <w:rPr>
          <w:szCs w:val="22"/>
        </w:rPr>
      </w:pPr>
    </w:p>
    <w:p w:rsidR="00780926" w:rsidRPr="003230DC" w:rsidRDefault="00C32A7E" w:rsidP="00C32A7E">
      <w:pPr>
        <w:ind w:left="0" w:firstLine="0"/>
        <w:rPr>
          <w:szCs w:val="22"/>
        </w:rPr>
      </w:pPr>
      <w:r w:rsidRPr="00C32A7E">
        <w:rPr>
          <w:b/>
          <w:szCs w:val="22"/>
        </w:rPr>
        <w:t xml:space="preserve">Táto písomná informácia bola </w:t>
      </w:r>
      <w:r w:rsidRPr="004B612C">
        <w:rPr>
          <w:b/>
          <w:szCs w:val="22"/>
        </w:rPr>
        <w:t>naposledy aktualizovaná v</w:t>
      </w:r>
      <w:r w:rsidR="00DA1B73">
        <w:rPr>
          <w:b/>
          <w:szCs w:val="22"/>
        </w:rPr>
        <w:t>o februári 2017.</w:t>
      </w:r>
      <w:r w:rsidR="008207F0">
        <w:rPr>
          <w:b/>
          <w:szCs w:val="22"/>
        </w:rPr>
        <w:t> </w:t>
      </w:r>
    </w:p>
    <w:sectPr w:rsidR="00780926" w:rsidRPr="003230DC" w:rsidSect="00F6288E">
      <w:footerReference w:type="default" r:id="rId9"/>
      <w:footerReference w:type="first" r:id="rId10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0C" w:rsidRDefault="00B2290C">
      <w:r>
        <w:separator/>
      </w:r>
    </w:p>
  </w:endnote>
  <w:endnote w:type="continuationSeparator" w:id="0">
    <w:p w:rsidR="00B2290C" w:rsidRDefault="00B2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DA1B73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A1B73">
      <w:rPr>
        <w:rStyle w:val="slostrany"/>
        <w:rFonts w:ascii="Times New Roman" w:hAnsi="Times New Roman"/>
        <w:sz w:val="18"/>
        <w:szCs w:val="18"/>
      </w:rPr>
      <w:fldChar w:fldCharType="begin"/>
    </w:r>
    <w:r w:rsidRPr="00DA1B7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A1B73">
      <w:rPr>
        <w:rStyle w:val="slostrany"/>
        <w:rFonts w:ascii="Times New Roman" w:hAnsi="Times New Roman"/>
        <w:sz w:val="18"/>
        <w:szCs w:val="18"/>
      </w:rPr>
      <w:fldChar w:fldCharType="separate"/>
    </w:r>
    <w:r w:rsidR="00DA1B73">
      <w:rPr>
        <w:rStyle w:val="slostrany"/>
        <w:rFonts w:ascii="Times New Roman" w:hAnsi="Times New Roman"/>
        <w:noProof/>
        <w:sz w:val="18"/>
        <w:szCs w:val="18"/>
      </w:rPr>
      <w:t>2</w:t>
    </w:r>
    <w:r w:rsidRPr="00DA1B7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DA1B73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A1B73">
      <w:rPr>
        <w:rStyle w:val="slostrany"/>
        <w:rFonts w:ascii="Times New Roman" w:hAnsi="Times New Roman"/>
        <w:sz w:val="18"/>
        <w:szCs w:val="18"/>
      </w:rPr>
      <w:fldChar w:fldCharType="begin"/>
    </w:r>
    <w:r w:rsidRPr="00DA1B7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A1B73">
      <w:rPr>
        <w:rStyle w:val="slostrany"/>
        <w:rFonts w:ascii="Times New Roman" w:hAnsi="Times New Roman"/>
        <w:sz w:val="18"/>
        <w:szCs w:val="18"/>
      </w:rPr>
      <w:fldChar w:fldCharType="separate"/>
    </w:r>
    <w:r w:rsidR="00DA1B73">
      <w:rPr>
        <w:rStyle w:val="slostrany"/>
        <w:rFonts w:ascii="Times New Roman" w:hAnsi="Times New Roman"/>
        <w:noProof/>
        <w:sz w:val="18"/>
        <w:szCs w:val="18"/>
      </w:rPr>
      <w:t>1</w:t>
    </w:r>
    <w:r w:rsidRPr="00DA1B7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0C" w:rsidRDefault="00B2290C">
      <w:r>
        <w:separator/>
      </w:r>
    </w:p>
  </w:footnote>
  <w:footnote w:type="continuationSeparator" w:id="0">
    <w:p w:rsidR="00B2290C" w:rsidRDefault="00B22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EB3CBF"/>
    <w:multiLevelType w:val="hybridMultilevel"/>
    <w:tmpl w:val="E4AEAABC"/>
    <w:lvl w:ilvl="0" w:tplc="FD10E5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63B01"/>
    <w:multiLevelType w:val="hybridMultilevel"/>
    <w:tmpl w:val="F8B03104"/>
    <w:lvl w:ilvl="0" w:tplc="2D462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76B5D59"/>
    <w:multiLevelType w:val="hybridMultilevel"/>
    <w:tmpl w:val="C21AD9DC"/>
    <w:lvl w:ilvl="0" w:tplc="E6C8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  <w:num w:numId="13">
    <w:abstractNumId w:val="5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40726"/>
    <w:rsid w:val="00043322"/>
    <w:rsid w:val="00056045"/>
    <w:rsid w:val="00057816"/>
    <w:rsid w:val="00061445"/>
    <w:rsid w:val="00066A21"/>
    <w:rsid w:val="000736F3"/>
    <w:rsid w:val="00077CF6"/>
    <w:rsid w:val="00090230"/>
    <w:rsid w:val="00096CAA"/>
    <w:rsid w:val="000A35D7"/>
    <w:rsid w:val="000B13AD"/>
    <w:rsid w:val="000B6759"/>
    <w:rsid w:val="000D1C07"/>
    <w:rsid w:val="000D3B1B"/>
    <w:rsid w:val="000E2174"/>
    <w:rsid w:val="000E3D7D"/>
    <w:rsid w:val="000E3E6A"/>
    <w:rsid w:val="000E7685"/>
    <w:rsid w:val="001001CE"/>
    <w:rsid w:val="00107ECE"/>
    <w:rsid w:val="001114AF"/>
    <w:rsid w:val="001130DA"/>
    <w:rsid w:val="00121164"/>
    <w:rsid w:val="001334A2"/>
    <w:rsid w:val="00133E6C"/>
    <w:rsid w:val="00135894"/>
    <w:rsid w:val="00135DC9"/>
    <w:rsid w:val="00141412"/>
    <w:rsid w:val="0015367B"/>
    <w:rsid w:val="0015477D"/>
    <w:rsid w:val="00177A4A"/>
    <w:rsid w:val="00185CB1"/>
    <w:rsid w:val="00187ECC"/>
    <w:rsid w:val="001967D9"/>
    <w:rsid w:val="001A3218"/>
    <w:rsid w:val="001A47BC"/>
    <w:rsid w:val="001B08B2"/>
    <w:rsid w:val="001B73FD"/>
    <w:rsid w:val="001C463D"/>
    <w:rsid w:val="001D1B4B"/>
    <w:rsid w:val="001D4230"/>
    <w:rsid w:val="001F6448"/>
    <w:rsid w:val="001F751D"/>
    <w:rsid w:val="001F7CF0"/>
    <w:rsid w:val="002003FB"/>
    <w:rsid w:val="00205FC2"/>
    <w:rsid w:val="00217D0E"/>
    <w:rsid w:val="00220A3F"/>
    <w:rsid w:val="00221E6C"/>
    <w:rsid w:val="002227EB"/>
    <w:rsid w:val="00223F0F"/>
    <w:rsid w:val="0022527A"/>
    <w:rsid w:val="00225469"/>
    <w:rsid w:val="0025422C"/>
    <w:rsid w:val="0025696C"/>
    <w:rsid w:val="00270B82"/>
    <w:rsid w:val="00281C02"/>
    <w:rsid w:val="00282559"/>
    <w:rsid w:val="00286C19"/>
    <w:rsid w:val="00290384"/>
    <w:rsid w:val="00293848"/>
    <w:rsid w:val="00296B61"/>
    <w:rsid w:val="002A1D7C"/>
    <w:rsid w:val="002A24BE"/>
    <w:rsid w:val="002A46DA"/>
    <w:rsid w:val="002A6080"/>
    <w:rsid w:val="002B237B"/>
    <w:rsid w:val="002B7838"/>
    <w:rsid w:val="002C428B"/>
    <w:rsid w:val="002C521C"/>
    <w:rsid w:val="002C5553"/>
    <w:rsid w:val="002D4F81"/>
    <w:rsid w:val="002D5C3E"/>
    <w:rsid w:val="002D6730"/>
    <w:rsid w:val="003015F6"/>
    <w:rsid w:val="003021DE"/>
    <w:rsid w:val="00302F2A"/>
    <w:rsid w:val="00306120"/>
    <w:rsid w:val="0031186C"/>
    <w:rsid w:val="00322B55"/>
    <w:rsid w:val="003230DC"/>
    <w:rsid w:val="00332DC3"/>
    <w:rsid w:val="003355AD"/>
    <w:rsid w:val="00346633"/>
    <w:rsid w:val="00355F02"/>
    <w:rsid w:val="00364738"/>
    <w:rsid w:val="00365F81"/>
    <w:rsid w:val="00373DDA"/>
    <w:rsid w:val="00374CAD"/>
    <w:rsid w:val="00382713"/>
    <w:rsid w:val="003964C6"/>
    <w:rsid w:val="003A60B7"/>
    <w:rsid w:val="003A706F"/>
    <w:rsid w:val="003C383B"/>
    <w:rsid w:val="003E244F"/>
    <w:rsid w:val="003F2753"/>
    <w:rsid w:val="00401C02"/>
    <w:rsid w:val="0041172C"/>
    <w:rsid w:val="004210D4"/>
    <w:rsid w:val="00423381"/>
    <w:rsid w:val="0042356B"/>
    <w:rsid w:val="00427E51"/>
    <w:rsid w:val="00443341"/>
    <w:rsid w:val="004466B7"/>
    <w:rsid w:val="00457BB5"/>
    <w:rsid w:val="00457F2E"/>
    <w:rsid w:val="004605F8"/>
    <w:rsid w:val="00465D8E"/>
    <w:rsid w:val="00472E7B"/>
    <w:rsid w:val="004818A2"/>
    <w:rsid w:val="00481C28"/>
    <w:rsid w:val="00482006"/>
    <w:rsid w:val="00484102"/>
    <w:rsid w:val="00486C3D"/>
    <w:rsid w:val="00487042"/>
    <w:rsid w:val="0048718C"/>
    <w:rsid w:val="004949BD"/>
    <w:rsid w:val="00497174"/>
    <w:rsid w:val="004A4E7A"/>
    <w:rsid w:val="004A764C"/>
    <w:rsid w:val="004B0E47"/>
    <w:rsid w:val="004B612C"/>
    <w:rsid w:val="004B71A0"/>
    <w:rsid w:val="004C0111"/>
    <w:rsid w:val="004C2F08"/>
    <w:rsid w:val="004D457B"/>
    <w:rsid w:val="004F3B72"/>
    <w:rsid w:val="00510CCB"/>
    <w:rsid w:val="005305BC"/>
    <w:rsid w:val="00530629"/>
    <w:rsid w:val="00533714"/>
    <w:rsid w:val="00534EBF"/>
    <w:rsid w:val="00536B25"/>
    <w:rsid w:val="00537894"/>
    <w:rsid w:val="005529E6"/>
    <w:rsid w:val="00570ECD"/>
    <w:rsid w:val="005832B2"/>
    <w:rsid w:val="00595044"/>
    <w:rsid w:val="005B054F"/>
    <w:rsid w:val="005C01F5"/>
    <w:rsid w:val="005D3169"/>
    <w:rsid w:val="005E4F97"/>
    <w:rsid w:val="005E628D"/>
    <w:rsid w:val="00607357"/>
    <w:rsid w:val="00610BC7"/>
    <w:rsid w:val="006114F0"/>
    <w:rsid w:val="00626759"/>
    <w:rsid w:val="006328BE"/>
    <w:rsid w:val="00635C39"/>
    <w:rsid w:val="0063792D"/>
    <w:rsid w:val="00650EBD"/>
    <w:rsid w:val="00664192"/>
    <w:rsid w:val="00670D77"/>
    <w:rsid w:val="00671E24"/>
    <w:rsid w:val="006812A1"/>
    <w:rsid w:val="00693217"/>
    <w:rsid w:val="006A0574"/>
    <w:rsid w:val="006A513D"/>
    <w:rsid w:val="006A68C6"/>
    <w:rsid w:val="006B037E"/>
    <w:rsid w:val="006B1053"/>
    <w:rsid w:val="006C27F1"/>
    <w:rsid w:val="006C3768"/>
    <w:rsid w:val="006D5E4A"/>
    <w:rsid w:val="006E2437"/>
    <w:rsid w:val="006E41C1"/>
    <w:rsid w:val="007065F0"/>
    <w:rsid w:val="00715350"/>
    <w:rsid w:val="00721069"/>
    <w:rsid w:val="00724E11"/>
    <w:rsid w:val="007262FE"/>
    <w:rsid w:val="00730B9D"/>
    <w:rsid w:val="0073167B"/>
    <w:rsid w:val="00734C0D"/>
    <w:rsid w:val="0074428A"/>
    <w:rsid w:val="00751BAC"/>
    <w:rsid w:val="00752FD9"/>
    <w:rsid w:val="0077136D"/>
    <w:rsid w:val="00775371"/>
    <w:rsid w:val="00780926"/>
    <w:rsid w:val="007824C5"/>
    <w:rsid w:val="00783152"/>
    <w:rsid w:val="0078730F"/>
    <w:rsid w:val="00791189"/>
    <w:rsid w:val="00796EE5"/>
    <w:rsid w:val="007A4C2E"/>
    <w:rsid w:val="007B73BE"/>
    <w:rsid w:val="007C5701"/>
    <w:rsid w:val="007E1F8F"/>
    <w:rsid w:val="007E3600"/>
    <w:rsid w:val="007E5956"/>
    <w:rsid w:val="007F570D"/>
    <w:rsid w:val="008030EF"/>
    <w:rsid w:val="00803841"/>
    <w:rsid w:val="00812CF8"/>
    <w:rsid w:val="008207F0"/>
    <w:rsid w:val="0082743C"/>
    <w:rsid w:val="00837096"/>
    <w:rsid w:val="00846A5B"/>
    <w:rsid w:val="00852371"/>
    <w:rsid w:val="0085357F"/>
    <w:rsid w:val="00853C69"/>
    <w:rsid w:val="008562C0"/>
    <w:rsid w:val="00873520"/>
    <w:rsid w:val="00884AB9"/>
    <w:rsid w:val="008873CC"/>
    <w:rsid w:val="00887449"/>
    <w:rsid w:val="00893C3E"/>
    <w:rsid w:val="00894631"/>
    <w:rsid w:val="008C1B51"/>
    <w:rsid w:val="008E4CFA"/>
    <w:rsid w:val="008E6701"/>
    <w:rsid w:val="008E6A7D"/>
    <w:rsid w:val="008F35B5"/>
    <w:rsid w:val="008F49BA"/>
    <w:rsid w:val="008F5537"/>
    <w:rsid w:val="008F63F0"/>
    <w:rsid w:val="00905765"/>
    <w:rsid w:val="009058FE"/>
    <w:rsid w:val="0091185E"/>
    <w:rsid w:val="00922D5C"/>
    <w:rsid w:val="0093424C"/>
    <w:rsid w:val="00940D6B"/>
    <w:rsid w:val="00951BEF"/>
    <w:rsid w:val="0095258D"/>
    <w:rsid w:val="0095301F"/>
    <w:rsid w:val="00960CCD"/>
    <w:rsid w:val="009639CD"/>
    <w:rsid w:val="00964C66"/>
    <w:rsid w:val="009668E4"/>
    <w:rsid w:val="00972F8C"/>
    <w:rsid w:val="0099016E"/>
    <w:rsid w:val="00990742"/>
    <w:rsid w:val="00996FE5"/>
    <w:rsid w:val="009B423F"/>
    <w:rsid w:val="009C221B"/>
    <w:rsid w:val="009C5E1E"/>
    <w:rsid w:val="009D773C"/>
    <w:rsid w:val="009F08DD"/>
    <w:rsid w:val="009F5576"/>
    <w:rsid w:val="00A0053E"/>
    <w:rsid w:val="00A10438"/>
    <w:rsid w:val="00A16D80"/>
    <w:rsid w:val="00A236CF"/>
    <w:rsid w:val="00A2444C"/>
    <w:rsid w:val="00A31469"/>
    <w:rsid w:val="00A31A9C"/>
    <w:rsid w:val="00A3554E"/>
    <w:rsid w:val="00A37C43"/>
    <w:rsid w:val="00A416B8"/>
    <w:rsid w:val="00A43F3E"/>
    <w:rsid w:val="00A737B8"/>
    <w:rsid w:val="00A7481D"/>
    <w:rsid w:val="00A75ECC"/>
    <w:rsid w:val="00A80F9E"/>
    <w:rsid w:val="00A824EB"/>
    <w:rsid w:val="00A833E5"/>
    <w:rsid w:val="00A85CCE"/>
    <w:rsid w:val="00AA07F5"/>
    <w:rsid w:val="00AA2C86"/>
    <w:rsid w:val="00AD26D6"/>
    <w:rsid w:val="00AE2659"/>
    <w:rsid w:val="00AE4D65"/>
    <w:rsid w:val="00B04CE0"/>
    <w:rsid w:val="00B06419"/>
    <w:rsid w:val="00B06E24"/>
    <w:rsid w:val="00B07509"/>
    <w:rsid w:val="00B07EB7"/>
    <w:rsid w:val="00B12618"/>
    <w:rsid w:val="00B1281C"/>
    <w:rsid w:val="00B13F68"/>
    <w:rsid w:val="00B1562B"/>
    <w:rsid w:val="00B2290C"/>
    <w:rsid w:val="00B31C0B"/>
    <w:rsid w:val="00B323B9"/>
    <w:rsid w:val="00B36EA3"/>
    <w:rsid w:val="00B4307B"/>
    <w:rsid w:val="00B464C1"/>
    <w:rsid w:val="00B95A19"/>
    <w:rsid w:val="00BA78AA"/>
    <w:rsid w:val="00BB1F77"/>
    <w:rsid w:val="00BB6D67"/>
    <w:rsid w:val="00BC798A"/>
    <w:rsid w:val="00BD1AC2"/>
    <w:rsid w:val="00BD7004"/>
    <w:rsid w:val="00BE24F8"/>
    <w:rsid w:val="00BE3E86"/>
    <w:rsid w:val="00BE6D5D"/>
    <w:rsid w:val="00BF0071"/>
    <w:rsid w:val="00BF6308"/>
    <w:rsid w:val="00BF6E8D"/>
    <w:rsid w:val="00BF7E76"/>
    <w:rsid w:val="00C26F80"/>
    <w:rsid w:val="00C27F98"/>
    <w:rsid w:val="00C32A7E"/>
    <w:rsid w:val="00C32E4D"/>
    <w:rsid w:val="00C3762E"/>
    <w:rsid w:val="00C412DC"/>
    <w:rsid w:val="00C55DBB"/>
    <w:rsid w:val="00C73109"/>
    <w:rsid w:val="00C73468"/>
    <w:rsid w:val="00C82AA0"/>
    <w:rsid w:val="00C85B40"/>
    <w:rsid w:val="00CA34F6"/>
    <w:rsid w:val="00CB25B2"/>
    <w:rsid w:val="00CC3C5E"/>
    <w:rsid w:val="00CC6232"/>
    <w:rsid w:val="00CC644C"/>
    <w:rsid w:val="00CD175A"/>
    <w:rsid w:val="00CE110B"/>
    <w:rsid w:val="00CE5C60"/>
    <w:rsid w:val="00CF0244"/>
    <w:rsid w:val="00CF0342"/>
    <w:rsid w:val="00CF3F40"/>
    <w:rsid w:val="00CF76C2"/>
    <w:rsid w:val="00D06B2B"/>
    <w:rsid w:val="00D10860"/>
    <w:rsid w:val="00D15C7A"/>
    <w:rsid w:val="00D326E1"/>
    <w:rsid w:val="00D33F2E"/>
    <w:rsid w:val="00D513D2"/>
    <w:rsid w:val="00D52196"/>
    <w:rsid w:val="00D67CF2"/>
    <w:rsid w:val="00D71CEA"/>
    <w:rsid w:val="00D90BA5"/>
    <w:rsid w:val="00D92F55"/>
    <w:rsid w:val="00D96D7D"/>
    <w:rsid w:val="00D96F2E"/>
    <w:rsid w:val="00D97C4D"/>
    <w:rsid w:val="00DA1B73"/>
    <w:rsid w:val="00DA4090"/>
    <w:rsid w:val="00DA63C9"/>
    <w:rsid w:val="00DD452B"/>
    <w:rsid w:val="00DF0427"/>
    <w:rsid w:val="00E13A3E"/>
    <w:rsid w:val="00E1698A"/>
    <w:rsid w:val="00E23A3A"/>
    <w:rsid w:val="00E26160"/>
    <w:rsid w:val="00E41B3F"/>
    <w:rsid w:val="00E45ED8"/>
    <w:rsid w:val="00E53CD7"/>
    <w:rsid w:val="00E85527"/>
    <w:rsid w:val="00E877C8"/>
    <w:rsid w:val="00E9558B"/>
    <w:rsid w:val="00EA405A"/>
    <w:rsid w:val="00EB22C2"/>
    <w:rsid w:val="00EC2CE9"/>
    <w:rsid w:val="00ED5CBB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30177"/>
    <w:rsid w:val="00F40D3B"/>
    <w:rsid w:val="00F40E97"/>
    <w:rsid w:val="00F44613"/>
    <w:rsid w:val="00F500E3"/>
    <w:rsid w:val="00F54EF0"/>
    <w:rsid w:val="00F55076"/>
    <w:rsid w:val="00F6288E"/>
    <w:rsid w:val="00F63DAD"/>
    <w:rsid w:val="00F81142"/>
    <w:rsid w:val="00F8384D"/>
    <w:rsid w:val="00F85EAC"/>
    <w:rsid w:val="00F9666C"/>
    <w:rsid w:val="00FA099B"/>
    <w:rsid w:val="00FB533E"/>
    <w:rsid w:val="00FB6934"/>
    <w:rsid w:val="00FC6918"/>
    <w:rsid w:val="00FC7915"/>
    <w:rsid w:val="00FF25FE"/>
    <w:rsid w:val="00FF26D3"/>
    <w:rsid w:val="00FF3121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kladntext2">
    <w:name w:val="Body Text 2"/>
    <w:basedOn w:val="Normlny"/>
    <w:link w:val="Zkladntext2Char"/>
    <w:rsid w:val="008F63F0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8F63F0"/>
    <w:rPr>
      <w:sz w:val="22"/>
      <w:szCs w:val="24"/>
    </w:rPr>
  </w:style>
  <w:style w:type="paragraph" w:styleId="Zkladntext3">
    <w:name w:val="Body Text 3"/>
    <w:basedOn w:val="Normlny"/>
    <w:link w:val="Zkladntext3Char"/>
    <w:rsid w:val="0077136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7136D"/>
    <w:rPr>
      <w:sz w:val="16"/>
      <w:szCs w:val="16"/>
    </w:rPr>
  </w:style>
  <w:style w:type="paragraph" w:styleId="Revzia">
    <w:name w:val="Revision"/>
    <w:hidden/>
    <w:uiPriority w:val="99"/>
    <w:semiHidden/>
    <w:rsid w:val="000A35D7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kladntext2">
    <w:name w:val="Body Text 2"/>
    <w:basedOn w:val="Normlny"/>
    <w:link w:val="Zkladntext2Char"/>
    <w:rsid w:val="008F63F0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8F63F0"/>
    <w:rPr>
      <w:sz w:val="22"/>
      <w:szCs w:val="24"/>
    </w:rPr>
  </w:style>
  <w:style w:type="paragraph" w:styleId="Zkladntext3">
    <w:name w:val="Body Text 3"/>
    <w:basedOn w:val="Normlny"/>
    <w:link w:val="Zkladntext3Char"/>
    <w:rsid w:val="0077136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7136D"/>
    <w:rPr>
      <w:sz w:val="16"/>
      <w:szCs w:val="16"/>
    </w:rPr>
  </w:style>
  <w:style w:type="paragraph" w:styleId="Revzia">
    <w:name w:val="Revision"/>
    <w:hidden/>
    <w:uiPriority w:val="99"/>
    <w:semiHidden/>
    <w:rsid w:val="000A35D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Hreferralspccleansk</vt:lpstr>
    </vt:vector>
  </TitlesOfParts>
  <Company>EMEA</Company>
  <LinksUpToDate>false</LinksUpToDate>
  <CharactersWithSpaces>10317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Dagmar Sarkar</dc:creator>
  <cp:lastModifiedBy>Dočolomanská, Petra</cp:lastModifiedBy>
  <cp:revision>2</cp:revision>
  <cp:lastPrinted>2003-05-16T08:55:00Z</cp:lastPrinted>
  <dcterms:created xsi:type="dcterms:W3CDTF">2017-02-13T12:12:00Z</dcterms:created>
  <dcterms:modified xsi:type="dcterms:W3CDTF">2017-02-13T12:12:00Z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