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82" w:rsidRDefault="008306CC" w:rsidP="008F1179">
      <w:pPr>
        <w:pStyle w:val="Nadpis1"/>
        <w:jc w:val="center"/>
      </w:pPr>
      <w:r w:rsidRPr="008F1179">
        <w:rPr>
          <w:caps w:val="0"/>
        </w:rPr>
        <w:t>Písomná informácia pre používateľ</w:t>
      </w:r>
      <w:r>
        <w:rPr>
          <w:caps w:val="0"/>
        </w:rPr>
        <w:t>a</w:t>
      </w:r>
    </w:p>
    <w:p w:rsidR="008F1179" w:rsidRPr="008F1179" w:rsidRDefault="008F1179" w:rsidP="008F1179"/>
    <w:p w:rsidR="00612550" w:rsidRDefault="00612550" w:rsidP="008F1179">
      <w:pPr>
        <w:pStyle w:val="Nadpis2"/>
        <w:jc w:val="center"/>
      </w:pPr>
      <w:r>
        <w:t>M</w:t>
      </w:r>
      <w:r w:rsidR="00E30018">
        <w:t xml:space="preserve">AGUROL 4 </w:t>
      </w:r>
      <w:r>
        <w:t>mg</w:t>
      </w:r>
    </w:p>
    <w:p w:rsidR="008F1179" w:rsidRPr="004D0501" w:rsidRDefault="008F1179" w:rsidP="008F1179">
      <w:pPr>
        <w:pStyle w:val="Nadpis2"/>
        <w:jc w:val="center"/>
        <w:rPr>
          <w:b w:val="0"/>
        </w:rPr>
      </w:pPr>
      <w:r w:rsidRPr="004D0501">
        <w:rPr>
          <w:b w:val="0"/>
        </w:rPr>
        <w:t>tablety</w:t>
      </w:r>
    </w:p>
    <w:p w:rsidR="00612550" w:rsidRPr="008F1179" w:rsidRDefault="00E30018" w:rsidP="008F1179">
      <w:pPr>
        <w:pStyle w:val="Nadpis2"/>
        <w:jc w:val="center"/>
        <w:rPr>
          <w:b w:val="0"/>
        </w:rPr>
      </w:pPr>
      <w:proofErr w:type="spellStart"/>
      <w:r w:rsidRPr="008F1179">
        <w:rPr>
          <w:b w:val="0"/>
        </w:rPr>
        <w:t>doxazos</w:t>
      </w:r>
      <w:r w:rsidR="00D7170F">
        <w:rPr>
          <w:b w:val="0"/>
        </w:rPr>
        <w:t>ín</w:t>
      </w:r>
      <w:proofErr w:type="spellEnd"/>
    </w:p>
    <w:p w:rsidR="008F1179" w:rsidRPr="008F1179" w:rsidRDefault="008F1179" w:rsidP="008F1179"/>
    <w:p w:rsidR="00612550" w:rsidRPr="004D0501" w:rsidRDefault="00612550" w:rsidP="004D0501">
      <w:pPr>
        <w:pStyle w:val="Styl2"/>
        <w:keepNext/>
        <w:spacing w:before="240"/>
        <w:ind w:left="0" w:firstLine="0"/>
        <w:outlineLvl w:val="9"/>
        <w:rPr>
          <w:rFonts w:eastAsia="MS Mincho"/>
          <w:noProof w:val="0"/>
          <w:lang w:eastAsia="en-US"/>
        </w:rPr>
      </w:pPr>
      <w:r w:rsidRPr="004D0501">
        <w:rPr>
          <w:rFonts w:eastAsia="MS Mincho"/>
          <w:bCs/>
          <w:noProof w:val="0"/>
          <w:lang w:eastAsia="en-US"/>
        </w:rPr>
        <w:t xml:space="preserve">Pozorne si prečítajte celú písomnú informáciu </w:t>
      </w:r>
      <w:r w:rsidR="008306CC" w:rsidRPr="004D0501">
        <w:rPr>
          <w:rFonts w:eastAsia="MS Mincho"/>
          <w:bCs/>
          <w:noProof w:val="0"/>
          <w:lang w:eastAsia="en-US"/>
        </w:rPr>
        <w:t>predtým</w:t>
      </w:r>
      <w:r w:rsidRPr="004D0501">
        <w:rPr>
          <w:rFonts w:eastAsia="MS Mincho"/>
          <w:bCs/>
          <w:noProof w:val="0"/>
          <w:lang w:eastAsia="en-US"/>
        </w:rPr>
        <w:t xml:space="preserve">, ako začnete užívať </w:t>
      </w:r>
      <w:r w:rsidR="008306CC" w:rsidRPr="004D0501">
        <w:rPr>
          <w:rFonts w:eastAsia="MS Mincho"/>
          <w:bCs/>
          <w:noProof w:val="0"/>
          <w:lang w:eastAsia="en-US"/>
        </w:rPr>
        <w:t>tento</w:t>
      </w:r>
      <w:r w:rsidRPr="004D0501">
        <w:rPr>
          <w:rFonts w:eastAsia="MS Mincho"/>
          <w:bCs/>
          <w:noProof w:val="0"/>
          <w:lang w:eastAsia="en-US"/>
        </w:rPr>
        <w:t xml:space="preserve"> liek</w:t>
      </w:r>
      <w:r w:rsidR="008306CC" w:rsidRPr="004D0501">
        <w:rPr>
          <w:rFonts w:eastAsia="MS Mincho"/>
          <w:bCs/>
          <w:noProof w:val="0"/>
          <w:lang w:eastAsia="en-US"/>
        </w:rPr>
        <w:t>, pretože obsahuje pre vás dôležité informácie</w:t>
      </w:r>
      <w:r w:rsidRPr="004D0501">
        <w:rPr>
          <w:rFonts w:eastAsia="MS Mincho"/>
          <w:bCs/>
          <w:noProof w:val="0"/>
          <w:lang w:eastAsia="en-US"/>
        </w:rPr>
        <w:t>.</w:t>
      </w:r>
    </w:p>
    <w:p w:rsidR="00612550" w:rsidRDefault="00612550" w:rsidP="004D0501">
      <w:pPr>
        <w:pStyle w:val="Normlndoblokusodrkami"/>
      </w:pPr>
      <w:r>
        <w:t>Túto písomnú informáciu si uschovajte. Možno bude potrebné, aby ste si ju znovu prečítali.</w:t>
      </w:r>
    </w:p>
    <w:p w:rsidR="00612550" w:rsidRDefault="00612550" w:rsidP="004D0501">
      <w:pPr>
        <w:pStyle w:val="Normlndoblokusodrkami"/>
      </w:pPr>
      <w:r>
        <w:t>Ak máte akékoľvek ďalšie otázky, obráťte sa na svojho lekára</w:t>
      </w:r>
      <w:r w:rsidR="00944E8C">
        <w:t xml:space="preserve"> </w:t>
      </w:r>
      <w:r>
        <w:t>alebo</w:t>
      </w:r>
      <w:r w:rsidR="00944E8C">
        <w:t xml:space="preserve"> </w:t>
      </w:r>
      <w:r>
        <w:t>lekárnika.</w:t>
      </w:r>
    </w:p>
    <w:p w:rsidR="00612550" w:rsidRPr="004D0501" w:rsidRDefault="00612550" w:rsidP="004D0501">
      <w:pPr>
        <w:pStyle w:val="Normlndoblokusodrkami"/>
      </w:pPr>
      <w:r>
        <w:t xml:space="preserve">Tento liek bol predpísaný </w:t>
      </w:r>
      <w:r w:rsidR="008306CC">
        <w:t>iba v</w:t>
      </w:r>
      <w:r>
        <w:t xml:space="preserve">ám. Nedávajte ho nikomu inému. Môže mu uškodiť, dokonca aj vtedy, ak má rovnaké </w:t>
      </w:r>
      <w:r w:rsidR="008306CC">
        <w:t>prejavy ochorenia</w:t>
      </w:r>
      <w:r>
        <w:t xml:space="preserve"> ako </w:t>
      </w:r>
      <w:r w:rsidR="008306CC">
        <w:t>v</w:t>
      </w:r>
      <w:r>
        <w:t>y.</w:t>
      </w:r>
    </w:p>
    <w:p w:rsidR="008306CC" w:rsidRPr="0021550F" w:rsidRDefault="008306CC" w:rsidP="008306CC">
      <w:pPr>
        <w:pStyle w:val="Normlndoblokusodrkami"/>
      </w:pPr>
      <w:r w:rsidRPr="0021550F">
        <w:t>Ak sa u vás vyskytne akýkoľvek vedľajší účinok, obráťte sa na svojho lekára alebo lekárnika. To sa týka aj akýchkoľvek vedľajších účinkov,ktoré nie sú uvedené v tejto písomnej informácii . Pozri časť 4.</w:t>
      </w:r>
    </w:p>
    <w:p w:rsidR="008306CC" w:rsidRDefault="008306CC" w:rsidP="00060DB0">
      <w:pPr>
        <w:pStyle w:val="Normlndobloku"/>
        <w:rPr>
          <w:noProof/>
        </w:rPr>
      </w:pPr>
    </w:p>
    <w:p w:rsidR="00715AA2" w:rsidRDefault="00612550" w:rsidP="00060DB0">
      <w:pPr>
        <w:pStyle w:val="Nadpis2"/>
        <w:rPr>
          <w:noProof/>
        </w:rPr>
      </w:pPr>
      <w:r>
        <w:rPr>
          <w:noProof/>
        </w:rPr>
        <w:t>V tejto písomnej informácii pre</w:t>
      </w:r>
      <w:r w:rsidR="00CE7C5D">
        <w:rPr>
          <w:noProof/>
        </w:rPr>
        <w:t xml:space="preserve"> sa dozviete</w:t>
      </w:r>
      <w:r>
        <w:rPr>
          <w:noProof/>
        </w:rPr>
        <w:t>:</w:t>
      </w:r>
    </w:p>
    <w:p w:rsidR="00612550" w:rsidRDefault="00612550" w:rsidP="00060DB0">
      <w:pPr>
        <w:pStyle w:val="Normlndobloku"/>
        <w:rPr>
          <w:noProof/>
        </w:rPr>
      </w:pPr>
      <w:r>
        <w:rPr>
          <w:noProof/>
        </w:rPr>
        <w:t>1.</w:t>
      </w:r>
      <w:r w:rsidR="00E41D91">
        <w:rPr>
          <w:noProof/>
        </w:rPr>
        <w:t xml:space="preserve"> </w:t>
      </w:r>
      <w:r>
        <w:rPr>
          <w:noProof/>
        </w:rPr>
        <w:t xml:space="preserve">Čo je </w:t>
      </w:r>
      <w:r w:rsidR="00E30018">
        <w:t>MAGUROL</w:t>
      </w:r>
      <w:r>
        <w:rPr>
          <w:noProof/>
        </w:rPr>
        <w:t xml:space="preserve"> a na čo sa používa</w:t>
      </w:r>
    </w:p>
    <w:p w:rsidR="00612550" w:rsidRDefault="00612550" w:rsidP="00060DB0">
      <w:pPr>
        <w:pStyle w:val="Normlndobloku"/>
        <w:rPr>
          <w:noProof/>
        </w:rPr>
      </w:pPr>
      <w:r>
        <w:rPr>
          <w:noProof/>
        </w:rPr>
        <w:t>2.</w:t>
      </w:r>
      <w:r w:rsidR="00E41D91">
        <w:rPr>
          <w:noProof/>
        </w:rPr>
        <w:t xml:space="preserve"> </w:t>
      </w:r>
      <w:r w:rsidR="00714C18">
        <w:rPr>
          <w:noProof/>
        </w:rPr>
        <w:t xml:space="preserve">Čo potrebujete vedieť predtým, </w:t>
      </w:r>
      <w:r>
        <w:rPr>
          <w:noProof/>
        </w:rPr>
        <w:t>ako užijete</w:t>
      </w:r>
      <w:r w:rsidR="00060DB0">
        <w:rPr>
          <w:noProof/>
        </w:rPr>
        <w:t xml:space="preserve"> </w:t>
      </w:r>
      <w:r w:rsidR="00E30018">
        <w:t>MAGUROL</w:t>
      </w:r>
    </w:p>
    <w:p w:rsidR="00612550" w:rsidRDefault="00612550" w:rsidP="00060DB0">
      <w:pPr>
        <w:pStyle w:val="Normlndobloku"/>
        <w:rPr>
          <w:noProof/>
        </w:rPr>
      </w:pPr>
      <w:r>
        <w:rPr>
          <w:noProof/>
        </w:rPr>
        <w:t>3.</w:t>
      </w:r>
      <w:r w:rsidR="00E41D91">
        <w:rPr>
          <w:noProof/>
        </w:rPr>
        <w:t xml:space="preserve"> </w:t>
      </w:r>
      <w:r>
        <w:rPr>
          <w:noProof/>
        </w:rPr>
        <w:t>Ako užívať</w:t>
      </w:r>
      <w:r w:rsidR="00060DB0">
        <w:rPr>
          <w:noProof/>
        </w:rPr>
        <w:t xml:space="preserve"> </w:t>
      </w:r>
      <w:r w:rsidR="00E30018">
        <w:t>MAGUROL</w:t>
      </w:r>
    </w:p>
    <w:p w:rsidR="00612550" w:rsidRDefault="00612550" w:rsidP="00060DB0">
      <w:pPr>
        <w:pStyle w:val="Normlndobloku"/>
        <w:rPr>
          <w:noProof/>
        </w:rPr>
      </w:pPr>
      <w:r>
        <w:rPr>
          <w:noProof/>
        </w:rPr>
        <w:t>4.</w:t>
      </w:r>
      <w:r w:rsidR="00E41D91">
        <w:rPr>
          <w:noProof/>
        </w:rPr>
        <w:t xml:space="preserve"> </w:t>
      </w:r>
      <w:r>
        <w:rPr>
          <w:noProof/>
        </w:rPr>
        <w:t>Možné vedľajšie účinky</w:t>
      </w:r>
    </w:p>
    <w:p w:rsidR="00612550" w:rsidRDefault="00612550" w:rsidP="00060DB0">
      <w:pPr>
        <w:pStyle w:val="Normlndobloku"/>
        <w:rPr>
          <w:noProof/>
        </w:rPr>
      </w:pPr>
      <w:r>
        <w:rPr>
          <w:noProof/>
        </w:rPr>
        <w:t>5.</w:t>
      </w:r>
      <w:r w:rsidR="00E41D91">
        <w:rPr>
          <w:noProof/>
        </w:rPr>
        <w:t xml:space="preserve"> </w:t>
      </w:r>
      <w:r>
        <w:rPr>
          <w:noProof/>
        </w:rPr>
        <w:t xml:space="preserve">Ako uchovávať </w:t>
      </w:r>
      <w:r w:rsidR="00E30018">
        <w:t>MAGUROL</w:t>
      </w:r>
    </w:p>
    <w:p w:rsidR="00612550" w:rsidRDefault="00612550" w:rsidP="00060DB0">
      <w:pPr>
        <w:pStyle w:val="Normlndobloku"/>
        <w:rPr>
          <w:noProof/>
        </w:rPr>
      </w:pPr>
      <w:r>
        <w:rPr>
          <w:noProof/>
        </w:rPr>
        <w:t>6.</w:t>
      </w:r>
      <w:r w:rsidR="00E41D91">
        <w:rPr>
          <w:noProof/>
        </w:rPr>
        <w:t xml:space="preserve"> </w:t>
      </w:r>
      <w:r w:rsidR="00714C18">
        <w:rPr>
          <w:noProof/>
        </w:rPr>
        <w:t>Obsah balenia a ď</w:t>
      </w:r>
      <w:r>
        <w:rPr>
          <w:noProof/>
        </w:rPr>
        <w:t>alšie informácie</w:t>
      </w:r>
    </w:p>
    <w:p w:rsidR="00CD3E7A" w:rsidRDefault="00CD3E7A" w:rsidP="00060DB0">
      <w:pPr>
        <w:pStyle w:val="Normlndobloku"/>
        <w:rPr>
          <w:noProof/>
        </w:rPr>
      </w:pPr>
    </w:p>
    <w:p w:rsidR="00612550" w:rsidRDefault="00612550" w:rsidP="008F1179">
      <w:pPr>
        <w:pStyle w:val="Nadpis1"/>
      </w:pPr>
      <w:r>
        <w:t>1.</w:t>
      </w:r>
      <w:r>
        <w:tab/>
      </w:r>
      <w:r w:rsidR="00714C18">
        <w:rPr>
          <w:caps w:val="0"/>
        </w:rPr>
        <w:t xml:space="preserve">Čo je </w:t>
      </w:r>
      <w:r w:rsidR="00E30018">
        <w:t>MAGUROL</w:t>
      </w:r>
      <w:r>
        <w:t xml:space="preserve"> </w:t>
      </w:r>
      <w:r w:rsidR="00714C18">
        <w:rPr>
          <w:caps w:val="0"/>
        </w:rPr>
        <w:t>a na čo sa používa</w:t>
      </w:r>
    </w:p>
    <w:p w:rsidR="00E30018" w:rsidRDefault="00E30018" w:rsidP="00E30018">
      <w:pPr>
        <w:pStyle w:val="Normlndobloku"/>
      </w:pPr>
      <w:r w:rsidRPr="00E30018">
        <w:t xml:space="preserve">MAGUROL patrí medzi lieky, ktoré sa nazývajú </w:t>
      </w:r>
      <w:proofErr w:type="spellStart"/>
      <w:r w:rsidRPr="00E30018">
        <w:t>alfablokátory</w:t>
      </w:r>
      <w:proofErr w:type="spellEnd"/>
      <w:r w:rsidRPr="00E30018">
        <w:t>. Sú to lieky, ktoré sa používajú na liečbu vysokého tlaku krvi a pri ťažkostiach spôsobených zväčšením prostaty (benígna hyperplázia prostaty-BHP) u mužov.</w:t>
      </w:r>
    </w:p>
    <w:p w:rsidR="00E30018" w:rsidRPr="00E30018" w:rsidRDefault="00E30018" w:rsidP="00C80D7B">
      <w:pPr>
        <w:pStyle w:val="Nadpis3"/>
      </w:pPr>
      <w:r w:rsidRPr="00E30018">
        <w:t>Hypertenzia</w:t>
      </w:r>
      <w:r w:rsidR="00536C51">
        <w:t xml:space="preserve"> (vysoký krvný tlak)</w:t>
      </w:r>
    </w:p>
    <w:p w:rsidR="00C80D7B" w:rsidRDefault="00E30018" w:rsidP="00E30018">
      <w:pPr>
        <w:pStyle w:val="Normlndobloku"/>
      </w:pPr>
      <w:r w:rsidRPr="00E30018">
        <w:t xml:space="preserve">MAGUROL je </w:t>
      </w:r>
      <w:r w:rsidR="00536C51">
        <w:t xml:space="preserve">určený </w:t>
      </w:r>
      <w:r w:rsidRPr="00E30018">
        <w:t xml:space="preserve">na liečbu hypertenzie a môže sa použiť ako úvodná liečba u väčšiny pacientov. Pacienti, u ktorých nie je možné tlak krvi </w:t>
      </w:r>
      <w:r w:rsidR="00536C51">
        <w:t>dostatočne</w:t>
      </w:r>
      <w:r w:rsidR="00536C51" w:rsidRPr="00E30018">
        <w:t xml:space="preserve"> </w:t>
      </w:r>
      <w:r w:rsidRPr="00E30018">
        <w:t xml:space="preserve">upraviť </w:t>
      </w:r>
      <w:r w:rsidR="00536C51">
        <w:t>iba MAGUROLOM</w:t>
      </w:r>
      <w:r w:rsidRPr="00E30018">
        <w:t xml:space="preserve">, môžu MAGUROL užívať v kombinácii s inými liekmi, napr. </w:t>
      </w:r>
      <w:proofErr w:type="spellStart"/>
      <w:r w:rsidRPr="00E30018">
        <w:t>tiazidovými</w:t>
      </w:r>
      <w:proofErr w:type="spellEnd"/>
      <w:r w:rsidRPr="00E30018">
        <w:t xml:space="preserve"> diuretikami, </w:t>
      </w:r>
      <w:proofErr w:type="spellStart"/>
      <w:r w:rsidRPr="00E30018">
        <w:t>betablokátormi</w:t>
      </w:r>
      <w:proofErr w:type="spellEnd"/>
      <w:r w:rsidRPr="00E30018">
        <w:t>, kalciovými antagonistami alebo inhibítormi angiotenzín konvertujúceho enzýmu.</w:t>
      </w:r>
    </w:p>
    <w:p w:rsidR="00E30018" w:rsidRPr="00E30018" w:rsidRDefault="00E30018" w:rsidP="00C80D7B">
      <w:pPr>
        <w:pStyle w:val="Nadpis3"/>
      </w:pPr>
      <w:r w:rsidRPr="00E30018">
        <w:t>Benígna hyperplázia prostaty</w:t>
      </w:r>
    </w:p>
    <w:p w:rsidR="00C80D7B" w:rsidRDefault="00E30018" w:rsidP="00E30018">
      <w:pPr>
        <w:pStyle w:val="Normlndobloku"/>
      </w:pPr>
      <w:r w:rsidRPr="00E30018">
        <w:t>MAGUROL</w:t>
      </w:r>
      <w:r w:rsidR="00C80D7B">
        <w:t xml:space="preserve"> </w:t>
      </w:r>
      <w:r w:rsidRPr="00E30018">
        <w:t xml:space="preserve">je </w:t>
      </w:r>
      <w:r w:rsidR="00816E43">
        <w:t>určený</w:t>
      </w:r>
      <w:r w:rsidR="00816E43" w:rsidRPr="00E30018">
        <w:t xml:space="preserve"> </w:t>
      </w:r>
      <w:r w:rsidRPr="00E30018">
        <w:t xml:space="preserve">na liečbu klinických </w:t>
      </w:r>
      <w:r w:rsidR="00536C51">
        <w:t>príznakov</w:t>
      </w:r>
      <w:r w:rsidR="00536C51" w:rsidRPr="00E30018">
        <w:t xml:space="preserve"> </w:t>
      </w:r>
      <w:r w:rsidRPr="00E30018">
        <w:t>pri benígnej hyperplázii prostaty a na znížený močový prúd pri</w:t>
      </w:r>
      <w:r w:rsidR="00C80D7B">
        <w:t xml:space="preserve"> </w:t>
      </w:r>
      <w:r w:rsidRPr="00E30018">
        <w:t>benígnej hyperplázii prostaty. Na liečbu benígnej hyperplázie prostaty sa MAGUROL</w:t>
      </w:r>
      <w:r w:rsidR="00C80D7B">
        <w:t xml:space="preserve"> </w:t>
      </w:r>
      <w:r w:rsidRPr="00E30018">
        <w:t>používa u pacientov</w:t>
      </w:r>
      <w:r w:rsidR="00536C51">
        <w:t xml:space="preserve"> s normálnym krvným tlakom</w:t>
      </w:r>
      <w:r w:rsidRPr="00E30018">
        <w:t>, ako aj u pacientov s hypertenziou. U</w:t>
      </w:r>
      <w:r w:rsidR="00E41D91">
        <w:t> </w:t>
      </w:r>
      <w:r w:rsidRPr="00E30018">
        <w:t xml:space="preserve">pacientov </w:t>
      </w:r>
      <w:r w:rsidR="00536C51">
        <w:t xml:space="preserve">s normálnym krvným tlakom </w:t>
      </w:r>
      <w:r w:rsidRPr="00E30018">
        <w:t xml:space="preserve">nie sú zmeny tlaku krvi klinicky </w:t>
      </w:r>
      <w:r w:rsidR="00536C51">
        <w:t>významné</w:t>
      </w:r>
      <w:r w:rsidRPr="00E30018">
        <w:t>. U pacientov s</w:t>
      </w:r>
      <w:r w:rsidR="00E41D91">
        <w:t> </w:t>
      </w:r>
      <w:r w:rsidRPr="00E30018">
        <w:t xml:space="preserve">hypertenziou a benígnou </w:t>
      </w:r>
      <w:proofErr w:type="spellStart"/>
      <w:r w:rsidRPr="00E30018">
        <w:t>hyperpláziou</w:t>
      </w:r>
      <w:proofErr w:type="spellEnd"/>
      <w:r w:rsidRPr="00E30018">
        <w:t xml:space="preserve"> prostaty sa môžu obidve ochorenia </w:t>
      </w:r>
      <w:r w:rsidR="00816E43">
        <w:t>súčasne</w:t>
      </w:r>
      <w:r w:rsidR="00816E43" w:rsidRPr="00E30018">
        <w:t xml:space="preserve"> </w:t>
      </w:r>
      <w:r w:rsidRPr="00E30018">
        <w:t xml:space="preserve">liečiť </w:t>
      </w:r>
      <w:r w:rsidR="00816E43">
        <w:t>samotným</w:t>
      </w:r>
      <w:r w:rsidR="00816E43" w:rsidRPr="00E30018">
        <w:t xml:space="preserve"> </w:t>
      </w:r>
      <w:r w:rsidRPr="00E30018">
        <w:t>MAGUROL</w:t>
      </w:r>
      <w:r w:rsidR="00FB7EC8">
        <w:t>OM</w:t>
      </w:r>
      <w:r w:rsidRPr="00E30018">
        <w:t>.</w:t>
      </w:r>
    </w:p>
    <w:p w:rsidR="00CD3E7A" w:rsidRDefault="00CD3E7A" w:rsidP="00E30018">
      <w:pPr>
        <w:pStyle w:val="Normlndobloku"/>
      </w:pPr>
    </w:p>
    <w:p w:rsidR="00612550" w:rsidRDefault="00612550" w:rsidP="008F1179">
      <w:pPr>
        <w:pStyle w:val="Nadpis1"/>
      </w:pPr>
      <w:r>
        <w:lastRenderedPageBreak/>
        <w:t>2.</w:t>
      </w:r>
      <w:r>
        <w:tab/>
      </w:r>
      <w:r w:rsidR="00FB7EC8">
        <w:rPr>
          <w:caps w:val="0"/>
        </w:rPr>
        <w:t>Čo potrebujete vedieť predtým, ako užijete</w:t>
      </w:r>
      <w:r>
        <w:t xml:space="preserve"> </w:t>
      </w:r>
      <w:r w:rsidR="00E30018">
        <w:t>MAGUROL</w:t>
      </w:r>
    </w:p>
    <w:p w:rsidR="00715AA2" w:rsidRDefault="00944E8C" w:rsidP="000778F3">
      <w:pPr>
        <w:pStyle w:val="Nadpis2"/>
      </w:pPr>
      <w:r>
        <w:rPr>
          <w:noProof/>
        </w:rPr>
        <w:t xml:space="preserve">Neužívajte </w:t>
      </w:r>
      <w:r w:rsidR="00E30018">
        <w:t>MAGUROL</w:t>
      </w:r>
    </w:p>
    <w:p w:rsidR="00612550" w:rsidRPr="00C80D7B" w:rsidRDefault="00FB7EC8" w:rsidP="004D0501">
      <w:pPr>
        <w:pStyle w:val="Normlndoblokusodrkami"/>
      </w:pPr>
      <w:r>
        <w:t>ak</w:t>
      </w:r>
      <w:r w:rsidR="00944E8C" w:rsidRPr="00C80D7B">
        <w:t xml:space="preserve"> ste </w:t>
      </w:r>
      <w:r w:rsidR="00E41D91">
        <w:t>alergický</w:t>
      </w:r>
      <w:r w:rsidR="00944E8C" w:rsidRPr="00C80D7B">
        <w:t xml:space="preserve"> </w:t>
      </w:r>
      <w:r w:rsidR="00612550" w:rsidRPr="00C80D7B">
        <w:t>na</w:t>
      </w:r>
      <w:r w:rsidR="00E30018" w:rsidRPr="00C80D7B">
        <w:t xml:space="preserve"> doxazosín</w:t>
      </w:r>
      <w:r>
        <w:t>, na chinazolíny</w:t>
      </w:r>
      <w:r w:rsidR="00E30018" w:rsidRPr="00C80D7B">
        <w:t xml:space="preserve"> alebo ktorúkoľvek </w:t>
      </w:r>
      <w:r>
        <w:t>z ďalších zložiek tohto</w:t>
      </w:r>
      <w:r w:rsidR="00E30018" w:rsidRPr="00C80D7B">
        <w:t xml:space="preserve"> lieku</w:t>
      </w:r>
      <w:r>
        <w:t xml:space="preserve"> (uvedených v časti 6)</w:t>
      </w:r>
      <w:r w:rsidR="00E30018" w:rsidRPr="00C80D7B">
        <w:t>.</w:t>
      </w:r>
    </w:p>
    <w:p w:rsidR="00815E2D" w:rsidRDefault="00815E2D" w:rsidP="00CB2E40">
      <w:pPr>
        <w:pStyle w:val="Nadpis2"/>
        <w:rPr>
          <w:noProof/>
          <w:szCs w:val="22"/>
        </w:rPr>
      </w:pPr>
      <w:r>
        <w:rPr>
          <w:noProof/>
          <w:szCs w:val="22"/>
        </w:rPr>
        <w:t>Upozornenia a opatrenia</w:t>
      </w:r>
    </w:p>
    <w:p w:rsidR="00815E2D" w:rsidRPr="004D0501" w:rsidRDefault="00815E2D" w:rsidP="004D0501">
      <w:pPr>
        <w:pStyle w:val="Normlndobloku"/>
      </w:pPr>
      <w:r w:rsidRPr="00CB1E2E">
        <w:t>Pre</w:t>
      </w:r>
      <w:r w:rsidR="00E41D91">
        <w:t>dtým, ako začnete užívať MAGUROL</w:t>
      </w:r>
      <w:r w:rsidRPr="00CB1E2E">
        <w:t>, obráťte sa na svojho lekára alebo lekárnika</w:t>
      </w:r>
      <w:r>
        <w:t>.</w:t>
      </w:r>
    </w:p>
    <w:p w:rsidR="00612550" w:rsidRPr="000778F3" w:rsidRDefault="00612550" w:rsidP="00CB2E40">
      <w:pPr>
        <w:pStyle w:val="Nadpis2"/>
        <w:rPr>
          <w:noProof/>
          <w:szCs w:val="22"/>
        </w:rPr>
      </w:pPr>
    </w:p>
    <w:p w:rsidR="00E30018" w:rsidRPr="00E30018" w:rsidRDefault="00E30018" w:rsidP="00C80D7B">
      <w:pPr>
        <w:pStyle w:val="Nadpis3"/>
      </w:pPr>
      <w:r w:rsidRPr="00E30018">
        <w:t>Posturálna hypotenzia / synkopa</w:t>
      </w:r>
    </w:p>
    <w:p w:rsidR="00E30018" w:rsidRPr="00E30018" w:rsidRDefault="00E30018" w:rsidP="00E30018">
      <w:pPr>
        <w:pStyle w:val="Normlndobloku"/>
      </w:pPr>
      <w:r w:rsidRPr="00E30018">
        <w:t>Ako aj v prípade iných alfa-blokátorov, vyskytla sa u veľmi malého percenta pacientov posturálna hypotenzia, ktorá sa prejavila závratmi a slabosťou</w:t>
      </w:r>
      <w:r w:rsidR="00C80D7B">
        <w:t xml:space="preserve"> </w:t>
      </w:r>
      <w:r w:rsidRPr="00E30018">
        <w:t xml:space="preserve">alebo zriedkavo stratou vedomia (synkopa), a to najmä na začiatku liečby . Pri úvodnej liečbe s akýmkoľvek účinným </w:t>
      </w:r>
      <w:proofErr w:type="spellStart"/>
      <w:r w:rsidRPr="00E30018">
        <w:t>alfablokátorom</w:t>
      </w:r>
      <w:proofErr w:type="spellEnd"/>
      <w:r w:rsidRPr="00E30018">
        <w:t xml:space="preserve"> treba pacienta poučiť, ako sa vyhýbať symptómom, ktoré vznikajú následkom posturálnej hypotenzie, a aké opatrenia treba urobiť, ak sa prejavia. Pacienta treba upozorniť, aby sa najmä na začiatku liečby MAGUROLom vyhol situáci</w:t>
      </w:r>
      <w:r>
        <w:t>á</w:t>
      </w:r>
      <w:r w:rsidRPr="00E30018">
        <w:t>m, kde by mohol pri prejavoch slabosti alebo závratov utrpieť zranenie.</w:t>
      </w:r>
    </w:p>
    <w:p w:rsidR="00E30018" w:rsidRPr="00E30018" w:rsidRDefault="00E30018" w:rsidP="00C80D7B">
      <w:pPr>
        <w:pStyle w:val="Nadpis3"/>
      </w:pPr>
      <w:r w:rsidRPr="00E30018">
        <w:t>Porucha funkcie pečene</w:t>
      </w:r>
    </w:p>
    <w:p w:rsidR="00767C66" w:rsidRDefault="00E30018" w:rsidP="00767C66">
      <w:pPr>
        <w:pStyle w:val="Normlndobloku"/>
      </w:pPr>
      <w:r w:rsidRPr="00E30018">
        <w:t>Podobne ako pri iných liekoch, ktoré sa úplne metabolizujú v pečeni, aj doxazosín sa má podávať opatrne pacientom s poruchou funkcie pečene .</w:t>
      </w:r>
    </w:p>
    <w:p w:rsidR="00612550" w:rsidRDefault="00815E2D" w:rsidP="00767C66">
      <w:pPr>
        <w:pStyle w:val="Nadpis2"/>
        <w:rPr>
          <w:noProof/>
        </w:rPr>
      </w:pPr>
      <w:r>
        <w:rPr>
          <w:noProof/>
        </w:rPr>
        <w:t>Iné lieky a MAGUROL</w:t>
      </w:r>
    </w:p>
    <w:p w:rsidR="00815E2D" w:rsidRDefault="00815E2D" w:rsidP="00767C66">
      <w:pPr>
        <w:pStyle w:val="Normlndobloku"/>
        <w:rPr>
          <w:noProof/>
        </w:rPr>
      </w:pPr>
      <w:r w:rsidRPr="00CB1E2E">
        <w:t xml:space="preserve">Ak teraz užívate, alebo ste v poslednom čase užívali, či práve budete užívať ďalšie lieky, povedzte to </w:t>
      </w:r>
      <w:r w:rsidRPr="00CB1E2E">
        <w:rPr>
          <w:noProof/>
        </w:rPr>
        <w:t>svojmu lekárovi alebo lekárnikovi.</w:t>
      </w:r>
    </w:p>
    <w:p w:rsidR="00612550" w:rsidRDefault="00E30018" w:rsidP="0055524C">
      <w:pPr>
        <w:pStyle w:val="Nadpis2"/>
        <w:rPr>
          <w:noProof/>
        </w:rPr>
      </w:pPr>
      <w:r>
        <w:t>MAGUROL</w:t>
      </w:r>
      <w:r w:rsidR="00815E2D">
        <w:t xml:space="preserve"> a jedlo, nápoje a alkohol</w:t>
      </w:r>
    </w:p>
    <w:p w:rsidR="0055524C" w:rsidRDefault="0055524C" w:rsidP="0055524C">
      <w:pPr>
        <w:pStyle w:val="Normlndobloku"/>
      </w:pPr>
      <w:r>
        <w:t>Alkohol môže vedľajšie účinky</w:t>
      </w:r>
      <w:r w:rsidR="00715AA2">
        <w:t xml:space="preserve"> </w:t>
      </w:r>
      <w:r>
        <w:t xml:space="preserve">lieku </w:t>
      </w:r>
      <w:r w:rsidR="00E30018">
        <w:t>MAGUROL</w:t>
      </w:r>
      <w:r w:rsidR="00247334">
        <w:t xml:space="preserve"> </w:t>
      </w:r>
      <w:r>
        <w:t>zhoršovať, preto by ste počas liečby nemali piť alkohol.</w:t>
      </w:r>
    </w:p>
    <w:p w:rsidR="00612550" w:rsidRDefault="00612550" w:rsidP="0055524C">
      <w:pPr>
        <w:pStyle w:val="Nadpis2"/>
        <w:rPr>
          <w:noProof/>
        </w:rPr>
      </w:pPr>
      <w:r>
        <w:rPr>
          <w:noProof/>
        </w:rPr>
        <w:t>Tehotenstvo a</w:t>
      </w:r>
      <w:r w:rsidR="00C80D7B">
        <w:rPr>
          <w:noProof/>
        </w:rPr>
        <w:t> </w:t>
      </w:r>
      <w:r>
        <w:rPr>
          <w:noProof/>
        </w:rPr>
        <w:t>dojčenie</w:t>
      </w:r>
    </w:p>
    <w:p w:rsidR="00C80D7B" w:rsidRPr="003943E5" w:rsidRDefault="00C80D7B" w:rsidP="00C80D7B">
      <w:pPr>
        <w:pStyle w:val="Normlndobloku"/>
      </w:pPr>
      <w:r w:rsidRPr="003943E5">
        <w:t>Bezpečnosť MAGUROL</w:t>
      </w:r>
      <w:r w:rsidR="00D7170F">
        <w:t>U</w:t>
      </w:r>
      <w:r w:rsidRPr="003943E5">
        <w:t xml:space="preserve"> počas tehotenstva a dojčenia sa nepreukázala, keďže sa žiadne štúdie u</w:t>
      </w:r>
      <w:r w:rsidR="00E41D91">
        <w:t> </w:t>
      </w:r>
      <w:r w:rsidRPr="003943E5">
        <w:t xml:space="preserve">tehotných a dojčiacich žien nekonali. Počas tehotenstva a dojčenia sa môže MAGUROL použiť iba vtedy, ak podľa názoru lekára očakávaný prínos liečby </w:t>
      </w:r>
      <w:r w:rsidR="00D7170F" w:rsidRPr="003943E5">
        <w:t>MAGUROL</w:t>
      </w:r>
      <w:r w:rsidR="00D7170F">
        <w:t>OM</w:t>
      </w:r>
      <w:r w:rsidR="00D7170F" w:rsidRPr="003943E5">
        <w:t xml:space="preserve"> </w:t>
      </w:r>
      <w:r w:rsidR="00536C51">
        <w:t xml:space="preserve">pre matku </w:t>
      </w:r>
      <w:r w:rsidRPr="003943E5">
        <w:t>prevyšuje jej potenciálne riziká</w:t>
      </w:r>
      <w:r w:rsidR="00536C51">
        <w:t xml:space="preserve"> pre dieťa</w:t>
      </w:r>
      <w:r w:rsidRPr="003943E5">
        <w:t>.</w:t>
      </w:r>
    </w:p>
    <w:p w:rsidR="00C80D7B" w:rsidRDefault="00612550" w:rsidP="006D14C7">
      <w:pPr>
        <w:pStyle w:val="Nadpis2"/>
        <w:rPr>
          <w:noProof/>
        </w:rPr>
      </w:pPr>
      <w:r>
        <w:rPr>
          <w:noProof/>
        </w:rPr>
        <w:t>Vedenie vozid</w:t>
      </w:r>
      <w:r w:rsidR="00815E2D">
        <w:rPr>
          <w:noProof/>
        </w:rPr>
        <w:t>iel</w:t>
      </w:r>
      <w:r>
        <w:rPr>
          <w:noProof/>
        </w:rPr>
        <w:t xml:space="preserve"> a obsluha strojov</w:t>
      </w:r>
    </w:p>
    <w:p w:rsidR="00C80D7B" w:rsidRPr="003943E5" w:rsidRDefault="00C80D7B" w:rsidP="00C80D7B">
      <w:pPr>
        <w:pStyle w:val="Normlndobloku"/>
      </w:pPr>
      <w:r w:rsidRPr="003943E5">
        <w:t>Doxazosín môže nepriaznivo ovplyvniť schopnosť viesť vozidlá alebo obsluhovať stroje, najmä na začiatku liečby.</w:t>
      </w:r>
    </w:p>
    <w:p w:rsidR="00612550" w:rsidRDefault="00612550" w:rsidP="006D14C7">
      <w:pPr>
        <w:pStyle w:val="Nadpis2"/>
        <w:rPr>
          <w:noProof/>
        </w:rPr>
      </w:pPr>
    </w:p>
    <w:p w:rsidR="00815E2D" w:rsidRDefault="00E30018" w:rsidP="004D0501">
      <w:pPr>
        <w:pStyle w:val="Nadpis2"/>
        <w:rPr>
          <w:noProof/>
        </w:rPr>
      </w:pPr>
      <w:r>
        <w:rPr>
          <w:noProof/>
        </w:rPr>
        <w:t>MAGUROL</w:t>
      </w:r>
      <w:r w:rsidR="006D14C7">
        <w:rPr>
          <w:noProof/>
        </w:rPr>
        <w:t xml:space="preserve"> </w:t>
      </w:r>
      <w:r w:rsidR="006D14C7" w:rsidRPr="00730634">
        <w:rPr>
          <w:noProof/>
        </w:rPr>
        <w:t xml:space="preserve">obsahuje </w:t>
      </w:r>
      <w:r w:rsidR="00CB4BC0">
        <w:rPr>
          <w:noProof/>
        </w:rPr>
        <w:t xml:space="preserve">monohydrát </w:t>
      </w:r>
      <w:r w:rsidR="006D14C7" w:rsidRPr="00730634">
        <w:rPr>
          <w:noProof/>
        </w:rPr>
        <w:t>laktóz</w:t>
      </w:r>
      <w:r w:rsidR="00CB4BC0">
        <w:rPr>
          <w:noProof/>
        </w:rPr>
        <w:t>y</w:t>
      </w:r>
    </w:p>
    <w:p w:rsidR="006D14C7" w:rsidRDefault="006D14C7" w:rsidP="006D14C7">
      <w:pPr>
        <w:pStyle w:val="Normlndobloku"/>
        <w:rPr>
          <w:noProof/>
        </w:rPr>
      </w:pPr>
      <w:r w:rsidRPr="00730634">
        <w:rPr>
          <w:noProof/>
        </w:rPr>
        <w:t xml:space="preserve">Ak </w:t>
      </w:r>
      <w:r w:rsidR="00815E2D">
        <w:rPr>
          <w:noProof/>
        </w:rPr>
        <w:t>v</w:t>
      </w:r>
      <w:r w:rsidRPr="00730634">
        <w:rPr>
          <w:noProof/>
        </w:rPr>
        <w:t xml:space="preserve">ám lekár povedal, že trpíte neznášanlivosťou niektorých cukrov, </w:t>
      </w:r>
      <w:r w:rsidR="00815E2D">
        <w:rPr>
          <w:noProof/>
        </w:rPr>
        <w:t>kontaktujte</w:t>
      </w:r>
      <w:r w:rsidRPr="00730634">
        <w:rPr>
          <w:noProof/>
        </w:rPr>
        <w:t xml:space="preserve"> svojho lekára pred už</w:t>
      </w:r>
      <w:r w:rsidR="00815E2D">
        <w:rPr>
          <w:noProof/>
        </w:rPr>
        <w:t>itím</w:t>
      </w:r>
      <w:r w:rsidRPr="00730634">
        <w:rPr>
          <w:noProof/>
        </w:rPr>
        <w:t xml:space="preserve"> tohto lieku.</w:t>
      </w:r>
    </w:p>
    <w:p w:rsidR="00CD3E7A" w:rsidRPr="00730634" w:rsidRDefault="00CD3E7A" w:rsidP="006D14C7">
      <w:pPr>
        <w:pStyle w:val="Normlndobloku"/>
        <w:rPr>
          <w:noProof/>
        </w:rPr>
      </w:pPr>
    </w:p>
    <w:p w:rsidR="00612550" w:rsidRDefault="00612550" w:rsidP="008F1179">
      <w:pPr>
        <w:pStyle w:val="Nadpis1"/>
      </w:pPr>
      <w:r>
        <w:t>3.</w:t>
      </w:r>
      <w:r>
        <w:tab/>
      </w:r>
      <w:r w:rsidR="00815E2D">
        <w:rPr>
          <w:caps w:val="0"/>
        </w:rPr>
        <w:t xml:space="preserve">Ako užívať </w:t>
      </w:r>
      <w:r w:rsidR="00E30018">
        <w:t>MAGUROL</w:t>
      </w:r>
    </w:p>
    <w:p w:rsidR="008672E3" w:rsidRDefault="008672E3" w:rsidP="008672E3">
      <w:pPr>
        <w:pStyle w:val="Normlndobloku"/>
      </w:pPr>
      <w:r>
        <w:rPr>
          <w:noProof/>
        </w:rPr>
        <w:t xml:space="preserve">Vždy užívajte </w:t>
      </w:r>
      <w:r w:rsidR="00E41D91">
        <w:rPr>
          <w:noProof/>
        </w:rPr>
        <w:t>tento liek</w:t>
      </w:r>
      <w:r>
        <w:rPr>
          <w:noProof/>
        </w:rPr>
        <w:t xml:space="preserve"> presne tak, ako </w:t>
      </w:r>
      <w:r w:rsidR="00815E2D">
        <w:rPr>
          <w:noProof/>
        </w:rPr>
        <w:t>v</w:t>
      </w:r>
      <w:r>
        <w:rPr>
          <w:noProof/>
        </w:rPr>
        <w:t xml:space="preserve">ám povedal </w:t>
      </w:r>
      <w:r w:rsidR="00815E2D">
        <w:rPr>
          <w:noProof/>
        </w:rPr>
        <w:t>v</w:t>
      </w:r>
      <w:r>
        <w:rPr>
          <w:noProof/>
        </w:rPr>
        <w:t>áš lekár</w:t>
      </w:r>
      <w:r w:rsidR="00815E2D">
        <w:rPr>
          <w:noProof/>
        </w:rPr>
        <w:t xml:space="preserve"> alebo lekárnik</w:t>
      </w:r>
      <w:r>
        <w:rPr>
          <w:noProof/>
        </w:rPr>
        <w:t>. Ak si nie ste niečím istý, overte si to u svojho lekára alebo lekárnika.</w:t>
      </w:r>
    </w:p>
    <w:p w:rsidR="00640C4A" w:rsidRPr="003943E5" w:rsidRDefault="0017486F" w:rsidP="00640C4A">
      <w:pPr>
        <w:pStyle w:val="Normlndobloku"/>
      </w:pPr>
      <w:r>
        <w:t>MAGUROL sa môže podávať ráno alebo večer.</w:t>
      </w:r>
      <w:r w:rsidR="00640C4A">
        <w:t xml:space="preserve"> Pre dávku 1 mg treba použiť iný liek, lebo liek MAGUROL nie je v sile 1 mg registrovaný.</w:t>
      </w:r>
    </w:p>
    <w:p w:rsidR="00C80D7B" w:rsidRDefault="0017486F" w:rsidP="004D0501">
      <w:pPr>
        <w:pStyle w:val="Nadpis3"/>
      </w:pPr>
      <w:r>
        <w:lastRenderedPageBreak/>
        <w:t>Hypertenzia</w:t>
      </w:r>
    </w:p>
    <w:p w:rsidR="0017486F" w:rsidRDefault="0017486F" w:rsidP="00E63824">
      <w:pPr>
        <w:pStyle w:val="Normlndobloku"/>
      </w:pPr>
      <w:r>
        <w:t xml:space="preserve">Rozsah denných dávok </w:t>
      </w:r>
      <w:proofErr w:type="spellStart"/>
      <w:r>
        <w:t>doxazosínu</w:t>
      </w:r>
      <w:proofErr w:type="spellEnd"/>
      <w:r>
        <w:t xml:space="preserve"> je 1</w:t>
      </w:r>
      <w:r w:rsidR="00E41D91">
        <w:t> </w:t>
      </w:r>
      <w:r>
        <w:t>–</w:t>
      </w:r>
      <w:r w:rsidR="00E41D91">
        <w:t> </w:t>
      </w:r>
      <w:r>
        <w:t xml:space="preserve">16 mg. Odporúča sa začať dávkou 1 mg raz denne, ktorá sa podáva počas jedného alebo dvoch týždňov, aby sa minimalizovalo riziko posturálnej hypotenzie a/alebo synkopy </w:t>
      </w:r>
      <w:r w:rsidR="00FD16DA">
        <w:t>(prudký pokles krvného tlaku pri prechode do vzpriamenej polohy a/alebo krátke bezvedomie)</w:t>
      </w:r>
      <w:r>
        <w:t>. Dávku je možné potom zvýšiť na 2 mg raz denne, ktorá sa podáva ďalšie 1 alebo 2 týždne. Ak je to potrebné, môže sa denná dávka ďalej postupne zvyšovať približne v rovnakých intervaloch na 4 mg, 8 mg alebo 16 mg denne do dosiahnutia očakávaného zníženia tlaku krvi pacienta. Bežná dávka je 2</w:t>
      </w:r>
      <w:r w:rsidR="00E41D91">
        <w:t> </w:t>
      </w:r>
      <w:r>
        <w:t>-</w:t>
      </w:r>
      <w:r w:rsidR="00E41D91">
        <w:t> </w:t>
      </w:r>
      <w:r>
        <w:t>4 mg raz denne.</w:t>
      </w:r>
    </w:p>
    <w:p w:rsidR="00C80D7B" w:rsidRDefault="0017486F" w:rsidP="004D0501">
      <w:pPr>
        <w:pStyle w:val="Nadpis3"/>
      </w:pPr>
      <w:r>
        <w:t>Benígna hyperplázia prostaty</w:t>
      </w:r>
    </w:p>
    <w:p w:rsidR="00C80D7B" w:rsidRDefault="0017486F" w:rsidP="00E63824">
      <w:pPr>
        <w:pStyle w:val="Normlndobloku"/>
      </w:pPr>
      <w:r>
        <w:t>Odporúčaná počiatočná dávka je 1 mg raz za deň, aby sa minimalizovalo riziko posturálnej hypotenzie a/alebo synkopy</w:t>
      </w:r>
      <w:r w:rsidR="00FD16DA">
        <w:t xml:space="preserve"> (prudký pokles krvného tlaku pri prechode do vzpriamenej polohy a/alebo krátke bezvedomie).</w:t>
      </w:r>
    </w:p>
    <w:p w:rsidR="0017486F" w:rsidRDefault="0017486F" w:rsidP="00E63824">
      <w:pPr>
        <w:pStyle w:val="Normlndobloku"/>
      </w:pPr>
      <w:r>
        <w:t>V závislosti od urodynamiky</w:t>
      </w:r>
      <w:r w:rsidR="00FD16DA">
        <w:t xml:space="preserve"> (tlak a prietok moču) </w:t>
      </w:r>
      <w:r>
        <w:t xml:space="preserve">a </w:t>
      </w:r>
      <w:r w:rsidR="00FD16DA">
        <w:t>priebehu ochorenia</w:t>
      </w:r>
      <w:r>
        <w:t xml:space="preserve"> je potom možné dávku zvýšiť na 2 mg a ďalej na 4 mg až po najvyššiu odporúčanú dávku 8 mg. Odporučený titračný interval je 1</w:t>
      </w:r>
      <w:r w:rsidR="00E41D91">
        <w:t> </w:t>
      </w:r>
      <w:r>
        <w:t>-</w:t>
      </w:r>
      <w:r w:rsidR="00E41D91">
        <w:t> </w:t>
      </w:r>
      <w:r>
        <w:t>2 týždne. Bežne sa odporúča dávka 2</w:t>
      </w:r>
      <w:r w:rsidR="00E41D91">
        <w:t> </w:t>
      </w:r>
      <w:r>
        <w:t>-</w:t>
      </w:r>
      <w:r w:rsidR="00E41D91">
        <w:t> </w:t>
      </w:r>
      <w:r>
        <w:t>4 mg raz denne.</w:t>
      </w:r>
    </w:p>
    <w:p w:rsidR="0017486F" w:rsidRDefault="0017486F" w:rsidP="004D0501">
      <w:pPr>
        <w:pStyle w:val="Nadpis3"/>
      </w:pPr>
      <w:r>
        <w:t>Použitie u starších pacientov</w:t>
      </w:r>
    </w:p>
    <w:p w:rsidR="0017486F" w:rsidRDefault="0017486F" w:rsidP="00E63824">
      <w:pPr>
        <w:pStyle w:val="Normlndobloku"/>
      </w:pPr>
      <w:r>
        <w:t>Odporúčajú sa normálne dávky pre dospelých.</w:t>
      </w:r>
    </w:p>
    <w:p w:rsidR="0017486F" w:rsidRDefault="0017486F" w:rsidP="004D0501">
      <w:pPr>
        <w:pStyle w:val="Nadpis3"/>
      </w:pPr>
      <w:r>
        <w:t xml:space="preserve">Použitie u pacientov </w:t>
      </w:r>
      <w:r w:rsidR="000A59AE">
        <w:t>s poruchou funkcie</w:t>
      </w:r>
      <w:r>
        <w:t xml:space="preserve"> obličiek</w:t>
      </w:r>
    </w:p>
    <w:p w:rsidR="0017486F" w:rsidRDefault="0017486F" w:rsidP="00E63824">
      <w:pPr>
        <w:pStyle w:val="Normlndobloku"/>
      </w:pPr>
      <w:r>
        <w:t xml:space="preserve">Keďže sa farmakokinetika doxazosínu pri </w:t>
      </w:r>
      <w:r w:rsidR="000A59AE">
        <w:t>poruche funkcie obličiek</w:t>
      </w:r>
      <w:r>
        <w:t xml:space="preserve"> nemení a doxazosín neovplyvňuje existujúc</w:t>
      </w:r>
      <w:r w:rsidR="00FD16DA">
        <w:t>e ochorenie obličiek</w:t>
      </w:r>
      <w:r>
        <w:t>, preto u týchto pacientov možno podávať bežné dávky.</w:t>
      </w:r>
    </w:p>
    <w:p w:rsidR="0017486F" w:rsidRDefault="0017486F" w:rsidP="004D0501">
      <w:pPr>
        <w:pStyle w:val="Nadpis3"/>
      </w:pPr>
      <w:r>
        <w:t>Použitie u pacientov s </w:t>
      </w:r>
      <w:r w:rsidR="000A59AE">
        <w:t>p</w:t>
      </w:r>
      <w:r w:rsidR="00FE3CF8">
        <w:t>oruchou</w:t>
      </w:r>
      <w:r w:rsidR="000A59AE">
        <w:t xml:space="preserve"> funkcie </w:t>
      </w:r>
      <w:r>
        <w:t>peče</w:t>
      </w:r>
      <w:r w:rsidR="00FD16DA">
        <w:t>ne</w:t>
      </w:r>
    </w:p>
    <w:p w:rsidR="0017486F" w:rsidRDefault="0017486F" w:rsidP="00E63824">
      <w:pPr>
        <w:pStyle w:val="Normlndobloku"/>
      </w:pPr>
      <w:r>
        <w:t>Podobne ako pri iných liekoch, ktoré sa úplne metabolizujú v pečeni, aj doxazosín sa má podávať opatrne pacientom s poruchou funkcie pečene.</w:t>
      </w:r>
    </w:p>
    <w:p w:rsidR="0017486F" w:rsidRDefault="0017486F" w:rsidP="00E63824">
      <w:pPr>
        <w:pStyle w:val="Nadpis2"/>
      </w:pPr>
      <w:r>
        <w:t>Použitie u detí</w:t>
      </w:r>
    </w:p>
    <w:p w:rsidR="0017486F" w:rsidRDefault="0017486F" w:rsidP="00E63824">
      <w:pPr>
        <w:pStyle w:val="Normlndobloku"/>
      </w:pPr>
      <w:r>
        <w:t>Bezpečnosť a účinnosť doxazosínu u detí nebola stanovená.</w:t>
      </w:r>
    </w:p>
    <w:p w:rsidR="00612550" w:rsidRDefault="00612550" w:rsidP="005F0B64">
      <w:pPr>
        <w:pStyle w:val="Nadpis2"/>
        <w:rPr>
          <w:noProof/>
        </w:rPr>
      </w:pPr>
      <w:r>
        <w:rPr>
          <w:noProof/>
        </w:rPr>
        <w:t>Ak užijete</w:t>
      </w:r>
      <w:r w:rsidR="002A48C0">
        <w:rPr>
          <w:noProof/>
        </w:rPr>
        <w:t xml:space="preserve"> </w:t>
      </w:r>
      <w:r>
        <w:rPr>
          <w:noProof/>
        </w:rPr>
        <w:t xml:space="preserve">viac </w:t>
      </w:r>
      <w:r w:rsidR="00E30018">
        <w:t>MAGUROL</w:t>
      </w:r>
      <w:r w:rsidR="00815E2D">
        <w:t>U</w:t>
      </w:r>
      <w:r>
        <w:rPr>
          <w:noProof/>
        </w:rPr>
        <w:t xml:space="preserve"> ako máte</w:t>
      </w:r>
    </w:p>
    <w:p w:rsidR="0017486F" w:rsidRDefault="0017486F" w:rsidP="00E63824">
      <w:pPr>
        <w:pStyle w:val="Normlndobloku"/>
      </w:pPr>
      <w:r>
        <w:t xml:space="preserve">Ak predávkovanie vyvolalo hypotenziu, pacient si má hneď ľahnúť na chrbát s nižšie zaklonenou hlavou. Ďalšie opatrenia sa vykonajú individuálne podľa potreby. Keďže doxazosín sa </w:t>
      </w:r>
      <w:r w:rsidR="00501958">
        <w:t xml:space="preserve">rozsiahlo </w:t>
      </w:r>
      <w:r>
        <w:t>viaže na bielkoviny, dialýza nie je indikovaná.</w:t>
      </w:r>
    </w:p>
    <w:p w:rsidR="00CD3E7A" w:rsidRDefault="00D7170F" w:rsidP="00E63824">
      <w:pPr>
        <w:pStyle w:val="Normlndobloku"/>
        <w:rPr>
          <w:noProof/>
        </w:rPr>
      </w:pPr>
      <w:r w:rsidRPr="003021DE">
        <w:rPr>
          <w:noProof/>
        </w:rPr>
        <w:t>Ak máte akékoľvek ďalšie otázky týkajúce sa použitia t</w:t>
      </w:r>
      <w:r>
        <w:rPr>
          <w:noProof/>
        </w:rPr>
        <w:t xml:space="preserve">ohto lieku, opýtajte sa svojho </w:t>
      </w:r>
      <w:r w:rsidRPr="003021DE">
        <w:rPr>
          <w:noProof/>
        </w:rPr>
        <w:t>lekára</w:t>
      </w:r>
      <w:r>
        <w:rPr>
          <w:noProof/>
        </w:rPr>
        <w:t xml:space="preserve"> </w:t>
      </w:r>
      <w:r w:rsidRPr="003021DE">
        <w:rPr>
          <w:noProof/>
        </w:rPr>
        <w:t>alebo</w:t>
      </w:r>
      <w:r>
        <w:rPr>
          <w:noProof/>
        </w:rPr>
        <w:t xml:space="preserve"> </w:t>
      </w:r>
      <w:r w:rsidRPr="003021DE">
        <w:rPr>
          <w:noProof/>
        </w:rPr>
        <w:t>lekárnika.</w:t>
      </w:r>
    </w:p>
    <w:p w:rsidR="00D7170F" w:rsidRDefault="00D7170F" w:rsidP="00E63824">
      <w:pPr>
        <w:pStyle w:val="Normlndobloku"/>
      </w:pPr>
    </w:p>
    <w:p w:rsidR="00612550" w:rsidRDefault="0021389A" w:rsidP="0021389A">
      <w:pPr>
        <w:pStyle w:val="Nadpis2"/>
        <w:rPr>
          <w:noProof/>
        </w:rPr>
      </w:pPr>
      <w:r>
        <w:rPr>
          <w:noProof/>
        </w:rPr>
        <w:t>4.</w:t>
      </w:r>
      <w:r>
        <w:rPr>
          <w:noProof/>
        </w:rPr>
        <w:tab/>
      </w:r>
      <w:r w:rsidR="00815E2D">
        <w:rPr>
          <w:noProof/>
        </w:rPr>
        <w:t>Možné vedľajšie účinky</w:t>
      </w:r>
    </w:p>
    <w:p w:rsidR="00E41D91" w:rsidRDefault="00E41D91" w:rsidP="00E63824">
      <w:pPr>
        <w:pStyle w:val="Normlndobloku"/>
      </w:pPr>
      <w:r>
        <w:t>Tak ako všetky lieky, aj tento liek môže spôsobovať vedľajšie účinky, hoci sa neprejavia u každého.</w:t>
      </w:r>
    </w:p>
    <w:p w:rsidR="00E63824" w:rsidRDefault="00E63824" w:rsidP="00E63824">
      <w:pPr>
        <w:pStyle w:val="Normlndobloku"/>
      </w:pPr>
      <w:r>
        <w:t>Nežiaduce účinky, ktoré sa môžu objaviť sú závrat, bolesti hlavy, mdloba, hlavne pri postavení sa z ľahu alebo sedu, opuchy chodidiel alebo dolných častí nôh, ospalosť, nutkanie na vracanie alebo nádcha.</w:t>
      </w:r>
    </w:p>
    <w:p w:rsidR="00E63824" w:rsidRDefault="00215DFF" w:rsidP="00E63824">
      <w:pPr>
        <w:pStyle w:val="Normlndobloku"/>
      </w:pPr>
      <w:r>
        <w:t>Veľmi</w:t>
      </w:r>
      <w:r w:rsidR="00E63824">
        <w:t xml:space="preserve"> zriedkavo sa vyskytuje močová inkontinencia. Táto nežiaduca reakcia súvisí s farmakologickým účinkom doxazosínu. Hore uvedené nežiaduce účinky sú mierne a zvyčajne miznú pri pokračujúcej liečbe. Ak vám tieto účinky spôsobujú problémy, alebo trvajú dlhšie ako týždeň, informujte svojho lekára.</w:t>
      </w:r>
    </w:p>
    <w:p w:rsidR="00215DFF" w:rsidRPr="00E41D91" w:rsidRDefault="00215DFF" w:rsidP="00E63824">
      <w:pPr>
        <w:pStyle w:val="Normlndobloku"/>
      </w:pPr>
      <w:r w:rsidRPr="00E41D91">
        <w:t>Veľmi zriedkavé vedľajšie účinky</w:t>
      </w:r>
    </w:p>
    <w:p w:rsidR="00215DFF" w:rsidRPr="00E41D91" w:rsidRDefault="00215DFF" w:rsidP="00E63824">
      <w:pPr>
        <w:pStyle w:val="Normlndobloku"/>
      </w:pPr>
      <w:r w:rsidRPr="00E41D91">
        <w:t>Pretrvávajúca bolestivá erekcia penisu. Vyhľadajte urgentnú lekársku pomoc.</w:t>
      </w:r>
    </w:p>
    <w:p w:rsidR="00E63824" w:rsidRDefault="00E63824" w:rsidP="00E63824">
      <w:pPr>
        <w:pStyle w:val="Normlndobloku"/>
      </w:pPr>
      <w:r>
        <w:lastRenderedPageBreak/>
        <w:t>Sú údaje, že u niektorých pacientov užívajúcich doxazosín na liečbu vysokého krvného tlaku sa zvýšila srdcová frekvencia, objavili sa bolesti v hrudníku a mŕtvica, ale nie je jasná súvislosť s užívaním lieku. V prípade, že pociťujete niektorý z týchto príznakov ihneď informujte svojho lekára.</w:t>
      </w:r>
    </w:p>
    <w:p w:rsidR="00612550" w:rsidRDefault="00612550" w:rsidP="0021389A">
      <w:pPr>
        <w:pStyle w:val="Normlndobloku"/>
      </w:pPr>
      <w:r>
        <w:t>Neobávajte sa zoznamu nežiaducich účinkov, nemusíte mať ani jeden z nich.</w:t>
      </w:r>
    </w:p>
    <w:p w:rsidR="00E217C7" w:rsidRDefault="00E217C7" w:rsidP="00E217C7">
      <w:pPr>
        <w:pStyle w:val="Styl2"/>
      </w:pPr>
    </w:p>
    <w:p w:rsidR="00E217C7" w:rsidRPr="0021550F" w:rsidRDefault="00E217C7" w:rsidP="00E217C7">
      <w:pPr>
        <w:pStyle w:val="Styl2"/>
      </w:pPr>
      <w:r w:rsidRPr="00CB1E2E">
        <w:t>Hlásenie vedľajších účinkov</w:t>
      </w:r>
    </w:p>
    <w:p w:rsidR="00E217C7" w:rsidRPr="00CB1E2E" w:rsidRDefault="00E217C7" w:rsidP="00E217C7">
      <w:pPr>
        <w:pStyle w:val="Normlndobloku"/>
        <w:rPr>
          <w:noProof/>
        </w:rPr>
      </w:pPr>
      <w:r w:rsidRPr="00CB1E2E">
        <w:rPr>
          <w:noProof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E217C7">
        <w:rPr>
          <w:noProof/>
          <w:highlight w:val="lightGray"/>
        </w:rPr>
        <w:t>národné centrum hlásenia uvedené v </w:t>
      </w:r>
      <w:hyperlink r:id="rId9" w:history="1">
        <w:r w:rsidRPr="00E217C7">
          <w:rPr>
            <w:noProof/>
            <w:highlight w:val="lightGray"/>
          </w:rPr>
          <w:t>Prílohe V</w:t>
        </w:r>
      </w:hyperlink>
      <w:r w:rsidRPr="00CB1E2E">
        <w:rPr>
          <w:noProof/>
        </w:rPr>
        <w:t>. Hlásením vedľajších účinkov môžete prispieť k získaniu ďalších informácií o bezpečnosti tohto lieku.</w:t>
      </w:r>
    </w:p>
    <w:p w:rsidR="00CD3E7A" w:rsidRDefault="00CD3E7A" w:rsidP="00072167">
      <w:pPr>
        <w:pStyle w:val="Normlndobloku"/>
        <w:rPr>
          <w:noProof/>
        </w:rPr>
      </w:pPr>
    </w:p>
    <w:p w:rsidR="00612550" w:rsidRDefault="00612550" w:rsidP="008F1179">
      <w:pPr>
        <w:pStyle w:val="Nadpis1"/>
      </w:pPr>
      <w:r>
        <w:t>5.</w:t>
      </w:r>
      <w:r>
        <w:tab/>
      </w:r>
      <w:r w:rsidR="00E217C7">
        <w:rPr>
          <w:caps w:val="0"/>
        </w:rPr>
        <w:t xml:space="preserve">Ako uchovávať </w:t>
      </w:r>
      <w:r w:rsidR="00E30018">
        <w:t>MAGUROL</w:t>
      </w:r>
    </w:p>
    <w:p w:rsidR="00C80D7B" w:rsidRDefault="00C80D7B" w:rsidP="00C80D7B">
      <w:pPr>
        <w:pStyle w:val="Normlndobloku"/>
      </w:pPr>
      <w:r>
        <w:t xml:space="preserve">Uchovávajte pri teplote do 30 </w:t>
      </w:r>
      <w:r>
        <w:rPr>
          <w:vertAlign w:val="superscript"/>
        </w:rPr>
        <w:t>o</w:t>
      </w:r>
      <w:r>
        <w:t>C.</w:t>
      </w:r>
    </w:p>
    <w:p w:rsidR="00612550" w:rsidRDefault="00612550" w:rsidP="00072167">
      <w:pPr>
        <w:pStyle w:val="Normlndobloku"/>
        <w:rPr>
          <w:noProof/>
        </w:rPr>
      </w:pPr>
      <w:r>
        <w:rPr>
          <w:noProof/>
        </w:rPr>
        <w:t xml:space="preserve">Uchovávajte mimo </w:t>
      </w:r>
      <w:r w:rsidR="00AC2CD4">
        <w:rPr>
          <w:noProof/>
        </w:rPr>
        <w:t>dohľadu</w:t>
      </w:r>
      <w:r>
        <w:rPr>
          <w:noProof/>
        </w:rPr>
        <w:t xml:space="preserve"> a </w:t>
      </w:r>
      <w:r w:rsidR="00AC2CD4">
        <w:rPr>
          <w:noProof/>
        </w:rPr>
        <w:t>dosahu</w:t>
      </w:r>
      <w:r>
        <w:rPr>
          <w:noProof/>
        </w:rPr>
        <w:t xml:space="preserve"> detí.</w:t>
      </w:r>
    </w:p>
    <w:p w:rsidR="00612550" w:rsidRDefault="00612550" w:rsidP="00072167">
      <w:pPr>
        <w:pStyle w:val="Normlndobloku"/>
        <w:rPr>
          <w:noProof/>
        </w:rPr>
      </w:pPr>
      <w:r>
        <w:rPr>
          <w:noProof/>
        </w:rPr>
        <w:t>Neužívajte</w:t>
      </w:r>
      <w:r w:rsidR="00AC2CD4">
        <w:t xml:space="preserve"> tento liek</w:t>
      </w:r>
      <w:r>
        <w:rPr>
          <w:noProof/>
        </w:rPr>
        <w:t xml:space="preserve"> po dátume exspirácie, ktorý je uvedený na </w:t>
      </w:r>
      <w:r w:rsidR="00AC2CD4">
        <w:rPr>
          <w:noProof/>
        </w:rPr>
        <w:t>škatuľke po EXP</w:t>
      </w:r>
      <w:r w:rsidR="00072167">
        <w:rPr>
          <w:noProof/>
        </w:rPr>
        <w:t xml:space="preserve">. </w:t>
      </w:r>
      <w:r>
        <w:rPr>
          <w:noProof/>
        </w:rPr>
        <w:t>Dátum exspirácie sa vzťahuje na posledný deň v</w:t>
      </w:r>
      <w:r w:rsidR="00AC2CD4">
        <w:rPr>
          <w:noProof/>
        </w:rPr>
        <w:t xml:space="preserve"> danom </w:t>
      </w:r>
      <w:r>
        <w:rPr>
          <w:noProof/>
        </w:rPr>
        <w:t>mesiaci.</w:t>
      </w:r>
    </w:p>
    <w:p w:rsidR="00C80D7B" w:rsidRDefault="00AC2CD4" w:rsidP="00C80D7B">
      <w:pPr>
        <w:pStyle w:val="Normlndobloku"/>
        <w:rPr>
          <w:noProof/>
        </w:rPr>
      </w:pPr>
      <w:r w:rsidRPr="003E0C2A">
        <w:rPr>
          <w:noProof/>
        </w:rPr>
        <w:t>Nelikvidujte lieky odpadovou vodou alebo domovým odpadom</w:t>
      </w:r>
      <w:r w:rsidR="00612550" w:rsidRPr="003E0C2A">
        <w:rPr>
          <w:noProof/>
        </w:rPr>
        <w:t>.</w:t>
      </w:r>
      <w:bookmarkStart w:id="0" w:name="_GoBack"/>
      <w:bookmarkEnd w:id="0"/>
      <w:r w:rsidR="00612550">
        <w:rPr>
          <w:noProof/>
        </w:rPr>
        <w:t xml:space="preserve"> </w:t>
      </w:r>
      <w:r w:rsidR="00501958">
        <w:rPr>
          <w:noProof/>
        </w:rPr>
        <w:t>Nepoužitý liek vráťte do lek</w:t>
      </w:r>
      <w:r w:rsidR="008E3A61">
        <w:rPr>
          <w:noProof/>
        </w:rPr>
        <w:t>á</w:t>
      </w:r>
      <w:r w:rsidR="00501958">
        <w:rPr>
          <w:noProof/>
        </w:rPr>
        <w:t xml:space="preserve">rne. </w:t>
      </w:r>
      <w:r w:rsidR="00612550">
        <w:rPr>
          <w:noProof/>
        </w:rPr>
        <w:t>Tieto opatrenia pomôžu chrániť životné prostredie.</w:t>
      </w:r>
    </w:p>
    <w:p w:rsidR="00CD3E7A" w:rsidRDefault="00CD3E7A" w:rsidP="00C80D7B">
      <w:pPr>
        <w:pStyle w:val="Normlndobloku"/>
        <w:rPr>
          <w:noProof/>
        </w:rPr>
      </w:pPr>
    </w:p>
    <w:p w:rsidR="00612550" w:rsidRDefault="00612550" w:rsidP="008F1179">
      <w:pPr>
        <w:pStyle w:val="Nadpis1"/>
      </w:pPr>
      <w:r>
        <w:t>6.</w:t>
      </w:r>
      <w:r>
        <w:tab/>
      </w:r>
      <w:r w:rsidR="00AC2CD4">
        <w:rPr>
          <w:caps w:val="0"/>
        </w:rPr>
        <w:t>Obsah balenia a ďalšie informácie</w:t>
      </w:r>
    </w:p>
    <w:p w:rsidR="00F93F58" w:rsidRDefault="00F93F58" w:rsidP="00F93F58">
      <w:pPr>
        <w:pStyle w:val="Nadpis2"/>
        <w:rPr>
          <w:noProof/>
        </w:rPr>
      </w:pPr>
      <w:r>
        <w:rPr>
          <w:noProof/>
        </w:rPr>
        <w:t xml:space="preserve">Čo </w:t>
      </w:r>
      <w:r w:rsidR="00E30018">
        <w:t>MAGUROL</w:t>
      </w:r>
      <w:r>
        <w:rPr>
          <w:noProof/>
        </w:rPr>
        <w:t xml:space="preserve"> obsahuje</w:t>
      </w:r>
    </w:p>
    <w:p w:rsidR="00E41D91" w:rsidRDefault="00F93F58" w:rsidP="00E41D91">
      <w:pPr>
        <w:pStyle w:val="Normlndobloku"/>
      </w:pPr>
      <w:r>
        <w:rPr>
          <w:noProof/>
        </w:rPr>
        <w:t xml:space="preserve">Liečivo je </w:t>
      </w:r>
      <w:proofErr w:type="spellStart"/>
      <w:r w:rsidR="00767C66">
        <w:t>doxazosín</w:t>
      </w:r>
      <w:proofErr w:type="spellEnd"/>
      <w:r w:rsidR="00E41D91">
        <w:t xml:space="preserve">. Jedna tableta obsahuje 4 mg </w:t>
      </w:r>
      <w:proofErr w:type="spellStart"/>
      <w:r w:rsidR="00E41D91">
        <w:t>doxazosínu</w:t>
      </w:r>
      <w:proofErr w:type="spellEnd"/>
      <w:r w:rsidR="00E41D91">
        <w:t xml:space="preserve"> (vo forme </w:t>
      </w:r>
      <w:proofErr w:type="spellStart"/>
      <w:r w:rsidR="00E41D91">
        <w:t>doxazocíniummesilátu</w:t>
      </w:r>
      <w:proofErr w:type="spellEnd"/>
      <w:r w:rsidR="00E41D91">
        <w:t>).</w:t>
      </w:r>
    </w:p>
    <w:p w:rsidR="00767C66" w:rsidRPr="003943E5" w:rsidRDefault="006F08DE" w:rsidP="00767C66">
      <w:pPr>
        <w:pStyle w:val="Normlndobloku"/>
      </w:pPr>
      <w:r>
        <w:rPr>
          <w:noProof/>
        </w:rPr>
        <w:t xml:space="preserve">Ďalšie zložky sú </w:t>
      </w:r>
      <w:r w:rsidR="00767C66">
        <w:rPr>
          <w:noProof/>
        </w:rPr>
        <w:t>m</w:t>
      </w:r>
      <w:proofErr w:type="spellStart"/>
      <w:r w:rsidR="00767C66" w:rsidRPr="003943E5">
        <w:t>onohydrát</w:t>
      </w:r>
      <w:proofErr w:type="spellEnd"/>
      <w:r w:rsidR="00767C66" w:rsidRPr="003943E5">
        <w:t xml:space="preserve"> laktózy, mikrokryštalická celulóza, sodná soľ karboxymethyškrobu, magnéziumstearát, nátriumlaurylsulfát.</w:t>
      </w:r>
    </w:p>
    <w:p w:rsidR="00F93F58" w:rsidRDefault="00F93F58" w:rsidP="006F08DE">
      <w:pPr>
        <w:pStyle w:val="Nadpis2"/>
        <w:rPr>
          <w:noProof/>
        </w:rPr>
      </w:pPr>
      <w:r>
        <w:rPr>
          <w:noProof/>
        </w:rPr>
        <w:t xml:space="preserve">Ako vyzerá </w:t>
      </w:r>
      <w:r w:rsidR="00E30018">
        <w:t>MAGUROL</w:t>
      </w:r>
      <w:r>
        <w:rPr>
          <w:noProof/>
        </w:rPr>
        <w:t xml:space="preserve"> a obsah balenia</w:t>
      </w:r>
    </w:p>
    <w:p w:rsidR="00767C66" w:rsidRDefault="00767C66" w:rsidP="00767C66">
      <w:pPr>
        <w:pStyle w:val="Normlndobloku"/>
      </w:pPr>
      <w:r>
        <w:t>Okrúhle tablety bielej farby s ryhou na jednej strane.</w:t>
      </w:r>
    </w:p>
    <w:p w:rsidR="008672E3" w:rsidRDefault="008672E3" w:rsidP="00767C66">
      <w:pPr>
        <w:pStyle w:val="Normlndobloku"/>
      </w:pPr>
      <w:r>
        <w:t>T</w:t>
      </w:r>
      <w:r w:rsidRPr="00A519F4">
        <w:t>ablet</w:t>
      </w:r>
      <w:r w:rsidR="00E41D91">
        <w:t>a</w:t>
      </w:r>
      <w:r w:rsidRPr="00A519F4">
        <w:t xml:space="preserve"> </w:t>
      </w:r>
      <w:r>
        <w:t>sa</w:t>
      </w:r>
      <w:r w:rsidRPr="00A519F4">
        <w:t xml:space="preserve"> m</w:t>
      </w:r>
      <w:r>
        <w:t>ô</w:t>
      </w:r>
      <w:r w:rsidRPr="00A519F4">
        <w:t>ž</w:t>
      </w:r>
      <w:r w:rsidR="00E41D91">
        <w:t>e</w:t>
      </w:r>
      <w:r w:rsidRPr="00A519F4">
        <w:t xml:space="preserve"> deliť na rovnaké </w:t>
      </w:r>
      <w:r w:rsidR="00E41D91">
        <w:t>dávky</w:t>
      </w:r>
      <w:r w:rsidRPr="00A519F4">
        <w:t>.</w:t>
      </w:r>
    </w:p>
    <w:p w:rsidR="004314D1" w:rsidRDefault="004314D1" w:rsidP="00767C66">
      <w:pPr>
        <w:pStyle w:val="Normlndobloku"/>
      </w:pPr>
      <w:r>
        <w:t>Veľkosť balenia: 20 tabliet.</w:t>
      </w:r>
    </w:p>
    <w:p w:rsidR="00D7170F" w:rsidRDefault="00D7170F" w:rsidP="00767C66">
      <w:pPr>
        <w:pStyle w:val="Normlndobloku"/>
      </w:pPr>
    </w:p>
    <w:p w:rsidR="00F93F58" w:rsidRDefault="00F93F58" w:rsidP="00186DEE">
      <w:pPr>
        <w:pStyle w:val="Nadpis2"/>
        <w:rPr>
          <w:noProof/>
        </w:rPr>
      </w:pPr>
      <w:r>
        <w:rPr>
          <w:noProof/>
        </w:rPr>
        <w:t>Držiteľ rozhodnutia o registrácii a výrobca</w:t>
      </w:r>
    </w:p>
    <w:p w:rsidR="00F93F58" w:rsidRDefault="00186DEE" w:rsidP="00186DEE">
      <w:pPr>
        <w:pStyle w:val="Normlndobloku"/>
        <w:rPr>
          <w:noProof/>
        </w:rPr>
      </w:pPr>
      <w:r>
        <w:rPr>
          <w:noProof/>
        </w:rPr>
        <w:t xml:space="preserve">MEDOCHEMIE Ltd., </w:t>
      </w:r>
      <w:r w:rsidR="0011105A">
        <w:rPr>
          <w:noProof/>
        </w:rPr>
        <w:t xml:space="preserve">1-10 Constantinoupoleos </w:t>
      </w:r>
      <w:r w:rsidR="006A7613" w:rsidRPr="003E0C2A">
        <w:rPr>
          <w:noProof/>
        </w:rPr>
        <w:t>S</w:t>
      </w:r>
      <w:r w:rsidR="0011105A" w:rsidRPr="003E0C2A">
        <w:rPr>
          <w:noProof/>
        </w:rPr>
        <w:t>t</w:t>
      </w:r>
      <w:r w:rsidR="0011105A">
        <w:rPr>
          <w:noProof/>
        </w:rPr>
        <w:t xml:space="preserve">reet, 3011 </w:t>
      </w:r>
      <w:r>
        <w:rPr>
          <w:noProof/>
        </w:rPr>
        <w:t>Limassol, Cyprus</w:t>
      </w:r>
    </w:p>
    <w:p w:rsidR="00D7170F" w:rsidRDefault="00D7170F" w:rsidP="00186DEE">
      <w:pPr>
        <w:pStyle w:val="Normlndobloku"/>
        <w:rPr>
          <w:noProof/>
        </w:rPr>
      </w:pPr>
    </w:p>
    <w:p w:rsidR="00F93F58" w:rsidRDefault="00F93F58" w:rsidP="00186DEE">
      <w:pPr>
        <w:pStyle w:val="Nadpis2"/>
        <w:rPr>
          <w:noProof/>
        </w:rPr>
      </w:pPr>
      <w:r>
        <w:rPr>
          <w:noProof/>
        </w:rPr>
        <w:t xml:space="preserve">Táto písomná informácia bola naposledy </w:t>
      </w:r>
      <w:r w:rsidR="0011105A">
        <w:rPr>
          <w:noProof/>
        </w:rPr>
        <w:t>aktualizovaná v</w:t>
      </w:r>
      <w:r w:rsidR="00D7170F">
        <w:rPr>
          <w:noProof/>
        </w:rPr>
        <w:t> 03/2017</w:t>
      </w:r>
      <w:r w:rsidR="00501958">
        <w:rPr>
          <w:noProof/>
        </w:rPr>
        <w:t>.</w:t>
      </w:r>
    </w:p>
    <w:sectPr w:rsidR="00F93F58" w:rsidSect="002578F3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31" w:rsidRDefault="00AA3831">
      <w:r>
        <w:separator/>
      </w:r>
    </w:p>
  </w:endnote>
  <w:endnote w:type="continuationSeparator" w:id="0">
    <w:p w:rsidR="00AA3831" w:rsidRDefault="00AA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98" w:rsidRDefault="004C73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C7398" w:rsidRDefault="004C739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98" w:rsidRDefault="004C7398" w:rsidP="00CB2E40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E0C2A">
      <w:rPr>
        <w:rStyle w:val="slostrany"/>
        <w:noProof/>
      </w:rPr>
      <w:t>4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E0C2A">
      <w:rPr>
        <w:rStyle w:val="slostrany"/>
        <w:noProof/>
      </w:rPr>
      <w:t>4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98" w:rsidRDefault="004C7398" w:rsidP="002578F3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0820A4"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0820A4">
      <w:rPr>
        <w:rStyle w:val="slostrany"/>
        <w:noProof/>
      </w:rPr>
      <w:t>4</w:t>
    </w:r>
    <w:r>
      <w:rPr>
        <w:rStyle w:val="slostrany"/>
      </w:rPr>
      <w:fldChar w:fldCharType="end"/>
    </w:r>
  </w:p>
  <w:p w:rsidR="004C7398" w:rsidRDefault="004C739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31" w:rsidRDefault="00AA3831">
      <w:r>
        <w:separator/>
      </w:r>
    </w:p>
  </w:footnote>
  <w:footnote w:type="continuationSeparator" w:id="0">
    <w:p w:rsidR="00AA3831" w:rsidRDefault="00AA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98" w:rsidRDefault="004C7398" w:rsidP="008672E3">
    <w:pPr>
      <w:pStyle w:val="Hlavika"/>
    </w:pPr>
  </w:p>
  <w:p w:rsidR="004C7398" w:rsidRPr="004D0501" w:rsidRDefault="008306CC">
    <w:pPr>
      <w:pStyle w:val="Hlavika"/>
      <w:rPr>
        <w:sz w:val="18"/>
        <w:szCs w:val="18"/>
      </w:rPr>
    </w:pPr>
    <w:r w:rsidRPr="004D0501">
      <w:rPr>
        <w:sz w:val="18"/>
        <w:szCs w:val="18"/>
      </w:rPr>
      <w:t>Príloha č. 2 k </w:t>
    </w:r>
    <w:r w:rsidR="00D7170F">
      <w:rPr>
        <w:sz w:val="18"/>
        <w:szCs w:val="18"/>
      </w:rPr>
      <w:t>notifikácii</w:t>
    </w:r>
    <w:r w:rsidRPr="004D0501">
      <w:rPr>
        <w:sz w:val="18"/>
        <w:szCs w:val="18"/>
      </w:rPr>
      <w:t xml:space="preserve"> o zmene, ev. č.: </w:t>
    </w:r>
    <w:r w:rsidR="00D7170F">
      <w:rPr>
        <w:sz w:val="18"/>
        <w:szCs w:val="18"/>
      </w:rPr>
      <w:t>2017/00122-Z1A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90C3A"/>
    <w:multiLevelType w:val="hybridMultilevel"/>
    <w:tmpl w:val="8D545C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92A05"/>
    <w:multiLevelType w:val="hybridMultilevel"/>
    <w:tmpl w:val="9886BE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569E5"/>
    <w:multiLevelType w:val="singleLevel"/>
    <w:tmpl w:val="89E809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446507F"/>
    <w:multiLevelType w:val="hybridMultilevel"/>
    <w:tmpl w:val="7A3829C2"/>
    <w:lvl w:ilvl="0" w:tplc="78D4D49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8667C"/>
    <w:multiLevelType w:val="hybridMultilevel"/>
    <w:tmpl w:val="B65A0DF6"/>
    <w:lvl w:ilvl="0" w:tplc="3CF4E924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E6CB6"/>
    <w:multiLevelType w:val="hybridMultilevel"/>
    <w:tmpl w:val="AA2E208C"/>
    <w:lvl w:ilvl="0" w:tplc="2AAA4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05A1E"/>
    <w:multiLevelType w:val="hybridMultilevel"/>
    <w:tmpl w:val="12627B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6067D"/>
    <w:multiLevelType w:val="hybridMultilevel"/>
    <w:tmpl w:val="246A5B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AB23D6"/>
    <w:multiLevelType w:val="hybridMultilevel"/>
    <w:tmpl w:val="10E6AB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B17AA3"/>
    <w:multiLevelType w:val="hybridMultilevel"/>
    <w:tmpl w:val="2634DB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CD22F5"/>
    <w:multiLevelType w:val="hybridMultilevel"/>
    <w:tmpl w:val="A65CAD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82"/>
    <w:rsid w:val="00036317"/>
    <w:rsid w:val="00060DB0"/>
    <w:rsid w:val="00072167"/>
    <w:rsid w:val="000778F3"/>
    <w:rsid w:val="000820A4"/>
    <w:rsid w:val="000A59AE"/>
    <w:rsid w:val="000E1381"/>
    <w:rsid w:val="0011105A"/>
    <w:rsid w:val="00112647"/>
    <w:rsid w:val="00115E8B"/>
    <w:rsid w:val="0017486F"/>
    <w:rsid w:val="00186DEE"/>
    <w:rsid w:val="001F5F57"/>
    <w:rsid w:val="0021389A"/>
    <w:rsid w:val="00215DFF"/>
    <w:rsid w:val="00247334"/>
    <w:rsid w:val="002578F3"/>
    <w:rsid w:val="002727BD"/>
    <w:rsid w:val="00296984"/>
    <w:rsid w:val="002A36B2"/>
    <w:rsid w:val="002A48C0"/>
    <w:rsid w:val="00331B6D"/>
    <w:rsid w:val="003E0C2A"/>
    <w:rsid w:val="00404FCD"/>
    <w:rsid w:val="00413D75"/>
    <w:rsid w:val="00420E98"/>
    <w:rsid w:val="004314D1"/>
    <w:rsid w:val="004352E6"/>
    <w:rsid w:val="00465517"/>
    <w:rsid w:val="00497C8E"/>
    <w:rsid w:val="004C7398"/>
    <w:rsid w:val="004D0501"/>
    <w:rsid w:val="004F453B"/>
    <w:rsid w:val="00501958"/>
    <w:rsid w:val="00524641"/>
    <w:rsid w:val="00531C05"/>
    <w:rsid w:val="00536C51"/>
    <w:rsid w:val="0055524C"/>
    <w:rsid w:val="0057348A"/>
    <w:rsid w:val="005F0B64"/>
    <w:rsid w:val="00612550"/>
    <w:rsid w:val="00640C4A"/>
    <w:rsid w:val="006546B2"/>
    <w:rsid w:val="006A7613"/>
    <w:rsid w:val="006D14C7"/>
    <w:rsid w:val="006E2596"/>
    <w:rsid w:val="006F08DE"/>
    <w:rsid w:val="006F3796"/>
    <w:rsid w:val="006F7C06"/>
    <w:rsid w:val="00714C18"/>
    <w:rsid w:val="00715AA2"/>
    <w:rsid w:val="00767C66"/>
    <w:rsid w:val="00795482"/>
    <w:rsid w:val="007F60ED"/>
    <w:rsid w:val="00815E2D"/>
    <w:rsid w:val="00816E43"/>
    <w:rsid w:val="008306CC"/>
    <w:rsid w:val="008517FD"/>
    <w:rsid w:val="0086136F"/>
    <w:rsid w:val="008672E3"/>
    <w:rsid w:val="00874B10"/>
    <w:rsid w:val="008839C8"/>
    <w:rsid w:val="008A1049"/>
    <w:rsid w:val="008D24E3"/>
    <w:rsid w:val="008E2C51"/>
    <w:rsid w:val="008E3A61"/>
    <w:rsid w:val="008F1179"/>
    <w:rsid w:val="008F24A2"/>
    <w:rsid w:val="00944E8C"/>
    <w:rsid w:val="009513BA"/>
    <w:rsid w:val="009A1E30"/>
    <w:rsid w:val="00AA3831"/>
    <w:rsid w:val="00AC2CD4"/>
    <w:rsid w:val="00AE0A82"/>
    <w:rsid w:val="00B15D8D"/>
    <w:rsid w:val="00B46377"/>
    <w:rsid w:val="00BE1922"/>
    <w:rsid w:val="00C6334E"/>
    <w:rsid w:val="00C672F3"/>
    <w:rsid w:val="00C80D7B"/>
    <w:rsid w:val="00CB2E40"/>
    <w:rsid w:val="00CB4BC0"/>
    <w:rsid w:val="00CD3E7A"/>
    <w:rsid w:val="00CE7C5D"/>
    <w:rsid w:val="00D0440F"/>
    <w:rsid w:val="00D04B50"/>
    <w:rsid w:val="00D27D62"/>
    <w:rsid w:val="00D55B5B"/>
    <w:rsid w:val="00D7170F"/>
    <w:rsid w:val="00DA261B"/>
    <w:rsid w:val="00E217C7"/>
    <w:rsid w:val="00E30018"/>
    <w:rsid w:val="00E41D91"/>
    <w:rsid w:val="00E635B2"/>
    <w:rsid w:val="00E63824"/>
    <w:rsid w:val="00E7565F"/>
    <w:rsid w:val="00F15BFF"/>
    <w:rsid w:val="00F46CE7"/>
    <w:rsid w:val="00F64579"/>
    <w:rsid w:val="00F93F58"/>
    <w:rsid w:val="00FB7EC8"/>
    <w:rsid w:val="00FD16DA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1255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autoRedefine/>
    <w:qFormat/>
    <w:rsid w:val="008F1179"/>
    <w:pPr>
      <w:keepNext/>
      <w:spacing w:before="60" w:after="120"/>
      <w:outlineLvl w:val="0"/>
    </w:pPr>
    <w:rPr>
      <w:rFonts w:cs="Arial"/>
      <w:b/>
      <w:bCs/>
      <w:caps/>
      <w:noProof/>
      <w:kern w:val="32"/>
      <w:szCs w:val="22"/>
    </w:rPr>
  </w:style>
  <w:style w:type="paragraph" w:styleId="Nadpis2">
    <w:name w:val="heading 2"/>
    <w:basedOn w:val="Normlny"/>
    <w:next w:val="Normlny"/>
    <w:autoRedefine/>
    <w:qFormat/>
    <w:rsid w:val="008F1179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autoRedefine/>
    <w:qFormat/>
    <w:rsid w:val="008F1179"/>
    <w:pPr>
      <w:keepNext/>
      <w:spacing w:after="120"/>
      <w:outlineLvl w:val="2"/>
    </w:pPr>
    <w:rPr>
      <w:rFonts w:cs="Arial"/>
      <w:bCs/>
      <w:szCs w:val="26"/>
      <w:u w:val="single"/>
    </w:rPr>
  </w:style>
  <w:style w:type="paragraph" w:styleId="Nadpis7">
    <w:name w:val="heading 7"/>
    <w:basedOn w:val="Normlny"/>
    <w:next w:val="Normlny"/>
    <w:qFormat/>
    <w:rsid w:val="0061255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12550"/>
    <w:rPr>
      <w:color w:val="0000FF"/>
      <w:u w:val="single"/>
    </w:rPr>
  </w:style>
  <w:style w:type="paragraph" w:styleId="Textbubliny">
    <w:name w:val="Balloon Text"/>
    <w:basedOn w:val="Normlny"/>
    <w:semiHidden/>
    <w:rsid w:val="0061255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12550"/>
    <w:rPr>
      <w:sz w:val="16"/>
      <w:szCs w:val="16"/>
    </w:rPr>
  </w:style>
  <w:style w:type="paragraph" w:styleId="Textkomentra">
    <w:name w:val="annotation text"/>
    <w:basedOn w:val="Normlny"/>
    <w:semiHidden/>
    <w:rsid w:val="00612550"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sid w:val="00612550"/>
    <w:rPr>
      <w:b/>
      <w:bCs/>
    </w:rPr>
  </w:style>
  <w:style w:type="paragraph" w:customStyle="1" w:styleId="EMEAEnBodyText">
    <w:name w:val="EMEA En Body Text"/>
    <w:basedOn w:val="Normlny"/>
    <w:rsid w:val="0061255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612550"/>
    <w:pPr>
      <w:ind w:left="0" w:firstLine="0"/>
    </w:pPr>
  </w:style>
  <w:style w:type="paragraph" w:customStyle="1" w:styleId="Textbubliny1">
    <w:name w:val="Text bubliny1"/>
    <w:basedOn w:val="Normlny"/>
    <w:semiHidden/>
    <w:rsid w:val="00612550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61255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612550"/>
  </w:style>
  <w:style w:type="paragraph" w:styleId="Hlavika">
    <w:name w:val="header"/>
    <w:basedOn w:val="Normlny"/>
    <w:rsid w:val="00612550"/>
    <w:pPr>
      <w:tabs>
        <w:tab w:val="center" w:pos="4153"/>
        <w:tab w:val="right" w:pos="8306"/>
      </w:tabs>
    </w:pPr>
  </w:style>
  <w:style w:type="paragraph" w:customStyle="1" w:styleId="Normlndobloku">
    <w:name w:val="Normální do bloku"/>
    <w:basedOn w:val="Normlny"/>
    <w:link w:val="NormlndoblokuChar"/>
    <w:autoRedefine/>
    <w:rsid w:val="008F1179"/>
    <w:pPr>
      <w:spacing w:after="120"/>
      <w:ind w:left="0" w:firstLine="0"/>
      <w:jc w:val="both"/>
    </w:pPr>
    <w:rPr>
      <w:szCs w:val="22"/>
    </w:rPr>
  </w:style>
  <w:style w:type="paragraph" w:customStyle="1" w:styleId="Styl1">
    <w:name w:val="Styl1"/>
    <w:basedOn w:val="Normlny"/>
    <w:autoRedefine/>
    <w:rsid w:val="00612550"/>
    <w:pPr>
      <w:spacing w:before="60" w:after="120"/>
      <w:outlineLvl w:val="0"/>
    </w:pPr>
    <w:rPr>
      <w:b/>
      <w:caps/>
      <w:noProof/>
      <w:szCs w:val="22"/>
    </w:rPr>
  </w:style>
  <w:style w:type="paragraph" w:customStyle="1" w:styleId="Styl2">
    <w:name w:val="Styl2"/>
    <w:basedOn w:val="Normlny"/>
    <w:autoRedefine/>
    <w:rsid w:val="00612550"/>
    <w:pPr>
      <w:spacing w:after="120"/>
      <w:outlineLvl w:val="1"/>
    </w:pPr>
    <w:rPr>
      <w:b/>
      <w:noProof/>
      <w:szCs w:val="22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8306CC"/>
    <w:pPr>
      <w:numPr>
        <w:numId w:val="13"/>
      </w:numPr>
      <w:suppressAutoHyphens/>
    </w:pPr>
    <w:rPr>
      <w:rFonts w:ascii="TimesNewRoman" w:eastAsia="Calibri" w:hAnsi="TimesNewRoman" w:cs="TimesNewRoman"/>
      <w:noProof/>
      <w:szCs w:val="24"/>
      <w:lang w:val="cs-CZ" w:eastAsia="en-US"/>
    </w:rPr>
  </w:style>
  <w:style w:type="character" w:customStyle="1" w:styleId="NormlndoblokusodrkamiChar">
    <w:name w:val="Normální do bloku s odrážkami Char"/>
    <w:link w:val="Normlndoblokusodrkami"/>
    <w:rsid w:val="008306CC"/>
    <w:rPr>
      <w:rFonts w:ascii="TimesNewRoman" w:eastAsia="Calibri" w:hAnsi="TimesNewRoman" w:cs="TimesNewRoman"/>
      <w:noProof/>
      <w:sz w:val="22"/>
      <w:szCs w:val="24"/>
      <w:lang w:val="cs-CZ" w:eastAsia="en-US"/>
    </w:rPr>
  </w:style>
  <w:style w:type="character" w:customStyle="1" w:styleId="NormlndoblokuChar">
    <w:name w:val="Normální do bloku Char"/>
    <w:link w:val="Normlndobloku"/>
    <w:rsid w:val="00714C1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1255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autoRedefine/>
    <w:qFormat/>
    <w:rsid w:val="008F1179"/>
    <w:pPr>
      <w:keepNext/>
      <w:spacing w:before="60" w:after="120"/>
      <w:outlineLvl w:val="0"/>
    </w:pPr>
    <w:rPr>
      <w:rFonts w:cs="Arial"/>
      <w:b/>
      <w:bCs/>
      <w:caps/>
      <w:noProof/>
      <w:kern w:val="32"/>
      <w:szCs w:val="22"/>
    </w:rPr>
  </w:style>
  <w:style w:type="paragraph" w:styleId="Nadpis2">
    <w:name w:val="heading 2"/>
    <w:basedOn w:val="Normlny"/>
    <w:next w:val="Normlny"/>
    <w:autoRedefine/>
    <w:qFormat/>
    <w:rsid w:val="008F1179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autoRedefine/>
    <w:qFormat/>
    <w:rsid w:val="008F1179"/>
    <w:pPr>
      <w:keepNext/>
      <w:spacing w:after="120"/>
      <w:outlineLvl w:val="2"/>
    </w:pPr>
    <w:rPr>
      <w:rFonts w:cs="Arial"/>
      <w:bCs/>
      <w:szCs w:val="26"/>
      <w:u w:val="single"/>
    </w:rPr>
  </w:style>
  <w:style w:type="paragraph" w:styleId="Nadpis7">
    <w:name w:val="heading 7"/>
    <w:basedOn w:val="Normlny"/>
    <w:next w:val="Normlny"/>
    <w:qFormat/>
    <w:rsid w:val="0061255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12550"/>
    <w:rPr>
      <w:color w:val="0000FF"/>
      <w:u w:val="single"/>
    </w:rPr>
  </w:style>
  <w:style w:type="paragraph" w:styleId="Textbubliny">
    <w:name w:val="Balloon Text"/>
    <w:basedOn w:val="Normlny"/>
    <w:semiHidden/>
    <w:rsid w:val="0061255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12550"/>
    <w:rPr>
      <w:sz w:val="16"/>
      <w:szCs w:val="16"/>
    </w:rPr>
  </w:style>
  <w:style w:type="paragraph" w:styleId="Textkomentra">
    <w:name w:val="annotation text"/>
    <w:basedOn w:val="Normlny"/>
    <w:semiHidden/>
    <w:rsid w:val="00612550"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sid w:val="00612550"/>
    <w:rPr>
      <w:b/>
      <w:bCs/>
    </w:rPr>
  </w:style>
  <w:style w:type="paragraph" w:customStyle="1" w:styleId="EMEAEnBodyText">
    <w:name w:val="EMEA En Body Text"/>
    <w:basedOn w:val="Normlny"/>
    <w:rsid w:val="0061255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612550"/>
    <w:pPr>
      <w:ind w:left="0" w:firstLine="0"/>
    </w:pPr>
  </w:style>
  <w:style w:type="paragraph" w:customStyle="1" w:styleId="Textbubliny1">
    <w:name w:val="Text bubliny1"/>
    <w:basedOn w:val="Normlny"/>
    <w:semiHidden/>
    <w:rsid w:val="00612550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61255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612550"/>
  </w:style>
  <w:style w:type="paragraph" w:styleId="Hlavika">
    <w:name w:val="header"/>
    <w:basedOn w:val="Normlny"/>
    <w:rsid w:val="00612550"/>
    <w:pPr>
      <w:tabs>
        <w:tab w:val="center" w:pos="4153"/>
        <w:tab w:val="right" w:pos="8306"/>
      </w:tabs>
    </w:pPr>
  </w:style>
  <w:style w:type="paragraph" w:customStyle="1" w:styleId="Normlndobloku">
    <w:name w:val="Normální do bloku"/>
    <w:basedOn w:val="Normlny"/>
    <w:link w:val="NormlndoblokuChar"/>
    <w:autoRedefine/>
    <w:rsid w:val="008F1179"/>
    <w:pPr>
      <w:spacing w:after="120"/>
      <w:ind w:left="0" w:firstLine="0"/>
      <w:jc w:val="both"/>
    </w:pPr>
    <w:rPr>
      <w:szCs w:val="22"/>
    </w:rPr>
  </w:style>
  <w:style w:type="paragraph" w:customStyle="1" w:styleId="Styl1">
    <w:name w:val="Styl1"/>
    <w:basedOn w:val="Normlny"/>
    <w:autoRedefine/>
    <w:rsid w:val="00612550"/>
    <w:pPr>
      <w:spacing w:before="60" w:after="120"/>
      <w:outlineLvl w:val="0"/>
    </w:pPr>
    <w:rPr>
      <w:b/>
      <w:caps/>
      <w:noProof/>
      <w:szCs w:val="22"/>
    </w:rPr>
  </w:style>
  <w:style w:type="paragraph" w:customStyle="1" w:styleId="Styl2">
    <w:name w:val="Styl2"/>
    <w:basedOn w:val="Normlny"/>
    <w:autoRedefine/>
    <w:rsid w:val="00612550"/>
    <w:pPr>
      <w:spacing w:after="120"/>
      <w:outlineLvl w:val="1"/>
    </w:pPr>
    <w:rPr>
      <w:b/>
      <w:noProof/>
      <w:szCs w:val="22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8306CC"/>
    <w:pPr>
      <w:numPr>
        <w:numId w:val="13"/>
      </w:numPr>
      <w:suppressAutoHyphens/>
    </w:pPr>
    <w:rPr>
      <w:rFonts w:ascii="TimesNewRoman" w:eastAsia="Calibri" w:hAnsi="TimesNewRoman" w:cs="TimesNewRoman"/>
      <w:noProof/>
      <w:szCs w:val="24"/>
      <w:lang w:val="cs-CZ" w:eastAsia="en-US"/>
    </w:rPr>
  </w:style>
  <w:style w:type="character" w:customStyle="1" w:styleId="NormlndoblokusodrkamiChar">
    <w:name w:val="Normální do bloku s odrážkami Char"/>
    <w:link w:val="Normlndoblokusodrkami"/>
    <w:rsid w:val="008306CC"/>
    <w:rPr>
      <w:rFonts w:ascii="TimesNewRoman" w:eastAsia="Calibri" w:hAnsi="TimesNewRoman" w:cs="TimesNewRoman"/>
      <w:noProof/>
      <w:sz w:val="22"/>
      <w:szCs w:val="24"/>
      <w:lang w:val="cs-CZ" w:eastAsia="en-US"/>
    </w:rPr>
  </w:style>
  <w:style w:type="character" w:customStyle="1" w:styleId="NormlndoblokuChar">
    <w:name w:val="Normální do bloku Char"/>
    <w:link w:val="Normlndobloku"/>
    <w:rsid w:val="00714C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ABC0-FC43-4E6D-A5ED-1A37ED91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7</vt:lpstr>
    </vt:vector>
  </TitlesOfParts>
  <Company>Štátny ústav pre kontrolu liečiv</Company>
  <LinksUpToDate>false</LinksUpToDate>
  <CharactersWithSpaces>9063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General-EMEA/148134/2007</dc:subject>
  <dc:creator>jankase</dc:creator>
  <cp:lastModifiedBy>Grančaiová, Zuzana</cp:lastModifiedBy>
  <cp:revision>14</cp:revision>
  <cp:lastPrinted>2017-03-24T09:46:00Z</cp:lastPrinted>
  <dcterms:created xsi:type="dcterms:W3CDTF">2016-12-22T12:31:00Z</dcterms:created>
  <dcterms:modified xsi:type="dcterms:W3CDTF">2017-03-27T07:03:00Z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General-EMEA/148134/2007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30/03/2007 11:27:15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30/03/2007 11:27:19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CURRENT, published April 07</vt:lpwstr>
  </property>
  <property fmtid="{D5CDD505-2E9C-101B-9397-08002B2CF9AE}" pid="16" name="DM_emea_doc_ref_id">
    <vt:lpwstr>EMEA/148134/2007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148134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