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C8" w:rsidRDefault="00BB06C8" w:rsidP="007262A1">
      <w:pPr>
        <w:pStyle w:val="SPCaPILhlavika"/>
        <w:spacing w:after="0"/>
        <w:rPr>
          <w:lang w:val="sk-SK"/>
        </w:rPr>
      </w:pPr>
      <w:r w:rsidRPr="00C6236F">
        <w:rPr>
          <w:lang w:val="sk-SK"/>
        </w:rPr>
        <w:t>P</w:t>
      </w:r>
      <w:r w:rsidR="001F7FDF">
        <w:rPr>
          <w:lang w:val="sk-SK"/>
        </w:rPr>
        <w:t>ísomná informácia pre používateľa</w:t>
      </w:r>
    </w:p>
    <w:p w:rsidR="001F7FDF" w:rsidRPr="00C6236F" w:rsidRDefault="001F7FDF" w:rsidP="007262A1">
      <w:pPr>
        <w:pStyle w:val="SPCaPILhlavika"/>
        <w:spacing w:after="0"/>
        <w:rPr>
          <w:lang w:val="sk-SK"/>
        </w:rPr>
      </w:pPr>
    </w:p>
    <w:p w:rsidR="00BB06C8" w:rsidRPr="00C6236F" w:rsidRDefault="00BB06C8" w:rsidP="007262A1">
      <w:pPr>
        <w:pStyle w:val="SPCaPILhlavika"/>
        <w:spacing w:after="0"/>
        <w:rPr>
          <w:lang w:val="sk-SK"/>
        </w:rPr>
      </w:pPr>
      <w:r w:rsidRPr="00C6236F">
        <w:rPr>
          <w:lang w:val="sk-SK"/>
        </w:rPr>
        <w:t>ZEPILEN 1 g</w:t>
      </w:r>
    </w:p>
    <w:p w:rsidR="00BB06C8" w:rsidRDefault="00BB06C8" w:rsidP="007262A1">
      <w:pPr>
        <w:pStyle w:val="SPCaPILhlavika"/>
        <w:spacing w:after="0"/>
        <w:rPr>
          <w:b w:val="0"/>
          <w:lang w:val="sk-SK"/>
        </w:rPr>
      </w:pPr>
      <w:r w:rsidRPr="00C6236F">
        <w:rPr>
          <w:b w:val="0"/>
          <w:lang w:val="sk-SK"/>
        </w:rPr>
        <w:t>prášok na injekčný/infúzny roztok</w:t>
      </w:r>
    </w:p>
    <w:p w:rsidR="006C364B" w:rsidRPr="00C6236F" w:rsidRDefault="006C364B" w:rsidP="007262A1">
      <w:pPr>
        <w:pStyle w:val="SPCaPILhlavika"/>
        <w:spacing w:after="0"/>
        <w:rPr>
          <w:b w:val="0"/>
          <w:lang w:val="sk-SK"/>
        </w:rPr>
      </w:pPr>
    </w:p>
    <w:p w:rsidR="00BB06C8" w:rsidRDefault="00BB06C8" w:rsidP="007262A1">
      <w:pPr>
        <w:pStyle w:val="SPCaPILhlavika"/>
        <w:spacing w:after="0"/>
        <w:rPr>
          <w:b w:val="0"/>
          <w:lang w:val="sk-SK"/>
        </w:rPr>
      </w:pPr>
      <w:proofErr w:type="spellStart"/>
      <w:r w:rsidRPr="00C6236F">
        <w:rPr>
          <w:b w:val="0"/>
          <w:lang w:val="sk-SK"/>
        </w:rPr>
        <w:t>cefazolín</w:t>
      </w:r>
      <w:proofErr w:type="spellEnd"/>
    </w:p>
    <w:p w:rsidR="001F7FDF" w:rsidRDefault="001F7FDF" w:rsidP="007262A1">
      <w:pPr>
        <w:pStyle w:val="SPCaPILhlavika"/>
        <w:spacing w:after="0"/>
        <w:jc w:val="left"/>
        <w:rPr>
          <w:b w:val="0"/>
          <w:lang w:val="sk-SK"/>
        </w:rPr>
      </w:pPr>
    </w:p>
    <w:p w:rsidR="006C364B" w:rsidRPr="00C6236F" w:rsidRDefault="006C364B" w:rsidP="007262A1">
      <w:pPr>
        <w:pStyle w:val="SPCaPILhlavika"/>
        <w:spacing w:after="0"/>
        <w:jc w:val="left"/>
        <w:rPr>
          <w:b w:val="0"/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Pozorne si prečítajte celú písomnú informáciu predtým, ako začnete používať tento liek, pretože obsahuje pre vás dôležité informácie.</w:t>
      </w:r>
    </w:p>
    <w:p w:rsidR="00BB06C8" w:rsidRPr="00C6236F" w:rsidRDefault="00BB06C8" w:rsidP="00687D8E">
      <w:pPr>
        <w:pStyle w:val="Normlndoblokusodrkami"/>
        <w:rPr>
          <w:lang w:val="sk-SK"/>
        </w:rPr>
      </w:pPr>
      <w:r w:rsidRPr="00C6236F">
        <w:rPr>
          <w:lang w:val="sk-SK"/>
        </w:rPr>
        <w:t>Túto písomnú informáciu si uschovajte. Možno bude potrebné, aby ste si ju znovu prečítali.</w:t>
      </w:r>
    </w:p>
    <w:p w:rsidR="00BB06C8" w:rsidRPr="00C6236F" w:rsidRDefault="00BB06C8" w:rsidP="00687D8E">
      <w:pPr>
        <w:pStyle w:val="Normlndoblokusodrkami"/>
        <w:rPr>
          <w:lang w:val="sk-SK"/>
        </w:rPr>
      </w:pPr>
      <w:r w:rsidRPr="00C6236F">
        <w:rPr>
          <w:lang w:val="sk-SK"/>
        </w:rPr>
        <w:t>Ak máte akékoľvek ďalšie otázky, obráťte sa na svojho lekára alebo zdravotnú sestru.</w:t>
      </w:r>
    </w:p>
    <w:p w:rsidR="00ED3540" w:rsidRDefault="00BB06C8" w:rsidP="00687D8E">
      <w:pPr>
        <w:pStyle w:val="Normlndoblokusodrkami"/>
        <w:rPr>
          <w:lang w:val="sk-SK"/>
        </w:rPr>
      </w:pPr>
      <w:r w:rsidRPr="00C6236F">
        <w:rPr>
          <w:lang w:val="sk-SK"/>
        </w:rPr>
        <w:t>Ak sa u vás vyskytne akýkoľvek vedľajší účinok, obráťte sa na svojho lekára alebo zdravotnú sestru. To sa týka aj akýchkoľvek vedľajších účinkov, ktoré nie sú uvedené v tejto písomnej informácii. Pozri časť 4.</w:t>
      </w:r>
    </w:p>
    <w:p w:rsidR="00ED3540" w:rsidRPr="00272EE0" w:rsidRDefault="00ED3540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V tejto písomnej informácii sa dozviete: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1.</w:t>
      </w:r>
      <w:r w:rsidRPr="00C6236F">
        <w:rPr>
          <w:lang w:val="sk-SK"/>
        </w:rPr>
        <w:tab/>
        <w:t>Čo je ZEPILEN a na čo sa používa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2.</w:t>
      </w:r>
      <w:r w:rsidRPr="00C6236F">
        <w:rPr>
          <w:lang w:val="sk-SK"/>
        </w:rPr>
        <w:tab/>
        <w:t>Čo potrebujete vedieť predtým, ako použijete ZEPILEN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3.</w:t>
      </w:r>
      <w:r w:rsidRPr="00C6236F">
        <w:rPr>
          <w:lang w:val="sk-SK"/>
        </w:rPr>
        <w:tab/>
        <w:t>Ako používať ZEPILEN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4.</w:t>
      </w:r>
      <w:r w:rsidRPr="00C6236F">
        <w:rPr>
          <w:lang w:val="sk-SK"/>
        </w:rPr>
        <w:tab/>
        <w:t>Možné vedľajšie účinky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5.</w:t>
      </w:r>
      <w:r w:rsidRPr="00C6236F">
        <w:rPr>
          <w:lang w:val="sk-SK"/>
        </w:rPr>
        <w:tab/>
        <w:t>Ako uchovávať ZEPILEN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6.</w:t>
      </w:r>
      <w:r w:rsidRPr="00C6236F">
        <w:rPr>
          <w:lang w:val="sk-SK"/>
        </w:rPr>
        <w:tab/>
        <w:t>Obsah balenia a ďalšie informácie</w:t>
      </w:r>
    </w:p>
    <w:p w:rsidR="000C6F83" w:rsidRDefault="000C6F83" w:rsidP="007262A1">
      <w:pPr>
        <w:pStyle w:val="Normlndobloku"/>
        <w:jc w:val="left"/>
        <w:rPr>
          <w:lang w:val="sk-SK"/>
        </w:rPr>
      </w:pP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272EE0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>Č</w:t>
      </w:r>
      <w:r w:rsidRPr="00FD1775">
        <w:rPr>
          <w:caps w:val="0"/>
          <w:lang w:val="sk-SK"/>
        </w:rPr>
        <w:t>o je</w:t>
      </w:r>
      <w:r w:rsidRPr="00C6236F">
        <w:rPr>
          <w:lang w:val="sk-SK"/>
        </w:rPr>
        <w:t xml:space="preserve"> ZEPILEN </w:t>
      </w:r>
      <w:r w:rsidRPr="00FD1775">
        <w:rPr>
          <w:caps w:val="0"/>
          <w:lang w:val="sk-SK"/>
        </w:rPr>
        <w:t>a na čo sa používa</w:t>
      </w:r>
    </w:p>
    <w:p w:rsidR="001F7FDF" w:rsidRPr="00C6236F" w:rsidRDefault="001F7FDF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ZEPILEN je prášok na injekčný alebo infúzny roztok. ZEPILEN sa používa proti niektorým infekciám (je to antibiotikum). Patrí do skupiny liekov nazývaných </w:t>
      </w:r>
      <w:proofErr w:type="spellStart"/>
      <w:r w:rsidRPr="00C6236F">
        <w:rPr>
          <w:lang w:val="sk-SK"/>
        </w:rPr>
        <w:t>cefalosporíny</w:t>
      </w:r>
      <w:proofErr w:type="spellEnd"/>
      <w:r w:rsidRPr="00C6236F">
        <w:rPr>
          <w:lang w:val="sk-SK"/>
        </w:rPr>
        <w:t xml:space="preserve"> (špecifická skupina antibiotík).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ZEPILEN je určený na liečbu nasledujúcich infekcií vyvolaných mikroorganizmami citlivými na </w:t>
      </w:r>
      <w:proofErr w:type="spellStart"/>
      <w:r w:rsidRPr="00C6236F">
        <w:rPr>
          <w:lang w:val="sk-SK"/>
        </w:rPr>
        <w:t>cefazolín</w:t>
      </w:r>
      <w:proofErr w:type="spellEnd"/>
      <w:r w:rsidRPr="00C6236F">
        <w:rPr>
          <w:lang w:val="sk-SK"/>
        </w:rPr>
        <w:t>: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infekcie kože a mäkkých tkanív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infekcie kostí a kĺbov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Liek ZEPILEN je tiež možné použiť pred operáciou ako ochranu pred pooperačnou infekciou.</w:t>
      </w:r>
    </w:p>
    <w:p w:rsidR="000C6F83" w:rsidRDefault="000C6F83" w:rsidP="007262A1">
      <w:pPr>
        <w:pStyle w:val="Normlndobloku"/>
        <w:jc w:val="left"/>
        <w:rPr>
          <w:lang w:val="sk-SK"/>
        </w:rPr>
      </w:pP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>Č</w:t>
      </w:r>
      <w:r w:rsidRPr="00FD1775">
        <w:rPr>
          <w:caps w:val="0"/>
          <w:lang w:val="sk-SK"/>
        </w:rPr>
        <w:t>o</w:t>
      </w:r>
      <w:r w:rsidRPr="00C6236F">
        <w:rPr>
          <w:lang w:val="sk-SK"/>
        </w:rPr>
        <w:t xml:space="preserve"> </w:t>
      </w:r>
      <w:r w:rsidRPr="00FD1775">
        <w:rPr>
          <w:caps w:val="0"/>
          <w:lang w:val="sk-SK"/>
        </w:rPr>
        <w:t>potrebujete vedieť predtým, ako použijete</w:t>
      </w:r>
      <w:r w:rsidRPr="00C6236F">
        <w:rPr>
          <w:lang w:val="sk-SK"/>
        </w:rPr>
        <w:t xml:space="preserve"> ZEPILEN</w:t>
      </w:r>
    </w:p>
    <w:p w:rsidR="009202A0" w:rsidRPr="00C6236F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Nepoužívajte ZEPILEN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keď ste alergický na cefazolín alebo iné cefalosporínové antibiotiká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ak ste v minulosti prekonali okamžitú a/alebo závažnú reakciu z precitlivenosti pri použití penicilínu alebo beta-laktámového antibiotika iného typu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riedený v roztoku lidokaínu, keď máte kontraindikovaný lidokaín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Pre podanie deťom mladším ako jeden rok sa </w:t>
      </w:r>
      <w:proofErr w:type="spellStart"/>
      <w:r w:rsidRPr="00C6236F">
        <w:rPr>
          <w:lang w:val="sk-SK"/>
        </w:rPr>
        <w:t>cefazolín</w:t>
      </w:r>
      <w:proofErr w:type="spellEnd"/>
      <w:r w:rsidRPr="00C6236F">
        <w:rPr>
          <w:lang w:val="sk-SK"/>
        </w:rPr>
        <w:t xml:space="preserve"> nesmie rozpúšťať v roztoku </w:t>
      </w:r>
      <w:proofErr w:type="spellStart"/>
      <w:r w:rsidRPr="00C6236F">
        <w:rPr>
          <w:lang w:val="sk-SK"/>
        </w:rPr>
        <w:t>lidokaínu</w:t>
      </w:r>
      <w:proofErr w:type="spellEnd"/>
      <w:r w:rsidRPr="00C6236F">
        <w:rPr>
          <w:lang w:val="sk-SK"/>
        </w:rPr>
        <w:t>.</w:t>
      </w: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Upozornenia a opatrenia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Predtým, ako začnete užívať ZEPILEN, obráťte sa na svojho lekára. Ak ste v minulosti boli precitlivený na penicilín alebo iné lieky, môžete byť precitlivený aj na </w:t>
      </w:r>
      <w:proofErr w:type="spellStart"/>
      <w:r w:rsidRPr="00C6236F">
        <w:rPr>
          <w:lang w:val="sk-SK"/>
        </w:rPr>
        <w:t>cefazolín</w:t>
      </w:r>
      <w:proofErr w:type="spellEnd"/>
      <w:r w:rsidRPr="00C6236F">
        <w:rPr>
          <w:lang w:val="sk-SK"/>
        </w:rPr>
        <w:t>. Ak dôjde k alergickej reakcii, musí byť liečba zastavená, alergickú reakciu je potrebné liečiť a musí sa sledovať funkcia obličiek. Váš lekár navrhne alternatívnu liečbu. Ak používate maximálnu dávku a ste vážne chorý alebo súčasne užívate iné lieky, ktoré sú potenciálne škodlivé pre obličky (</w:t>
      </w:r>
      <w:proofErr w:type="spellStart"/>
      <w:r w:rsidRPr="00C6236F">
        <w:rPr>
          <w:lang w:val="sk-SK"/>
        </w:rPr>
        <w:t>aminoglykozidy</w:t>
      </w:r>
      <w:proofErr w:type="spellEnd"/>
      <w:r w:rsidRPr="00C6236F">
        <w:rPr>
          <w:lang w:val="sk-SK"/>
        </w:rPr>
        <w:t xml:space="preserve"> alebo silné diuretiká), lekár bude kontrolovať funkciu obličiek a v prípade potreby upraví dávkovanie.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Ak používate ZEPILEN dlhú dobu, lekár bude kontrolovať, či u vás nedochádza k premnoženiu baktérií necitlivých na </w:t>
      </w:r>
      <w:proofErr w:type="spellStart"/>
      <w:r w:rsidRPr="00C6236F">
        <w:rPr>
          <w:lang w:val="sk-SK"/>
        </w:rPr>
        <w:t>cefazolín</w:t>
      </w:r>
      <w:proofErr w:type="spellEnd"/>
      <w:r w:rsidRPr="00C6236F">
        <w:rPr>
          <w:lang w:val="sk-SK"/>
        </w:rPr>
        <w:t>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Vo výnimočných prípadoch sa v priebehu liečby </w:t>
      </w:r>
      <w:proofErr w:type="spellStart"/>
      <w:r w:rsidRPr="00C6236F">
        <w:rPr>
          <w:lang w:val="sk-SK"/>
        </w:rPr>
        <w:t>cefazolínom</w:t>
      </w:r>
      <w:proofErr w:type="spellEnd"/>
      <w:r w:rsidRPr="00C6236F">
        <w:rPr>
          <w:lang w:val="sk-SK"/>
        </w:rPr>
        <w:t xml:space="preserve"> môžu objaviť poruchy koagulácie. Rizikové faktory sú faktory spôsobujúce nedostatok vitamínu K alebo faktory ovplyvňujúce ďalšie koagulačné mechanizmy. Zrážanie krvi môže byť tiež narušené v prípade pridružených chorôb </w:t>
      </w:r>
      <w:r w:rsidRPr="00C6236F">
        <w:rPr>
          <w:lang w:val="sk-SK"/>
        </w:rPr>
        <w:lastRenderedPageBreak/>
        <w:t>(napr. hemofília, vredy žalúdka a dvanástnika), ktoré môžu vyvolať alebo zhoršiť krvácanie. V týchto prípadoch má byť skontrolovaná vaša krvná zrážanlivosť.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Ak máte dlhotrvajúce a ťažké hnačky v priebehu liečby, môžete trpieť zápalom tenkého a hrubého čreva s poškodením črevnej sliznice (</w:t>
      </w:r>
      <w:proofErr w:type="spellStart"/>
      <w:r w:rsidRPr="00C6236F">
        <w:rPr>
          <w:lang w:val="sk-SK"/>
        </w:rPr>
        <w:t>pseudomembranózna</w:t>
      </w:r>
      <w:proofErr w:type="spellEnd"/>
      <w:r w:rsidRPr="00C6236F">
        <w:rPr>
          <w:lang w:val="sk-SK"/>
        </w:rPr>
        <w:t xml:space="preserve"> </w:t>
      </w:r>
      <w:proofErr w:type="spellStart"/>
      <w:r w:rsidRPr="00C6236F">
        <w:rPr>
          <w:lang w:val="sk-SK"/>
        </w:rPr>
        <w:t>kolitída</w:t>
      </w:r>
      <w:proofErr w:type="spellEnd"/>
      <w:r w:rsidRPr="00C6236F">
        <w:rPr>
          <w:lang w:val="sk-SK"/>
        </w:rPr>
        <w:t>).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Ak sa vás týka alebo v minulosti týkalo ktorékoľvek z vyššie uvedených varovaní, poraďte sa s lekárom.</w:t>
      </w:r>
    </w:p>
    <w:p w:rsidR="009202A0" w:rsidRPr="00C6236F" w:rsidRDefault="009202A0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Deti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proofErr w:type="spellStart"/>
      <w:r w:rsidRPr="00C6236F">
        <w:rPr>
          <w:lang w:val="sk-SK"/>
        </w:rPr>
        <w:t>Cefazolín</w:t>
      </w:r>
      <w:proofErr w:type="spellEnd"/>
      <w:r w:rsidRPr="00C6236F">
        <w:rPr>
          <w:lang w:val="sk-SK"/>
        </w:rPr>
        <w:t xml:space="preserve"> sa neodporúča pre použitie u novorodencov a dojčiat do 1 mesiaca veku, pretože bezpečnosť užívania nebola pre túto skupinu doteraz stanovená.</w:t>
      </w:r>
    </w:p>
    <w:p w:rsidR="009202A0" w:rsidRPr="00C6236F" w:rsidRDefault="009202A0" w:rsidP="007262A1">
      <w:pPr>
        <w:pStyle w:val="Normlndobloku"/>
        <w:jc w:val="left"/>
        <w:rPr>
          <w:lang w:val="sk-SK"/>
        </w:rPr>
      </w:pPr>
    </w:p>
    <w:p w:rsidR="00BB06C8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Iné lieky a</w:t>
      </w:r>
      <w:r w:rsidR="006C364B">
        <w:rPr>
          <w:lang w:val="sk-SK"/>
        </w:rPr>
        <w:t> </w:t>
      </w:r>
      <w:r w:rsidRPr="00C6236F">
        <w:rPr>
          <w:lang w:val="sk-SK"/>
        </w:rPr>
        <w:t>ZEPILEN</w:t>
      </w:r>
    </w:p>
    <w:p w:rsidR="006C364B" w:rsidRDefault="006C364B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Ak teraz užívate, alebo ste v poslednom čase užívali, či práve budete užívať ďalšie lieky, povedzte to svojmu lekárovi.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Kontraindikované kombinácie: antibiotiká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Ak by ste súčasne užívali antibiotiká určitej skupiny (</w:t>
      </w:r>
      <w:proofErr w:type="spellStart"/>
      <w:r w:rsidRPr="00C6236F">
        <w:rPr>
          <w:lang w:val="sk-SK"/>
        </w:rPr>
        <w:t>bakteriostatické</w:t>
      </w:r>
      <w:proofErr w:type="spellEnd"/>
      <w:r w:rsidRPr="00C6236F">
        <w:rPr>
          <w:lang w:val="sk-SK"/>
        </w:rPr>
        <w:t xml:space="preserve"> látky), ako sú tetracyklíny a </w:t>
      </w:r>
      <w:proofErr w:type="spellStart"/>
      <w:r w:rsidRPr="00C6236F">
        <w:rPr>
          <w:lang w:val="sk-SK"/>
        </w:rPr>
        <w:t>makrolidy</w:t>
      </w:r>
      <w:proofErr w:type="spellEnd"/>
      <w:r w:rsidRPr="00C6236F">
        <w:rPr>
          <w:lang w:val="sk-SK"/>
        </w:rPr>
        <w:t>, môžu tieto látky pôsobiť proti účinnosti ZEPILEN (znižovať jeho účinnosť).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Neodporúčané kombinácie: probenecid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Pri súčasnom podávaní probenecid (liek na metabolické poruchy) znižuje vylučovanie </w:t>
      </w:r>
      <w:proofErr w:type="spellStart"/>
      <w:r w:rsidRPr="00C6236F">
        <w:rPr>
          <w:lang w:val="sk-SK"/>
        </w:rPr>
        <w:t>cefazolínu</w:t>
      </w:r>
      <w:proofErr w:type="spellEnd"/>
      <w:r w:rsidRPr="00C6236F">
        <w:rPr>
          <w:lang w:val="sk-SK"/>
        </w:rPr>
        <w:t xml:space="preserve"> obličkami.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Použitie s opatrnosťou: vitamín K</w:t>
      </w:r>
      <w:r w:rsidRPr="00C6236F">
        <w:rPr>
          <w:vertAlign w:val="subscript"/>
          <w:lang w:val="sk-SK"/>
        </w:rPr>
        <w:t>1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Ak užívate vitamín K</w:t>
      </w:r>
      <w:r w:rsidRPr="00C6236F">
        <w:rPr>
          <w:vertAlign w:val="subscript"/>
          <w:lang w:val="sk-SK"/>
        </w:rPr>
        <w:t>1</w:t>
      </w:r>
      <w:r w:rsidRPr="00C6236F">
        <w:rPr>
          <w:lang w:val="sk-SK"/>
        </w:rPr>
        <w:t>, môže byť potrebné zvýšenie jeho dávky.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Antikoagulanciá (látky na riedenie krvi) a </w:t>
      </w:r>
      <w:proofErr w:type="spellStart"/>
      <w:r w:rsidRPr="00C6236F">
        <w:rPr>
          <w:lang w:val="sk-SK"/>
        </w:rPr>
        <w:t>heparín</w:t>
      </w:r>
      <w:proofErr w:type="spellEnd"/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proofErr w:type="spellStart"/>
      <w:r w:rsidRPr="00C6236F">
        <w:rPr>
          <w:lang w:val="sk-SK"/>
        </w:rPr>
        <w:t>Cefalosporíny</w:t>
      </w:r>
      <w:proofErr w:type="spellEnd"/>
      <w:r w:rsidRPr="00C6236F">
        <w:rPr>
          <w:lang w:val="sk-SK"/>
        </w:rPr>
        <w:t xml:space="preserve"> môžu veľmi zriedkavo viesť k poruchám zrážanlivosti krvi. Pri súčasnom užívaní perorálnych </w:t>
      </w:r>
      <w:proofErr w:type="spellStart"/>
      <w:r w:rsidRPr="00C6236F">
        <w:rPr>
          <w:lang w:val="sk-SK"/>
        </w:rPr>
        <w:t>antikoagulancií</w:t>
      </w:r>
      <w:proofErr w:type="spellEnd"/>
      <w:r w:rsidRPr="00C6236F">
        <w:rPr>
          <w:lang w:val="sk-SK"/>
        </w:rPr>
        <w:t xml:space="preserve"> alebo </w:t>
      </w:r>
      <w:proofErr w:type="spellStart"/>
      <w:r w:rsidRPr="00C6236F">
        <w:rPr>
          <w:lang w:val="sk-SK"/>
        </w:rPr>
        <w:t>heparínu</w:t>
      </w:r>
      <w:proofErr w:type="spellEnd"/>
      <w:r w:rsidRPr="00C6236F">
        <w:rPr>
          <w:lang w:val="sk-SK"/>
        </w:rPr>
        <w:t xml:space="preserve"> vo vysokých dávkach je potrebné sledovať koagulačné parametre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proofErr w:type="spellStart"/>
      <w:r w:rsidRPr="00C6236F">
        <w:rPr>
          <w:lang w:val="sk-SK"/>
        </w:rPr>
        <w:t>Nefrotoxické</w:t>
      </w:r>
      <w:proofErr w:type="spellEnd"/>
      <w:r w:rsidRPr="00C6236F">
        <w:rPr>
          <w:lang w:val="sk-SK"/>
        </w:rPr>
        <w:t xml:space="preserve"> látky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Pravdepodobnosť </w:t>
      </w:r>
      <w:proofErr w:type="spellStart"/>
      <w:r w:rsidRPr="00C6236F">
        <w:rPr>
          <w:lang w:val="sk-SK"/>
        </w:rPr>
        <w:t>nefrotoxických</w:t>
      </w:r>
      <w:proofErr w:type="spellEnd"/>
      <w:r w:rsidRPr="00C6236F">
        <w:rPr>
          <w:lang w:val="sk-SK"/>
        </w:rPr>
        <w:t xml:space="preserve"> javov je vyššia pri súčasnom podávaní </w:t>
      </w:r>
      <w:proofErr w:type="spellStart"/>
      <w:r w:rsidRPr="00C6236F">
        <w:rPr>
          <w:lang w:val="sk-SK"/>
        </w:rPr>
        <w:t>nefrotoxických</w:t>
      </w:r>
      <w:proofErr w:type="spellEnd"/>
      <w:r w:rsidRPr="00C6236F">
        <w:rPr>
          <w:lang w:val="sk-SK"/>
        </w:rPr>
        <w:t xml:space="preserve"> látok (</w:t>
      </w:r>
      <w:proofErr w:type="spellStart"/>
      <w:r w:rsidRPr="00C6236F">
        <w:rPr>
          <w:lang w:val="sk-SK"/>
        </w:rPr>
        <w:t>aminoglykozidy</w:t>
      </w:r>
      <w:proofErr w:type="spellEnd"/>
      <w:r w:rsidRPr="00C6236F">
        <w:rPr>
          <w:lang w:val="sk-SK"/>
        </w:rPr>
        <w:t xml:space="preserve">, </w:t>
      </w:r>
      <w:proofErr w:type="spellStart"/>
      <w:r w:rsidRPr="00C6236F">
        <w:rPr>
          <w:lang w:val="sk-SK"/>
        </w:rPr>
        <w:t>polymyxíny</w:t>
      </w:r>
      <w:proofErr w:type="spellEnd"/>
      <w:r w:rsidRPr="00C6236F">
        <w:rPr>
          <w:lang w:val="sk-SK"/>
        </w:rPr>
        <w:t>) alebo určitých diuretík (</w:t>
      </w:r>
      <w:proofErr w:type="spellStart"/>
      <w:r w:rsidRPr="00C6236F">
        <w:rPr>
          <w:lang w:val="sk-SK"/>
        </w:rPr>
        <w:t>furosemid</w:t>
      </w:r>
      <w:proofErr w:type="spellEnd"/>
      <w:r w:rsidRPr="00C6236F">
        <w:rPr>
          <w:lang w:val="sk-SK"/>
        </w:rPr>
        <w:t xml:space="preserve">). V týchto prípadoch je potrebné sledovať </w:t>
      </w:r>
      <w:proofErr w:type="spellStart"/>
      <w:r w:rsidRPr="00C6236F">
        <w:rPr>
          <w:lang w:val="sk-SK"/>
        </w:rPr>
        <w:t>renálne</w:t>
      </w:r>
      <w:proofErr w:type="spellEnd"/>
      <w:r w:rsidRPr="00C6236F">
        <w:rPr>
          <w:lang w:val="sk-SK"/>
        </w:rPr>
        <w:t xml:space="preserve"> funkcie.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Perorálne kontraceptíva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proofErr w:type="spellStart"/>
      <w:r w:rsidRPr="00C6236F">
        <w:rPr>
          <w:lang w:val="sk-SK"/>
        </w:rPr>
        <w:t>Cefazolín</w:t>
      </w:r>
      <w:proofErr w:type="spellEnd"/>
      <w:r w:rsidRPr="00C6236F">
        <w:rPr>
          <w:lang w:val="sk-SK"/>
        </w:rPr>
        <w:t xml:space="preserve"> môže negatívne ovplyvniť účinnosť hormonálnej antikoncepcie. Je preto vhodné používať ďalšiu nehormonálnu antikoncepciu.</w:t>
      </w: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Tehotenstvo a dojčenie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Ak ste tehotná alebo dojčíte, ak si myslíte, že ste tehotná, alebo ak plánujete otehotnieť, poraďte sa so svojím lekárom predtým, ako začnete užívať tento liek.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Tehotenstvo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Neexistujú dostatočné údaje o použití </w:t>
      </w:r>
      <w:proofErr w:type="spellStart"/>
      <w:r w:rsidRPr="00C6236F">
        <w:rPr>
          <w:lang w:val="sk-SK"/>
        </w:rPr>
        <w:t>cefazolínu</w:t>
      </w:r>
      <w:proofErr w:type="spellEnd"/>
      <w:r w:rsidRPr="00C6236F">
        <w:rPr>
          <w:lang w:val="sk-SK"/>
        </w:rPr>
        <w:t xml:space="preserve"> počas tehotenstva, aby bolo možné posúdiť jeho možnú škodlivosť.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Dojčenie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proofErr w:type="spellStart"/>
      <w:r w:rsidRPr="00C6236F">
        <w:rPr>
          <w:lang w:val="sk-SK"/>
        </w:rPr>
        <w:t>Cefazolín</w:t>
      </w:r>
      <w:proofErr w:type="spellEnd"/>
      <w:r w:rsidRPr="00C6236F">
        <w:rPr>
          <w:lang w:val="sk-SK"/>
        </w:rPr>
        <w:t xml:space="preserve"> prechádza do materského mlieka vo veľmi nízkych koncentráciách. V liečebných dávkach nemožno žiadne účinky na novorodenca očakávať. ZEPILEN je možné používať počas dojčenia.</w:t>
      </w:r>
    </w:p>
    <w:p w:rsidR="009202A0" w:rsidRPr="00C6236F" w:rsidRDefault="009202A0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Vedenie vozidiel a obsluha strojov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Nie sú známe žiadne účinky </w:t>
      </w:r>
      <w:proofErr w:type="spellStart"/>
      <w:r w:rsidRPr="00C6236F">
        <w:rPr>
          <w:lang w:val="sk-SK"/>
        </w:rPr>
        <w:t>cefazolínu</w:t>
      </w:r>
      <w:proofErr w:type="spellEnd"/>
      <w:r w:rsidRPr="00C6236F">
        <w:rPr>
          <w:lang w:val="sk-SK"/>
        </w:rPr>
        <w:t xml:space="preserve"> na schopnosť viesť vozidlá a obsluhovať stroje.</w:t>
      </w:r>
    </w:p>
    <w:p w:rsidR="009202A0" w:rsidRPr="00C6236F" w:rsidRDefault="009202A0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ZEPILEN obsahuje sodík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Liek obsahuje sodík. To je potrebné vziať do úvahy u pacientov s </w:t>
      </w:r>
      <w:proofErr w:type="spellStart"/>
      <w:r w:rsidRPr="00C6236F">
        <w:rPr>
          <w:lang w:val="sk-SK"/>
        </w:rPr>
        <w:t>nízkosodíkovou</w:t>
      </w:r>
      <w:proofErr w:type="spellEnd"/>
      <w:r w:rsidRPr="00C6236F">
        <w:rPr>
          <w:lang w:val="sk-SK"/>
        </w:rPr>
        <w:t xml:space="preserve"> diétou.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1 injekčná liekovka obsahuje 2,1 mmol (48,3 mg) sodíka.</w:t>
      </w:r>
    </w:p>
    <w:p w:rsidR="000C6F83" w:rsidRDefault="000C6F83" w:rsidP="007262A1">
      <w:pPr>
        <w:pStyle w:val="Normlndobloku"/>
        <w:jc w:val="left"/>
        <w:rPr>
          <w:lang w:val="sk-SK"/>
        </w:rPr>
      </w:pP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>A</w:t>
      </w:r>
      <w:r w:rsidRPr="00FD1775">
        <w:rPr>
          <w:caps w:val="0"/>
          <w:lang w:val="sk-SK"/>
        </w:rPr>
        <w:t>ko používať</w:t>
      </w:r>
      <w:r w:rsidRPr="00C6236F">
        <w:rPr>
          <w:lang w:val="sk-SK"/>
        </w:rPr>
        <w:t xml:space="preserve"> ZEPILEN</w:t>
      </w:r>
    </w:p>
    <w:p w:rsidR="009202A0" w:rsidRPr="00C6236F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Vždy používajte tento liek presne tak, ako vám povedal váš lekár. Ak si nie ste niečím istý, overte si to u svojho lekára.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lastRenderedPageBreak/>
        <w:t>Tento liek vám vždy podá lekár alebo iný kvalifikovaný zdravotnícky personál. To preto, že sa podáva buď ako injekcia alebo infúzia.</w:t>
      </w:r>
    </w:p>
    <w:p w:rsidR="009202A0" w:rsidRPr="00C6236F" w:rsidRDefault="009202A0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Dávkovanie</w:t>
      </w:r>
    </w:p>
    <w:p w:rsidR="00BB06C8" w:rsidRPr="00C6236F" w:rsidRDefault="00BB06C8" w:rsidP="007262A1">
      <w:pPr>
        <w:pStyle w:val="Styl3"/>
        <w:spacing w:after="0"/>
        <w:jc w:val="left"/>
        <w:rPr>
          <w:u w:val="none"/>
          <w:lang w:val="sk-SK"/>
        </w:rPr>
      </w:pPr>
      <w:r w:rsidRPr="00C6236F">
        <w:rPr>
          <w:u w:val="none"/>
          <w:lang w:val="sk-SK"/>
        </w:rPr>
        <w:t>Odporúčaná dávka lieku je: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Dospelí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Pri infekciách spôsobených vysoko citlivými mikroorganizmami je zvyčajná dávka pre dospelých 1 – 2 g/deň </w:t>
      </w:r>
      <w:r w:rsidR="00B65DDE">
        <w:rPr>
          <w:lang w:val="sk-SK"/>
        </w:rPr>
        <w:t>rozdelená do</w:t>
      </w:r>
      <w:r w:rsidRPr="00C6236F">
        <w:rPr>
          <w:lang w:val="sk-SK"/>
        </w:rPr>
        <w:t> dvoch alebo troch rovnakých dáv</w:t>
      </w:r>
      <w:r w:rsidR="00B65DDE">
        <w:rPr>
          <w:lang w:val="sk-SK"/>
        </w:rPr>
        <w:t>o</w:t>
      </w:r>
      <w:r w:rsidRPr="00C6236F">
        <w:rPr>
          <w:lang w:val="sk-SK"/>
        </w:rPr>
        <w:t xml:space="preserve">k. Pri infekciách spôsobených menej citlivými grampozitívnymi a gramnegatívnymi patogénmi je zvyčajná dávka 3 – 4 g/deň </w:t>
      </w:r>
      <w:r w:rsidR="00B65DDE">
        <w:rPr>
          <w:lang w:val="sk-SK"/>
        </w:rPr>
        <w:t xml:space="preserve">rozdelená do </w:t>
      </w:r>
      <w:r w:rsidRPr="00C6236F">
        <w:rPr>
          <w:lang w:val="sk-SK"/>
        </w:rPr>
        <w:t>troch alebo štyroch rovnakých dáv</w:t>
      </w:r>
      <w:r w:rsidR="00B65DDE">
        <w:rPr>
          <w:lang w:val="sk-SK"/>
        </w:rPr>
        <w:t>o</w:t>
      </w:r>
      <w:r w:rsidRPr="00C6236F">
        <w:rPr>
          <w:lang w:val="sk-SK"/>
        </w:rPr>
        <w:t>k. U veľmi ťažkých infekcií sa ZEPILEN podáva v dávkach až 6 g/deň. U dospelých s poruchou funkcie obličiek môže byť potrebná nižšia dávka. Veľkosť dávky možno určiť na základe hladiny antibiotika v krvi alebo na základe hodnôt charakterizujúcich funkciu obličiek.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Starší pacienti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U starších pacientov s normálnou funkciou obličiek nie je potrebná úprava dávkovania.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Použitie u detí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Pri infekciách spôsobených extrémne citlivými grampozitívnymi mikroorganizmami je účinná dávka 25 – 50 mg/kg telesnej hmotnosti rozdelená do dvoch až štyroch dávok za deň. Pri infekciách spôsobených menej citlivými grampozitívnymi mikroorganizmami a gramnegatívnymi patogénmi sa odporúča maximálne 100 mg/kg telesnej hmotnosti </w:t>
      </w:r>
      <w:r w:rsidR="00B65DDE">
        <w:rPr>
          <w:lang w:val="sk-SK"/>
        </w:rPr>
        <w:t>rozdelených do</w:t>
      </w:r>
      <w:r w:rsidRPr="00C6236F">
        <w:rPr>
          <w:lang w:val="sk-SK"/>
        </w:rPr>
        <w:t> troch alebo štyroch rovnakých dáv</w:t>
      </w:r>
      <w:r w:rsidR="00B65DDE">
        <w:rPr>
          <w:lang w:val="sk-SK"/>
        </w:rPr>
        <w:t>o</w:t>
      </w:r>
      <w:r w:rsidRPr="00C6236F">
        <w:rPr>
          <w:lang w:val="sk-SK"/>
        </w:rPr>
        <w:t>k.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U detí s poruchou funkcie obličiek môžu byť potrebné nižšie dávky, aby sa zabránilo akumulácii. Veľkosť dávky možno určiť na základe hladiny </w:t>
      </w:r>
      <w:r w:rsidR="00861388">
        <w:rPr>
          <w:lang w:val="sk-SK"/>
        </w:rPr>
        <w:t xml:space="preserve">antibiotika </w:t>
      </w:r>
      <w:r w:rsidRPr="00C6236F">
        <w:rPr>
          <w:lang w:val="sk-SK"/>
        </w:rPr>
        <w:t>v krvi. Ak to nie je možné, dávka sa odvodí z klírensu kreatinínu (hodnota charakterizujúca funkciu obličiek) podľa nasledujúcich pokynov: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 xml:space="preserve">U detí so stredne ťažkou poruchou funkcie obličiek (klírens kreatinínu 40 – 20 ml/min) </w:t>
      </w:r>
      <w:r w:rsidR="00B65DDE">
        <w:rPr>
          <w:lang w:val="sk-SK"/>
        </w:rPr>
        <w:t>je dostatočných</w:t>
      </w:r>
      <w:r w:rsidRPr="00C6236F">
        <w:rPr>
          <w:lang w:val="sk-SK"/>
        </w:rPr>
        <w:t xml:space="preserve"> 25 % normálnej </w:t>
      </w:r>
      <w:r w:rsidR="00861388">
        <w:rPr>
          <w:lang w:val="sk-SK"/>
        </w:rPr>
        <w:t xml:space="preserve">detskej </w:t>
      </w:r>
      <w:r w:rsidRPr="00C6236F">
        <w:rPr>
          <w:lang w:val="sk-SK"/>
        </w:rPr>
        <w:t xml:space="preserve">dennej dávky rozdelených </w:t>
      </w:r>
      <w:r w:rsidR="00B65DDE">
        <w:rPr>
          <w:lang w:val="sk-SK"/>
        </w:rPr>
        <w:t xml:space="preserve">do dávok </w:t>
      </w:r>
      <w:r w:rsidRPr="00C6236F">
        <w:rPr>
          <w:lang w:val="sk-SK"/>
        </w:rPr>
        <w:t>každých 12 hodín.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 xml:space="preserve">U detí s ťažkou poruchou funkcie obličiek (klírens kreatinínu 20 – 5 ml/min) </w:t>
      </w:r>
      <w:r w:rsidR="00B65DDE">
        <w:rPr>
          <w:lang w:val="sk-SK"/>
        </w:rPr>
        <w:t xml:space="preserve">je dostatočných </w:t>
      </w:r>
      <w:r w:rsidRPr="00C6236F">
        <w:rPr>
          <w:lang w:val="sk-SK"/>
        </w:rPr>
        <w:t xml:space="preserve">10 % normálnej </w:t>
      </w:r>
      <w:r w:rsidR="00861388">
        <w:rPr>
          <w:lang w:val="sk-SK"/>
        </w:rPr>
        <w:t xml:space="preserve">detskej </w:t>
      </w:r>
      <w:r w:rsidRPr="00C6236F">
        <w:rPr>
          <w:lang w:val="sk-SK"/>
        </w:rPr>
        <w:t>dennej dávky každých 24 hodín.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Všetky tieto pokyny platia po aplikácii začiatočnej </w:t>
      </w:r>
      <w:proofErr w:type="spellStart"/>
      <w:r w:rsidRPr="00C6236F">
        <w:rPr>
          <w:lang w:val="sk-SK"/>
        </w:rPr>
        <w:t>nasycovacej</w:t>
      </w:r>
      <w:proofErr w:type="spellEnd"/>
      <w:r w:rsidRPr="00C6236F">
        <w:rPr>
          <w:lang w:val="sk-SK"/>
        </w:rPr>
        <w:t xml:space="preserve"> dávky.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Dojčatá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Vzhľadom k tomu, že bezpečnosť použitia u nedonosených detí a detí mladších ako jeden mesiac nebola stanovená, použitie lieku ZEPILEN sa u týchto pacientov neodporúča.</w:t>
      </w: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Dĺžka liečby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Záleží na priebehu ochorenia. V súlade so všeobecnými zásadami liečby antibiotikami má liečba liekom ZEPILEN pokračovať aspoň 2 až 3 dni po vymiznutí horúčky alebo kým nie je preukázané, že bola odstránená príčina ochorenia.</w:t>
      </w:r>
    </w:p>
    <w:p w:rsidR="009202A0" w:rsidRPr="00C6236F" w:rsidRDefault="009202A0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Spôsob podania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ZEPILEN možno podávať injekčne do svalu (</w:t>
      </w:r>
      <w:proofErr w:type="spellStart"/>
      <w:r w:rsidRPr="00C6236F">
        <w:rPr>
          <w:lang w:val="sk-SK"/>
        </w:rPr>
        <w:t>intramuskulárne</w:t>
      </w:r>
      <w:proofErr w:type="spellEnd"/>
      <w:r w:rsidRPr="00C6236F">
        <w:rPr>
          <w:lang w:val="sk-SK"/>
        </w:rPr>
        <w:t>) alebo infúziou do žily (intravenózne). Pred podaním sa ZEPILEN musí rozpustiť.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Intramuskulárna injekcia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ZEPILEN má byť aplikovaný do veľkého svalu.</w:t>
      </w: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Intravenózne podanie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ZEPILEN môže byť podaný po ďalšom zriedení priamou intravenóznou injekciou, pridaný do prebiehajúcej intravenóznej liečby alebo podaný ako samostatná infúzia.</w:t>
      </w:r>
    </w:p>
    <w:p w:rsidR="009202A0" w:rsidRPr="00C6236F" w:rsidRDefault="009202A0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Ak použijete viac lieku ZEPILEN, ako máte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Ak si myslíte, že ste dostali viac ZEPILENU, ako ste mali, opýtajte sa svojho lekára alebo zdravotnej sestry.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Pri predávkovaní sa môžu vyskytnúť kŕče, najmä u pacientov s poruchou funkcie obličiek. V takom prípade je nutné okamžite ukončiť podávanie lieku ZEPILEN a zaviesť vhodnú liečbu proti kŕčom. Je potrebné pozorne sledovať životné funkcie.</w:t>
      </w:r>
    </w:p>
    <w:p w:rsidR="009202A0" w:rsidRPr="00C6236F" w:rsidRDefault="009202A0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Ak zabudnete použiť ZEPILEN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Ak si myslíte, že vám vynechali dávku, opýtajte sa svojho lekára alebo zdravotnej sestry.</w:t>
      </w:r>
    </w:p>
    <w:p w:rsidR="009202A0" w:rsidRPr="00C6236F" w:rsidRDefault="009202A0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Ak prestanete používať ZEPILEN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Je dôležité, aby sa dodržal priebeh liečby tak, ako vám ju predpísal lekár. Môžete sa začať cítiť lepšie, ale je dôležité neprestať s používaním tohto lieku, kým to nenariadi lekár. Inak sa váš stav môže znovu zhoršiť, pretože všetky baktérie nemusia byť ešte zlikvidované.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Ak máte akékoľvek ďalšie otázky týkajúce sa použitia tohto lieku, opýtajte sa svojho lekára alebo zdravotnej sestry.</w:t>
      </w:r>
    </w:p>
    <w:p w:rsidR="000C6F83" w:rsidRDefault="000C6F83" w:rsidP="007262A1">
      <w:pPr>
        <w:pStyle w:val="Normlndobloku"/>
        <w:jc w:val="left"/>
        <w:rPr>
          <w:lang w:val="sk-SK"/>
        </w:rPr>
      </w:pP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272EE0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 xml:space="preserve"> M</w:t>
      </w:r>
      <w:r w:rsidRPr="00FD1775">
        <w:rPr>
          <w:caps w:val="0"/>
          <w:lang w:val="sk-SK"/>
        </w:rPr>
        <w:t>ožné vedľajšie účinky</w:t>
      </w:r>
    </w:p>
    <w:p w:rsidR="009202A0" w:rsidRPr="00C6236F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Tak ako všetky lieky, aj tento liek môže spôsobovať vedľajšie účinky, hoci sa neprejavia u každého.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Boli hlásene tieto vedľajšie účinky:</w:t>
      </w: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Časté (môžu postihovať až 1 z 10 osôb)</w:t>
      </w:r>
    </w:p>
    <w:p w:rsidR="00BB06C8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bolesť v mieste vpichu intramuskulárnej injekcie, niekedy so zatvrdnutím</w:t>
      </w:r>
    </w:p>
    <w:p w:rsidR="006C364B" w:rsidRPr="007262A1" w:rsidRDefault="006C364B" w:rsidP="007262A1">
      <w:pPr>
        <w:pStyle w:val="Normlndobloku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Menej časté (môžu postihovať až 1 zo 100 osôb)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vyrážka, začervenanie kože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kvasinková infekcia sliznice dutiny ústnej (orálna kandidóza) pri dlhodobom používaní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vyrážka so silným svrbením (žihľavka), opuch (angioneurotický edém), horúčka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kŕče u pacientov s poruchou funkcie obličiek, ktorí boli liečení s neprimerane vysokými dávkami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zápal pľúc (intersticiálna pneumónia alebo pneumónia)</w:t>
      </w:r>
    </w:p>
    <w:p w:rsidR="00BB06C8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u vnútrožilového (intravenózneho) podania sa môže objaviť zápal žíl (tromboflebitída), horúčka</w:t>
      </w:r>
    </w:p>
    <w:p w:rsidR="006C364B" w:rsidRPr="007262A1" w:rsidRDefault="006C364B" w:rsidP="007262A1">
      <w:pPr>
        <w:pStyle w:val="Normlndobloku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Zriedkavé (môžu postihovať až 1 z 1 000 osôb)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závažná alergická reakcia sprevádzaná kožnou vyrážkou, ktorá sa vyvíja rýchlo s pľuzgiermi alebo odlupovaním kože s prípadnými pľuzgiermi v ústach a s vysokou horúčkou (Stevens-Johnsonov syndróm, Lyellov syndróm)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hubová infekcia pohlavných orgánov a ich okolia, zápal pošvy (vaginitída)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zvýšený počet krvných buniek (leukocytóza, granulocytóza, monocytóza, bazofília, eozinofília); znížený počet bielych krviniek, čo je spojené so zvýšenou náchylnosťou k infekciám (lymfocytopénia, granulocytopénia, neutropénia, leukopénia); znížený počet krvných doštičiek, čo je spojené s modrinami a sklonom ku krvácaniu (trombocytopénia). Tieto účinky sú vratné.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prechodný zápal pečene (hepatitída), žltačka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prechodné zvýšenie hladiny pečeňových enzýmov v krvi (ALT, AST, gama-GT, bilirubínu a/alebo LDH, alkalickej fosfatázy)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závrat, pocit nepohody (malátnosť), únava. Tieto príznaky často vymiznú počas liečby alebo po jej ukončení</w:t>
      </w:r>
      <w:r w:rsidR="003265FE">
        <w:rPr>
          <w:lang w:val="sk-SK"/>
        </w:rPr>
        <w:t>.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bolesť na hrudníku, dýchacie ťažkosti, kašeľ, nádcha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hnačka, pocit na vracanie, strata chuti do jedla, vracanie (tieto príznaky často vymiznú počas liečby alebo po jej ukončení). V prípade ťažkej a pretrvávajúcej hnačky v priebehu, alebo po ukončení liečby cefazolínom, sa poraďte s lekárom. Hnačka môže byť príznakom závažného ochorenia (pseudomembranózna kolitída), ktorá vyžaduje okamžitú liečbu. Nepoužívajte samoliečbu, ktorá blokuje pohyb čriev (črevnú peristaltiku).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dočasné zvýšenie dusíka močoviny v krvi (BUN, používa sa na overenie funkcie obličiek), prítomnosť bielkoviny v moči (proteinúria), ochorenie obličiek (intersticiálna nefritída, nefropatia, nefrotoxicita) vyskytujúce sa väčšinou u pacientov, ktorí sú liečení súčasne inými liekmi potenciálne škodlivými pre obličky (nefrotoxickými liekmi)</w:t>
      </w:r>
    </w:p>
    <w:p w:rsidR="00BB06C8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zvýšenie alebo zníženie plazmatickej koncentrácie glukózy</w:t>
      </w:r>
    </w:p>
    <w:p w:rsidR="006C364B" w:rsidRPr="007262A1" w:rsidRDefault="006C364B" w:rsidP="007262A1">
      <w:pPr>
        <w:pStyle w:val="Normlndobloku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lastRenderedPageBreak/>
        <w:t>Veľmi zriedkavé (môžu postihovať až 1 z 10 000 osôb)</w:t>
      </w:r>
    </w:p>
    <w:p w:rsidR="00BB06C8" w:rsidRPr="00C6236F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svrbenie v oblasti konečníka a vonkajších pohlavných orgánov, opuch tváre, opuch jazyka, opuch hrtana so zúžením dýchacích ciest, zvýšená srdcová frekvencia, dýchavičnosť, pokles krvného tlaku, anafylaktický šok</w:t>
      </w:r>
    </w:p>
    <w:p w:rsidR="00BB06C8" w:rsidRDefault="00BB06C8" w:rsidP="00687D8E">
      <w:pPr>
        <w:pStyle w:val="Normlndoblokusodrkami"/>
        <w:rPr>
          <w:lang w:val="sk-SK"/>
        </w:rPr>
      </w:pPr>
      <w:r w:rsidRPr="00C6236F">
        <w:rPr>
          <w:lang w:val="sk-SK"/>
        </w:rPr>
        <w:t>poruchy krvnej zrážanlivosti a v dôsledku toho krvácanie</w:t>
      </w:r>
    </w:p>
    <w:p w:rsidR="006C364B" w:rsidRPr="007262A1" w:rsidRDefault="006C364B" w:rsidP="007262A1">
      <w:pPr>
        <w:pStyle w:val="Normlndobloku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 xml:space="preserve">V zriedkavých prípadoch sú u niektorých </w:t>
      </w:r>
      <w:proofErr w:type="spellStart"/>
      <w:r w:rsidRPr="00C6236F">
        <w:rPr>
          <w:lang w:val="sk-SK"/>
        </w:rPr>
        <w:t>cefalosporínov</w:t>
      </w:r>
      <w:proofErr w:type="spellEnd"/>
      <w:r w:rsidRPr="00C6236F">
        <w:rPr>
          <w:lang w:val="sk-SK"/>
        </w:rPr>
        <w:t xml:space="preserve"> hlásené</w:t>
      </w:r>
    </w:p>
    <w:p w:rsidR="00C96682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96682">
        <w:rPr>
          <w:lang w:val="sk-SK"/>
        </w:rPr>
        <w:t>problémy so zrážanlivosťou krvi (hemolytická anémia), pokles počtu granulocytov v periférnej krvi a kostnej dreni (agranulocytóza a anémia), úbytok všetkých druhov krviniek v krvi (pancytopénia, aplastická anémia), znížený obsah krvného červeného farbiva (hemoglobínu a/alebo hematokritu)</w:t>
      </w:r>
    </w:p>
    <w:p w:rsidR="006C364B" w:rsidRPr="007262A1" w:rsidRDefault="006C364B" w:rsidP="007262A1">
      <w:pPr>
        <w:pStyle w:val="Normlndobloku"/>
        <w:rPr>
          <w:lang w:val="sk-SK"/>
        </w:rPr>
      </w:pPr>
    </w:p>
    <w:p w:rsidR="00BB06C8" w:rsidRPr="00C96682" w:rsidRDefault="00BB06C8" w:rsidP="007262A1">
      <w:pPr>
        <w:pStyle w:val="Styl2"/>
        <w:spacing w:before="0" w:after="0"/>
        <w:rPr>
          <w:lang w:val="sk-SK"/>
        </w:rPr>
      </w:pPr>
      <w:r w:rsidRPr="00C96682">
        <w:rPr>
          <w:lang w:val="sk-SK"/>
        </w:rPr>
        <w:t xml:space="preserve">Tieto účinky boli hlásené pri liečbe niektorými </w:t>
      </w:r>
      <w:proofErr w:type="spellStart"/>
      <w:r w:rsidRPr="00C96682">
        <w:rPr>
          <w:lang w:val="sk-SK"/>
        </w:rPr>
        <w:t>cefalosporínmi</w:t>
      </w:r>
      <w:proofErr w:type="spellEnd"/>
    </w:p>
    <w:p w:rsidR="00BB06C8" w:rsidRDefault="00BB06C8" w:rsidP="00687D8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nočné mory, závraty, hyperaktivita, nervozita alebo úzkosť, nespavosť, ospalosť, slabosť, návaly tepla, poruchy farebného videnia, zmätenosť, epileptogénna aktivita (súvisí s </w:t>
      </w:r>
      <w:r>
        <w:rPr>
          <w:lang w:val="sk-SK"/>
        </w:rPr>
        <w:t>epilepsiou)</w:t>
      </w:r>
    </w:p>
    <w:p w:rsidR="006C364B" w:rsidRPr="007262A1" w:rsidRDefault="006C364B" w:rsidP="007262A1">
      <w:pPr>
        <w:pStyle w:val="Normlndobloku"/>
        <w:rPr>
          <w:lang w:val="sk-SK"/>
        </w:rPr>
      </w:pPr>
    </w:p>
    <w:p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Hlásenie vedľajších účinkov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</w:t>
      </w:r>
      <w:r w:rsidR="00AB3D4E">
        <w:rPr>
          <w:lang w:val="sk-SK"/>
        </w:rPr>
        <w:t xml:space="preserve">priamo </w:t>
      </w:r>
      <w:r w:rsidRPr="00C6236F">
        <w:rPr>
          <w:lang w:val="sk-SK"/>
        </w:rPr>
        <w:t xml:space="preserve">prostredníctvom </w:t>
      </w:r>
      <w:r w:rsidR="009202A0">
        <w:rPr>
          <w:lang w:val="sk-SK"/>
        </w:rPr>
        <w:t xml:space="preserve">na </w:t>
      </w:r>
      <w:r w:rsidRPr="00C6236F">
        <w:rPr>
          <w:highlight w:val="lightGray"/>
          <w:lang w:val="sk-SK"/>
        </w:rPr>
        <w:t xml:space="preserve">národné </w:t>
      </w:r>
      <w:r w:rsidR="009202A0">
        <w:rPr>
          <w:highlight w:val="lightGray"/>
          <w:lang w:val="sk-SK"/>
        </w:rPr>
        <w:t>centrum</w:t>
      </w:r>
      <w:r w:rsidRPr="00C6236F">
        <w:rPr>
          <w:highlight w:val="lightGray"/>
          <w:lang w:val="sk-SK"/>
        </w:rPr>
        <w:t xml:space="preserve"> hlásenia uvedené v </w:t>
      </w:r>
      <w:hyperlink r:id="rId8" w:history="1">
        <w:r w:rsidRPr="00C6236F">
          <w:rPr>
            <w:rStyle w:val="Hypertextovprepojenie"/>
            <w:highlight w:val="lightGray"/>
            <w:lang w:val="sk-SK"/>
          </w:rPr>
          <w:t>Prílohe V</w:t>
        </w:r>
      </w:hyperlink>
      <w:r w:rsidRPr="00C6236F">
        <w:rPr>
          <w:lang w:val="sk-SK"/>
        </w:rPr>
        <w:t>. Hlásením vedľajších účinkov môžete prispieť k získaniu ďalších informácií o bezpečnosti tohto lieku.</w:t>
      </w:r>
    </w:p>
    <w:p w:rsidR="00ED3540" w:rsidRDefault="00ED3540" w:rsidP="007262A1">
      <w:pPr>
        <w:pStyle w:val="Normlndobloku"/>
        <w:jc w:val="left"/>
        <w:rPr>
          <w:lang w:val="sk-SK"/>
        </w:rPr>
      </w:pP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>A</w:t>
      </w:r>
      <w:r w:rsidRPr="00FD1775">
        <w:rPr>
          <w:caps w:val="0"/>
          <w:lang w:val="sk-SK"/>
        </w:rPr>
        <w:t>ko uchovávať</w:t>
      </w:r>
      <w:r w:rsidRPr="00C6236F">
        <w:rPr>
          <w:lang w:val="sk-SK"/>
        </w:rPr>
        <w:t xml:space="preserve"> ZEPILEN</w:t>
      </w:r>
    </w:p>
    <w:p w:rsidR="009202A0" w:rsidRPr="00C6236F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Tento liek uchovávajte mimo dohľadu a dosahu detí.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Uchovávajte pri teplote do 25</w:t>
      </w:r>
      <w:r w:rsidR="001D2793">
        <w:rPr>
          <w:lang w:val="sk-SK"/>
        </w:rPr>
        <w:t> </w:t>
      </w:r>
      <w:r w:rsidRPr="00C6236F">
        <w:rPr>
          <w:lang w:val="sk-SK"/>
        </w:rPr>
        <w:t>°C v pôvodnom obale.</w:t>
      </w: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Rekonštituovaný roztok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Chemická a fyzikálna stabilita lieku bola pre všetky spôsoby podania preukázaná po dobu 24 hodín pri 2 °C – 8 °C.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Z mikrobiologického hľadiska má byť liek použitý okamžite. Ak nie je použitý okamžite, čas a podmienky uchovávania lieku po otvorení pred použitím sú v zodpovednosti užívateľa a nesmú byť dlhšie ako 24 hodín pri 2 °C – 8 °C aj keď riedenie prebehlo za kontrolovaných a validovaných aseptických podmienok.</w:t>
      </w: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Nepoužívajte tento liek po dátume exspirácie, ktorý je uvedený na škatuli a injekčnej liekovke po EXP. Doba exspirácie sa vzťahuje na posledný deň v danom mesiaci.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Nelikvidujte lieky odpadovou vodou alebo domovým odpadom. Nepoužitý liek vráťte do lekárne. Tieto opatrenia pomôžu chrániť životné prostredie.</w:t>
      </w:r>
    </w:p>
    <w:p w:rsidR="000C6F83" w:rsidRDefault="000C6F83" w:rsidP="007262A1">
      <w:pPr>
        <w:pStyle w:val="Normlndobloku"/>
        <w:jc w:val="left"/>
        <w:rPr>
          <w:lang w:val="sk-SK"/>
        </w:rPr>
      </w:pP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AB3D4E" w:rsidRPr="00272EE0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 xml:space="preserve"> O</w:t>
      </w:r>
      <w:r w:rsidRPr="00FD1775">
        <w:rPr>
          <w:caps w:val="0"/>
          <w:lang w:val="sk-SK"/>
        </w:rPr>
        <w:t>bsah balenia a ďalšie informácie</w:t>
      </w:r>
    </w:p>
    <w:p w:rsidR="009202A0" w:rsidRPr="00AB3D4E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:rsidR="00BB06C8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Čo ZEPILEN obsahuje</w:t>
      </w:r>
    </w:p>
    <w:p w:rsidR="006C364B" w:rsidRPr="00C6236F" w:rsidRDefault="006C364B" w:rsidP="007262A1">
      <w:pPr>
        <w:pStyle w:val="Styl2"/>
        <w:spacing w:before="0" w:after="0"/>
        <w:rPr>
          <w:lang w:val="sk-SK"/>
        </w:rPr>
      </w:pPr>
    </w:p>
    <w:p w:rsidR="00BB06C8" w:rsidRPr="00C6236F" w:rsidRDefault="00BB06C8" w:rsidP="00687D8E">
      <w:pPr>
        <w:pStyle w:val="Normlndoblokusodrkami"/>
        <w:rPr>
          <w:lang w:val="sk-SK"/>
        </w:rPr>
      </w:pPr>
      <w:r w:rsidRPr="00C6236F">
        <w:rPr>
          <w:lang w:val="sk-SK"/>
        </w:rPr>
        <w:t>Liečivo je cefazolín.</w:t>
      </w:r>
    </w:p>
    <w:p w:rsidR="00C96682" w:rsidRPr="00C96682" w:rsidRDefault="00C96682" w:rsidP="00687D8E">
      <w:pPr>
        <w:pStyle w:val="Normlndobloku"/>
        <w:ind w:left="709"/>
        <w:jc w:val="left"/>
        <w:rPr>
          <w:lang w:val="sk-SK"/>
        </w:rPr>
      </w:pPr>
      <w:r w:rsidRPr="00C96682">
        <w:rPr>
          <w:lang w:val="sk-SK"/>
        </w:rPr>
        <w:t xml:space="preserve">Jedna injekčná liekovka obsahuje 1 g </w:t>
      </w:r>
      <w:proofErr w:type="spellStart"/>
      <w:r w:rsidRPr="00C96682">
        <w:rPr>
          <w:lang w:val="sk-SK"/>
        </w:rPr>
        <w:t>cefazolínu</w:t>
      </w:r>
      <w:proofErr w:type="spellEnd"/>
      <w:r w:rsidRPr="00C96682">
        <w:rPr>
          <w:lang w:val="sk-SK"/>
        </w:rPr>
        <w:t xml:space="preserve"> (ako sodnú soľ </w:t>
      </w:r>
      <w:proofErr w:type="spellStart"/>
      <w:r w:rsidRPr="00C96682">
        <w:rPr>
          <w:lang w:val="sk-SK"/>
        </w:rPr>
        <w:t>cefazolínu</w:t>
      </w:r>
      <w:proofErr w:type="spellEnd"/>
      <w:r w:rsidRPr="00C96682">
        <w:rPr>
          <w:lang w:val="sk-SK"/>
        </w:rPr>
        <w:t>).</w:t>
      </w:r>
    </w:p>
    <w:p w:rsidR="00BB06C8" w:rsidRDefault="00BB06C8" w:rsidP="00687D8E">
      <w:pPr>
        <w:pStyle w:val="Normlndoblokusodrkami"/>
        <w:rPr>
          <w:lang w:val="sk-SK"/>
        </w:rPr>
      </w:pPr>
      <w:r w:rsidRPr="00C6236F">
        <w:rPr>
          <w:lang w:val="sk-SK"/>
        </w:rPr>
        <w:t>Liek neobsahuje žiadne pomocné látky.</w:t>
      </w:r>
    </w:p>
    <w:p w:rsidR="009202A0" w:rsidRPr="009202A0" w:rsidRDefault="009202A0" w:rsidP="007262A1">
      <w:pPr>
        <w:pStyle w:val="Normlndobloku"/>
        <w:jc w:val="left"/>
        <w:rPr>
          <w:lang w:val="sk-SK"/>
        </w:rPr>
      </w:pPr>
    </w:p>
    <w:p w:rsidR="00BB06C8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Ako vyzerá ZEPILEN a obsah balenia</w:t>
      </w:r>
    </w:p>
    <w:p w:rsidR="006C364B" w:rsidRPr="00C6236F" w:rsidRDefault="006C364B" w:rsidP="007262A1">
      <w:pPr>
        <w:pStyle w:val="Styl2"/>
        <w:spacing w:before="0" w:after="0"/>
        <w:rPr>
          <w:lang w:val="sk-SK"/>
        </w:rPr>
      </w:pP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Sklenená injekčná liekovka, gumová zátka, hliníkový uzáver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Injekčné liekovky obsahujú biely až takmer biely sterilný prášok.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Veľkosť balenia: 10, 50 alebo 100 injekčných liekoviek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Na trh nemusia byť uvedené všetky veľkosti balenia.</w:t>
      </w:r>
    </w:p>
    <w:p w:rsidR="00827A84" w:rsidRPr="00C6236F" w:rsidRDefault="00827A84" w:rsidP="007262A1">
      <w:pPr>
        <w:pStyle w:val="Normlndobloku"/>
        <w:jc w:val="left"/>
        <w:rPr>
          <w:lang w:val="sk-SK"/>
        </w:rPr>
      </w:pPr>
    </w:p>
    <w:p w:rsidR="00BB06C8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Držiteľ rozhodnutia o</w:t>
      </w:r>
      <w:r w:rsidR="00C96682">
        <w:rPr>
          <w:lang w:val="sk-SK"/>
        </w:rPr>
        <w:t> </w:t>
      </w:r>
      <w:r w:rsidRPr="00C6236F">
        <w:rPr>
          <w:lang w:val="sk-SK"/>
        </w:rPr>
        <w:t>registrácii</w:t>
      </w:r>
      <w:r w:rsidR="00C96682">
        <w:rPr>
          <w:lang w:val="sk-SK"/>
        </w:rPr>
        <w:t xml:space="preserve"> a</w:t>
      </w:r>
      <w:r w:rsidR="006C364B">
        <w:rPr>
          <w:lang w:val="sk-SK"/>
        </w:rPr>
        <w:t> </w:t>
      </w:r>
      <w:r w:rsidR="00C96682">
        <w:rPr>
          <w:lang w:val="sk-SK"/>
        </w:rPr>
        <w:t>výrobca</w:t>
      </w:r>
    </w:p>
    <w:p w:rsidR="006C364B" w:rsidRDefault="006C364B" w:rsidP="007262A1">
      <w:pPr>
        <w:pStyle w:val="Styl2"/>
        <w:spacing w:before="0" w:after="0"/>
        <w:rPr>
          <w:lang w:val="sk-SK"/>
        </w:rPr>
      </w:pPr>
    </w:p>
    <w:p w:rsidR="00C96682" w:rsidRPr="00C6236F" w:rsidRDefault="00C96682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Držiteľ rozhodnutia o registrácii</w:t>
      </w:r>
    </w:p>
    <w:p w:rsidR="00000000" w:rsidRDefault="003265FE">
      <w:pPr>
        <w:pStyle w:val="Normlndobloku"/>
      </w:pPr>
      <w:r>
        <w:t>MEDOCHEMIE Ltd., 1-10 Constantinoupoleos Street, 3011 Limassol, Cyprus</w:t>
      </w:r>
      <w:bookmarkStart w:id="0" w:name="_GoBack"/>
      <w:bookmarkEnd w:id="0"/>
    </w:p>
    <w:p w:rsidR="003265FE" w:rsidRPr="00C6236F" w:rsidRDefault="003265FE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Výrobca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proofErr w:type="spellStart"/>
      <w:r w:rsidRPr="00C6236F">
        <w:rPr>
          <w:lang w:val="sk-SK"/>
        </w:rPr>
        <w:t>Medochemie</w:t>
      </w:r>
      <w:proofErr w:type="spellEnd"/>
      <w:r w:rsidRPr="00C6236F">
        <w:rPr>
          <w:lang w:val="sk-SK"/>
        </w:rPr>
        <w:t xml:space="preserve"> </w:t>
      </w:r>
      <w:proofErr w:type="spellStart"/>
      <w:r w:rsidRPr="00C6236F">
        <w:rPr>
          <w:lang w:val="sk-SK"/>
        </w:rPr>
        <w:t>Ltd</w:t>
      </w:r>
      <w:proofErr w:type="spellEnd"/>
      <w:r w:rsidRPr="00C6236F">
        <w:rPr>
          <w:lang w:val="sk-SK"/>
        </w:rPr>
        <w:t xml:space="preserve"> (</w:t>
      </w:r>
      <w:proofErr w:type="spellStart"/>
      <w:r w:rsidRPr="00C6236F">
        <w:rPr>
          <w:lang w:val="sk-SK"/>
        </w:rPr>
        <w:t>Factory</w:t>
      </w:r>
      <w:proofErr w:type="spellEnd"/>
      <w:r w:rsidRPr="00C6236F">
        <w:rPr>
          <w:lang w:val="sk-SK"/>
        </w:rPr>
        <w:t xml:space="preserve"> C - </w:t>
      </w:r>
      <w:proofErr w:type="spellStart"/>
      <w:r w:rsidRPr="00C6236F">
        <w:rPr>
          <w:lang w:val="sk-SK"/>
        </w:rPr>
        <w:t>Cephalosporins</w:t>
      </w:r>
      <w:proofErr w:type="spellEnd"/>
      <w:r w:rsidRPr="00C6236F">
        <w:rPr>
          <w:lang w:val="sk-SK"/>
        </w:rPr>
        <w:t xml:space="preserve">), 2 Michael </w:t>
      </w:r>
      <w:proofErr w:type="spellStart"/>
      <w:r w:rsidRPr="00C6236F">
        <w:rPr>
          <w:lang w:val="sk-SK"/>
        </w:rPr>
        <w:t>Erakleous</w:t>
      </w:r>
      <w:proofErr w:type="spellEnd"/>
      <w:r w:rsidRPr="00C6236F">
        <w:rPr>
          <w:lang w:val="sk-SK"/>
        </w:rPr>
        <w:t xml:space="preserve"> </w:t>
      </w:r>
      <w:proofErr w:type="spellStart"/>
      <w:r w:rsidRPr="00C6236F">
        <w:rPr>
          <w:lang w:val="sk-SK"/>
        </w:rPr>
        <w:t>Street</w:t>
      </w:r>
      <w:proofErr w:type="spellEnd"/>
      <w:r w:rsidRPr="00C6236F">
        <w:rPr>
          <w:lang w:val="sk-SK"/>
        </w:rPr>
        <w:t xml:space="preserve">, </w:t>
      </w:r>
      <w:proofErr w:type="spellStart"/>
      <w:r w:rsidRPr="00C6236F">
        <w:rPr>
          <w:lang w:val="sk-SK"/>
        </w:rPr>
        <w:t>Agios</w:t>
      </w:r>
      <w:proofErr w:type="spellEnd"/>
      <w:r w:rsidRPr="00C6236F">
        <w:rPr>
          <w:lang w:val="sk-SK"/>
        </w:rPr>
        <w:t xml:space="preserve"> </w:t>
      </w:r>
      <w:proofErr w:type="spellStart"/>
      <w:r w:rsidRPr="00C6236F">
        <w:rPr>
          <w:lang w:val="sk-SK"/>
        </w:rPr>
        <w:t>Athanassios</w:t>
      </w:r>
      <w:proofErr w:type="spellEnd"/>
      <w:r w:rsidRPr="00C6236F">
        <w:rPr>
          <w:lang w:val="sk-SK"/>
        </w:rPr>
        <w:t xml:space="preserve"> </w:t>
      </w:r>
      <w:proofErr w:type="spellStart"/>
      <w:r w:rsidRPr="00C6236F">
        <w:rPr>
          <w:lang w:val="sk-SK"/>
        </w:rPr>
        <w:t>Industrial</w:t>
      </w:r>
      <w:proofErr w:type="spellEnd"/>
      <w:r w:rsidRPr="00C6236F">
        <w:rPr>
          <w:lang w:val="sk-SK"/>
        </w:rPr>
        <w:t xml:space="preserve"> </w:t>
      </w:r>
      <w:proofErr w:type="spellStart"/>
      <w:r w:rsidRPr="00C6236F">
        <w:rPr>
          <w:lang w:val="sk-SK"/>
        </w:rPr>
        <w:t>Area</w:t>
      </w:r>
      <w:proofErr w:type="spellEnd"/>
      <w:r w:rsidRPr="00C6236F">
        <w:rPr>
          <w:lang w:val="sk-SK"/>
        </w:rPr>
        <w:t xml:space="preserve">, 4101 </w:t>
      </w:r>
      <w:proofErr w:type="spellStart"/>
      <w:r w:rsidRPr="00C6236F">
        <w:rPr>
          <w:lang w:val="sk-SK"/>
        </w:rPr>
        <w:t>Agios</w:t>
      </w:r>
      <w:proofErr w:type="spellEnd"/>
      <w:r w:rsidRPr="00C6236F">
        <w:rPr>
          <w:lang w:val="sk-SK"/>
        </w:rPr>
        <w:t xml:space="preserve"> </w:t>
      </w:r>
      <w:proofErr w:type="spellStart"/>
      <w:r w:rsidRPr="00C6236F">
        <w:rPr>
          <w:lang w:val="sk-SK"/>
        </w:rPr>
        <w:t>Athanassios</w:t>
      </w:r>
      <w:proofErr w:type="spellEnd"/>
      <w:r w:rsidRPr="00C6236F">
        <w:rPr>
          <w:lang w:val="sk-SK"/>
        </w:rPr>
        <w:t xml:space="preserve"> Limassol 4101, Cyprus</w:t>
      </w:r>
    </w:p>
    <w:p w:rsidR="00CB1822" w:rsidRPr="00C6236F" w:rsidRDefault="00CB1822" w:rsidP="007262A1">
      <w:pPr>
        <w:pStyle w:val="Normlndobloku"/>
        <w:jc w:val="left"/>
        <w:rPr>
          <w:lang w:val="sk-SK"/>
        </w:rPr>
      </w:pPr>
    </w:p>
    <w:p w:rsidR="00BB06C8" w:rsidRDefault="00BB06C8" w:rsidP="007262A1">
      <w:pPr>
        <w:pStyle w:val="Styl2"/>
        <w:spacing w:before="0" w:after="0"/>
        <w:rPr>
          <w:b w:val="0"/>
          <w:lang w:val="sk-SK"/>
        </w:rPr>
      </w:pPr>
      <w:r w:rsidRPr="00C6236F">
        <w:rPr>
          <w:lang w:val="sk-SK"/>
        </w:rPr>
        <w:t>Táto písomná informácia bola naposledy aktualizovaná v</w:t>
      </w:r>
      <w:r w:rsidR="00AB3D4E">
        <w:rPr>
          <w:lang w:val="sk-SK"/>
        </w:rPr>
        <w:t> </w:t>
      </w:r>
      <w:r w:rsidR="00D36730">
        <w:rPr>
          <w:lang w:val="sk-SK"/>
        </w:rPr>
        <w:t>júli</w:t>
      </w:r>
      <w:r w:rsidR="00616B81" w:rsidRPr="00272EE0">
        <w:rPr>
          <w:b w:val="0"/>
          <w:lang w:val="sk-SK"/>
        </w:rPr>
        <w:t xml:space="preserve"> </w:t>
      </w:r>
      <w:r w:rsidR="00616B81" w:rsidRPr="009202A0">
        <w:rPr>
          <w:lang w:val="sk-SK"/>
        </w:rPr>
        <w:t>201</w:t>
      </w:r>
      <w:r w:rsidR="003265FE">
        <w:rPr>
          <w:lang w:val="sk-SK"/>
        </w:rPr>
        <w:t>7</w:t>
      </w:r>
      <w:r w:rsidR="00AB3D4E" w:rsidRPr="009202A0">
        <w:rPr>
          <w:b w:val="0"/>
          <w:lang w:val="sk-SK"/>
        </w:rPr>
        <w:t>.</w:t>
      </w:r>
    </w:p>
    <w:p w:rsidR="00A10DEE" w:rsidRDefault="00A10DEE" w:rsidP="007262A1">
      <w:pPr>
        <w:pStyle w:val="Styl2"/>
        <w:spacing w:before="0" w:after="0"/>
        <w:rPr>
          <w:lang w:val="sk-SK"/>
        </w:rPr>
      </w:pPr>
      <w:r>
        <w:rPr>
          <w:b w:val="0"/>
          <w:lang w:val="sk-SK"/>
        </w:rPr>
        <w:t>---------------------------------------------------------------------------------------------------------------------------</w:t>
      </w:r>
    </w:p>
    <w:p w:rsidR="00C96682" w:rsidRDefault="00C96682" w:rsidP="007262A1">
      <w:pPr>
        <w:spacing w:line="276" w:lineRule="auto"/>
        <w:rPr>
          <w:b/>
          <w:bCs/>
          <w:lang w:val="sk-SK"/>
        </w:rPr>
      </w:pPr>
      <w:r>
        <w:rPr>
          <w:lang w:val="sk-SK"/>
        </w:rPr>
        <w:br w:type="page"/>
      </w:r>
    </w:p>
    <w:p w:rsidR="006C364B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lastRenderedPageBreak/>
        <w:t>Nasledujúce informácie sú určené len pre zdravotníckych pracovníkov</w:t>
      </w:r>
    </w:p>
    <w:p w:rsidR="006C364B" w:rsidRPr="007262A1" w:rsidRDefault="006C364B" w:rsidP="007262A1">
      <w:pPr>
        <w:pStyle w:val="Styl2"/>
        <w:spacing w:before="0" w:after="0"/>
        <w:rPr>
          <w:lang w:val="sk-SK"/>
        </w:rPr>
      </w:pP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Príprava a podanie roztoku sa má spraviť za aseptických opatrení. Pred podaním je potrebné roztok skontrolovať na neprítomnosť pevných častíc a sfarbenie. ZEPILEN injekčné liekovky sú len na jedno použitie, zvyšok roztoku sa musí znehodnotiť.</w:t>
      </w: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272EE0" w:rsidRDefault="00BB06C8" w:rsidP="007262A1">
      <w:pPr>
        <w:pStyle w:val="Styl2-2"/>
        <w:spacing w:before="0" w:after="0"/>
        <w:rPr>
          <w:lang w:val="sk-SK"/>
        </w:rPr>
      </w:pPr>
      <w:r w:rsidRPr="00272EE0">
        <w:rPr>
          <w:lang w:val="sk-SK"/>
        </w:rPr>
        <w:t>Spôsob podávania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ZEPILEN možno podávať </w:t>
      </w:r>
      <w:proofErr w:type="spellStart"/>
      <w:r w:rsidRPr="00C6236F">
        <w:rPr>
          <w:lang w:val="sk-SK"/>
        </w:rPr>
        <w:t>intramuskulárne</w:t>
      </w:r>
      <w:proofErr w:type="spellEnd"/>
      <w:r w:rsidRPr="00C6236F">
        <w:rPr>
          <w:lang w:val="sk-SK"/>
        </w:rPr>
        <w:t xml:space="preserve"> alebo intravenózne.</w:t>
      </w: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Intramuskulárna injekcia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Rozrieďte vodou na injekciu, 0,9 % roztokom chloridu sodného na injekciu alebo 0,5 % roztokom </w:t>
      </w:r>
      <w:proofErr w:type="spellStart"/>
      <w:r w:rsidRPr="00C6236F">
        <w:rPr>
          <w:lang w:val="sk-SK"/>
        </w:rPr>
        <w:t>lidokaínu</w:t>
      </w:r>
      <w:proofErr w:type="spellEnd"/>
      <w:r w:rsidRPr="00C6236F">
        <w:rPr>
          <w:lang w:val="sk-SK"/>
        </w:rPr>
        <w:t xml:space="preserve"> podľa nižšie uvedenej tabuľky riedenia. Dôkladne pretrepte do úplného rozpustenia.</w:t>
      </w:r>
    </w:p>
    <w:p w:rsidR="003F5EBC" w:rsidRPr="003F5EBC" w:rsidRDefault="003F5EBC" w:rsidP="007262A1">
      <w:pPr>
        <w:pStyle w:val="Normlndobloku"/>
        <w:jc w:val="left"/>
        <w:rPr>
          <w:lang w:val="sk-SK"/>
        </w:rPr>
      </w:pPr>
      <w:r w:rsidRPr="003F5EBC">
        <w:rPr>
          <w:lang w:val="sk-SK"/>
        </w:rPr>
        <w:t xml:space="preserve">Pre podanie deťom mladším ako jeden rok sa </w:t>
      </w:r>
      <w:proofErr w:type="spellStart"/>
      <w:r w:rsidRPr="003F5EBC">
        <w:rPr>
          <w:lang w:val="sk-SK"/>
        </w:rPr>
        <w:t>cefazolín</w:t>
      </w:r>
      <w:proofErr w:type="spellEnd"/>
      <w:r w:rsidRPr="003F5EBC">
        <w:rPr>
          <w:lang w:val="sk-SK"/>
        </w:rPr>
        <w:t xml:space="preserve"> </w:t>
      </w:r>
      <w:r w:rsidRPr="003F5EBC">
        <w:rPr>
          <w:u w:val="single"/>
          <w:lang w:val="sk-SK"/>
        </w:rPr>
        <w:t>nesmie</w:t>
      </w:r>
      <w:r w:rsidRPr="003F5EBC">
        <w:rPr>
          <w:lang w:val="sk-SK"/>
        </w:rPr>
        <w:t xml:space="preserve"> rozpúšťať v roztoku </w:t>
      </w:r>
      <w:proofErr w:type="spellStart"/>
      <w:r w:rsidRPr="003F5EBC">
        <w:rPr>
          <w:lang w:val="sk-SK"/>
        </w:rPr>
        <w:t>lidokaínu</w:t>
      </w:r>
      <w:proofErr w:type="spellEnd"/>
      <w:r w:rsidRPr="003F5EBC">
        <w:rPr>
          <w:lang w:val="sk-SK"/>
        </w:rPr>
        <w:t>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ZEPILEN má byť aplikovaný do veľkého svalu.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Čerstvo rozpustený roztok sa musí ihneď použiť. Ak bol roztok pripravený s vodou na injekciu, </w:t>
      </w:r>
      <w:r w:rsidR="00B909C8">
        <w:rPr>
          <w:lang w:val="sk-SK"/>
        </w:rPr>
        <w:t xml:space="preserve">v prípade potreby </w:t>
      </w:r>
      <w:r w:rsidRPr="00C6236F">
        <w:rPr>
          <w:lang w:val="sk-SK"/>
        </w:rPr>
        <w:t>je možné ho uchovať po dobu 24 hodín pri 2 °C – 8 °C.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Tabuľka riedenia: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9"/>
        <w:gridCol w:w="2319"/>
        <w:gridCol w:w="2321"/>
        <w:gridCol w:w="2321"/>
      </w:tblGrid>
      <w:tr w:rsidR="00BB06C8" w:rsidRPr="00C6236F" w:rsidTr="00B65DDE">
        <w:tc>
          <w:tcPr>
            <w:tcW w:w="2319" w:type="dxa"/>
            <w:vAlign w:val="center"/>
          </w:tcPr>
          <w:p w:rsidR="00BB06C8" w:rsidRPr="00C6236F" w:rsidRDefault="00BB06C8" w:rsidP="007262A1">
            <w:pPr>
              <w:pStyle w:val="Nadpisuvnittabulky"/>
              <w:spacing w:before="0"/>
            </w:pPr>
            <w:r w:rsidRPr="00C6236F">
              <w:t>Obsah fľaštičky</w:t>
            </w:r>
            <w:r w:rsidRPr="00C6236F"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2319" w:type="dxa"/>
            <w:vAlign w:val="center"/>
          </w:tcPr>
          <w:p w:rsidR="00BB06C8" w:rsidRPr="00C6236F" w:rsidRDefault="00BB06C8" w:rsidP="007262A1">
            <w:pPr>
              <w:pStyle w:val="Nadpisuvnittabulky"/>
              <w:spacing w:before="0"/>
            </w:pPr>
            <w:r w:rsidRPr="00C6236F">
              <w:t>Objem rozpúšťadla</w:t>
            </w:r>
          </w:p>
        </w:tc>
        <w:tc>
          <w:tcPr>
            <w:tcW w:w="2321" w:type="dxa"/>
            <w:vAlign w:val="center"/>
          </w:tcPr>
          <w:p w:rsidR="00BB06C8" w:rsidRPr="00C6236F" w:rsidRDefault="00B909C8" w:rsidP="007262A1">
            <w:pPr>
              <w:pStyle w:val="Nadpisuvnittabulky"/>
              <w:spacing w:before="0"/>
            </w:pPr>
            <w:r>
              <w:t>Priemerná</w:t>
            </w:r>
            <w:r w:rsidRPr="00C6236F">
              <w:t xml:space="preserve"> </w:t>
            </w:r>
            <w:r w:rsidR="00BB06C8" w:rsidRPr="00C6236F">
              <w:t>výsledná koncentrácia</w:t>
            </w:r>
          </w:p>
        </w:tc>
        <w:tc>
          <w:tcPr>
            <w:tcW w:w="2321" w:type="dxa"/>
            <w:vAlign w:val="center"/>
          </w:tcPr>
          <w:p w:rsidR="00BB06C8" w:rsidRPr="00C6236F" w:rsidRDefault="00B909C8" w:rsidP="007262A1">
            <w:pPr>
              <w:pStyle w:val="Nadpisuvnittabulky"/>
              <w:spacing w:before="0"/>
            </w:pPr>
            <w:r>
              <w:t>Priemerný</w:t>
            </w:r>
            <w:r w:rsidRPr="00C6236F">
              <w:t xml:space="preserve"> </w:t>
            </w:r>
            <w:r w:rsidR="00BB06C8" w:rsidRPr="00C6236F">
              <w:t>využiteľný objem</w:t>
            </w:r>
          </w:p>
        </w:tc>
      </w:tr>
      <w:tr w:rsidR="00BB06C8" w:rsidRPr="00C6236F" w:rsidTr="00B65DDE">
        <w:trPr>
          <w:trHeight w:val="504"/>
        </w:trPr>
        <w:tc>
          <w:tcPr>
            <w:tcW w:w="2319" w:type="dxa"/>
            <w:vAlign w:val="center"/>
          </w:tcPr>
          <w:p w:rsidR="00BB06C8" w:rsidRPr="00C6236F" w:rsidRDefault="00BB06C8" w:rsidP="007262A1">
            <w:pPr>
              <w:pStyle w:val="Tabulkynormlndoblokuzarovnndoleva"/>
              <w:framePr w:hSpace="0" w:wrap="auto" w:vAnchor="margin" w:yAlign="inline"/>
              <w:suppressOverlap w:val="0"/>
            </w:pPr>
            <w:r w:rsidRPr="00C6236F">
              <w:t>1 g</w:t>
            </w:r>
          </w:p>
        </w:tc>
        <w:tc>
          <w:tcPr>
            <w:tcW w:w="2319" w:type="dxa"/>
            <w:vAlign w:val="center"/>
          </w:tcPr>
          <w:p w:rsidR="00BB06C8" w:rsidRPr="00C6236F" w:rsidRDefault="00BB06C8" w:rsidP="007262A1">
            <w:pPr>
              <w:pStyle w:val="Tabulkynormlndoblokuzarovnndoleva"/>
              <w:framePr w:hSpace="0" w:wrap="auto" w:vAnchor="margin" w:yAlign="inline"/>
              <w:suppressOverlap w:val="0"/>
            </w:pPr>
            <w:r w:rsidRPr="00C6236F">
              <w:t>2,5 ml</w:t>
            </w:r>
          </w:p>
        </w:tc>
        <w:tc>
          <w:tcPr>
            <w:tcW w:w="2321" w:type="dxa"/>
            <w:vAlign w:val="center"/>
          </w:tcPr>
          <w:p w:rsidR="00BB06C8" w:rsidRPr="00C6236F" w:rsidRDefault="00BB06C8" w:rsidP="007262A1">
            <w:pPr>
              <w:pStyle w:val="Tabulkynormlndoblokuzarovnndoleva"/>
              <w:framePr w:hSpace="0" w:wrap="auto" w:vAnchor="margin" w:yAlign="inline"/>
              <w:suppressOverlap w:val="0"/>
            </w:pPr>
            <w:r w:rsidRPr="00C6236F">
              <w:t>330 mg/ml</w:t>
            </w:r>
          </w:p>
        </w:tc>
        <w:tc>
          <w:tcPr>
            <w:tcW w:w="2321" w:type="dxa"/>
            <w:vAlign w:val="center"/>
          </w:tcPr>
          <w:p w:rsidR="00BB06C8" w:rsidRPr="00C6236F" w:rsidRDefault="00BB06C8" w:rsidP="007262A1">
            <w:pPr>
              <w:pStyle w:val="Tabulkynormlndoblokuzarovnndoleva"/>
              <w:framePr w:hSpace="0" w:wrap="auto" w:vAnchor="margin" w:yAlign="inline"/>
              <w:suppressOverlap w:val="0"/>
            </w:pPr>
            <w:r w:rsidRPr="00C6236F">
              <w:t>3,0 ml</w:t>
            </w:r>
          </w:p>
        </w:tc>
      </w:tr>
    </w:tbl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Intravenózne podanie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ZEPILEN môže byť podaný priamo intravenózne, </w:t>
      </w:r>
      <w:proofErr w:type="spellStart"/>
      <w:r w:rsidRPr="00C6236F">
        <w:rPr>
          <w:lang w:val="sk-SK"/>
        </w:rPr>
        <w:t>intermitentnou</w:t>
      </w:r>
      <w:proofErr w:type="spellEnd"/>
      <w:r w:rsidRPr="00C6236F">
        <w:rPr>
          <w:lang w:val="sk-SK"/>
        </w:rPr>
        <w:t xml:space="preserve"> infúziou alebo kontinuálnou infúziou. Celková denná dávka je rovnaká ako pre </w:t>
      </w:r>
      <w:proofErr w:type="spellStart"/>
      <w:r w:rsidRPr="00C6236F">
        <w:rPr>
          <w:lang w:val="sk-SK"/>
        </w:rPr>
        <w:t>intramuskulárne</w:t>
      </w:r>
      <w:proofErr w:type="spellEnd"/>
      <w:r w:rsidRPr="00C6236F">
        <w:rPr>
          <w:lang w:val="sk-SK"/>
        </w:rPr>
        <w:t xml:space="preserve"> podanie.</w:t>
      </w: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proofErr w:type="spellStart"/>
      <w:r w:rsidRPr="00C6236F">
        <w:rPr>
          <w:lang w:val="sk-SK"/>
        </w:rPr>
        <w:t>Intermitentná</w:t>
      </w:r>
      <w:proofErr w:type="spellEnd"/>
      <w:r w:rsidRPr="00C6236F">
        <w:rPr>
          <w:lang w:val="sk-SK"/>
        </w:rPr>
        <w:t xml:space="preserve"> a kontinuálna infúzia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ZEPILEN môže byť podaný v rámci prebiehajúcej intravenóznej liečby, v primárnej alebo sekundárnej intravenóznej fľaši.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500 mg až 2 g ZEPILENU môže byť rozpustené v 50 až 100 ml nasledovných intravenóznych roztokov:</w:t>
      </w:r>
    </w:p>
    <w:p w:rsidR="00BB06C8" w:rsidRPr="00C6236F" w:rsidRDefault="00BB06C8" w:rsidP="00687D8E">
      <w:pPr>
        <w:pStyle w:val="Normlndoblokusodrkami"/>
        <w:rPr>
          <w:lang w:val="sk-SK"/>
        </w:rPr>
      </w:pPr>
      <w:r w:rsidRPr="00C6236F">
        <w:rPr>
          <w:lang w:val="sk-SK"/>
        </w:rPr>
        <w:t>0,9 % chlorid sodný</w:t>
      </w:r>
    </w:p>
    <w:p w:rsidR="00BB06C8" w:rsidRPr="00C6236F" w:rsidRDefault="00BB06C8" w:rsidP="00687D8E">
      <w:pPr>
        <w:pStyle w:val="Normlndoblokusodrkami"/>
        <w:rPr>
          <w:lang w:val="sk-SK"/>
        </w:rPr>
      </w:pPr>
      <w:r w:rsidRPr="00C6236F">
        <w:rPr>
          <w:lang w:val="sk-SK"/>
        </w:rPr>
        <w:t>0,9% chlorid sodný a 5% roztok glukózy</w:t>
      </w:r>
    </w:p>
    <w:p w:rsidR="00BB06C8" w:rsidRPr="00C6236F" w:rsidRDefault="00BB06C8" w:rsidP="00687D8E">
      <w:pPr>
        <w:pStyle w:val="Normlndoblokusodrkami"/>
        <w:rPr>
          <w:lang w:val="sk-SK"/>
        </w:rPr>
      </w:pPr>
      <w:r w:rsidRPr="00C6236F">
        <w:rPr>
          <w:lang w:val="sk-SK"/>
        </w:rPr>
        <w:t>Ringerov roztok s laktátom</w:t>
      </w:r>
    </w:p>
    <w:p w:rsid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Čerstvo rozpustený roztok sa odporúča ihneď použiť. Roztok je stabilný 24 hodín pri uchovávaní v chladničke od 2 °C až do 8 °C.</w:t>
      </w:r>
    </w:p>
    <w:p w:rsidR="006C364B" w:rsidRPr="00C6236F" w:rsidRDefault="006C364B" w:rsidP="007262A1">
      <w:pPr>
        <w:pStyle w:val="Normlndobloku"/>
        <w:jc w:val="left"/>
        <w:rPr>
          <w:lang w:val="sk-SK"/>
        </w:rPr>
      </w:pPr>
    </w:p>
    <w:p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Priama intravenózna injekcia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 xml:space="preserve">ZEPILEN sa najprv rozpustí v 2,5 ml vody na injekciu (postupom uvedeným vyššie v bode </w:t>
      </w:r>
      <w:proofErr w:type="spellStart"/>
      <w:r w:rsidRPr="00C6236F">
        <w:rPr>
          <w:lang w:val="sk-SK"/>
        </w:rPr>
        <w:t>Intramuskulárne</w:t>
      </w:r>
      <w:proofErr w:type="spellEnd"/>
      <w:r w:rsidRPr="00C6236F">
        <w:rPr>
          <w:lang w:val="sk-SK"/>
        </w:rPr>
        <w:t xml:space="preserve"> injekcie) a ďalej sa nariedi s vodou na injekciu minimálne na 10 ml. Aplikuje sa pomaly počas troch až piatich minút. V žiadnom prípade neskracujte dobu podávania na menej ako 3 minúty. Možno podať priamo do žily alebo do kanýl, ktorými pacient dostáva vyššie uvedené intravenózne roztoky.</w:t>
      </w:r>
    </w:p>
    <w:p w:rsidR="00BB06C8" w:rsidRPr="00C6236F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Čerstvo rozpustený roztok sa odporúča ihneď použiť. Ak je to potrebné, roztok je možné uchovať 24 hodín v chladničke pri teplote 2 °C – 8 °C.</w:t>
      </w:r>
    </w:p>
    <w:p w:rsidR="00B65DDE" w:rsidRPr="00BB06C8" w:rsidRDefault="00BB06C8" w:rsidP="007262A1">
      <w:pPr>
        <w:pStyle w:val="Normlndobloku"/>
        <w:jc w:val="left"/>
        <w:rPr>
          <w:lang w:val="sk-SK"/>
        </w:rPr>
      </w:pPr>
      <w:r w:rsidRPr="00C6236F">
        <w:rPr>
          <w:lang w:val="sk-SK"/>
        </w:rPr>
        <w:t>Poznámka: Jednotlivé dávky väčšie ako 1 g sa majú podať v priebehu 30 až 60 minút.</w:t>
      </w:r>
    </w:p>
    <w:sectPr w:rsidR="00B65DDE" w:rsidRPr="00BB06C8" w:rsidSect="00272EE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2B6" w:rsidRDefault="006152B6" w:rsidP="00BB06C8">
      <w:r>
        <w:separator/>
      </w:r>
    </w:p>
  </w:endnote>
  <w:endnote w:type="continuationSeparator" w:id="0">
    <w:p w:rsidR="006152B6" w:rsidRDefault="006152B6" w:rsidP="00BB0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DE" w:rsidRDefault="00DC3202" w:rsidP="00B65DDE">
    <w:pPr>
      <w:pStyle w:val="Pta"/>
      <w:rPr>
        <w:rStyle w:val="slostrany"/>
      </w:rPr>
    </w:pPr>
    <w:r>
      <w:rPr>
        <w:rStyle w:val="slostrany"/>
      </w:rPr>
      <w:fldChar w:fldCharType="begin"/>
    </w:r>
    <w:r w:rsidR="00B65DD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65DDE" w:rsidRDefault="00B65DDE" w:rsidP="00B65DD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DE" w:rsidRPr="00272EE0" w:rsidRDefault="00DC3202" w:rsidP="00B65DDE">
    <w:pPr>
      <w:pStyle w:val="Pta"/>
      <w:jc w:val="center"/>
      <w:rPr>
        <w:sz w:val="18"/>
        <w:szCs w:val="18"/>
      </w:rPr>
    </w:pPr>
    <w:r w:rsidRPr="00272EE0">
      <w:rPr>
        <w:rStyle w:val="slostrany"/>
        <w:sz w:val="18"/>
        <w:szCs w:val="18"/>
      </w:rPr>
      <w:fldChar w:fldCharType="begin"/>
    </w:r>
    <w:r w:rsidR="00B65DDE" w:rsidRPr="00272EE0">
      <w:rPr>
        <w:rStyle w:val="slostrany"/>
        <w:sz w:val="18"/>
        <w:szCs w:val="18"/>
      </w:rPr>
      <w:instrText xml:space="preserve"> PAGE </w:instrText>
    </w:r>
    <w:r w:rsidRPr="00272EE0">
      <w:rPr>
        <w:rStyle w:val="slostrany"/>
        <w:sz w:val="18"/>
        <w:szCs w:val="18"/>
      </w:rPr>
      <w:fldChar w:fldCharType="separate"/>
    </w:r>
    <w:r w:rsidR="00D02594">
      <w:rPr>
        <w:rStyle w:val="slostrany"/>
        <w:noProof/>
        <w:sz w:val="18"/>
        <w:szCs w:val="18"/>
      </w:rPr>
      <w:t>5</w:t>
    </w:r>
    <w:r w:rsidRPr="00272EE0">
      <w:rPr>
        <w:rStyle w:val="slostrany"/>
        <w:sz w:val="18"/>
        <w:szCs w:val="18"/>
      </w:rPr>
      <w:fldChar w:fldCharType="end"/>
    </w:r>
    <w:r w:rsidR="00B65DDE" w:rsidRPr="00272EE0">
      <w:rPr>
        <w:rStyle w:val="slostrany"/>
        <w:sz w:val="18"/>
        <w:szCs w:val="18"/>
      </w:rPr>
      <w:t>/</w:t>
    </w:r>
    <w:r w:rsidRPr="00272EE0">
      <w:rPr>
        <w:rStyle w:val="slostrany"/>
        <w:sz w:val="18"/>
        <w:szCs w:val="18"/>
      </w:rPr>
      <w:fldChar w:fldCharType="begin"/>
    </w:r>
    <w:r w:rsidR="00B65DDE" w:rsidRPr="00272EE0">
      <w:rPr>
        <w:rStyle w:val="slostrany"/>
        <w:sz w:val="18"/>
        <w:szCs w:val="18"/>
      </w:rPr>
      <w:instrText xml:space="preserve"> NUMPAGES </w:instrText>
    </w:r>
    <w:r w:rsidRPr="00272EE0">
      <w:rPr>
        <w:rStyle w:val="slostrany"/>
        <w:sz w:val="18"/>
        <w:szCs w:val="18"/>
      </w:rPr>
      <w:fldChar w:fldCharType="separate"/>
    </w:r>
    <w:r w:rsidR="00D02594">
      <w:rPr>
        <w:rStyle w:val="slostrany"/>
        <w:noProof/>
        <w:sz w:val="18"/>
        <w:szCs w:val="18"/>
      </w:rPr>
      <w:t>7</w:t>
    </w:r>
    <w:r w:rsidRPr="00272EE0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DE" w:rsidRPr="00272EE0" w:rsidRDefault="00DC3202" w:rsidP="00BB06C8">
    <w:pPr>
      <w:pStyle w:val="Pta"/>
      <w:tabs>
        <w:tab w:val="center" w:pos="4677"/>
        <w:tab w:val="left" w:pos="5445"/>
      </w:tabs>
      <w:jc w:val="center"/>
      <w:rPr>
        <w:sz w:val="18"/>
        <w:szCs w:val="18"/>
      </w:rPr>
    </w:pPr>
    <w:r w:rsidRPr="00272EE0">
      <w:rPr>
        <w:rStyle w:val="slostrany"/>
        <w:sz w:val="18"/>
        <w:szCs w:val="18"/>
      </w:rPr>
      <w:fldChar w:fldCharType="begin"/>
    </w:r>
    <w:r w:rsidR="00B65DDE" w:rsidRPr="00272EE0">
      <w:rPr>
        <w:rStyle w:val="slostrany"/>
        <w:sz w:val="18"/>
        <w:szCs w:val="18"/>
      </w:rPr>
      <w:instrText xml:space="preserve"> PAGE </w:instrText>
    </w:r>
    <w:r w:rsidRPr="00272EE0">
      <w:rPr>
        <w:rStyle w:val="slostrany"/>
        <w:sz w:val="18"/>
        <w:szCs w:val="18"/>
      </w:rPr>
      <w:fldChar w:fldCharType="separate"/>
    </w:r>
    <w:r w:rsidR="00D02594">
      <w:rPr>
        <w:rStyle w:val="slostrany"/>
        <w:noProof/>
        <w:sz w:val="18"/>
        <w:szCs w:val="18"/>
      </w:rPr>
      <w:t>1</w:t>
    </w:r>
    <w:r w:rsidRPr="00272EE0">
      <w:rPr>
        <w:rStyle w:val="slostrany"/>
        <w:sz w:val="18"/>
        <w:szCs w:val="18"/>
      </w:rPr>
      <w:fldChar w:fldCharType="end"/>
    </w:r>
    <w:r w:rsidR="00B65DDE" w:rsidRPr="00272EE0">
      <w:rPr>
        <w:rStyle w:val="slostrany"/>
        <w:sz w:val="18"/>
        <w:szCs w:val="18"/>
      </w:rPr>
      <w:t>/</w:t>
    </w:r>
    <w:r w:rsidRPr="00272EE0">
      <w:rPr>
        <w:rStyle w:val="slostrany"/>
        <w:sz w:val="18"/>
        <w:szCs w:val="18"/>
      </w:rPr>
      <w:fldChar w:fldCharType="begin"/>
    </w:r>
    <w:r w:rsidR="00B65DDE" w:rsidRPr="00272EE0">
      <w:rPr>
        <w:rStyle w:val="slostrany"/>
        <w:sz w:val="18"/>
        <w:szCs w:val="18"/>
      </w:rPr>
      <w:instrText xml:space="preserve"> NUMPAGES </w:instrText>
    </w:r>
    <w:r w:rsidRPr="00272EE0">
      <w:rPr>
        <w:rStyle w:val="slostrany"/>
        <w:sz w:val="18"/>
        <w:szCs w:val="18"/>
      </w:rPr>
      <w:fldChar w:fldCharType="separate"/>
    </w:r>
    <w:r w:rsidR="00D02594">
      <w:rPr>
        <w:rStyle w:val="slostrany"/>
        <w:noProof/>
        <w:sz w:val="18"/>
        <w:szCs w:val="18"/>
      </w:rPr>
      <w:t>7</w:t>
    </w:r>
    <w:r w:rsidRPr="00272EE0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2B6" w:rsidRDefault="006152B6" w:rsidP="00BB06C8">
      <w:r>
        <w:separator/>
      </w:r>
    </w:p>
  </w:footnote>
  <w:footnote w:type="continuationSeparator" w:id="0">
    <w:p w:rsidR="006152B6" w:rsidRDefault="006152B6" w:rsidP="00BB0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DE" w:rsidRDefault="00B65DDE" w:rsidP="00BB06C8">
    <w:pPr>
      <w:pStyle w:val="Hlavika"/>
    </w:pPr>
    <w:r w:rsidRPr="00B11F38">
      <w:rPr>
        <w:sz w:val="18"/>
        <w:szCs w:val="18"/>
        <w:lang w:val="sk-SK"/>
      </w:rPr>
      <w:t>Schválený text k rozhodnutiu o </w:t>
    </w:r>
    <w:r w:rsidR="003265FE">
      <w:rPr>
        <w:sz w:val="18"/>
        <w:szCs w:val="18"/>
        <w:lang w:val="sk-SK"/>
      </w:rPr>
      <w:t>prevode</w:t>
    </w:r>
    <w:r w:rsidRPr="00B11F38">
      <w:rPr>
        <w:sz w:val="18"/>
        <w:szCs w:val="18"/>
        <w:lang w:val="sk-SK"/>
      </w:rPr>
      <w:t xml:space="preserve">, </w:t>
    </w:r>
    <w:proofErr w:type="spellStart"/>
    <w:r w:rsidRPr="00B11F38">
      <w:rPr>
        <w:sz w:val="18"/>
        <w:szCs w:val="18"/>
        <w:lang w:val="sk-SK"/>
      </w:rPr>
      <w:t>ev.č</w:t>
    </w:r>
    <w:proofErr w:type="spellEnd"/>
    <w:r w:rsidRPr="00B11F38">
      <w:rPr>
        <w:sz w:val="18"/>
        <w:szCs w:val="18"/>
        <w:lang w:val="sk-SK"/>
      </w:rPr>
      <w:t xml:space="preserve">.: </w:t>
    </w:r>
    <w:r w:rsidR="003576F9">
      <w:rPr>
        <w:sz w:val="18"/>
        <w:szCs w:val="18"/>
        <w:lang w:val="sk-SK"/>
      </w:rPr>
      <w:t>2017/03128-TR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D17"/>
    <w:multiLevelType w:val="singleLevel"/>
    <w:tmpl w:val="040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4C7DB5"/>
    <w:multiLevelType w:val="hybridMultilevel"/>
    <w:tmpl w:val="4DCE25B4"/>
    <w:lvl w:ilvl="0" w:tplc="ADA290D8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40FC5"/>
    <w:multiLevelType w:val="singleLevel"/>
    <w:tmpl w:val="46245AC0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57C26BBA"/>
    <w:multiLevelType w:val="hybridMultilevel"/>
    <w:tmpl w:val="28362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D4AA7"/>
    <w:multiLevelType w:val="multilevel"/>
    <w:tmpl w:val="A866D78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B12B9"/>
    <w:rsid w:val="00007B94"/>
    <w:rsid w:val="00050078"/>
    <w:rsid w:val="0008359C"/>
    <w:rsid w:val="000C6F83"/>
    <w:rsid w:val="001D2793"/>
    <w:rsid w:val="001F7FDF"/>
    <w:rsid w:val="002425E0"/>
    <w:rsid w:val="00252DAC"/>
    <w:rsid w:val="0026710C"/>
    <w:rsid w:val="00272EE0"/>
    <w:rsid w:val="00293F53"/>
    <w:rsid w:val="002B12B9"/>
    <w:rsid w:val="002D6BA5"/>
    <w:rsid w:val="002F506F"/>
    <w:rsid w:val="00305A5F"/>
    <w:rsid w:val="003223DF"/>
    <w:rsid w:val="003265FE"/>
    <w:rsid w:val="003354DC"/>
    <w:rsid w:val="00342111"/>
    <w:rsid w:val="00350C8C"/>
    <w:rsid w:val="003576F9"/>
    <w:rsid w:val="003F5EBC"/>
    <w:rsid w:val="00496240"/>
    <w:rsid w:val="004D10D9"/>
    <w:rsid w:val="004E1E58"/>
    <w:rsid w:val="00511F2D"/>
    <w:rsid w:val="0053570C"/>
    <w:rsid w:val="005C18A6"/>
    <w:rsid w:val="006152B6"/>
    <w:rsid w:val="00616B81"/>
    <w:rsid w:val="00656608"/>
    <w:rsid w:val="00685375"/>
    <w:rsid w:val="00687D8E"/>
    <w:rsid w:val="006C364B"/>
    <w:rsid w:val="006F1380"/>
    <w:rsid w:val="007262A1"/>
    <w:rsid w:val="00792F09"/>
    <w:rsid w:val="007E7981"/>
    <w:rsid w:val="007F3AE7"/>
    <w:rsid w:val="00827A84"/>
    <w:rsid w:val="00845EA8"/>
    <w:rsid w:val="00861388"/>
    <w:rsid w:val="008726A3"/>
    <w:rsid w:val="008C3250"/>
    <w:rsid w:val="00911598"/>
    <w:rsid w:val="009202A0"/>
    <w:rsid w:val="00A10DEE"/>
    <w:rsid w:val="00AA575E"/>
    <w:rsid w:val="00AA6E0E"/>
    <w:rsid w:val="00AB3D4E"/>
    <w:rsid w:val="00B65DDE"/>
    <w:rsid w:val="00B909C8"/>
    <w:rsid w:val="00BB06C8"/>
    <w:rsid w:val="00C53D1D"/>
    <w:rsid w:val="00C74E70"/>
    <w:rsid w:val="00C96682"/>
    <w:rsid w:val="00CB1822"/>
    <w:rsid w:val="00D02594"/>
    <w:rsid w:val="00D36730"/>
    <w:rsid w:val="00D46143"/>
    <w:rsid w:val="00D6362D"/>
    <w:rsid w:val="00D677A3"/>
    <w:rsid w:val="00D7756D"/>
    <w:rsid w:val="00DA0A2F"/>
    <w:rsid w:val="00DB72EA"/>
    <w:rsid w:val="00DC3202"/>
    <w:rsid w:val="00E302B2"/>
    <w:rsid w:val="00E75EA0"/>
    <w:rsid w:val="00EC1FF6"/>
    <w:rsid w:val="00ED3540"/>
    <w:rsid w:val="00F73D2C"/>
    <w:rsid w:val="00FD1775"/>
    <w:rsid w:val="00FE1E97"/>
    <w:rsid w:val="00FF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BB06C8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rsid w:val="006C364B"/>
    <w:pPr>
      <w:keepNext/>
      <w:numPr>
        <w:numId w:val="1"/>
      </w:numPr>
      <w:spacing w:before="120" w:after="120"/>
      <w:ind w:left="357" w:hanging="357"/>
    </w:pPr>
    <w:rPr>
      <w:b/>
      <w:bCs/>
      <w:caps/>
      <w:szCs w:val="24"/>
    </w:rPr>
  </w:style>
  <w:style w:type="paragraph" w:customStyle="1" w:styleId="Styl2">
    <w:name w:val="Styl2"/>
    <w:basedOn w:val="Normlny"/>
    <w:link w:val="Styl2Char"/>
    <w:autoRedefine/>
    <w:qFormat/>
    <w:rsid w:val="00C96682"/>
    <w:pPr>
      <w:keepNext/>
      <w:spacing w:before="120" w:after="120"/>
    </w:pPr>
    <w:rPr>
      <w:b/>
      <w:bCs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szCs w:val="24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6C364B"/>
    <w:pPr>
      <w:suppressAutoHyphens/>
      <w:jc w:val="both"/>
    </w:pPr>
    <w:rPr>
      <w:rFonts w:eastAsia="Calibri"/>
      <w:szCs w:val="24"/>
    </w:rPr>
  </w:style>
  <w:style w:type="character" w:customStyle="1" w:styleId="NormlndoblokuChar">
    <w:name w:val="Normální do bloku Char"/>
    <w:link w:val="Normlndobloku"/>
    <w:rsid w:val="006C364B"/>
    <w:rPr>
      <w:rFonts w:ascii="Times New Roman" w:eastAsia="Calibri" w:hAnsi="Times New Roman" w:cs="Times New Roman"/>
      <w:szCs w:val="24"/>
      <w:lang w:val="en-US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87D8E"/>
    <w:pPr>
      <w:numPr>
        <w:numId w:val="3"/>
      </w:numPr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C96682"/>
    <w:pPr>
      <w:spacing w:after="120"/>
      <w:jc w:val="center"/>
    </w:pPr>
    <w:rPr>
      <w:b/>
    </w:rPr>
  </w:style>
  <w:style w:type="character" w:styleId="Hypertextovprepojenie">
    <w:name w:val="Hyperlink"/>
    <w:rsid w:val="00BB06C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BB06C8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06C8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Pta">
    <w:name w:val="footer"/>
    <w:basedOn w:val="Normlny"/>
    <w:link w:val="PtaChar"/>
    <w:rsid w:val="00BB06C8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BB06C8"/>
    <w:rPr>
      <w:rFonts w:ascii="Times New Roman" w:eastAsia="Times New Roman" w:hAnsi="Times New Roman" w:cs="Times New Roman"/>
      <w:szCs w:val="20"/>
      <w:lang w:val="en-US" w:eastAsia="cs-CZ"/>
    </w:rPr>
  </w:style>
  <w:style w:type="character" w:styleId="slostrany">
    <w:name w:val="page number"/>
    <w:basedOn w:val="Predvolenpsmoodseku"/>
    <w:rsid w:val="00BB06C8"/>
  </w:style>
  <w:style w:type="character" w:customStyle="1" w:styleId="shorttext">
    <w:name w:val="short_text"/>
    <w:rsid w:val="00BB06C8"/>
  </w:style>
  <w:style w:type="character" w:customStyle="1" w:styleId="Styl2Char">
    <w:name w:val="Styl2 Char"/>
    <w:link w:val="Styl2"/>
    <w:locked/>
    <w:rsid w:val="00C96682"/>
    <w:rPr>
      <w:rFonts w:ascii="Times New Roman" w:eastAsia="Times New Roman" w:hAnsi="Times New Roman" w:cs="Times New Roman"/>
      <w:b/>
      <w:bCs/>
      <w:szCs w:val="20"/>
      <w:lang w:val="en-US" w:eastAsia="cs-CZ"/>
    </w:rPr>
  </w:style>
  <w:style w:type="paragraph" w:customStyle="1" w:styleId="Tabulkynormlndoblokuzarovnndoleva">
    <w:name w:val="Tabulky = normální do bloku + zarovnání doleva"/>
    <w:basedOn w:val="Normlndobloku"/>
    <w:rsid w:val="00BB06C8"/>
    <w:pPr>
      <w:framePr w:hSpace="142" w:wrap="around" w:vAnchor="text" w:hAnchor="text" w:y="1"/>
      <w:suppressOverlap/>
      <w:jc w:val="left"/>
    </w:pPr>
    <w:rPr>
      <w:rFonts w:ascii="TimesNewRoman" w:hAnsi="TimesNewRoman" w:cs="TimesNewRoman"/>
      <w:szCs w:val="20"/>
      <w:lang w:val="sk-SK"/>
    </w:rPr>
  </w:style>
  <w:style w:type="paragraph" w:customStyle="1" w:styleId="Nadpisuvnittabulky">
    <w:name w:val="Nadpis uvnitř tabulky"/>
    <w:basedOn w:val="Tabulkynormlndoblokuzarovnndoleva"/>
    <w:qFormat/>
    <w:rsid w:val="00BB06C8"/>
    <w:pPr>
      <w:framePr w:hSpace="0" w:wrap="auto" w:vAnchor="margin" w:yAlign="inline"/>
      <w:spacing w:before="120"/>
      <w:suppressOverlap w:val="0"/>
    </w:pPr>
    <w:rPr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6F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F83"/>
    <w:rPr>
      <w:rFonts w:ascii="Tahoma" w:eastAsia="Times New Roman" w:hAnsi="Tahoma" w:cs="Tahoma"/>
      <w:sz w:val="16"/>
      <w:szCs w:val="16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BB06C8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rsid w:val="006C364B"/>
    <w:pPr>
      <w:keepNext/>
      <w:numPr>
        <w:numId w:val="1"/>
      </w:numPr>
      <w:spacing w:before="120" w:after="120"/>
      <w:ind w:left="357" w:hanging="357"/>
    </w:pPr>
    <w:rPr>
      <w:b/>
      <w:bCs/>
      <w:caps/>
      <w:szCs w:val="24"/>
    </w:rPr>
  </w:style>
  <w:style w:type="paragraph" w:customStyle="1" w:styleId="Styl2">
    <w:name w:val="Styl2"/>
    <w:basedOn w:val="Normlny"/>
    <w:link w:val="Styl2Char"/>
    <w:autoRedefine/>
    <w:qFormat/>
    <w:rsid w:val="00C96682"/>
    <w:pPr>
      <w:keepNext/>
      <w:spacing w:before="120" w:after="120"/>
    </w:pPr>
    <w:rPr>
      <w:b/>
      <w:bCs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szCs w:val="24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6C364B"/>
    <w:pPr>
      <w:suppressAutoHyphens/>
      <w:jc w:val="both"/>
    </w:pPr>
    <w:rPr>
      <w:rFonts w:eastAsia="Calibri"/>
      <w:szCs w:val="24"/>
    </w:rPr>
  </w:style>
  <w:style w:type="character" w:customStyle="1" w:styleId="NormlndoblokuChar">
    <w:name w:val="Normální do bloku Char"/>
    <w:link w:val="Normlndobloku"/>
    <w:rsid w:val="006C364B"/>
    <w:rPr>
      <w:rFonts w:ascii="Times New Roman" w:eastAsia="Calibri" w:hAnsi="Times New Roman" w:cs="Times New Roman"/>
      <w:szCs w:val="24"/>
      <w:lang w:val="en-US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87D8E"/>
    <w:pPr>
      <w:numPr>
        <w:numId w:val="3"/>
      </w:numPr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C96682"/>
    <w:pPr>
      <w:spacing w:after="120"/>
      <w:jc w:val="center"/>
    </w:pPr>
    <w:rPr>
      <w:b/>
    </w:rPr>
  </w:style>
  <w:style w:type="character" w:styleId="Hypertextovprepojenie">
    <w:name w:val="Hyperlink"/>
    <w:rsid w:val="00BB06C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BB06C8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06C8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Pta">
    <w:name w:val="footer"/>
    <w:basedOn w:val="Normlny"/>
    <w:link w:val="PtaChar"/>
    <w:rsid w:val="00BB06C8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BB06C8"/>
    <w:rPr>
      <w:rFonts w:ascii="Times New Roman" w:eastAsia="Times New Roman" w:hAnsi="Times New Roman" w:cs="Times New Roman"/>
      <w:szCs w:val="20"/>
      <w:lang w:val="en-US" w:eastAsia="cs-CZ"/>
    </w:rPr>
  </w:style>
  <w:style w:type="character" w:styleId="slostrany">
    <w:name w:val="page number"/>
    <w:basedOn w:val="Predvolenpsmoodseku"/>
    <w:rsid w:val="00BB06C8"/>
  </w:style>
  <w:style w:type="character" w:customStyle="1" w:styleId="shorttext">
    <w:name w:val="short_text"/>
    <w:rsid w:val="00BB06C8"/>
  </w:style>
  <w:style w:type="character" w:customStyle="1" w:styleId="Styl2Char">
    <w:name w:val="Styl2 Char"/>
    <w:link w:val="Styl2"/>
    <w:locked/>
    <w:rsid w:val="00C96682"/>
    <w:rPr>
      <w:rFonts w:ascii="Times New Roman" w:eastAsia="Times New Roman" w:hAnsi="Times New Roman" w:cs="Times New Roman"/>
      <w:b/>
      <w:bCs/>
      <w:szCs w:val="20"/>
      <w:lang w:val="en-US" w:eastAsia="cs-CZ"/>
    </w:rPr>
  </w:style>
  <w:style w:type="paragraph" w:customStyle="1" w:styleId="Tabulkynormlndoblokuzarovnndoleva">
    <w:name w:val="Tabulky = normální do bloku + zarovnání doleva"/>
    <w:basedOn w:val="Normlndobloku"/>
    <w:rsid w:val="00BB06C8"/>
    <w:pPr>
      <w:framePr w:hSpace="142" w:wrap="around" w:vAnchor="text" w:hAnchor="text" w:y="1"/>
      <w:suppressOverlap/>
      <w:jc w:val="left"/>
    </w:pPr>
    <w:rPr>
      <w:rFonts w:ascii="TimesNewRoman" w:hAnsi="TimesNewRoman" w:cs="TimesNewRoman"/>
      <w:szCs w:val="20"/>
      <w:lang w:val="sk-SK"/>
    </w:rPr>
  </w:style>
  <w:style w:type="paragraph" w:customStyle="1" w:styleId="Nadpisuvnittabulky">
    <w:name w:val="Nadpis uvnitř tabulky"/>
    <w:basedOn w:val="Tabulkynormlndoblokuzarovnndoleva"/>
    <w:qFormat/>
    <w:rsid w:val="00BB06C8"/>
    <w:pPr>
      <w:framePr w:hSpace="0" w:wrap="auto" w:vAnchor="margin" w:yAlign="inline"/>
      <w:spacing w:before="120"/>
      <w:suppressOverlap w:val="0"/>
    </w:pPr>
    <w:rPr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6F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F83"/>
    <w:rPr>
      <w:rFonts w:ascii="Tahoma" w:eastAsia="Times New Roman" w:hAnsi="Tahoma" w:cs="Tahoma"/>
      <w:sz w:val="16"/>
      <w:szCs w:val="16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AB37-C178-4E7B-BE28-BE47B467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2614</Words>
  <Characters>14903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 Jana Repiščáková</cp:lastModifiedBy>
  <cp:revision>5</cp:revision>
  <cp:lastPrinted>2016-03-21T10:59:00Z</cp:lastPrinted>
  <dcterms:created xsi:type="dcterms:W3CDTF">2017-06-29T10:02:00Z</dcterms:created>
  <dcterms:modified xsi:type="dcterms:W3CDTF">2017-06-29T10:26:00Z</dcterms:modified>
</cp:coreProperties>
</file>