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C68" w:rsidRDefault="000907E4" w:rsidP="00DD02F6">
      <w:pPr>
        <w:rPr>
          <w:sz w:val="18"/>
          <w:szCs w:val="18"/>
          <w:lang w:val="sk-SK"/>
        </w:rPr>
      </w:pPr>
      <w:r>
        <w:rPr>
          <w:sz w:val="18"/>
          <w:szCs w:val="18"/>
          <w:lang w:val="sk-SK"/>
        </w:rPr>
        <w:t>Príloha č. 2 k notifikácii o zmene, ev. č.:</w:t>
      </w:r>
      <w:r w:rsidR="00AC46AF">
        <w:rPr>
          <w:sz w:val="18"/>
          <w:szCs w:val="18"/>
          <w:lang w:val="sk-SK"/>
        </w:rPr>
        <w:t xml:space="preserve"> </w:t>
      </w:r>
      <w:r w:rsidR="00AC46AF" w:rsidRPr="00AC46AF">
        <w:rPr>
          <w:sz w:val="18"/>
          <w:szCs w:val="18"/>
          <w:lang w:val="sk-SK"/>
        </w:rPr>
        <w:t>2016/00831-Z1B</w:t>
      </w:r>
    </w:p>
    <w:p w:rsidR="00DD02F6" w:rsidRPr="00DD1881" w:rsidRDefault="008109B6" w:rsidP="00DD02F6">
      <w:pPr>
        <w:rPr>
          <w:sz w:val="18"/>
          <w:szCs w:val="18"/>
          <w:lang w:val="sk-SK"/>
        </w:rPr>
      </w:pPr>
      <w:r>
        <w:rPr>
          <w:sz w:val="18"/>
          <w:szCs w:val="18"/>
          <w:lang w:val="sk-SK"/>
        </w:rPr>
        <w:t xml:space="preserve">Príloha č. 1 k notifikácii o zmene, ev. č.: </w:t>
      </w:r>
      <w:r w:rsidR="00862A2E">
        <w:rPr>
          <w:sz w:val="18"/>
          <w:szCs w:val="18"/>
          <w:lang w:val="sk-SK"/>
        </w:rPr>
        <w:t>2017/03345-Z1A</w:t>
      </w:r>
    </w:p>
    <w:p w:rsidR="000907E4" w:rsidRDefault="000907E4" w:rsidP="005B215C">
      <w:pPr>
        <w:jc w:val="center"/>
        <w:outlineLvl w:val="0"/>
        <w:rPr>
          <w:b/>
          <w:noProof/>
          <w:sz w:val="22"/>
          <w:szCs w:val="22"/>
        </w:rPr>
      </w:pPr>
    </w:p>
    <w:p w:rsidR="005B215C" w:rsidRPr="005B215C" w:rsidRDefault="005B215C" w:rsidP="005B215C">
      <w:pPr>
        <w:jc w:val="center"/>
        <w:outlineLvl w:val="0"/>
        <w:rPr>
          <w:noProof/>
          <w:sz w:val="22"/>
          <w:szCs w:val="22"/>
        </w:rPr>
      </w:pPr>
      <w:r w:rsidRPr="005B215C">
        <w:rPr>
          <w:b/>
          <w:noProof/>
          <w:sz w:val="22"/>
          <w:szCs w:val="22"/>
        </w:rPr>
        <w:t>Písomná informácia pre používateľa</w:t>
      </w:r>
    </w:p>
    <w:p w:rsidR="005B215C" w:rsidRPr="005B215C" w:rsidRDefault="005B215C" w:rsidP="005B215C">
      <w:pPr>
        <w:jc w:val="center"/>
        <w:rPr>
          <w:noProof/>
          <w:sz w:val="22"/>
          <w:szCs w:val="22"/>
        </w:rPr>
      </w:pPr>
    </w:p>
    <w:p w:rsidR="00DD02F6" w:rsidRPr="00DD1881" w:rsidRDefault="00DD1881" w:rsidP="00DD02F6">
      <w:pPr>
        <w:numPr>
          <w:ilvl w:val="12"/>
          <w:numId w:val="0"/>
        </w:numPr>
        <w:jc w:val="center"/>
        <w:rPr>
          <w:b/>
          <w:bCs/>
          <w:sz w:val="22"/>
          <w:szCs w:val="22"/>
          <w:lang w:val="sk-SK"/>
        </w:rPr>
      </w:pPr>
      <w:r>
        <w:rPr>
          <w:b/>
          <w:bCs/>
          <w:sz w:val="22"/>
          <w:szCs w:val="22"/>
          <w:lang w:val="sk-SK"/>
        </w:rPr>
        <w:t>BITAMMON</w:t>
      </w:r>
      <w:r w:rsidR="00DD02F6" w:rsidRPr="00DD1881">
        <w:rPr>
          <w:b/>
          <w:bCs/>
          <w:sz w:val="22"/>
          <w:szCs w:val="22"/>
          <w:lang w:val="sk-SK"/>
        </w:rPr>
        <w:t xml:space="preserve"> </w:t>
      </w:r>
      <w:r w:rsidR="00C87FD9" w:rsidRPr="00DD1881">
        <w:rPr>
          <w:b/>
          <w:bCs/>
          <w:sz w:val="22"/>
          <w:szCs w:val="22"/>
          <w:lang w:val="sk-SK"/>
        </w:rPr>
        <w:t>1</w:t>
      </w:r>
      <w:r w:rsidR="003647A2">
        <w:rPr>
          <w:b/>
          <w:bCs/>
          <w:sz w:val="22"/>
          <w:szCs w:val="22"/>
          <w:lang w:val="sk-SK"/>
        </w:rPr>
        <w:t xml:space="preserve"> </w:t>
      </w:r>
      <w:r w:rsidR="00C87FD9" w:rsidRPr="00DD1881">
        <w:rPr>
          <w:b/>
          <w:bCs/>
          <w:sz w:val="22"/>
          <w:szCs w:val="22"/>
          <w:lang w:val="sk-SK"/>
        </w:rPr>
        <w:t>g/0,5 g</w:t>
      </w:r>
    </w:p>
    <w:p w:rsidR="00DD02F6" w:rsidRPr="00DD1881" w:rsidRDefault="00DD02F6" w:rsidP="00DD02F6">
      <w:pPr>
        <w:numPr>
          <w:ilvl w:val="12"/>
          <w:numId w:val="0"/>
        </w:numPr>
        <w:tabs>
          <w:tab w:val="center" w:pos="4535"/>
          <w:tab w:val="left" w:pos="5910"/>
        </w:tabs>
        <w:rPr>
          <w:bCs/>
          <w:sz w:val="22"/>
          <w:szCs w:val="22"/>
          <w:lang w:val="sk-SK"/>
        </w:rPr>
      </w:pPr>
      <w:r w:rsidRPr="00DD1881">
        <w:rPr>
          <w:bCs/>
          <w:sz w:val="22"/>
          <w:szCs w:val="22"/>
          <w:lang w:val="sk-SK"/>
        </w:rPr>
        <w:tab/>
      </w:r>
      <w:r w:rsidR="005B215C">
        <w:rPr>
          <w:bCs/>
          <w:sz w:val="22"/>
          <w:szCs w:val="22"/>
          <w:lang w:val="sk-SK"/>
        </w:rPr>
        <w:t>p</w:t>
      </w:r>
      <w:r w:rsidR="00C87FD9" w:rsidRPr="00DD1881">
        <w:rPr>
          <w:bCs/>
          <w:sz w:val="22"/>
          <w:szCs w:val="22"/>
          <w:lang w:val="sk-SK"/>
        </w:rPr>
        <w:t>rášok na i</w:t>
      </w:r>
      <w:r w:rsidRPr="00DD1881">
        <w:rPr>
          <w:bCs/>
          <w:sz w:val="22"/>
          <w:szCs w:val="22"/>
          <w:lang w:val="sk-SK"/>
        </w:rPr>
        <w:t xml:space="preserve">njekčný </w:t>
      </w:r>
      <w:r w:rsidR="00C87FD9" w:rsidRPr="00DD1881">
        <w:rPr>
          <w:bCs/>
          <w:sz w:val="22"/>
          <w:szCs w:val="22"/>
          <w:lang w:val="sk-SK"/>
        </w:rPr>
        <w:t>a</w:t>
      </w:r>
      <w:r w:rsidR="001E552B">
        <w:rPr>
          <w:bCs/>
          <w:sz w:val="22"/>
          <w:szCs w:val="22"/>
          <w:lang w:val="sk-SK"/>
        </w:rPr>
        <w:t>lebo</w:t>
      </w:r>
      <w:r w:rsidR="00C87FD9" w:rsidRPr="00DD1881">
        <w:rPr>
          <w:bCs/>
          <w:sz w:val="22"/>
          <w:szCs w:val="22"/>
          <w:lang w:val="sk-SK"/>
        </w:rPr>
        <w:t xml:space="preserve"> infúzny </w:t>
      </w:r>
      <w:r w:rsidRPr="00DD1881">
        <w:rPr>
          <w:bCs/>
          <w:sz w:val="22"/>
          <w:szCs w:val="22"/>
          <w:lang w:val="sk-SK"/>
        </w:rPr>
        <w:t>roztok</w:t>
      </w:r>
      <w:r w:rsidRPr="00DD1881">
        <w:rPr>
          <w:bCs/>
          <w:sz w:val="22"/>
          <w:szCs w:val="22"/>
          <w:lang w:val="sk-SK"/>
        </w:rPr>
        <w:tab/>
      </w:r>
    </w:p>
    <w:p w:rsidR="00DD02F6" w:rsidRPr="00DD1881" w:rsidRDefault="00C87FD9" w:rsidP="00DD02F6">
      <w:pPr>
        <w:numPr>
          <w:ilvl w:val="12"/>
          <w:numId w:val="0"/>
        </w:numPr>
        <w:jc w:val="center"/>
        <w:rPr>
          <w:sz w:val="22"/>
          <w:szCs w:val="22"/>
          <w:lang w:val="sk-SK"/>
        </w:rPr>
      </w:pPr>
      <w:r w:rsidRPr="00DD1881">
        <w:rPr>
          <w:sz w:val="22"/>
          <w:szCs w:val="22"/>
          <w:lang w:val="sk-SK"/>
        </w:rPr>
        <w:t>(</w:t>
      </w:r>
      <w:r w:rsidR="00972C94">
        <w:rPr>
          <w:sz w:val="22"/>
          <w:szCs w:val="22"/>
          <w:lang w:val="sk-SK"/>
        </w:rPr>
        <w:t>ampicil</w:t>
      </w:r>
      <w:r w:rsidR="007B29AE">
        <w:rPr>
          <w:sz w:val="22"/>
          <w:szCs w:val="22"/>
          <w:lang w:val="sk-SK"/>
        </w:rPr>
        <w:t>í</w:t>
      </w:r>
      <w:r w:rsidR="00972C94">
        <w:rPr>
          <w:sz w:val="22"/>
          <w:szCs w:val="22"/>
          <w:lang w:val="sk-SK"/>
        </w:rPr>
        <w:t>n</w:t>
      </w:r>
      <w:r w:rsidR="000907E4">
        <w:rPr>
          <w:sz w:val="22"/>
          <w:szCs w:val="22"/>
          <w:lang w:val="sk-SK"/>
        </w:rPr>
        <w:t xml:space="preserve">, </w:t>
      </w:r>
      <w:r w:rsidR="0059552B">
        <w:rPr>
          <w:sz w:val="22"/>
          <w:szCs w:val="22"/>
          <w:lang w:val="sk-SK"/>
        </w:rPr>
        <w:t>sulbaktám</w:t>
      </w:r>
      <w:r w:rsidR="00DD02F6" w:rsidRPr="00DD1881">
        <w:rPr>
          <w:sz w:val="22"/>
          <w:szCs w:val="22"/>
          <w:lang w:val="sk-SK"/>
        </w:rPr>
        <w:t>)</w:t>
      </w:r>
    </w:p>
    <w:p w:rsidR="00DD02F6" w:rsidRDefault="00DD02F6" w:rsidP="00DD02F6">
      <w:pPr>
        <w:jc w:val="center"/>
        <w:rPr>
          <w:sz w:val="22"/>
          <w:szCs w:val="22"/>
          <w:lang w:val="sk-SK"/>
        </w:rPr>
      </w:pPr>
    </w:p>
    <w:p w:rsidR="004A06B7" w:rsidRPr="00DD1881" w:rsidRDefault="004A06B7" w:rsidP="00DD02F6">
      <w:pPr>
        <w:jc w:val="center"/>
        <w:rPr>
          <w:sz w:val="22"/>
          <w:szCs w:val="22"/>
          <w:lang w:val="sk-SK"/>
        </w:rPr>
      </w:pPr>
    </w:p>
    <w:p w:rsidR="00DD02F6" w:rsidRPr="00DD1881" w:rsidRDefault="00DD02F6" w:rsidP="006C0294">
      <w:pPr>
        <w:ind w:right="-2"/>
        <w:rPr>
          <w:sz w:val="22"/>
          <w:szCs w:val="22"/>
          <w:lang w:val="sk-SK"/>
        </w:rPr>
      </w:pPr>
      <w:r w:rsidRPr="00DD1881">
        <w:rPr>
          <w:b/>
          <w:sz w:val="22"/>
          <w:szCs w:val="22"/>
          <w:lang w:val="sk-SK"/>
        </w:rPr>
        <w:t>Pozorne si prečíta</w:t>
      </w:r>
      <w:r w:rsidR="00C55AF9">
        <w:rPr>
          <w:b/>
          <w:sz w:val="22"/>
          <w:szCs w:val="22"/>
          <w:lang w:val="sk-SK"/>
        </w:rPr>
        <w:t>jte celú písomnú informáciu predtým</w:t>
      </w:r>
      <w:r w:rsidRPr="00DD1881">
        <w:rPr>
          <w:b/>
          <w:sz w:val="22"/>
          <w:szCs w:val="22"/>
          <w:lang w:val="sk-SK"/>
        </w:rPr>
        <w:t xml:space="preserve">, ako začnete </w:t>
      </w:r>
      <w:r w:rsidR="00C55AF9">
        <w:rPr>
          <w:b/>
          <w:sz w:val="22"/>
          <w:szCs w:val="22"/>
          <w:lang w:val="sk-SK"/>
        </w:rPr>
        <w:t>po</w:t>
      </w:r>
      <w:r w:rsidRPr="00DD1881">
        <w:rPr>
          <w:b/>
          <w:sz w:val="22"/>
          <w:szCs w:val="22"/>
          <w:lang w:val="sk-SK"/>
        </w:rPr>
        <w:t>užívať</w:t>
      </w:r>
      <w:r w:rsidRPr="00DD1881">
        <w:rPr>
          <w:sz w:val="22"/>
          <w:szCs w:val="22"/>
          <w:lang w:val="sk-SK"/>
        </w:rPr>
        <w:t xml:space="preserve"> </w:t>
      </w:r>
      <w:r w:rsidR="00C55AF9">
        <w:rPr>
          <w:b/>
          <w:sz w:val="22"/>
          <w:szCs w:val="22"/>
          <w:lang w:val="sk-SK"/>
        </w:rPr>
        <w:t>tento</w:t>
      </w:r>
      <w:r w:rsidRPr="00DD1881">
        <w:rPr>
          <w:b/>
          <w:sz w:val="22"/>
          <w:szCs w:val="22"/>
          <w:lang w:val="sk-SK"/>
        </w:rPr>
        <w:t xml:space="preserve"> liek</w:t>
      </w:r>
      <w:r w:rsidR="00C55AF9">
        <w:rPr>
          <w:b/>
          <w:sz w:val="22"/>
          <w:szCs w:val="22"/>
          <w:lang w:val="sk-SK"/>
        </w:rPr>
        <w:t>, pretože obsahuje pre vás dôležité informácie</w:t>
      </w:r>
      <w:r w:rsidRPr="00DD1881">
        <w:rPr>
          <w:b/>
          <w:sz w:val="22"/>
          <w:szCs w:val="22"/>
          <w:lang w:val="sk-SK"/>
        </w:rPr>
        <w:t>.</w:t>
      </w:r>
    </w:p>
    <w:p w:rsidR="00DD02F6" w:rsidRPr="00DD1881" w:rsidRDefault="00DD02F6" w:rsidP="006C0294">
      <w:pPr>
        <w:numPr>
          <w:ilvl w:val="0"/>
          <w:numId w:val="1"/>
        </w:numPr>
        <w:overflowPunct/>
        <w:autoSpaceDE/>
        <w:autoSpaceDN/>
        <w:adjustRightInd/>
        <w:ind w:left="567" w:right="-2" w:hanging="567"/>
        <w:textAlignment w:val="auto"/>
        <w:rPr>
          <w:sz w:val="22"/>
          <w:szCs w:val="22"/>
          <w:lang w:val="sk-SK"/>
        </w:rPr>
      </w:pPr>
      <w:r w:rsidRPr="00DD1881">
        <w:rPr>
          <w:sz w:val="22"/>
          <w:szCs w:val="22"/>
          <w:lang w:val="sk-SK"/>
        </w:rPr>
        <w:t>Túto písomnú informáciu si uschovajte. Možno bude potrebné, aby ste si ju znovu prečítali.</w:t>
      </w:r>
    </w:p>
    <w:p w:rsidR="00DD02F6" w:rsidRPr="00DD1881" w:rsidRDefault="00DD02F6" w:rsidP="006C0294">
      <w:pPr>
        <w:numPr>
          <w:ilvl w:val="0"/>
          <w:numId w:val="1"/>
        </w:numPr>
        <w:overflowPunct/>
        <w:autoSpaceDE/>
        <w:autoSpaceDN/>
        <w:adjustRightInd/>
        <w:ind w:left="567" w:right="-2" w:hanging="567"/>
        <w:textAlignment w:val="auto"/>
        <w:rPr>
          <w:sz w:val="22"/>
          <w:szCs w:val="22"/>
          <w:lang w:val="sk-SK"/>
        </w:rPr>
      </w:pPr>
      <w:r w:rsidRPr="00DD1881">
        <w:rPr>
          <w:sz w:val="22"/>
          <w:szCs w:val="22"/>
          <w:lang w:val="sk-SK"/>
        </w:rPr>
        <w:t>Ak máte akékoľvek ďalšie otázky, obráťte sa na svojho lekára</w:t>
      </w:r>
      <w:r w:rsidR="00A0090E">
        <w:rPr>
          <w:sz w:val="22"/>
          <w:szCs w:val="22"/>
          <w:lang w:val="sk-SK"/>
        </w:rPr>
        <w:t>,</w:t>
      </w:r>
      <w:r w:rsidRPr="00DD1881">
        <w:rPr>
          <w:sz w:val="22"/>
          <w:szCs w:val="22"/>
          <w:lang w:val="sk-SK"/>
        </w:rPr>
        <w:t xml:space="preserve"> lekárnika</w:t>
      </w:r>
      <w:r w:rsidR="00B4623E">
        <w:rPr>
          <w:sz w:val="22"/>
          <w:szCs w:val="22"/>
          <w:lang w:val="sk-SK"/>
        </w:rPr>
        <w:t xml:space="preserve"> alebo zdravotnú sestru</w:t>
      </w:r>
      <w:r w:rsidRPr="00DD1881">
        <w:rPr>
          <w:sz w:val="22"/>
          <w:szCs w:val="22"/>
          <w:lang w:val="sk-SK"/>
        </w:rPr>
        <w:t>.</w:t>
      </w:r>
    </w:p>
    <w:p w:rsidR="00DD02F6" w:rsidRPr="00DD1881" w:rsidRDefault="00DD02F6" w:rsidP="006C0294">
      <w:pPr>
        <w:numPr>
          <w:ilvl w:val="0"/>
          <w:numId w:val="1"/>
        </w:numPr>
        <w:overflowPunct/>
        <w:autoSpaceDE/>
        <w:autoSpaceDN/>
        <w:adjustRightInd/>
        <w:ind w:left="567" w:right="-2" w:hanging="567"/>
        <w:textAlignment w:val="auto"/>
        <w:rPr>
          <w:b/>
          <w:sz w:val="22"/>
          <w:szCs w:val="22"/>
          <w:lang w:val="sk-SK"/>
        </w:rPr>
      </w:pPr>
      <w:r w:rsidRPr="00DD1881">
        <w:rPr>
          <w:sz w:val="22"/>
          <w:szCs w:val="22"/>
          <w:lang w:val="sk-SK"/>
        </w:rPr>
        <w:t xml:space="preserve">Tento liek bol predpísaný </w:t>
      </w:r>
      <w:r w:rsidR="00B4623E">
        <w:rPr>
          <w:sz w:val="22"/>
          <w:szCs w:val="22"/>
          <w:lang w:val="sk-SK"/>
        </w:rPr>
        <w:t>iba v</w:t>
      </w:r>
      <w:r w:rsidRPr="00DD1881">
        <w:rPr>
          <w:sz w:val="22"/>
          <w:szCs w:val="22"/>
          <w:lang w:val="sk-SK"/>
        </w:rPr>
        <w:t xml:space="preserve">ám. Nedávajte ho nikomu inému. Môže mu uškodiť, dokonca aj vtedy, ak má rovnaké </w:t>
      </w:r>
      <w:r w:rsidR="00A0090E">
        <w:rPr>
          <w:sz w:val="22"/>
          <w:szCs w:val="22"/>
          <w:lang w:val="sk-SK"/>
        </w:rPr>
        <w:t>prejavy</w:t>
      </w:r>
      <w:r w:rsidR="00A0090E" w:rsidRPr="00DD1881">
        <w:rPr>
          <w:sz w:val="22"/>
          <w:szCs w:val="22"/>
          <w:lang w:val="sk-SK"/>
        </w:rPr>
        <w:t xml:space="preserve"> </w:t>
      </w:r>
      <w:r w:rsidR="00B4623E">
        <w:rPr>
          <w:sz w:val="22"/>
          <w:szCs w:val="22"/>
          <w:lang w:val="sk-SK"/>
        </w:rPr>
        <w:t>ochorenia ako v</w:t>
      </w:r>
      <w:r w:rsidRPr="00DD1881">
        <w:rPr>
          <w:sz w:val="22"/>
          <w:szCs w:val="22"/>
          <w:lang w:val="sk-SK"/>
        </w:rPr>
        <w:t>y.</w:t>
      </w:r>
    </w:p>
    <w:p w:rsidR="00B4623E" w:rsidRDefault="00B4623E" w:rsidP="00A12E2B">
      <w:pPr>
        <w:numPr>
          <w:ilvl w:val="0"/>
          <w:numId w:val="1"/>
        </w:numPr>
        <w:tabs>
          <w:tab w:val="left" w:pos="709"/>
        </w:tabs>
        <w:rPr>
          <w:sz w:val="22"/>
          <w:szCs w:val="22"/>
          <w:lang w:val="sk-SK"/>
        </w:rPr>
      </w:pPr>
      <w:r>
        <w:rPr>
          <w:sz w:val="22"/>
          <w:szCs w:val="22"/>
          <w:lang w:val="sk-SK"/>
        </w:rPr>
        <w:t xml:space="preserve"> </w:t>
      </w:r>
      <w:r w:rsidR="00A12E2B">
        <w:rPr>
          <w:sz w:val="22"/>
          <w:szCs w:val="22"/>
          <w:lang w:val="sk-SK"/>
        </w:rPr>
        <w:t xml:space="preserve"> </w:t>
      </w:r>
      <w:r>
        <w:rPr>
          <w:sz w:val="22"/>
          <w:szCs w:val="22"/>
          <w:lang w:val="sk-SK"/>
        </w:rPr>
        <w:t xml:space="preserve">  Ak sa u vás vyskytne </w:t>
      </w:r>
      <w:r w:rsidR="00DD02F6" w:rsidRPr="00DD1881">
        <w:rPr>
          <w:sz w:val="22"/>
          <w:szCs w:val="22"/>
          <w:lang w:val="sk-SK"/>
        </w:rPr>
        <w:t>akýko</w:t>
      </w:r>
      <w:r>
        <w:rPr>
          <w:sz w:val="22"/>
          <w:szCs w:val="22"/>
          <w:lang w:val="sk-SK"/>
        </w:rPr>
        <w:t>ľvek vedľajší účinok, obráťte sa na svojho lekára alebo lekárnika</w:t>
      </w:r>
    </w:p>
    <w:p w:rsidR="00B4623E" w:rsidRDefault="00B4623E" w:rsidP="00A12E2B">
      <w:pPr>
        <w:tabs>
          <w:tab w:val="left" w:pos="709"/>
        </w:tabs>
        <w:rPr>
          <w:sz w:val="22"/>
          <w:szCs w:val="22"/>
          <w:lang w:val="sk-SK"/>
        </w:rPr>
      </w:pPr>
      <w:r>
        <w:rPr>
          <w:sz w:val="22"/>
          <w:szCs w:val="22"/>
          <w:lang w:val="sk-SK"/>
        </w:rPr>
        <w:t xml:space="preserve">   </w:t>
      </w:r>
      <w:r w:rsidR="00A12E2B">
        <w:rPr>
          <w:sz w:val="22"/>
          <w:szCs w:val="22"/>
          <w:lang w:val="sk-SK"/>
        </w:rPr>
        <w:t xml:space="preserve"> </w:t>
      </w:r>
      <w:r>
        <w:rPr>
          <w:sz w:val="22"/>
          <w:szCs w:val="22"/>
          <w:lang w:val="sk-SK"/>
        </w:rPr>
        <w:t xml:space="preserve">      alebo zdravotnú sestru. To sa týka aj akýchkoľvek vedľajších účinkov, ktoré nie sú uvedené </w:t>
      </w:r>
    </w:p>
    <w:p w:rsidR="00DD02F6" w:rsidRPr="00DD1881" w:rsidRDefault="00B4623E" w:rsidP="00A12E2B">
      <w:pPr>
        <w:tabs>
          <w:tab w:val="left" w:pos="567"/>
          <w:tab w:val="left" w:pos="851"/>
        </w:tabs>
        <w:rPr>
          <w:sz w:val="22"/>
          <w:szCs w:val="22"/>
          <w:lang w:val="sk-SK"/>
        </w:rPr>
      </w:pPr>
      <w:r>
        <w:rPr>
          <w:sz w:val="22"/>
          <w:szCs w:val="22"/>
          <w:lang w:val="sk-SK"/>
        </w:rPr>
        <w:t xml:space="preserve">        </w:t>
      </w:r>
      <w:r w:rsidR="00A12E2B">
        <w:rPr>
          <w:sz w:val="22"/>
          <w:szCs w:val="22"/>
          <w:lang w:val="sk-SK"/>
        </w:rPr>
        <w:t xml:space="preserve"> </w:t>
      </w:r>
      <w:r>
        <w:rPr>
          <w:sz w:val="22"/>
          <w:szCs w:val="22"/>
          <w:lang w:val="sk-SK"/>
        </w:rPr>
        <w:t xml:space="preserve"> v tejto písomnej informácii</w:t>
      </w:r>
      <w:r w:rsidR="00DD02F6" w:rsidRPr="00DD1881">
        <w:rPr>
          <w:sz w:val="22"/>
          <w:szCs w:val="22"/>
          <w:lang w:val="sk-SK"/>
        </w:rPr>
        <w:t>.</w:t>
      </w:r>
      <w:r w:rsidR="00542764">
        <w:rPr>
          <w:sz w:val="22"/>
          <w:szCs w:val="22"/>
          <w:lang w:val="sk-SK"/>
        </w:rPr>
        <w:t xml:space="preserve"> Pozri časť 4.</w:t>
      </w:r>
    </w:p>
    <w:p w:rsidR="00DD02F6" w:rsidRPr="00DD1881" w:rsidRDefault="00DD02F6" w:rsidP="006C0294">
      <w:pPr>
        <w:numPr>
          <w:ilvl w:val="12"/>
          <w:numId w:val="0"/>
        </w:numPr>
        <w:ind w:right="-2"/>
        <w:rPr>
          <w:sz w:val="22"/>
          <w:szCs w:val="22"/>
          <w:lang w:val="sk-SK"/>
        </w:rPr>
      </w:pPr>
    </w:p>
    <w:p w:rsidR="00DD02F6" w:rsidRPr="00DD1881" w:rsidRDefault="00DD02F6" w:rsidP="006C0294">
      <w:pPr>
        <w:numPr>
          <w:ilvl w:val="12"/>
          <w:numId w:val="0"/>
        </w:numPr>
        <w:ind w:right="-2"/>
        <w:outlineLvl w:val="0"/>
        <w:rPr>
          <w:sz w:val="22"/>
          <w:szCs w:val="22"/>
          <w:lang w:val="sk-SK"/>
        </w:rPr>
      </w:pPr>
      <w:r w:rsidRPr="00DD1881">
        <w:rPr>
          <w:b/>
          <w:sz w:val="22"/>
          <w:szCs w:val="22"/>
          <w:lang w:val="sk-SK"/>
        </w:rPr>
        <w:t>V tejto písom</w:t>
      </w:r>
      <w:r w:rsidR="00542764">
        <w:rPr>
          <w:b/>
          <w:sz w:val="22"/>
          <w:szCs w:val="22"/>
          <w:lang w:val="sk-SK"/>
        </w:rPr>
        <w:t xml:space="preserve">nej informácii pre používateľa </w:t>
      </w:r>
      <w:r w:rsidRPr="00DD1881">
        <w:rPr>
          <w:b/>
          <w:sz w:val="22"/>
          <w:szCs w:val="22"/>
          <w:lang w:val="sk-SK"/>
        </w:rPr>
        <w:t>sa dozviete</w:t>
      </w:r>
      <w:r w:rsidRPr="00DD1881">
        <w:rPr>
          <w:sz w:val="22"/>
          <w:szCs w:val="22"/>
          <w:lang w:val="sk-SK"/>
        </w:rPr>
        <w:t xml:space="preserve">: </w:t>
      </w:r>
    </w:p>
    <w:p w:rsidR="00DD02F6" w:rsidRPr="00DD1881" w:rsidRDefault="00DD02F6" w:rsidP="006C0294">
      <w:pPr>
        <w:ind w:right="-29"/>
        <w:rPr>
          <w:sz w:val="22"/>
          <w:szCs w:val="22"/>
          <w:lang w:val="sk-SK"/>
        </w:rPr>
      </w:pPr>
      <w:r w:rsidRPr="00DD1881">
        <w:rPr>
          <w:sz w:val="22"/>
          <w:szCs w:val="22"/>
          <w:lang w:val="sk-SK"/>
        </w:rPr>
        <w:t>1.</w:t>
      </w:r>
      <w:r w:rsidRPr="00DD1881">
        <w:rPr>
          <w:sz w:val="22"/>
          <w:szCs w:val="22"/>
          <w:lang w:val="sk-SK"/>
        </w:rPr>
        <w:tab/>
        <w:t xml:space="preserve">Čo je </w:t>
      </w:r>
      <w:r w:rsidR="00DD1881">
        <w:rPr>
          <w:sz w:val="22"/>
          <w:szCs w:val="22"/>
          <w:lang w:val="sk-SK"/>
        </w:rPr>
        <w:t>BITAMMON</w:t>
      </w:r>
      <w:r w:rsidRPr="00DD1881">
        <w:rPr>
          <w:sz w:val="22"/>
          <w:szCs w:val="22"/>
          <w:lang w:val="sk-SK"/>
        </w:rPr>
        <w:t xml:space="preserve"> a na čo sa používa</w:t>
      </w:r>
    </w:p>
    <w:p w:rsidR="00DD02F6" w:rsidRPr="00DD1881" w:rsidRDefault="00DD02F6" w:rsidP="006C0294">
      <w:pPr>
        <w:ind w:right="-29"/>
        <w:rPr>
          <w:sz w:val="22"/>
          <w:szCs w:val="22"/>
          <w:lang w:val="sk-SK"/>
        </w:rPr>
      </w:pPr>
      <w:r w:rsidRPr="00DD1881">
        <w:rPr>
          <w:sz w:val="22"/>
          <w:szCs w:val="22"/>
          <w:lang w:val="sk-SK"/>
        </w:rPr>
        <w:t>2.</w:t>
      </w:r>
      <w:r w:rsidRPr="00DD1881">
        <w:rPr>
          <w:sz w:val="22"/>
          <w:szCs w:val="22"/>
          <w:lang w:val="sk-SK"/>
        </w:rPr>
        <w:tab/>
      </w:r>
      <w:r w:rsidR="00542764">
        <w:rPr>
          <w:sz w:val="22"/>
          <w:szCs w:val="22"/>
          <w:lang w:val="sk-SK"/>
        </w:rPr>
        <w:t>Čo potrebujete vedieť predtým,</w:t>
      </w:r>
      <w:r w:rsidRPr="00DD1881">
        <w:rPr>
          <w:sz w:val="22"/>
          <w:szCs w:val="22"/>
          <w:lang w:val="sk-SK"/>
        </w:rPr>
        <w:t xml:space="preserve"> ako </w:t>
      </w:r>
      <w:r w:rsidR="00542764">
        <w:rPr>
          <w:sz w:val="22"/>
          <w:szCs w:val="22"/>
          <w:lang w:val="sk-SK"/>
        </w:rPr>
        <w:t>po</w:t>
      </w:r>
      <w:r w:rsidRPr="00DD1881">
        <w:rPr>
          <w:sz w:val="22"/>
          <w:szCs w:val="22"/>
          <w:lang w:val="sk-SK"/>
        </w:rPr>
        <w:t xml:space="preserve">užijete </w:t>
      </w:r>
      <w:r w:rsidR="00DD1881">
        <w:rPr>
          <w:sz w:val="22"/>
          <w:szCs w:val="22"/>
          <w:lang w:val="sk-SK"/>
        </w:rPr>
        <w:t>BITAMMON</w:t>
      </w:r>
      <w:r w:rsidRPr="00DD1881">
        <w:rPr>
          <w:bCs/>
          <w:sz w:val="22"/>
          <w:szCs w:val="22"/>
          <w:lang w:val="sk-SK"/>
        </w:rPr>
        <w:t xml:space="preserve"> </w:t>
      </w:r>
    </w:p>
    <w:p w:rsidR="00DD02F6" w:rsidRPr="00DD1881" w:rsidRDefault="00DD02F6" w:rsidP="006C0294">
      <w:pPr>
        <w:ind w:right="-29"/>
        <w:rPr>
          <w:sz w:val="22"/>
          <w:szCs w:val="22"/>
          <w:lang w:val="sk-SK"/>
        </w:rPr>
      </w:pPr>
      <w:r w:rsidRPr="00DD1881">
        <w:rPr>
          <w:sz w:val="22"/>
          <w:szCs w:val="22"/>
          <w:lang w:val="sk-SK"/>
        </w:rPr>
        <w:t>3.</w:t>
      </w:r>
      <w:r w:rsidRPr="00DD1881">
        <w:rPr>
          <w:sz w:val="22"/>
          <w:szCs w:val="22"/>
          <w:lang w:val="sk-SK"/>
        </w:rPr>
        <w:tab/>
        <w:t xml:space="preserve">Ako </w:t>
      </w:r>
      <w:r w:rsidR="00542764">
        <w:rPr>
          <w:sz w:val="22"/>
          <w:szCs w:val="22"/>
          <w:lang w:val="sk-SK"/>
        </w:rPr>
        <w:t>po</w:t>
      </w:r>
      <w:r w:rsidRPr="00DD1881">
        <w:rPr>
          <w:sz w:val="22"/>
          <w:szCs w:val="22"/>
          <w:lang w:val="sk-SK"/>
        </w:rPr>
        <w:t xml:space="preserve">užívať </w:t>
      </w:r>
      <w:r w:rsidR="00DD1881">
        <w:rPr>
          <w:sz w:val="22"/>
          <w:szCs w:val="22"/>
          <w:lang w:val="sk-SK"/>
        </w:rPr>
        <w:t>BITAMMON</w:t>
      </w:r>
      <w:r w:rsidRPr="00DD1881">
        <w:rPr>
          <w:sz w:val="22"/>
          <w:szCs w:val="22"/>
          <w:lang w:val="sk-SK"/>
        </w:rPr>
        <w:t xml:space="preserve"> </w:t>
      </w:r>
    </w:p>
    <w:p w:rsidR="00DD02F6" w:rsidRPr="00DD1881" w:rsidRDefault="00DD02F6" w:rsidP="006C0294">
      <w:pPr>
        <w:ind w:right="-29"/>
        <w:rPr>
          <w:sz w:val="22"/>
          <w:szCs w:val="22"/>
          <w:lang w:val="sk-SK"/>
        </w:rPr>
      </w:pPr>
      <w:r w:rsidRPr="00DD1881">
        <w:rPr>
          <w:sz w:val="22"/>
          <w:szCs w:val="22"/>
          <w:lang w:val="sk-SK"/>
        </w:rPr>
        <w:t>4.</w:t>
      </w:r>
      <w:r w:rsidRPr="00DD1881">
        <w:rPr>
          <w:sz w:val="22"/>
          <w:szCs w:val="22"/>
          <w:lang w:val="sk-SK"/>
        </w:rPr>
        <w:tab/>
        <w:t>Možné vedľajšie účinky</w:t>
      </w:r>
    </w:p>
    <w:p w:rsidR="00DD02F6" w:rsidRPr="00DD1881" w:rsidRDefault="00DD02F6" w:rsidP="006C0294">
      <w:pPr>
        <w:ind w:right="-29"/>
        <w:rPr>
          <w:sz w:val="22"/>
          <w:szCs w:val="22"/>
          <w:lang w:val="sk-SK"/>
        </w:rPr>
      </w:pPr>
      <w:r w:rsidRPr="00DD1881">
        <w:rPr>
          <w:sz w:val="22"/>
          <w:szCs w:val="22"/>
          <w:lang w:val="sk-SK"/>
        </w:rPr>
        <w:t>5.</w:t>
      </w:r>
      <w:r w:rsidRPr="00DD1881">
        <w:rPr>
          <w:sz w:val="22"/>
          <w:szCs w:val="22"/>
          <w:lang w:val="sk-SK"/>
        </w:rPr>
        <w:tab/>
        <w:t xml:space="preserve">Ako uchovávať </w:t>
      </w:r>
      <w:r w:rsidR="00DD1881">
        <w:rPr>
          <w:sz w:val="22"/>
          <w:szCs w:val="22"/>
          <w:lang w:val="sk-SK"/>
        </w:rPr>
        <w:t>BITAMMON</w:t>
      </w:r>
      <w:r w:rsidRPr="00DD1881">
        <w:rPr>
          <w:sz w:val="22"/>
          <w:szCs w:val="22"/>
          <w:lang w:val="sk-SK"/>
        </w:rPr>
        <w:t xml:space="preserve"> </w:t>
      </w:r>
    </w:p>
    <w:p w:rsidR="00DD02F6" w:rsidRPr="00DD1881" w:rsidRDefault="00DD02F6" w:rsidP="006C0294">
      <w:pPr>
        <w:ind w:right="-29"/>
        <w:rPr>
          <w:sz w:val="22"/>
          <w:szCs w:val="22"/>
          <w:lang w:val="sk-SK"/>
        </w:rPr>
      </w:pPr>
      <w:r w:rsidRPr="00DD1881">
        <w:rPr>
          <w:sz w:val="22"/>
          <w:szCs w:val="22"/>
          <w:lang w:val="sk-SK"/>
        </w:rPr>
        <w:t>6.</w:t>
      </w:r>
      <w:r w:rsidRPr="00DD1881">
        <w:rPr>
          <w:sz w:val="22"/>
          <w:szCs w:val="22"/>
          <w:lang w:val="sk-SK"/>
        </w:rPr>
        <w:tab/>
      </w:r>
      <w:r w:rsidR="004D4ECE">
        <w:rPr>
          <w:sz w:val="22"/>
          <w:szCs w:val="22"/>
          <w:lang w:val="sk-SK"/>
        </w:rPr>
        <w:t>Obsah balenia a ď</w:t>
      </w:r>
      <w:r w:rsidRPr="00DD1881">
        <w:rPr>
          <w:sz w:val="22"/>
          <w:szCs w:val="22"/>
          <w:lang w:val="sk-SK"/>
        </w:rPr>
        <w:t>alšie informácie</w:t>
      </w:r>
    </w:p>
    <w:p w:rsidR="00DD02F6" w:rsidRPr="00DD1881" w:rsidRDefault="00DD02F6" w:rsidP="006C0294">
      <w:pPr>
        <w:numPr>
          <w:ilvl w:val="12"/>
          <w:numId w:val="0"/>
        </w:numPr>
        <w:ind w:right="-2"/>
        <w:rPr>
          <w:sz w:val="22"/>
          <w:szCs w:val="22"/>
          <w:lang w:val="sk-SK"/>
        </w:rPr>
      </w:pPr>
    </w:p>
    <w:p w:rsidR="00DD02F6" w:rsidRPr="00DD1881" w:rsidRDefault="00DD02F6" w:rsidP="006C0294">
      <w:pPr>
        <w:numPr>
          <w:ilvl w:val="12"/>
          <w:numId w:val="0"/>
        </w:numPr>
        <w:ind w:right="-2"/>
        <w:rPr>
          <w:sz w:val="22"/>
          <w:szCs w:val="22"/>
          <w:lang w:val="sk-SK"/>
        </w:rPr>
      </w:pPr>
    </w:p>
    <w:p w:rsidR="005B215C" w:rsidRPr="00DD1881" w:rsidRDefault="00DD02F6" w:rsidP="005B215C">
      <w:pPr>
        <w:ind w:right="-29"/>
        <w:rPr>
          <w:sz w:val="22"/>
          <w:szCs w:val="22"/>
          <w:lang w:val="sk-SK"/>
        </w:rPr>
      </w:pPr>
      <w:r w:rsidRPr="00DD1881">
        <w:rPr>
          <w:b/>
          <w:sz w:val="22"/>
          <w:szCs w:val="22"/>
          <w:lang w:val="sk-SK"/>
        </w:rPr>
        <w:t>1.</w:t>
      </w:r>
      <w:r w:rsidRPr="00DD1881">
        <w:rPr>
          <w:b/>
          <w:sz w:val="22"/>
          <w:szCs w:val="22"/>
          <w:lang w:val="sk-SK"/>
        </w:rPr>
        <w:tab/>
      </w:r>
      <w:r w:rsidR="005B215C" w:rsidRPr="005B215C">
        <w:rPr>
          <w:b/>
          <w:sz w:val="22"/>
          <w:szCs w:val="22"/>
          <w:lang w:val="sk-SK"/>
        </w:rPr>
        <w:t>Čo je BITAMMON a na čo sa používa</w:t>
      </w:r>
    </w:p>
    <w:p w:rsidR="00DD02F6" w:rsidRPr="00DD1881" w:rsidRDefault="00DD02F6" w:rsidP="006C0294">
      <w:pPr>
        <w:numPr>
          <w:ilvl w:val="12"/>
          <w:numId w:val="0"/>
        </w:numPr>
        <w:ind w:right="-2"/>
        <w:rPr>
          <w:sz w:val="22"/>
          <w:szCs w:val="22"/>
          <w:lang w:val="sk-SK"/>
        </w:rPr>
      </w:pPr>
    </w:p>
    <w:p w:rsidR="00E125F6" w:rsidRPr="00DD1881" w:rsidRDefault="00DD1881" w:rsidP="006C0294">
      <w:pPr>
        <w:rPr>
          <w:b/>
          <w:bCs/>
          <w:sz w:val="22"/>
          <w:szCs w:val="22"/>
          <w:lang w:val="sk-SK"/>
        </w:rPr>
      </w:pPr>
      <w:r>
        <w:rPr>
          <w:sz w:val="22"/>
          <w:szCs w:val="22"/>
          <w:lang w:val="sk-SK"/>
        </w:rPr>
        <w:t>BITAMMON</w:t>
      </w:r>
      <w:r w:rsidR="00E125F6" w:rsidRPr="00DD1881">
        <w:rPr>
          <w:sz w:val="22"/>
          <w:szCs w:val="22"/>
          <w:lang w:val="sk-SK"/>
        </w:rPr>
        <w:t xml:space="preserve"> je kombináciou betalaktámového antibiotika ampicilínu a inhibítora betalaktamáz sulbaktámu. Ampicilín pôsobí na citlivé mikroorganizmy rovnakým mechanizmom ako ostatné penicilíny, blokuje syntézu bunkovej steny mikroorganizmov. Sulbaktám je ireverzibilný inhibítor betalaktamáz, štrukturálne podobný penicilínu. Svojou prítomnosťou chráni ampicilín pred deštrukciou betalaktamázami</w:t>
      </w:r>
      <w:r w:rsidR="00382255">
        <w:rPr>
          <w:sz w:val="22"/>
          <w:szCs w:val="22"/>
          <w:lang w:val="sk-SK"/>
        </w:rPr>
        <w:t xml:space="preserve"> - enzýmami</w:t>
      </w:r>
      <w:r w:rsidR="00E125F6" w:rsidRPr="00DD1881">
        <w:rPr>
          <w:sz w:val="22"/>
          <w:szCs w:val="22"/>
          <w:lang w:val="sk-SK"/>
        </w:rPr>
        <w:t xml:space="preserve"> produkovanými grampozitívnymi alebo gramnegatívnymi baktériami. </w:t>
      </w:r>
    </w:p>
    <w:p w:rsidR="00E125F6" w:rsidRPr="00DD1881" w:rsidRDefault="00E125F6" w:rsidP="006C0294">
      <w:pPr>
        <w:pStyle w:val="Zkladntext"/>
        <w:rPr>
          <w:sz w:val="22"/>
          <w:szCs w:val="22"/>
          <w:lang w:val="sk-SK"/>
        </w:rPr>
      </w:pPr>
      <w:r w:rsidRPr="00DD1881">
        <w:rPr>
          <w:sz w:val="22"/>
          <w:szCs w:val="22"/>
          <w:lang w:val="sk-SK"/>
        </w:rPr>
        <w:t xml:space="preserve">Biologická dostupnosť lieku je vysoká. Ampicilín dosahuje po </w:t>
      </w:r>
      <w:r w:rsidR="00687209">
        <w:rPr>
          <w:sz w:val="22"/>
          <w:szCs w:val="22"/>
          <w:lang w:val="sk-SK"/>
        </w:rPr>
        <w:t>podaní do svalu</w:t>
      </w:r>
      <w:r w:rsidRPr="00DD1881">
        <w:rPr>
          <w:sz w:val="22"/>
          <w:szCs w:val="22"/>
          <w:lang w:val="sk-SK"/>
        </w:rPr>
        <w:t>/</w:t>
      </w:r>
      <w:r w:rsidR="00687209">
        <w:rPr>
          <w:sz w:val="22"/>
          <w:szCs w:val="22"/>
          <w:lang w:val="sk-SK"/>
        </w:rPr>
        <w:t>vnútrožilovo</w:t>
      </w:r>
      <w:r w:rsidRPr="00DD1881">
        <w:rPr>
          <w:sz w:val="22"/>
          <w:szCs w:val="22"/>
          <w:lang w:val="sk-SK"/>
        </w:rPr>
        <w:t xml:space="preserve"> maximáln</w:t>
      </w:r>
      <w:r w:rsidR="005B215C">
        <w:rPr>
          <w:sz w:val="22"/>
          <w:szCs w:val="22"/>
          <w:lang w:val="sk-SK"/>
        </w:rPr>
        <w:t>e</w:t>
      </w:r>
      <w:r w:rsidRPr="00DD1881">
        <w:rPr>
          <w:sz w:val="22"/>
          <w:szCs w:val="22"/>
          <w:lang w:val="sk-SK"/>
        </w:rPr>
        <w:t xml:space="preserve"> koncentráci</w:t>
      </w:r>
      <w:r w:rsidR="005B215C">
        <w:rPr>
          <w:sz w:val="22"/>
          <w:szCs w:val="22"/>
          <w:lang w:val="sk-SK"/>
        </w:rPr>
        <w:t>e</w:t>
      </w:r>
      <w:r w:rsidRPr="00DD1881">
        <w:rPr>
          <w:sz w:val="22"/>
          <w:szCs w:val="22"/>
          <w:lang w:val="sk-SK"/>
        </w:rPr>
        <w:t xml:space="preserve"> v krvi do 30 minút. Do tkanív preniká rýchlo, do mozgu a mozgovomiechového moku preniká </w:t>
      </w:r>
      <w:r w:rsidR="001D42C6">
        <w:rPr>
          <w:sz w:val="22"/>
          <w:szCs w:val="22"/>
          <w:lang w:val="sk-SK"/>
        </w:rPr>
        <w:t xml:space="preserve">málo, pri zápaloch </w:t>
      </w:r>
      <w:r w:rsidRPr="00DD1881">
        <w:rPr>
          <w:sz w:val="22"/>
          <w:szCs w:val="22"/>
          <w:lang w:val="sk-SK"/>
        </w:rPr>
        <w:t xml:space="preserve">dobre preniká aj cez </w:t>
      </w:r>
      <w:r w:rsidR="00382255">
        <w:rPr>
          <w:sz w:val="22"/>
          <w:szCs w:val="22"/>
          <w:lang w:val="sk-SK"/>
        </w:rPr>
        <w:t>mozgovomiechovú</w:t>
      </w:r>
      <w:r w:rsidRPr="00DD1881">
        <w:rPr>
          <w:sz w:val="22"/>
          <w:szCs w:val="22"/>
          <w:lang w:val="sk-SK"/>
        </w:rPr>
        <w:t xml:space="preserve"> bariéru. Vylučuje sa takmer úplne močom. Biologický polčas pri normálnej funkcii obličiek</w:t>
      </w:r>
      <w:r w:rsidR="003D6E46">
        <w:rPr>
          <w:sz w:val="22"/>
          <w:szCs w:val="22"/>
          <w:lang w:val="sk-SK"/>
        </w:rPr>
        <w:t xml:space="preserve"> je asi 1</w:t>
      </w:r>
      <w:r w:rsidR="005B215C">
        <w:rPr>
          <w:sz w:val="22"/>
          <w:szCs w:val="22"/>
          <w:lang w:val="sk-SK"/>
        </w:rPr>
        <w:t xml:space="preserve"> </w:t>
      </w:r>
      <w:r w:rsidR="003D6E46">
        <w:rPr>
          <w:sz w:val="22"/>
          <w:szCs w:val="22"/>
          <w:lang w:val="sk-SK"/>
        </w:rPr>
        <w:t>-</w:t>
      </w:r>
      <w:r w:rsidR="005B215C">
        <w:rPr>
          <w:sz w:val="22"/>
          <w:szCs w:val="22"/>
          <w:lang w:val="sk-SK"/>
        </w:rPr>
        <w:t xml:space="preserve"> </w:t>
      </w:r>
      <w:r w:rsidR="003D6E46">
        <w:rPr>
          <w:sz w:val="22"/>
          <w:szCs w:val="22"/>
          <w:lang w:val="sk-SK"/>
        </w:rPr>
        <w:t xml:space="preserve">1,3 hodiny, pri ťažkom </w:t>
      </w:r>
      <w:r w:rsidR="00B077E2">
        <w:rPr>
          <w:sz w:val="22"/>
          <w:szCs w:val="22"/>
          <w:lang w:val="sk-SK"/>
        </w:rPr>
        <w:t>zlyháva</w:t>
      </w:r>
      <w:r w:rsidR="003D6E46">
        <w:rPr>
          <w:sz w:val="22"/>
          <w:szCs w:val="22"/>
          <w:lang w:val="sk-SK"/>
        </w:rPr>
        <w:t>ní obličiek</w:t>
      </w:r>
      <w:r w:rsidRPr="00DD1881">
        <w:rPr>
          <w:sz w:val="22"/>
          <w:szCs w:val="22"/>
          <w:lang w:val="sk-SK"/>
        </w:rPr>
        <w:t xml:space="preserve"> sa predlžuje až na 21 hodín.</w:t>
      </w:r>
    </w:p>
    <w:p w:rsidR="00E125F6" w:rsidRPr="00DD1881" w:rsidRDefault="00E125F6" w:rsidP="006C0294">
      <w:pPr>
        <w:pStyle w:val="Zkladntext"/>
        <w:rPr>
          <w:sz w:val="22"/>
          <w:szCs w:val="22"/>
          <w:lang w:val="sk-SK"/>
        </w:rPr>
      </w:pPr>
      <w:r w:rsidRPr="00DD1881">
        <w:rPr>
          <w:sz w:val="22"/>
          <w:szCs w:val="22"/>
          <w:lang w:val="sk-SK"/>
        </w:rPr>
        <w:t>Sulbaktám má podobné farmakokinetické vlastnosti ako ampicilín. Eliminuje sa predovšetkým močom glomerulárnou filtráciou. Biologický polčas sulbaktámu pri normálnej funkcii je asi 1</w:t>
      </w:r>
      <w:r w:rsidR="005B215C">
        <w:rPr>
          <w:sz w:val="22"/>
          <w:szCs w:val="22"/>
          <w:lang w:val="sk-SK"/>
        </w:rPr>
        <w:t xml:space="preserve"> </w:t>
      </w:r>
      <w:r w:rsidRPr="00DD1881">
        <w:rPr>
          <w:sz w:val="22"/>
          <w:szCs w:val="22"/>
          <w:lang w:val="sk-SK"/>
        </w:rPr>
        <w:t>-</w:t>
      </w:r>
      <w:r w:rsidR="005B215C">
        <w:rPr>
          <w:sz w:val="22"/>
          <w:szCs w:val="22"/>
          <w:lang w:val="sk-SK"/>
        </w:rPr>
        <w:t xml:space="preserve"> </w:t>
      </w:r>
      <w:r w:rsidRPr="00DD1881">
        <w:rPr>
          <w:sz w:val="22"/>
          <w:szCs w:val="22"/>
          <w:lang w:val="sk-SK"/>
        </w:rPr>
        <w:t>2</w:t>
      </w:r>
      <w:r w:rsidR="005B215C">
        <w:rPr>
          <w:sz w:val="22"/>
          <w:szCs w:val="22"/>
          <w:lang w:val="sk-SK"/>
        </w:rPr>
        <w:t> </w:t>
      </w:r>
      <w:r w:rsidRPr="00DD1881">
        <w:rPr>
          <w:sz w:val="22"/>
          <w:szCs w:val="22"/>
          <w:lang w:val="sk-SK"/>
        </w:rPr>
        <w:t>hodiny, p</w:t>
      </w:r>
      <w:r w:rsidR="003D6E46">
        <w:rPr>
          <w:sz w:val="22"/>
          <w:szCs w:val="22"/>
          <w:lang w:val="sk-SK"/>
        </w:rPr>
        <w:t>ri ťažk</w:t>
      </w:r>
      <w:r w:rsidR="00B077E2">
        <w:rPr>
          <w:sz w:val="22"/>
          <w:szCs w:val="22"/>
          <w:lang w:val="sk-SK"/>
        </w:rPr>
        <w:t>om zlyháva</w:t>
      </w:r>
      <w:r w:rsidR="003D6E46">
        <w:rPr>
          <w:sz w:val="22"/>
          <w:szCs w:val="22"/>
          <w:lang w:val="sk-SK"/>
        </w:rPr>
        <w:t>ní obličiek</w:t>
      </w:r>
      <w:r w:rsidRPr="00DD1881">
        <w:rPr>
          <w:sz w:val="22"/>
          <w:szCs w:val="22"/>
          <w:lang w:val="sk-SK"/>
        </w:rPr>
        <w:t xml:space="preserve"> sa biologický polčas predlžuje až na 9 hodín.</w:t>
      </w:r>
    </w:p>
    <w:p w:rsidR="00DD02F6" w:rsidRPr="00DD1881" w:rsidRDefault="00DD02F6" w:rsidP="006C0294">
      <w:pPr>
        <w:pStyle w:val="Zkladntext"/>
        <w:rPr>
          <w:sz w:val="22"/>
          <w:szCs w:val="22"/>
          <w:lang w:val="sk-SK"/>
        </w:rPr>
      </w:pPr>
    </w:p>
    <w:p w:rsidR="00E125F6" w:rsidRPr="00DD1881" w:rsidRDefault="00DD1881" w:rsidP="006C0294">
      <w:pPr>
        <w:pStyle w:val="Zkladntext"/>
        <w:rPr>
          <w:sz w:val="22"/>
          <w:szCs w:val="22"/>
          <w:lang w:val="sk-SK"/>
        </w:rPr>
      </w:pPr>
      <w:r>
        <w:rPr>
          <w:sz w:val="22"/>
          <w:szCs w:val="22"/>
          <w:lang w:val="sk-SK"/>
        </w:rPr>
        <w:t>BITAMMON</w:t>
      </w:r>
      <w:r w:rsidR="00E125F6" w:rsidRPr="00DD1881">
        <w:rPr>
          <w:sz w:val="22"/>
          <w:szCs w:val="22"/>
          <w:lang w:val="sk-SK"/>
        </w:rPr>
        <w:t xml:space="preserve"> </w:t>
      </w:r>
      <w:r w:rsidR="00382255">
        <w:rPr>
          <w:sz w:val="22"/>
          <w:szCs w:val="22"/>
          <w:lang w:val="sk-SK"/>
        </w:rPr>
        <w:t>sa používa</w:t>
      </w:r>
      <w:r w:rsidR="00E125F6" w:rsidRPr="00DD1881">
        <w:rPr>
          <w:sz w:val="22"/>
          <w:szCs w:val="22"/>
          <w:lang w:val="sk-SK"/>
        </w:rPr>
        <w:t xml:space="preserve"> </w:t>
      </w:r>
      <w:r w:rsidR="00382255">
        <w:rPr>
          <w:sz w:val="22"/>
          <w:szCs w:val="22"/>
          <w:lang w:val="sk-SK"/>
        </w:rPr>
        <w:t>na</w:t>
      </w:r>
      <w:r w:rsidR="00E125F6" w:rsidRPr="00DD1881">
        <w:rPr>
          <w:sz w:val="22"/>
          <w:szCs w:val="22"/>
          <w:lang w:val="sk-SK"/>
        </w:rPr>
        <w:t xml:space="preserve"> liečb</w:t>
      </w:r>
      <w:r w:rsidR="00382255">
        <w:rPr>
          <w:sz w:val="22"/>
          <w:szCs w:val="22"/>
          <w:lang w:val="sk-SK"/>
        </w:rPr>
        <w:t>u</w:t>
      </w:r>
      <w:r w:rsidR="00E125F6" w:rsidRPr="00DD1881">
        <w:rPr>
          <w:sz w:val="22"/>
          <w:szCs w:val="22"/>
          <w:lang w:val="sk-SK"/>
        </w:rPr>
        <w:t xml:space="preserve"> infekcií horných a doln</w:t>
      </w:r>
      <w:r w:rsidR="00710E56">
        <w:rPr>
          <w:sz w:val="22"/>
          <w:szCs w:val="22"/>
          <w:lang w:val="sk-SK"/>
        </w:rPr>
        <w:t>ých dýchacích ciest (zápal prinosových dutín, zápal stredného ucha</w:t>
      </w:r>
      <w:r w:rsidR="007C5A51">
        <w:rPr>
          <w:sz w:val="22"/>
          <w:szCs w:val="22"/>
          <w:lang w:val="sk-SK"/>
        </w:rPr>
        <w:t>, hrtanovej príchlopky</w:t>
      </w:r>
      <w:r w:rsidR="00E125F6" w:rsidRPr="00DD1881">
        <w:rPr>
          <w:sz w:val="22"/>
          <w:szCs w:val="22"/>
          <w:lang w:val="sk-SK"/>
        </w:rPr>
        <w:t>, bakt</w:t>
      </w:r>
      <w:r w:rsidR="00E11B46">
        <w:rPr>
          <w:sz w:val="22"/>
          <w:szCs w:val="22"/>
          <w:lang w:val="sk-SK"/>
        </w:rPr>
        <w:t>eriálny zápal pľúc a zápal priedušiek)</w:t>
      </w:r>
      <w:r w:rsidR="00E125F6" w:rsidRPr="00DD1881">
        <w:rPr>
          <w:sz w:val="22"/>
          <w:szCs w:val="22"/>
          <w:lang w:val="sk-SK"/>
        </w:rPr>
        <w:t>; infekcie gastrointestinálneho traktu</w:t>
      </w:r>
      <w:r w:rsidR="00DD2C93">
        <w:rPr>
          <w:sz w:val="22"/>
          <w:szCs w:val="22"/>
          <w:lang w:val="sk-SK"/>
        </w:rPr>
        <w:t xml:space="preserve"> (zápal pobrušnice</w:t>
      </w:r>
      <w:r w:rsidR="004862AE">
        <w:rPr>
          <w:sz w:val="22"/>
          <w:szCs w:val="22"/>
          <w:lang w:val="sk-SK"/>
        </w:rPr>
        <w:t>, zápal žlčníka</w:t>
      </w:r>
      <w:r w:rsidR="00E125F6" w:rsidRPr="00DD1881">
        <w:rPr>
          <w:sz w:val="22"/>
          <w:szCs w:val="22"/>
          <w:lang w:val="sk-SK"/>
        </w:rPr>
        <w:t>); infekcie kostí a kĺbov; kože a mäkkých častí; gynekologické infekcie</w:t>
      </w:r>
      <w:r w:rsidR="0065646E">
        <w:rPr>
          <w:sz w:val="22"/>
          <w:szCs w:val="22"/>
          <w:lang w:val="sk-SK"/>
        </w:rPr>
        <w:t>; močové infekcie</w:t>
      </w:r>
      <w:r w:rsidR="004604FC">
        <w:rPr>
          <w:sz w:val="22"/>
          <w:szCs w:val="22"/>
          <w:lang w:val="sk-SK"/>
        </w:rPr>
        <w:t xml:space="preserve">: </w:t>
      </w:r>
      <w:r w:rsidR="0065646E">
        <w:rPr>
          <w:sz w:val="22"/>
          <w:szCs w:val="22"/>
          <w:lang w:val="sk-SK"/>
        </w:rPr>
        <w:t xml:space="preserve">zápal </w:t>
      </w:r>
      <w:r w:rsidR="00AA4E85">
        <w:rPr>
          <w:sz w:val="22"/>
          <w:szCs w:val="22"/>
          <w:lang w:val="sk-SK"/>
        </w:rPr>
        <w:t>obličkovej panvičky a</w:t>
      </w:r>
      <w:r w:rsidR="00405959">
        <w:rPr>
          <w:sz w:val="22"/>
          <w:szCs w:val="22"/>
          <w:lang w:val="sk-SK"/>
        </w:rPr>
        <w:t> </w:t>
      </w:r>
      <w:r w:rsidR="0065646E">
        <w:rPr>
          <w:sz w:val="22"/>
          <w:szCs w:val="22"/>
          <w:lang w:val="sk-SK"/>
        </w:rPr>
        <w:t>obličiek</w:t>
      </w:r>
      <w:r w:rsidR="00405959">
        <w:rPr>
          <w:sz w:val="22"/>
          <w:szCs w:val="22"/>
          <w:lang w:val="sk-SK"/>
        </w:rPr>
        <w:t xml:space="preserve">, </w:t>
      </w:r>
      <w:r w:rsidR="00376755">
        <w:rPr>
          <w:sz w:val="22"/>
          <w:szCs w:val="22"/>
          <w:lang w:val="sk-SK"/>
        </w:rPr>
        <w:t xml:space="preserve">zápal </w:t>
      </w:r>
      <w:r w:rsidR="004604FC">
        <w:rPr>
          <w:sz w:val="22"/>
          <w:szCs w:val="22"/>
          <w:lang w:val="sk-SK"/>
        </w:rPr>
        <w:t>močového mechúra</w:t>
      </w:r>
      <w:r w:rsidR="009006FE">
        <w:rPr>
          <w:sz w:val="22"/>
          <w:szCs w:val="22"/>
          <w:lang w:val="sk-SK"/>
        </w:rPr>
        <w:t>, kvapavka</w:t>
      </w:r>
      <w:r w:rsidR="004604FC">
        <w:rPr>
          <w:sz w:val="22"/>
          <w:szCs w:val="22"/>
          <w:lang w:val="sk-SK"/>
        </w:rPr>
        <w:t xml:space="preserve"> a ne</w:t>
      </w:r>
      <w:r w:rsidR="003E1220">
        <w:rPr>
          <w:sz w:val="22"/>
          <w:szCs w:val="22"/>
          <w:lang w:val="sk-SK"/>
        </w:rPr>
        <w:t>gonokokový</w:t>
      </w:r>
      <w:r w:rsidR="004604FC">
        <w:rPr>
          <w:sz w:val="22"/>
          <w:szCs w:val="22"/>
          <w:lang w:val="sk-SK"/>
        </w:rPr>
        <w:t xml:space="preserve"> zápal močovej rúry</w:t>
      </w:r>
      <w:r w:rsidR="00E125F6" w:rsidRPr="00DD1881">
        <w:rPr>
          <w:sz w:val="22"/>
          <w:szCs w:val="22"/>
          <w:lang w:val="sk-SK"/>
        </w:rPr>
        <w:t>, bakteriálna septikémia</w:t>
      </w:r>
      <w:r w:rsidR="00382255">
        <w:rPr>
          <w:sz w:val="22"/>
          <w:szCs w:val="22"/>
          <w:lang w:val="sk-SK"/>
        </w:rPr>
        <w:t xml:space="preserve"> (prítomnosť baktérií v krvi)</w:t>
      </w:r>
      <w:r w:rsidR="00E125F6" w:rsidRPr="00DD1881">
        <w:rPr>
          <w:sz w:val="22"/>
          <w:szCs w:val="22"/>
          <w:lang w:val="sk-SK"/>
        </w:rPr>
        <w:t>.</w:t>
      </w:r>
    </w:p>
    <w:p w:rsidR="00E125F6" w:rsidRPr="00DD1881" w:rsidRDefault="00DD1881" w:rsidP="006C0294">
      <w:pPr>
        <w:pStyle w:val="Zkladntext"/>
        <w:rPr>
          <w:sz w:val="22"/>
          <w:szCs w:val="22"/>
          <w:lang w:val="sk-SK"/>
        </w:rPr>
      </w:pPr>
      <w:r>
        <w:rPr>
          <w:sz w:val="22"/>
          <w:szCs w:val="22"/>
          <w:lang w:val="sk-SK"/>
        </w:rPr>
        <w:t>BITAMMON</w:t>
      </w:r>
      <w:r w:rsidR="00E125F6" w:rsidRPr="00DD1881">
        <w:rPr>
          <w:sz w:val="22"/>
          <w:szCs w:val="22"/>
          <w:lang w:val="sk-SK"/>
        </w:rPr>
        <w:t xml:space="preserve"> sa môže podať tiež </w:t>
      </w:r>
      <w:r w:rsidR="00382255">
        <w:rPr>
          <w:sz w:val="22"/>
          <w:szCs w:val="22"/>
          <w:lang w:val="sk-SK"/>
        </w:rPr>
        <w:t>preventívne</w:t>
      </w:r>
      <w:r w:rsidR="00E125F6" w:rsidRPr="00DD1881">
        <w:rPr>
          <w:sz w:val="22"/>
          <w:szCs w:val="22"/>
          <w:lang w:val="sk-SK"/>
        </w:rPr>
        <w:t xml:space="preserve"> pred chirurgic</w:t>
      </w:r>
      <w:r w:rsidR="008906E0">
        <w:rPr>
          <w:sz w:val="22"/>
          <w:szCs w:val="22"/>
          <w:lang w:val="sk-SK"/>
        </w:rPr>
        <w:t>kým zákrokom v oblasti pobrušnice</w:t>
      </w:r>
      <w:r w:rsidR="00155CE8">
        <w:rPr>
          <w:sz w:val="22"/>
          <w:szCs w:val="22"/>
          <w:lang w:val="sk-SK"/>
        </w:rPr>
        <w:t xml:space="preserve"> </w:t>
      </w:r>
      <w:r w:rsidR="00E125F6" w:rsidRPr="00DD1881">
        <w:rPr>
          <w:sz w:val="22"/>
          <w:szCs w:val="22"/>
          <w:lang w:val="sk-SK"/>
        </w:rPr>
        <w:t xml:space="preserve">a panvovej oblasti na zabránenie včasnej pooperačnej infekcie. </w:t>
      </w:r>
      <w:r>
        <w:rPr>
          <w:sz w:val="22"/>
          <w:szCs w:val="22"/>
          <w:lang w:val="sk-SK"/>
        </w:rPr>
        <w:t>BITAMMON</w:t>
      </w:r>
      <w:r w:rsidR="00E125F6" w:rsidRPr="00DD1881">
        <w:rPr>
          <w:sz w:val="22"/>
          <w:szCs w:val="22"/>
          <w:lang w:val="sk-SK"/>
        </w:rPr>
        <w:t xml:space="preserve"> tiež možno použiť v pôrodníctve na prevenciu sepsy</w:t>
      </w:r>
      <w:r w:rsidR="00534F74">
        <w:rPr>
          <w:sz w:val="22"/>
          <w:szCs w:val="22"/>
          <w:lang w:val="sk-SK"/>
        </w:rPr>
        <w:t xml:space="preserve"> (otrava krvi) pri ukončení tehotenstva</w:t>
      </w:r>
      <w:r w:rsidR="008772A4">
        <w:rPr>
          <w:sz w:val="22"/>
          <w:szCs w:val="22"/>
          <w:lang w:val="sk-SK"/>
        </w:rPr>
        <w:t xml:space="preserve"> cisárskym rezom</w:t>
      </w:r>
      <w:r w:rsidR="00E125F6" w:rsidRPr="00DD1881">
        <w:rPr>
          <w:sz w:val="22"/>
          <w:szCs w:val="22"/>
          <w:lang w:val="sk-SK"/>
        </w:rPr>
        <w:t>.</w:t>
      </w:r>
    </w:p>
    <w:p w:rsidR="00DD02F6" w:rsidRPr="00DD1881" w:rsidRDefault="00DD02F6" w:rsidP="006C0294">
      <w:pPr>
        <w:numPr>
          <w:ilvl w:val="12"/>
          <w:numId w:val="0"/>
        </w:numPr>
        <w:ind w:right="-2"/>
        <w:rPr>
          <w:sz w:val="22"/>
          <w:szCs w:val="22"/>
          <w:lang w:val="sk-SK"/>
        </w:rPr>
      </w:pPr>
    </w:p>
    <w:p w:rsidR="00DD02F6" w:rsidRPr="00DD1881" w:rsidRDefault="00DD02F6" w:rsidP="006C0294">
      <w:pPr>
        <w:numPr>
          <w:ilvl w:val="12"/>
          <w:numId w:val="0"/>
        </w:numPr>
        <w:ind w:left="567" w:right="-2" w:hanging="567"/>
        <w:outlineLvl w:val="0"/>
        <w:rPr>
          <w:sz w:val="22"/>
          <w:szCs w:val="22"/>
          <w:lang w:val="sk-SK"/>
        </w:rPr>
      </w:pPr>
      <w:r w:rsidRPr="00DD1881">
        <w:rPr>
          <w:b/>
          <w:sz w:val="22"/>
          <w:szCs w:val="22"/>
          <w:lang w:val="sk-SK"/>
        </w:rPr>
        <w:t>2.</w:t>
      </w:r>
      <w:r w:rsidRPr="00DD1881">
        <w:rPr>
          <w:b/>
          <w:sz w:val="22"/>
          <w:szCs w:val="22"/>
          <w:lang w:val="sk-SK"/>
        </w:rPr>
        <w:tab/>
      </w:r>
      <w:r w:rsidR="005B215C" w:rsidRPr="005B215C">
        <w:rPr>
          <w:b/>
          <w:sz w:val="22"/>
          <w:szCs w:val="22"/>
          <w:lang w:val="sk-SK"/>
        </w:rPr>
        <w:t>Čo potrebujete vedieť predtým, ako použijete BITAMMON</w:t>
      </w:r>
    </w:p>
    <w:p w:rsidR="00DD02F6" w:rsidRPr="00DD1881" w:rsidRDefault="00DD02F6" w:rsidP="006C0294">
      <w:pPr>
        <w:numPr>
          <w:ilvl w:val="12"/>
          <w:numId w:val="0"/>
        </w:numPr>
        <w:ind w:right="-2"/>
        <w:rPr>
          <w:sz w:val="22"/>
          <w:szCs w:val="22"/>
          <w:lang w:val="sk-SK"/>
        </w:rPr>
      </w:pPr>
    </w:p>
    <w:p w:rsidR="00DD02F6" w:rsidRPr="00DD1881" w:rsidRDefault="00DD02F6" w:rsidP="006C0294">
      <w:pPr>
        <w:numPr>
          <w:ilvl w:val="12"/>
          <w:numId w:val="0"/>
        </w:numPr>
        <w:outlineLvl w:val="0"/>
        <w:rPr>
          <w:sz w:val="22"/>
          <w:szCs w:val="22"/>
          <w:lang w:val="sk-SK"/>
        </w:rPr>
      </w:pPr>
      <w:r w:rsidRPr="00DD1881">
        <w:rPr>
          <w:b/>
          <w:sz w:val="22"/>
          <w:szCs w:val="22"/>
          <w:lang w:val="sk-SK"/>
        </w:rPr>
        <w:t xml:space="preserve">Nepoužívajte </w:t>
      </w:r>
      <w:r w:rsidR="00DD1881">
        <w:rPr>
          <w:b/>
          <w:sz w:val="22"/>
          <w:szCs w:val="22"/>
          <w:lang w:val="sk-SK"/>
        </w:rPr>
        <w:t>BITAMMON</w:t>
      </w:r>
      <w:r w:rsidRPr="00DD1881">
        <w:rPr>
          <w:sz w:val="22"/>
          <w:szCs w:val="22"/>
          <w:lang w:val="sk-SK"/>
        </w:rPr>
        <w:t xml:space="preserve"> </w:t>
      </w:r>
    </w:p>
    <w:p w:rsidR="00DD02F6" w:rsidRPr="00DD1881" w:rsidRDefault="00650635" w:rsidP="006C0294">
      <w:pPr>
        <w:pStyle w:val="Zkladntext"/>
        <w:numPr>
          <w:ilvl w:val="0"/>
          <w:numId w:val="1"/>
        </w:numPr>
        <w:rPr>
          <w:sz w:val="22"/>
          <w:szCs w:val="22"/>
          <w:lang w:val="sk-SK"/>
        </w:rPr>
      </w:pPr>
      <w:r w:rsidRPr="00DD1881">
        <w:rPr>
          <w:sz w:val="22"/>
          <w:szCs w:val="22"/>
          <w:lang w:val="sk-SK"/>
        </w:rPr>
        <w:t>a</w:t>
      </w:r>
      <w:r w:rsidR="00DD02F6" w:rsidRPr="00DD1881">
        <w:rPr>
          <w:sz w:val="22"/>
          <w:szCs w:val="22"/>
          <w:lang w:val="sk-SK"/>
        </w:rPr>
        <w:t>k st</w:t>
      </w:r>
      <w:r w:rsidRPr="00DD1881">
        <w:rPr>
          <w:sz w:val="22"/>
          <w:szCs w:val="22"/>
          <w:lang w:val="sk-SK"/>
        </w:rPr>
        <w:t>e precitlivený na penicilíny</w:t>
      </w:r>
      <w:r w:rsidR="00DD02F6" w:rsidRPr="00DD1881">
        <w:rPr>
          <w:sz w:val="22"/>
          <w:szCs w:val="22"/>
          <w:lang w:val="sk-SK"/>
        </w:rPr>
        <w:t xml:space="preserve"> </w:t>
      </w:r>
    </w:p>
    <w:p w:rsidR="00650635" w:rsidRPr="00DD1881" w:rsidRDefault="00650635" w:rsidP="006C0294">
      <w:pPr>
        <w:pStyle w:val="Zkladntext"/>
        <w:numPr>
          <w:ilvl w:val="0"/>
          <w:numId w:val="1"/>
        </w:numPr>
        <w:rPr>
          <w:sz w:val="22"/>
          <w:szCs w:val="22"/>
          <w:lang w:val="sk-SK"/>
        </w:rPr>
      </w:pPr>
      <w:r w:rsidRPr="00DD1881">
        <w:rPr>
          <w:sz w:val="22"/>
          <w:szCs w:val="22"/>
          <w:lang w:val="sk-SK"/>
        </w:rPr>
        <w:t>ak ste precitlivený na cefalosporíny</w:t>
      </w:r>
    </w:p>
    <w:p w:rsidR="003C1BDF" w:rsidRPr="00DD1881" w:rsidRDefault="003C1BDF" w:rsidP="006C0294">
      <w:pPr>
        <w:pStyle w:val="Zkladntext"/>
        <w:numPr>
          <w:ilvl w:val="0"/>
          <w:numId w:val="1"/>
        </w:numPr>
        <w:rPr>
          <w:sz w:val="22"/>
          <w:szCs w:val="22"/>
          <w:lang w:val="sk-SK"/>
        </w:rPr>
      </w:pPr>
      <w:r w:rsidRPr="00DD1881">
        <w:rPr>
          <w:sz w:val="22"/>
          <w:szCs w:val="22"/>
          <w:lang w:val="sk-SK"/>
        </w:rPr>
        <w:t>ak máte alergiu, astmu, sennú nádchu alebo žihľavku v</w:t>
      </w:r>
      <w:r w:rsidR="00B67076" w:rsidRPr="00DD1881">
        <w:rPr>
          <w:sz w:val="22"/>
          <w:szCs w:val="22"/>
          <w:lang w:val="sk-SK"/>
        </w:rPr>
        <w:t> </w:t>
      </w:r>
      <w:r w:rsidRPr="00DD1881">
        <w:rPr>
          <w:sz w:val="22"/>
          <w:szCs w:val="22"/>
          <w:lang w:val="sk-SK"/>
        </w:rPr>
        <w:t>anamnéze</w:t>
      </w:r>
      <w:r w:rsidR="00B67076" w:rsidRPr="00DD1881">
        <w:rPr>
          <w:sz w:val="22"/>
          <w:szCs w:val="22"/>
          <w:lang w:val="sk-SK"/>
        </w:rPr>
        <w:t xml:space="preserve"> (</w:t>
      </w:r>
      <w:r w:rsidR="00E80967">
        <w:rPr>
          <w:sz w:val="22"/>
          <w:szCs w:val="22"/>
          <w:lang w:val="sk-SK"/>
        </w:rPr>
        <w:t xml:space="preserve">v </w:t>
      </w:r>
      <w:r w:rsidR="00B67076" w:rsidRPr="00DD1881">
        <w:rPr>
          <w:sz w:val="22"/>
          <w:szCs w:val="22"/>
          <w:lang w:val="sk-SK"/>
        </w:rPr>
        <w:t>chorobopise)</w:t>
      </w:r>
      <w:r w:rsidR="00E80967">
        <w:rPr>
          <w:sz w:val="22"/>
          <w:szCs w:val="22"/>
          <w:lang w:val="sk-SK"/>
        </w:rPr>
        <w:t>.</w:t>
      </w:r>
    </w:p>
    <w:p w:rsidR="005A37D3" w:rsidRPr="00DD1881" w:rsidRDefault="005A37D3" w:rsidP="006C0294">
      <w:pPr>
        <w:pStyle w:val="Zkladntext"/>
        <w:rPr>
          <w:sz w:val="22"/>
          <w:szCs w:val="22"/>
          <w:lang w:val="sk-SK"/>
        </w:rPr>
      </w:pPr>
    </w:p>
    <w:p w:rsidR="005A37D3" w:rsidRPr="00DD1881" w:rsidRDefault="00F94ED8" w:rsidP="006C0294">
      <w:pPr>
        <w:pStyle w:val="Zkladntext"/>
        <w:rPr>
          <w:sz w:val="22"/>
          <w:szCs w:val="22"/>
          <w:lang w:val="sk-SK"/>
        </w:rPr>
      </w:pPr>
      <w:r>
        <w:rPr>
          <w:sz w:val="22"/>
          <w:szCs w:val="22"/>
          <w:lang w:val="sk-SK"/>
        </w:rPr>
        <w:t>V prípade alergickej reakcie vám lekár preruší liečbu.</w:t>
      </w:r>
      <w:bookmarkStart w:id="0" w:name="_GoBack"/>
      <w:bookmarkEnd w:id="0"/>
    </w:p>
    <w:p w:rsidR="005A37D3" w:rsidRDefault="005A37D3" w:rsidP="006C0294">
      <w:pPr>
        <w:pStyle w:val="Zkladntext"/>
        <w:rPr>
          <w:sz w:val="22"/>
          <w:szCs w:val="22"/>
          <w:lang w:val="sk-SK"/>
        </w:rPr>
      </w:pPr>
    </w:p>
    <w:p w:rsidR="007C5F38" w:rsidRDefault="009A18DC" w:rsidP="006C0294">
      <w:pPr>
        <w:pStyle w:val="Zkladntext"/>
        <w:rPr>
          <w:b/>
          <w:sz w:val="22"/>
          <w:szCs w:val="22"/>
          <w:lang w:val="sk-SK"/>
        </w:rPr>
      </w:pPr>
      <w:r>
        <w:rPr>
          <w:b/>
          <w:sz w:val="22"/>
          <w:szCs w:val="22"/>
          <w:lang w:val="sk-SK"/>
        </w:rPr>
        <w:t>Upozornenia a opatrenia</w:t>
      </w:r>
    </w:p>
    <w:p w:rsidR="00B06E37" w:rsidRDefault="00B06E37" w:rsidP="006C0294">
      <w:pPr>
        <w:pStyle w:val="Zkladntext"/>
        <w:rPr>
          <w:sz w:val="22"/>
          <w:szCs w:val="22"/>
          <w:lang w:val="sk-SK"/>
        </w:rPr>
      </w:pPr>
    </w:p>
    <w:p w:rsidR="00B8157F" w:rsidRPr="00543B9E" w:rsidRDefault="00B8157F" w:rsidP="006C0294">
      <w:pPr>
        <w:pStyle w:val="Zkladntext"/>
        <w:rPr>
          <w:sz w:val="22"/>
          <w:szCs w:val="22"/>
          <w:lang w:val="sk-SK"/>
        </w:rPr>
      </w:pPr>
      <w:r>
        <w:rPr>
          <w:sz w:val="22"/>
          <w:szCs w:val="22"/>
          <w:lang w:val="sk-SK"/>
        </w:rPr>
        <w:t>Ak máte abdominálne</w:t>
      </w:r>
      <w:r w:rsidR="00DD35BA">
        <w:rPr>
          <w:sz w:val="22"/>
          <w:szCs w:val="22"/>
          <w:lang w:val="sk-SK"/>
        </w:rPr>
        <w:t xml:space="preserve"> bolesti (bolesti brucha), pociťujete svrbenie, máte tmavý moč, žlto sfarbenú kožu</w:t>
      </w:r>
      <w:r w:rsidR="00A54E2C">
        <w:rPr>
          <w:sz w:val="22"/>
          <w:szCs w:val="22"/>
          <w:lang w:val="sk-SK"/>
        </w:rPr>
        <w:t xml:space="preserve"> alebo oči, ak pociťujete nutkanie na vracanie (nevoľnosť) alebo ak sa celkovo necítite dobre, okamžite to povedzte svojmu lekárovi. Tieto prejavy môžu poukazovať na poškodenie pečene, ku ktorému môže dôjsť pri </w:t>
      </w:r>
      <w:r w:rsidR="00A96818">
        <w:rPr>
          <w:sz w:val="22"/>
          <w:szCs w:val="22"/>
          <w:lang w:val="sk-SK"/>
        </w:rPr>
        <w:t>po</w:t>
      </w:r>
      <w:r w:rsidR="00A54E2C">
        <w:rPr>
          <w:sz w:val="22"/>
          <w:szCs w:val="22"/>
          <w:lang w:val="sk-SK"/>
        </w:rPr>
        <w:t>užívaní ampicilínu/sulbaktámu.</w:t>
      </w:r>
    </w:p>
    <w:p w:rsidR="00B06E37" w:rsidRPr="00B06E37" w:rsidRDefault="00B077E2" w:rsidP="006C0294">
      <w:pPr>
        <w:rPr>
          <w:sz w:val="22"/>
          <w:szCs w:val="22"/>
          <w:lang w:val="sk-SK"/>
        </w:rPr>
      </w:pPr>
      <w:r>
        <w:rPr>
          <w:sz w:val="22"/>
          <w:szCs w:val="22"/>
          <w:lang w:val="sk-SK"/>
        </w:rPr>
        <w:t>Pri zlyhávaní</w:t>
      </w:r>
      <w:r w:rsidR="00B06E37" w:rsidRPr="00B06E37">
        <w:rPr>
          <w:sz w:val="22"/>
          <w:szCs w:val="22"/>
          <w:lang w:val="sk-SK"/>
        </w:rPr>
        <w:t xml:space="preserve"> obličiek s predĺženým polčasom eliminácie treba dávky primerane znížiť. Podobne ako pri použití iných antibiotík je potrebné priebežne sledovať príznaky nadmerného rozmnoženia rezistentných </w:t>
      </w:r>
      <w:r w:rsidR="00A3184F">
        <w:rPr>
          <w:sz w:val="22"/>
          <w:szCs w:val="22"/>
          <w:lang w:val="sk-SK"/>
        </w:rPr>
        <w:t>(necitlivých)</w:t>
      </w:r>
      <w:r w:rsidR="00A3184F" w:rsidRPr="00B06E37">
        <w:rPr>
          <w:sz w:val="22"/>
          <w:szCs w:val="22"/>
          <w:lang w:val="sk-SK"/>
        </w:rPr>
        <w:t xml:space="preserve"> </w:t>
      </w:r>
      <w:r w:rsidR="00B06E37" w:rsidRPr="00B06E37">
        <w:rPr>
          <w:sz w:val="22"/>
          <w:szCs w:val="22"/>
          <w:lang w:val="sk-SK"/>
        </w:rPr>
        <w:t>mikroorganizmov vrátane mykotickej flóry</w:t>
      </w:r>
      <w:r w:rsidR="006C2B0C">
        <w:rPr>
          <w:sz w:val="22"/>
          <w:szCs w:val="22"/>
          <w:lang w:val="sk-SK"/>
        </w:rPr>
        <w:t xml:space="preserve"> (húb a kvasiniek)</w:t>
      </w:r>
      <w:r w:rsidR="00B06E37" w:rsidRPr="00B06E37">
        <w:rPr>
          <w:sz w:val="22"/>
          <w:szCs w:val="22"/>
          <w:lang w:val="sk-SK"/>
        </w:rPr>
        <w:t>. V prípade, že vznikne táto superinfek</w:t>
      </w:r>
      <w:r w:rsidR="00B06E37">
        <w:rPr>
          <w:sz w:val="22"/>
          <w:szCs w:val="22"/>
          <w:lang w:val="sk-SK"/>
        </w:rPr>
        <w:t>cia, je potrebné liečbu BITAMMON</w:t>
      </w:r>
      <w:r w:rsidR="00D90B7E" w:rsidRPr="00D90B7E">
        <w:rPr>
          <w:caps/>
          <w:sz w:val="22"/>
          <w:szCs w:val="22"/>
          <w:lang w:val="sk-SK"/>
        </w:rPr>
        <w:t>om</w:t>
      </w:r>
      <w:r w:rsidR="00B06E37" w:rsidRPr="00B06E37">
        <w:rPr>
          <w:sz w:val="22"/>
          <w:szCs w:val="22"/>
          <w:lang w:val="sk-SK"/>
        </w:rPr>
        <w:t xml:space="preserve"> prerušiť a začať s náležitou terapiou.</w:t>
      </w:r>
    </w:p>
    <w:p w:rsidR="007C5F38" w:rsidRPr="007C5F38" w:rsidRDefault="007C5F38" w:rsidP="006C0294">
      <w:pPr>
        <w:pStyle w:val="Zkladntext"/>
        <w:rPr>
          <w:sz w:val="22"/>
          <w:szCs w:val="22"/>
          <w:lang w:val="sk-SK"/>
        </w:rPr>
      </w:pPr>
    </w:p>
    <w:p w:rsidR="00DD02F6" w:rsidRPr="00DD1881" w:rsidRDefault="000F6FFC" w:rsidP="006C0294">
      <w:pPr>
        <w:numPr>
          <w:ilvl w:val="12"/>
          <w:numId w:val="0"/>
        </w:numPr>
        <w:ind w:right="-2"/>
        <w:rPr>
          <w:b/>
          <w:sz w:val="22"/>
          <w:szCs w:val="22"/>
          <w:lang w:val="sk-SK"/>
        </w:rPr>
      </w:pPr>
      <w:r>
        <w:rPr>
          <w:b/>
          <w:sz w:val="22"/>
          <w:szCs w:val="22"/>
          <w:lang w:val="sk-SK"/>
        </w:rPr>
        <w:t>Iné lieky a BITAMMON</w:t>
      </w:r>
    </w:p>
    <w:p w:rsidR="00DD02F6" w:rsidRPr="00DD1881" w:rsidRDefault="00DD02F6" w:rsidP="006C0294">
      <w:pPr>
        <w:rPr>
          <w:sz w:val="22"/>
          <w:szCs w:val="22"/>
          <w:lang w:val="sk-SK"/>
        </w:rPr>
      </w:pPr>
      <w:r w:rsidRPr="00DD1881">
        <w:rPr>
          <w:sz w:val="22"/>
          <w:szCs w:val="22"/>
          <w:lang w:val="sk-SK"/>
        </w:rPr>
        <w:t xml:space="preserve">Ak </w:t>
      </w:r>
      <w:r w:rsidR="000B7D4B">
        <w:rPr>
          <w:sz w:val="22"/>
          <w:szCs w:val="22"/>
          <w:lang w:val="sk-SK"/>
        </w:rPr>
        <w:t xml:space="preserve">teraz </w:t>
      </w:r>
      <w:r w:rsidRPr="00DD1881">
        <w:rPr>
          <w:sz w:val="22"/>
          <w:szCs w:val="22"/>
          <w:lang w:val="sk-SK"/>
        </w:rPr>
        <w:t>užívate alebo ste v poslednom čase užívali</w:t>
      </w:r>
      <w:r w:rsidR="001746BB">
        <w:rPr>
          <w:sz w:val="22"/>
          <w:szCs w:val="22"/>
          <w:lang w:val="sk-SK"/>
        </w:rPr>
        <w:t>, či práve budete užívať ďalšie</w:t>
      </w:r>
      <w:r w:rsidRPr="00DD1881">
        <w:rPr>
          <w:sz w:val="22"/>
          <w:szCs w:val="22"/>
          <w:lang w:val="sk-SK"/>
        </w:rPr>
        <w:t xml:space="preserve"> lieky, </w:t>
      </w:r>
      <w:r w:rsidR="001746BB">
        <w:rPr>
          <w:sz w:val="22"/>
          <w:szCs w:val="22"/>
          <w:lang w:val="sk-SK"/>
        </w:rPr>
        <w:t xml:space="preserve">povedzte to </w:t>
      </w:r>
      <w:r w:rsidRPr="00DD1881">
        <w:rPr>
          <w:sz w:val="22"/>
          <w:szCs w:val="22"/>
          <w:lang w:val="sk-SK"/>
        </w:rPr>
        <w:t>svojmu lekárovi.</w:t>
      </w:r>
    </w:p>
    <w:p w:rsidR="00DD02F6" w:rsidRPr="00DD1881" w:rsidRDefault="00DD02F6" w:rsidP="006C0294">
      <w:pPr>
        <w:rPr>
          <w:sz w:val="22"/>
          <w:szCs w:val="22"/>
          <w:lang w:val="sk-SK"/>
        </w:rPr>
      </w:pPr>
    </w:p>
    <w:p w:rsidR="000A59F2" w:rsidRPr="00DD1881" w:rsidRDefault="000A59F2" w:rsidP="006C0294">
      <w:pPr>
        <w:pStyle w:val="Zkladntext"/>
        <w:rPr>
          <w:sz w:val="22"/>
          <w:szCs w:val="22"/>
          <w:lang w:val="sk-SK"/>
        </w:rPr>
      </w:pPr>
      <w:r w:rsidRPr="00DD1881">
        <w:rPr>
          <w:sz w:val="22"/>
          <w:szCs w:val="22"/>
          <w:lang w:val="sk-SK"/>
        </w:rPr>
        <w:t xml:space="preserve">Pri súčasnom podávaní </w:t>
      </w:r>
      <w:r w:rsidR="00DD1881">
        <w:rPr>
          <w:sz w:val="22"/>
          <w:szCs w:val="22"/>
          <w:lang w:val="sk-SK"/>
        </w:rPr>
        <w:t>BITAMMON</w:t>
      </w:r>
      <w:r w:rsidR="00D90B7E" w:rsidRPr="00D90B7E">
        <w:rPr>
          <w:caps/>
          <w:sz w:val="22"/>
          <w:szCs w:val="22"/>
          <w:lang w:val="sk-SK"/>
        </w:rPr>
        <w:t>u</w:t>
      </w:r>
      <w:r w:rsidRPr="00DD1881">
        <w:rPr>
          <w:sz w:val="22"/>
          <w:szCs w:val="22"/>
          <w:lang w:val="sk-SK"/>
        </w:rPr>
        <w:t xml:space="preserve"> s inými liekmi môže dôjsť ku vzájomnému ovplyvneniu účinku týchto prípravkov. Pri súčasnom podávaní s alopurinolom vzrastá riziko kožných reakcií. Probenecid spomaľuje tubulárnu sekréciu, čo vedie k zvýšeniu plazmatickej hladiny a predĺženiu polčasu </w:t>
      </w:r>
      <w:r w:rsidR="00A134D8">
        <w:rPr>
          <w:sz w:val="22"/>
          <w:szCs w:val="22"/>
          <w:lang w:val="sk-SK"/>
        </w:rPr>
        <w:t>vylúčenia</w:t>
      </w:r>
      <w:r w:rsidR="00A134D8" w:rsidRPr="00DD1881">
        <w:rPr>
          <w:sz w:val="22"/>
          <w:szCs w:val="22"/>
          <w:lang w:val="sk-SK"/>
        </w:rPr>
        <w:t xml:space="preserve"> </w:t>
      </w:r>
      <w:r w:rsidR="00DD1881">
        <w:rPr>
          <w:sz w:val="22"/>
          <w:szCs w:val="22"/>
          <w:lang w:val="sk-SK"/>
        </w:rPr>
        <w:t>BITAMMON</w:t>
      </w:r>
      <w:r w:rsidR="00D90B7E" w:rsidRPr="00D90B7E">
        <w:rPr>
          <w:caps/>
          <w:sz w:val="22"/>
          <w:szCs w:val="22"/>
          <w:lang w:val="sk-SK"/>
        </w:rPr>
        <w:t>u</w:t>
      </w:r>
      <w:r w:rsidRPr="00DD1881">
        <w:rPr>
          <w:sz w:val="22"/>
          <w:szCs w:val="22"/>
          <w:lang w:val="sk-SK"/>
        </w:rPr>
        <w:t xml:space="preserve">. </w:t>
      </w:r>
    </w:p>
    <w:p w:rsidR="000A59F2" w:rsidRPr="00DD1881" w:rsidRDefault="000A59F2" w:rsidP="006C0294">
      <w:pPr>
        <w:rPr>
          <w:sz w:val="22"/>
          <w:szCs w:val="22"/>
          <w:lang w:val="sk-SK"/>
        </w:rPr>
      </w:pPr>
    </w:p>
    <w:p w:rsidR="00DD02F6" w:rsidRPr="00DD1881" w:rsidRDefault="001E6D7B" w:rsidP="006C0294">
      <w:pPr>
        <w:numPr>
          <w:ilvl w:val="12"/>
          <w:numId w:val="0"/>
        </w:numPr>
        <w:ind w:right="-2"/>
        <w:outlineLvl w:val="0"/>
        <w:rPr>
          <w:b/>
          <w:sz w:val="22"/>
          <w:szCs w:val="22"/>
          <w:lang w:val="sk-SK"/>
        </w:rPr>
      </w:pPr>
      <w:r>
        <w:rPr>
          <w:b/>
          <w:sz w:val="22"/>
          <w:szCs w:val="22"/>
          <w:lang w:val="sk-SK"/>
        </w:rPr>
        <w:t xml:space="preserve">Tehotenstvo, </w:t>
      </w:r>
      <w:r w:rsidR="00DD02F6" w:rsidRPr="00DD1881">
        <w:rPr>
          <w:b/>
          <w:sz w:val="22"/>
          <w:szCs w:val="22"/>
          <w:lang w:val="sk-SK"/>
        </w:rPr>
        <w:t>dojčenie</w:t>
      </w:r>
      <w:r>
        <w:rPr>
          <w:b/>
          <w:sz w:val="22"/>
          <w:szCs w:val="22"/>
          <w:lang w:val="sk-SK"/>
        </w:rPr>
        <w:t xml:space="preserve"> a plodnosť</w:t>
      </w:r>
    </w:p>
    <w:p w:rsidR="009A4880" w:rsidRDefault="009A4880" w:rsidP="006C0294">
      <w:pPr>
        <w:rPr>
          <w:sz w:val="22"/>
          <w:szCs w:val="22"/>
          <w:lang w:val="sk-SK"/>
        </w:rPr>
      </w:pPr>
      <w:r>
        <w:rPr>
          <w:sz w:val="22"/>
          <w:szCs w:val="22"/>
          <w:lang w:val="sk-SK"/>
        </w:rPr>
        <w:t>Ak ste tehotná alebo dojčíte, ak si myslíte, že ste tehotná alebo ak plánujete otehotnieť, pora</w:t>
      </w:r>
      <w:r w:rsidR="00FF0A53">
        <w:rPr>
          <w:sz w:val="22"/>
          <w:szCs w:val="22"/>
          <w:lang w:val="sk-SK"/>
        </w:rPr>
        <w:t>ďte sa so svojím lekárom predtým, ako začnete užívať tento liek.</w:t>
      </w:r>
    </w:p>
    <w:p w:rsidR="00872639" w:rsidRPr="00DD1881" w:rsidRDefault="00872639" w:rsidP="006C0294">
      <w:pPr>
        <w:rPr>
          <w:sz w:val="22"/>
          <w:szCs w:val="22"/>
          <w:lang w:val="sk-SK"/>
        </w:rPr>
      </w:pPr>
      <w:r w:rsidRPr="00DD1881">
        <w:rPr>
          <w:sz w:val="22"/>
          <w:szCs w:val="22"/>
          <w:lang w:val="sk-SK"/>
        </w:rPr>
        <w:t xml:space="preserve">Reprodukčné štúdie na zvieratách nezistili poruchy plodnosti, alebo poškodenie plodu pri použití kombinácie ampicilín/sulbaktám. Pri podaní </w:t>
      </w:r>
      <w:r w:rsidR="008D523B">
        <w:rPr>
          <w:sz w:val="22"/>
          <w:szCs w:val="22"/>
          <w:lang w:val="sk-SK"/>
        </w:rPr>
        <w:t>lekár</w:t>
      </w:r>
      <w:r w:rsidRPr="00DD1881">
        <w:rPr>
          <w:sz w:val="22"/>
          <w:szCs w:val="22"/>
          <w:lang w:val="sk-SK"/>
        </w:rPr>
        <w:t xml:space="preserve"> zváži pomer očakávaného prínosu</w:t>
      </w:r>
      <w:r w:rsidR="008D523B">
        <w:rPr>
          <w:sz w:val="22"/>
          <w:szCs w:val="22"/>
          <w:lang w:val="sk-SK"/>
        </w:rPr>
        <w:t xml:space="preserve"> liečby</w:t>
      </w:r>
      <w:r w:rsidRPr="00DD1881">
        <w:rPr>
          <w:sz w:val="22"/>
          <w:szCs w:val="22"/>
          <w:lang w:val="sk-SK"/>
        </w:rPr>
        <w:t xml:space="preserve"> a možného rizika. </w:t>
      </w:r>
    </w:p>
    <w:p w:rsidR="00C12329" w:rsidRDefault="00872639" w:rsidP="006C0294">
      <w:pPr>
        <w:rPr>
          <w:sz w:val="22"/>
          <w:szCs w:val="22"/>
          <w:lang w:val="sk-SK"/>
        </w:rPr>
      </w:pPr>
      <w:r w:rsidRPr="00DD1881">
        <w:rPr>
          <w:sz w:val="22"/>
          <w:szCs w:val="22"/>
          <w:lang w:val="sk-SK"/>
        </w:rPr>
        <w:t xml:space="preserve">Pri podaní </w:t>
      </w:r>
      <w:r w:rsidR="00DD1881">
        <w:rPr>
          <w:sz w:val="22"/>
          <w:szCs w:val="22"/>
          <w:lang w:val="sk-SK"/>
        </w:rPr>
        <w:t>BITAMMON</w:t>
      </w:r>
      <w:r w:rsidR="00D90B7E" w:rsidRPr="00D90B7E">
        <w:rPr>
          <w:caps/>
          <w:sz w:val="22"/>
          <w:szCs w:val="22"/>
          <w:lang w:val="sk-SK"/>
        </w:rPr>
        <w:t>u</w:t>
      </w:r>
      <w:r w:rsidRPr="00DD1881">
        <w:rPr>
          <w:sz w:val="22"/>
          <w:szCs w:val="22"/>
          <w:lang w:val="sk-SK"/>
        </w:rPr>
        <w:t xml:space="preserve"> dojčiacim matkám, je u dojčeného dieťaťa možnosť výskytu hnačky </w:t>
      </w:r>
    </w:p>
    <w:p w:rsidR="00872639" w:rsidRPr="00DD1881" w:rsidRDefault="00872639" w:rsidP="006C0294">
      <w:pPr>
        <w:rPr>
          <w:sz w:val="22"/>
          <w:szCs w:val="22"/>
          <w:lang w:val="sk-SK"/>
        </w:rPr>
      </w:pPr>
      <w:r w:rsidRPr="00DD1881">
        <w:rPr>
          <w:sz w:val="22"/>
          <w:szCs w:val="22"/>
          <w:lang w:val="sk-SK"/>
        </w:rPr>
        <w:t>a riziko senzibilizácie</w:t>
      </w:r>
      <w:r w:rsidR="00764490">
        <w:rPr>
          <w:sz w:val="22"/>
          <w:szCs w:val="22"/>
          <w:lang w:val="sk-SK"/>
        </w:rPr>
        <w:t xml:space="preserve"> (precitlivenosti)</w:t>
      </w:r>
      <w:r w:rsidRPr="00DD1881">
        <w:rPr>
          <w:sz w:val="22"/>
          <w:szCs w:val="22"/>
          <w:lang w:val="sk-SK"/>
        </w:rPr>
        <w:t xml:space="preserve">. </w:t>
      </w:r>
    </w:p>
    <w:p w:rsidR="00DD02F6" w:rsidRPr="00DD1881" w:rsidRDefault="00DD02F6" w:rsidP="006C0294">
      <w:pPr>
        <w:pStyle w:val="Zkladntext"/>
        <w:rPr>
          <w:sz w:val="22"/>
          <w:szCs w:val="22"/>
          <w:lang w:val="sk-SK"/>
        </w:rPr>
      </w:pPr>
    </w:p>
    <w:p w:rsidR="00DD02F6" w:rsidRPr="00C12329" w:rsidRDefault="00DD02F6" w:rsidP="006C0294">
      <w:pPr>
        <w:numPr>
          <w:ilvl w:val="12"/>
          <w:numId w:val="0"/>
        </w:numPr>
        <w:ind w:right="-2"/>
        <w:outlineLvl w:val="0"/>
        <w:rPr>
          <w:b/>
          <w:sz w:val="22"/>
          <w:szCs w:val="22"/>
          <w:lang w:val="sk-SK"/>
        </w:rPr>
      </w:pPr>
      <w:r w:rsidRPr="00C12329">
        <w:rPr>
          <w:b/>
          <w:sz w:val="22"/>
          <w:szCs w:val="22"/>
          <w:lang w:val="sk-SK"/>
        </w:rPr>
        <w:t xml:space="preserve">Vedenie </w:t>
      </w:r>
      <w:r w:rsidR="00B30001" w:rsidRPr="00C12329">
        <w:rPr>
          <w:b/>
          <w:sz w:val="22"/>
          <w:szCs w:val="22"/>
          <w:lang w:val="sk-SK"/>
        </w:rPr>
        <w:t>vozi</w:t>
      </w:r>
      <w:r w:rsidR="00B30001">
        <w:rPr>
          <w:b/>
          <w:sz w:val="22"/>
          <w:szCs w:val="22"/>
          <w:lang w:val="sk-SK"/>
        </w:rPr>
        <w:t>diel</w:t>
      </w:r>
      <w:r w:rsidR="00B30001" w:rsidRPr="00C12329">
        <w:rPr>
          <w:b/>
          <w:sz w:val="22"/>
          <w:szCs w:val="22"/>
          <w:lang w:val="sk-SK"/>
        </w:rPr>
        <w:t xml:space="preserve"> </w:t>
      </w:r>
      <w:r w:rsidRPr="00C12329">
        <w:rPr>
          <w:b/>
          <w:sz w:val="22"/>
          <w:szCs w:val="22"/>
          <w:lang w:val="sk-SK"/>
        </w:rPr>
        <w:t>a obsluha strojov</w:t>
      </w:r>
    </w:p>
    <w:p w:rsidR="001746BB" w:rsidRDefault="001746BB" w:rsidP="00C12329">
      <w:pPr>
        <w:pStyle w:val="Zkladntext"/>
        <w:rPr>
          <w:sz w:val="22"/>
          <w:szCs w:val="22"/>
          <w:lang w:val="sk-SK"/>
        </w:rPr>
      </w:pPr>
      <w:r w:rsidRPr="00C12329">
        <w:rPr>
          <w:sz w:val="22"/>
          <w:szCs w:val="22"/>
          <w:lang w:val="sk-SK"/>
        </w:rPr>
        <w:t>BITAMMON nemá žiadny alebo má zanedbateľný vplyv na schopnosť viesť vozidlá a obsluhovať stroje.</w:t>
      </w:r>
    </w:p>
    <w:p w:rsidR="00247612" w:rsidRDefault="00247612" w:rsidP="00C12329">
      <w:pPr>
        <w:pStyle w:val="Zkladntext"/>
        <w:rPr>
          <w:sz w:val="22"/>
          <w:szCs w:val="22"/>
          <w:lang w:val="sk-SK"/>
        </w:rPr>
      </w:pPr>
    </w:p>
    <w:p w:rsidR="00247612" w:rsidRDefault="00D90B7E" w:rsidP="00C12329">
      <w:pPr>
        <w:pStyle w:val="Zkladntext"/>
        <w:rPr>
          <w:b/>
          <w:sz w:val="22"/>
          <w:szCs w:val="22"/>
          <w:lang w:val="sk-SK"/>
        </w:rPr>
      </w:pPr>
      <w:r w:rsidRPr="00D90B7E">
        <w:rPr>
          <w:b/>
          <w:bCs/>
          <w:sz w:val="22"/>
          <w:szCs w:val="22"/>
          <w:lang w:val="sk-SK"/>
        </w:rPr>
        <w:t>BITAMMON 1 g/0,5 g</w:t>
      </w:r>
      <w:r w:rsidRPr="00D90B7E">
        <w:rPr>
          <w:b/>
          <w:sz w:val="22"/>
          <w:szCs w:val="22"/>
          <w:lang w:val="sk-SK"/>
        </w:rPr>
        <w:t xml:space="preserve"> obsahuje sodík</w:t>
      </w:r>
    </w:p>
    <w:p w:rsidR="00247612" w:rsidRPr="00474787" w:rsidRDefault="00247612" w:rsidP="00247612">
      <w:pPr>
        <w:rPr>
          <w:color w:val="000000"/>
          <w:sz w:val="22"/>
          <w:szCs w:val="22"/>
          <w:lang w:val="sk-SK"/>
        </w:rPr>
      </w:pPr>
      <w:r w:rsidRPr="00474787">
        <w:rPr>
          <w:color w:val="000000"/>
          <w:sz w:val="22"/>
          <w:szCs w:val="22"/>
          <w:lang w:val="sk-SK"/>
        </w:rPr>
        <w:t xml:space="preserve">Tento liek obsahuje </w:t>
      </w:r>
      <w:r w:rsidRPr="00D60E72">
        <w:rPr>
          <w:sz w:val="22"/>
          <w:szCs w:val="22"/>
          <w:lang w:val="sk-SK"/>
        </w:rPr>
        <w:t xml:space="preserve">115 mg (5 mmol </w:t>
      </w:r>
      <w:r w:rsidR="00584E11">
        <w:rPr>
          <w:sz w:val="22"/>
          <w:szCs w:val="22"/>
          <w:lang w:val="sk-SK"/>
        </w:rPr>
        <w:t xml:space="preserve">) </w:t>
      </w:r>
      <w:r w:rsidRPr="00474787">
        <w:rPr>
          <w:color w:val="000000"/>
          <w:sz w:val="22"/>
          <w:szCs w:val="22"/>
          <w:lang w:val="sk-SK"/>
        </w:rPr>
        <w:t>sodíka v</w:t>
      </w:r>
      <w:r>
        <w:rPr>
          <w:color w:val="000000"/>
          <w:sz w:val="22"/>
          <w:szCs w:val="22"/>
          <w:lang w:val="sk-SK"/>
        </w:rPr>
        <w:t> jednej injekčnej liekovke</w:t>
      </w:r>
      <w:r w:rsidRPr="00474787">
        <w:rPr>
          <w:color w:val="000000"/>
          <w:sz w:val="22"/>
          <w:szCs w:val="22"/>
          <w:lang w:val="sk-SK"/>
        </w:rPr>
        <w:t xml:space="preserve">. </w:t>
      </w:r>
      <w:r>
        <w:rPr>
          <w:color w:val="000000"/>
          <w:sz w:val="22"/>
          <w:szCs w:val="22"/>
          <w:lang w:val="sk-SK"/>
        </w:rPr>
        <w:t>To</w:t>
      </w:r>
      <w:r w:rsidR="003E3D5D">
        <w:rPr>
          <w:color w:val="000000"/>
          <w:sz w:val="22"/>
          <w:szCs w:val="22"/>
          <w:lang w:val="sk-SK"/>
        </w:rPr>
        <w:t>to</w:t>
      </w:r>
      <w:r>
        <w:rPr>
          <w:color w:val="000000"/>
          <w:sz w:val="22"/>
          <w:szCs w:val="22"/>
          <w:lang w:val="sk-SK"/>
        </w:rPr>
        <w:t xml:space="preserve"> sa m</w:t>
      </w:r>
      <w:r w:rsidRPr="00474787">
        <w:rPr>
          <w:color w:val="000000"/>
          <w:sz w:val="22"/>
          <w:szCs w:val="22"/>
          <w:lang w:val="sk-SK"/>
        </w:rPr>
        <w:t>á sa vziať do úvahy u pacientov so zníženou funkciou obličiek alebo u pacientov na diéte s kontrolovaným obsahom sodíka.</w:t>
      </w:r>
    </w:p>
    <w:p w:rsidR="00DD02F6" w:rsidRDefault="00DD02F6" w:rsidP="006C0294">
      <w:pPr>
        <w:numPr>
          <w:ilvl w:val="12"/>
          <w:numId w:val="0"/>
        </w:numPr>
        <w:ind w:right="-2"/>
        <w:outlineLvl w:val="0"/>
        <w:rPr>
          <w:sz w:val="22"/>
          <w:szCs w:val="22"/>
          <w:lang w:val="sk-SK"/>
        </w:rPr>
      </w:pPr>
    </w:p>
    <w:p w:rsidR="00222C27" w:rsidRPr="00DD1881" w:rsidRDefault="00222C27" w:rsidP="006C0294">
      <w:pPr>
        <w:numPr>
          <w:ilvl w:val="12"/>
          <w:numId w:val="0"/>
        </w:numPr>
        <w:ind w:right="-2"/>
        <w:outlineLvl w:val="0"/>
        <w:rPr>
          <w:sz w:val="22"/>
          <w:szCs w:val="22"/>
          <w:lang w:val="sk-SK"/>
        </w:rPr>
      </w:pPr>
    </w:p>
    <w:p w:rsidR="00DD02F6" w:rsidRPr="005B215C" w:rsidRDefault="005B215C" w:rsidP="006C0294">
      <w:pPr>
        <w:numPr>
          <w:ilvl w:val="0"/>
          <w:numId w:val="3"/>
        </w:numPr>
        <w:overflowPunct/>
        <w:autoSpaceDE/>
        <w:autoSpaceDN/>
        <w:adjustRightInd/>
        <w:ind w:right="-2"/>
        <w:textAlignment w:val="auto"/>
        <w:outlineLvl w:val="0"/>
        <w:rPr>
          <w:b/>
          <w:sz w:val="22"/>
          <w:szCs w:val="22"/>
          <w:lang w:val="sk-SK"/>
        </w:rPr>
      </w:pPr>
      <w:r w:rsidRPr="005B215C">
        <w:rPr>
          <w:b/>
          <w:sz w:val="22"/>
          <w:szCs w:val="22"/>
          <w:lang w:val="sk-SK"/>
        </w:rPr>
        <w:t>Ako používať BITAMMON</w:t>
      </w:r>
    </w:p>
    <w:p w:rsidR="00DD02F6" w:rsidRDefault="00DD02F6" w:rsidP="006C0294">
      <w:pPr>
        <w:pStyle w:val="Odstavecblok"/>
        <w:rPr>
          <w:sz w:val="22"/>
          <w:szCs w:val="22"/>
          <w:lang w:val="sk-SK"/>
        </w:rPr>
      </w:pPr>
    </w:p>
    <w:p w:rsidR="004C515E" w:rsidRPr="00DD1881" w:rsidRDefault="004C515E" w:rsidP="006C0294">
      <w:pPr>
        <w:pStyle w:val="Odstavecblok"/>
        <w:rPr>
          <w:sz w:val="22"/>
          <w:szCs w:val="22"/>
          <w:lang w:val="sk-SK"/>
        </w:rPr>
      </w:pPr>
      <w:r>
        <w:rPr>
          <w:sz w:val="22"/>
          <w:szCs w:val="22"/>
          <w:lang w:val="sk-SK"/>
        </w:rPr>
        <w:t xml:space="preserve">Vždy používajte tento liek presne tak, ako je </w:t>
      </w:r>
      <w:r w:rsidR="0025245F">
        <w:rPr>
          <w:sz w:val="22"/>
          <w:szCs w:val="22"/>
          <w:lang w:val="sk-SK"/>
        </w:rPr>
        <w:t xml:space="preserve">to </w:t>
      </w:r>
      <w:r>
        <w:rPr>
          <w:sz w:val="22"/>
          <w:szCs w:val="22"/>
          <w:lang w:val="sk-SK"/>
        </w:rPr>
        <w:t>uvedené v tejto písomnej informácii alebo ako vám povedal váš lekár.</w:t>
      </w:r>
      <w:r w:rsidR="0025245F">
        <w:rPr>
          <w:sz w:val="22"/>
          <w:szCs w:val="22"/>
          <w:lang w:val="sk-SK"/>
        </w:rPr>
        <w:t xml:space="preserve"> Ak si nie ste niečím istý, overte si to u svojho </w:t>
      </w:r>
      <w:r w:rsidR="00275A9D">
        <w:rPr>
          <w:sz w:val="22"/>
          <w:szCs w:val="22"/>
          <w:lang w:val="sk-SK"/>
        </w:rPr>
        <w:t>lekára.</w:t>
      </w:r>
    </w:p>
    <w:p w:rsidR="006119BA" w:rsidRPr="00DD1881" w:rsidRDefault="00DD1881" w:rsidP="006C0294">
      <w:pPr>
        <w:rPr>
          <w:sz w:val="22"/>
          <w:szCs w:val="22"/>
          <w:lang w:val="sk-SK"/>
        </w:rPr>
      </w:pPr>
      <w:r>
        <w:rPr>
          <w:sz w:val="22"/>
          <w:szCs w:val="22"/>
          <w:lang w:val="sk-SK"/>
        </w:rPr>
        <w:t>BITAMMON</w:t>
      </w:r>
      <w:r w:rsidR="006119BA" w:rsidRPr="00DD1881">
        <w:rPr>
          <w:sz w:val="22"/>
          <w:szCs w:val="22"/>
          <w:lang w:val="sk-SK"/>
        </w:rPr>
        <w:t xml:space="preserve"> možno podať </w:t>
      </w:r>
      <w:r w:rsidR="00A134D8">
        <w:rPr>
          <w:sz w:val="22"/>
          <w:szCs w:val="22"/>
          <w:lang w:val="sk-SK"/>
        </w:rPr>
        <w:t>vnútrožilovo</w:t>
      </w:r>
      <w:r w:rsidR="00A134D8" w:rsidRPr="00DD1881">
        <w:rPr>
          <w:sz w:val="22"/>
          <w:szCs w:val="22"/>
          <w:lang w:val="sk-SK"/>
        </w:rPr>
        <w:t xml:space="preserve"> </w:t>
      </w:r>
      <w:r w:rsidR="006119BA" w:rsidRPr="00DD1881">
        <w:rPr>
          <w:sz w:val="22"/>
          <w:szCs w:val="22"/>
          <w:lang w:val="sk-SK"/>
        </w:rPr>
        <w:t xml:space="preserve">alebo </w:t>
      </w:r>
      <w:r w:rsidR="00A134D8">
        <w:rPr>
          <w:sz w:val="22"/>
          <w:szCs w:val="22"/>
          <w:lang w:val="sk-SK"/>
        </w:rPr>
        <w:t>do svalu</w:t>
      </w:r>
      <w:r w:rsidR="006119BA" w:rsidRPr="00DD1881">
        <w:rPr>
          <w:sz w:val="22"/>
          <w:szCs w:val="22"/>
          <w:lang w:val="sk-SK"/>
        </w:rPr>
        <w:t xml:space="preserve">. </w:t>
      </w:r>
    </w:p>
    <w:p w:rsidR="006119BA" w:rsidRDefault="00F54CAC" w:rsidP="006C0294">
      <w:pPr>
        <w:rPr>
          <w:sz w:val="22"/>
          <w:szCs w:val="22"/>
          <w:lang w:val="sk-SK"/>
        </w:rPr>
      </w:pPr>
      <w:r>
        <w:rPr>
          <w:sz w:val="22"/>
          <w:szCs w:val="22"/>
          <w:lang w:val="sk-SK"/>
        </w:rPr>
        <w:t>O</w:t>
      </w:r>
      <w:r w:rsidR="009634B3">
        <w:rPr>
          <w:sz w:val="22"/>
          <w:szCs w:val="22"/>
          <w:lang w:val="sk-SK"/>
        </w:rPr>
        <w:t>d</w:t>
      </w:r>
      <w:r>
        <w:rPr>
          <w:sz w:val="22"/>
          <w:szCs w:val="22"/>
          <w:lang w:val="sk-SK"/>
        </w:rPr>
        <w:t>porúčaná dávka</w:t>
      </w:r>
      <w:r w:rsidR="006119BA" w:rsidRPr="00DD1881">
        <w:rPr>
          <w:sz w:val="22"/>
          <w:szCs w:val="22"/>
          <w:lang w:val="sk-SK"/>
        </w:rPr>
        <w:t xml:space="preserve"> </w:t>
      </w:r>
      <w:r w:rsidR="006119BA" w:rsidRPr="00DD1881">
        <w:rPr>
          <w:sz w:val="22"/>
          <w:szCs w:val="22"/>
          <w:u w:val="single"/>
          <w:lang w:val="sk-SK"/>
        </w:rPr>
        <w:t>dospelým</w:t>
      </w:r>
      <w:r w:rsidR="006119BA" w:rsidRPr="00DD1881">
        <w:rPr>
          <w:sz w:val="22"/>
          <w:szCs w:val="22"/>
          <w:lang w:val="sk-SK"/>
        </w:rPr>
        <w:t xml:space="preserve"> sa pohybuje v rozmedzí 1,5 až 12 g denne podávané v čiastkových dávkach v intervale 6 až 8 hodín. Menej závažné infekcie sa môžu liečiť dávkami podávanými v 12-hodinových intervaloch. Celková denná dávka </w:t>
      </w:r>
      <w:r w:rsidR="00DD1881">
        <w:rPr>
          <w:sz w:val="22"/>
          <w:szCs w:val="22"/>
          <w:lang w:val="sk-SK"/>
        </w:rPr>
        <w:t>BITAMMON</w:t>
      </w:r>
      <w:r w:rsidR="00D90B7E" w:rsidRPr="00D90B7E">
        <w:rPr>
          <w:caps/>
          <w:sz w:val="22"/>
          <w:szCs w:val="22"/>
          <w:lang w:val="sk-SK"/>
        </w:rPr>
        <w:t>u</w:t>
      </w:r>
      <w:r w:rsidR="006119BA" w:rsidRPr="00DD1881">
        <w:rPr>
          <w:sz w:val="22"/>
          <w:szCs w:val="22"/>
          <w:lang w:val="sk-SK"/>
        </w:rPr>
        <w:t xml:space="preserve"> je 12 g (4 g sulbaktámu), ak stav pacienta vyžaduje vyššie dávky antibiotika, možno pridať ampicilín.</w:t>
      </w:r>
    </w:p>
    <w:p w:rsidR="00DE36E9" w:rsidRDefault="00DE36E9" w:rsidP="006C0294">
      <w:pPr>
        <w:rPr>
          <w:sz w:val="22"/>
          <w:szCs w:val="22"/>
          <w:lang w:val="sk-SK"/>
        </w:rPr>
      </w:pPr>
    </w:p>
    <w:p w:rsidR="00DE36E9" w:rsidRPr="00DE36E9" w:rsidRDefault="00DE36E9" w:rsidP="006C0294">
      <w:pPr>
        <w:rPr>
          <w:b/>
          <w:sz w:val="22"/>
          <w:szCs w:val="22"/>
          <w:lang w:val="sk-SK"/>
        </w:rPr>
      </w:pPr>
      <w:r w:rsidRPr="00DE36E9">
        <w:rPr>
          <w:b/>
          <w:sz w:val="22"/>
          <w:szCs w:val="22"/>
          <w:lang w:val="sk-SK"/>
        </w:rPr>
        <w:t>Použitie u detí a dospievajúcich</w:t>
      </w:r>
    </w:p>
    <w:p w:rsidR="006119BA" w:rsidRDefault="006119BA" w:rsidP="006C0294">
      <w:pPr>
        <w:rPr>
          <w:sz w:val="22"/>
          <w:szCs w:val="22"/>
          <w:lang w:val="sk-SK"/>
        </w:rPr>
      </w:pPr>
      <w:r w:rsidRPr="00DE36E9">
        <w:rPr>
          <w:sz w:val="22"/>
          <w:szCs w:val="22"/>
          <w:lang w:val="sk-SK"/>
        </w:rPr>
        <w:t>Deťom</w:t>
      </w:r>
      <w:r w:rsidRPr="00DD1881">
        <w:rPr>
          <w:sz w:val="22"/>
          <w:szCs w:val="22"/>
          <w:lang w:val="sk-SK"/>
        </w:rPr>
        <w:t xml:space="preserve"> od dojčenského veku je obvyklé dávkovanie 150 mg/kg/deň (čo zodpovedá 100 mg ampicilínu a 50 mg sulbaktámu) rozdelené do 3 - 4 čiastkových dávok. U novorodencov v prvom týždni života, najmä u predčasne narodených, je obvyklé dávkovanie každých 12 hodín. Dávkovanie treba prispôsobiť závažnost</w:t>
      </w:r>
      <w:r w:rsidR="007721C3">
        <w:rPr>
          <w:sz w:val="22"/>
          <w:szCs w:val="22"/>
          <w:lang w:val="sk-SK"/>
        </w:rPr>
        <w:t xml:space="preserve">i infekcie a zrelosti </w:t>
      </w:r>
      <w:r w:rsidRPr="00DD1881">
        <w:rPr>
          <w:sz w:val="22"/>
          <w:szCs w:val="22"/>
          <w:lang w:val="sk-SK"/>
        </w:rPr>
        <w:t xml:space="preserve">funkcií </w:t>
      </w:r>
      <w:r w:rsidR="007721C3">
        <w:rPr>
          <w:sz w:val="22"/>
          <w:szCs w:val="22"/>
          <w:lang w:val="sk-SK"/>
        </w:rPr>
        <w:t xml:space="preserve">obličiek </w:t>
      </w:r>
      <w:r w:rsidRPr="00DD1881">
        <w:rPr>
          <w:sz w:val="22"/>
          <w:szCs w:val="22"/>
          <w:lang w:val="sk-SK"/>
        </w:rPr>
        <w:t xml:space="preserve">novorodenca. </w:t>
      </w:r>
    </w:p>
    <w:p w:rsidR="008832C7" w:rsidRPr="00DD1881" w:rsidRDefault="008832C7" w:rsidP="006C0294">
      <w:pPr>
        <w:rPr>
          <w:sz w:val="22"/>
          <w:szCs w:val="22"/>
          <w:lang w:val="sk-SK"/>
        </w:rPr>
      </w:pPr>
    </w:p>
    <w:p w:rsidR="006119BA" w:rsidRPr="00DD1881" w:rsidRDefault="006119BA" w:rsidP="006C0294">
      <w:pPr>
        <w:rPr>
          <w:sz w:val="22"/>
          <w:szCs w:val="22"/>
          <w:lang w:val="sk-SK"/>
        </w:rPr>
      </w:pPr>
      <w:r w:rsidRPr="00DD1881">
        <w:rPr>
          <w:i/>
          <w:iCs/>
          <w:sz w:val="22"/>
          <w:szCs w:val="22"/>
          <w:lang w:val="sk-SK"/>
        </w:rPr>
        <w:t xml:space="preserve">Pacientom </w:t>
      </w:r>
      <w:r w:rsidR="007721C3">
        <w:rPr>
          <w:i/>
          <w:iCs/>
          <w:sz w:val="22"/>
          <w:szCs w:val="22"/>
          <w:lang w:val="sk-SK"/>
        </w:rPr>
        <w:t xml:space="preserve">so závažným zhoršením </w:t>
      </w:r>
      <w:r w:rsidRPr="00DD1881">
        <w:rPr>
          <w:i/>
          <w:iCs/>
          <w:sz w:val="22"/>
          <w:szCs w:val="22"/>
          <w:lang w:val="sk-SK"/>
        </w:rPr>
        <w:t>funkcií</w:t>
      </w:r>
      <w:r w:rsidR="007721C3">
        <w:rPr>
          <w:i/>
          <w:iCs/>
          <w:sz w:val="22"/>
          <w:szCs w:val="22"/>
          <w:lang w:val="sk-SK"/>
        </w:rPr>
        <w:t xml:space="preserve"> obličiek</w:t>
      </w:r>
      <w:r w:rsidRPr="00DD1881">
        <w:rPr>
          <w:sz w:val="22"/>
          <w:szCs w:val="22"/>
          <w:lang w:val="sk-SK"/>
        </w:rPr>
        <w:t xml:space="preserve"> (klírens kreatinínu 30 ml.s</w:t>
      </w:r>
      <w:r w:rsidRPr="00DD1881">
        <w:rPr>
          <w:sz w:val="22"/>
          <w:szCs w:val="22"/>
          <w:vertAlign w:val="superscript"/>
          <w:lang w:val="sk-SK"/>
        </w:rPr>
        <w:t>-1</w:t>
      </w:r>
      <w:r w:rsidRPr="00DD1881">
        <w:rPr>
          <w:sz w:val="22"/>
          <w:szCs w:val="22"/>
          <w:lang w:val="sk-SK"/>
        </w:rPr>
        <w:t xml:space="preserve">) by sa malo upraviť dávkovanie. Keďže kinetika </w:t>
      </w:r>
      <w:r w:rsidR="00EC27AB">
        <w:rPr>
          <w:sz w:val="22"/>
          <w:szCs w:val="22"/>
          <w:lang w:val="sk-SK"/>
        </w:rPr>
        <w:t>vylučovania</w:t>
      </w:r>
      <w:r w:rsidR="00EC27AB" w:rsidRPr="00DD1881">
        <w:rPr>
          <w:sz w:val="22"/>
          <w:szCs w:val="22"/>
          <w:lang w:val="sk-SK"/>
        </w:rPr>
        <w:t xml:space="preserve"> </w:t>
      </w:r>
      <w:r w:rsidRPr="00DD1881">
        <w:rPr>
          <w:sz w:val="22"/>
          <w:szCs w:val="22"/>
          <w:lang w:val="sk-SK"/>
        </w:rPr>
        <w:t xml:space="preserve">oboch zložiek je rovnaká a ich vzájomný pomer v plazme zostáva konštantný, postupuje sa podľa praxe obvyklej v prípade ampicilínu. </w:t>
      </w:r>
    </w:p>
    <w:p w:rsidR="006119BA" w:rsidRPr="00DD1881" w:rsidRDefault="006119BA" w:rsidP="006C0294">
      <w:pPr>
        <w:rPr>
          <w:sz w:val="22"/>
          <w:szCs w:val="22"/>
          <w:lang w:val="sk-SK"/>
        </w:rPr>
      </w:pPr>
      <w:r w:rsidRPr="00DD1881">
        <w:rPr>
          <w:sz w:val="22"/>
          <w:szCs w:val="22"/>
          <w:lang w:val="sk-SK"/>
        </w:rPr>
        <w:t xml:space="preserve">Liečba obvykle trvá 5 až 14 dní, v prípade potreby aj dlhšie, treba v nej však pokračovať najmenej 48 hodín po poklese teploty a vymiznutí klinických príznakov ochorenia. </w:t>
      </w:r>
    </w:p>
    <w:p w:rsidR="006119BA" w:rsidRPr="00DD1881" w:rsidRDefault="006119BA" w:rsidP="006C0294">
      <w:pPr>
        <w:rPr>
          <w:sz w:val="22"/>
          <w:szCs w:val="22"/>
          <w:lang w:val="sk-SK"/>
        </w:rPr>
      </w:pPr>
      <w:r w:rsidRPr="00DD1881">
        <w:rPr>
          <w:sz w:val="22"/>
          <w:szCs w:val="22"/>
          <w:lang w:val="sk-SK"/>
        </w:rPr>
        <w:t xml:space="preserve">Pri profylaxii infekcií v chirurgii je potrebné podať 1,5 - 3 g </w:t>
      </w:r>
      <w:r w:rsidR="00DD1881">
        <w:rPr>
          <w:sz w:val="22"/>
          <w:szCs w:val="22"/>
          <w:lang w:val="sk-SK"/>
        </w:rPr>
        <w:t>BITAMMON</w:t>
      </w:r>
      <w:r w:rsidR="00D90B7E" w:rsidRPr="00D90B7E">
        <w:rPr>
          <w:caps/>
          <w:sz w:val="22"/>
          <w:szCs w:val="22"/>
          <w:lang w:val="sk-SK"/>
        </w:rPr>
        <w:t>u</w:t>
      </w:r>
      <w:r w:rsidRPr="00DD1881">
        <w:rPr>
          <w:sz w:val="22"/>
          <w:szCs w:val="22"/>
          <w:lang w:val="sk-SK"/>
        </w:rPr>
        <w:t xml:space="preserve"> </w:t>
      </w:r>
      <w:r w:rsidR="00C1533F">
        <w:rPr>
          <w:sz w:val="22"/>
          <w:szCs w:val="22"/>
          <w:lang w:val="sk-SK"/>
        </w:rPr>
        <w:t>vnútrožilovo</w:t>
      </w:r>
      <w:r w:rsidRPr="00DD1881">
        <w:rPr>
          <w:sz w:val="22"/>
          <w:szCs w:val="22"/>
          <w:lang w:val="sk-SK"/>
        </w:rPr>
        <w:t xml:space="preserve"> súčasne s úvodom do anestézie. Dávku možno opakovať každých 6 až 8 hodín. Ak nie je ďalšie podávanie terapeuticky indikované, pri väčšine chirurgických výkonov sa podávanie ukončí do 24 hodín. </w:t>
      </w:r>
    </w:p>
    <w:p w:rsidR="006119BA" w:rsidRPr="00DD1881" w:rsidRDefault="006119BA" w:rsidP="006C0294">
      <w:pPr>
        <w:rPr>
          <w:sz w:val="22"/>
          <w:szCs w:val="22"/>
          <w:lang w:val="sk-SK"/>
        </w:rPr>
      </w:pPr>
      <w:r w:rsidRPr="00DD1881">
        <w:rPr>
          <w:sz w:val="22"/>
          <w:szCs w:val="22"/>
          <w:lang w:val="sk-SK"/>
        </w:rPr>
        <w:t xml:space="preserve">Pri liečbe nekomplikovanej kvapavky sa môže </w:t>
      </w:r>
      <w:r w:rsidR="00DD1881">
        <w:rPr>
          <w:sz w:val="22"/>
          <w:szCs w:val="22"/>
          <w:lang w:val="sk-SK"/>
        </w:rPr>
        <w:t>BITAMMON</w:t>
      </w:r>
      <w:r w:rsidRPr="00DD1881">
        <w:rPr>
          <w:sz w:val="22"/>
          <w:szCs w:val="22"/>
          <w:lang w:val="sk-SK"/>
        </w:rPr>
        <w:t xml:space="preserve"> podať ako jednorazová dávka 1,5 g. Ak sa súčasne podá 1,0 g probenecidu </w:t>
      </w:r>
      <w:r w:rsidR="00C1533F">
        <w:rPr>
          <w:sz w:val="22"/>
          <w:szCs w:val="22"/>
          <w:lang w:val="sk-SK"/>
        </w:rPr>
        <w:t>ústami,</w:t>
      </w:r>
      <w:r w:rsidRPr="00DD1881">
        <w:rPr>
          <w:sz w:val="22"/>
          <w:szCs w:val="22"/>
          <w:lang w:val="sk-SK"/>
        </w:rPr>
        <w:t xml:space="preserve"> dosiahnu sa u pacienta vyššie plazmatické hladiny a predĺžený biologický polčas.  </w:t>
      </w:r>
    </w:p>
    <w:p w:rsidR="00DD1881" w:rsidRPr="00F54CAC" w:rsidRDefault="00DD1881" w:rsidP="006C0294">
      <w:pPr>
        <w:pStyle w:val="Zkladntext"/>
        <w:rPr>
          <w:sz w:val="22"/>
          <w:szCs w:val="22"/>
          <w:lang w:val="sk-SK"/>
        </w:rPr>
      </w:pPr>
    </w:p>
    <w:p w:rsidR="006119BA" w:rsidRPr="00DD1881" w:rsidRDefault="00DD1881" w:rsidP="006C0294">
      <w:pPr>
        <w:pStyle w:val="Zkladntext"/>
        <w:rPr>
          <w:b/>
          <w:sz w:val="22"/>
          <w:szCs w:val="22"/>
          <w:lang w:val="sk-SK"/>
        </w:rPr>
      </w:pPr>
      <w:r w:rsidRPr="00DD1881">
        <w:rPr>
          <w:b/>
          <w:sz w:val="22"/>
          <w:szCs w:val="22"/>
          <w:lang w:val="sk-SK"/>
        </w:rPr>
        <w:t xml:space="preserve">Spôsob </w:t>
      </w:r>
      <w:r w:rsidR="004C7C38">
        <w:rPr>
          <w:b/>
          <w:sz w:val="22"/>
          <w:szCs w:val="22"/>
          <w:lang w:val="sk-SK"/>
        </w:rPr>
        <w:t xml:space="preserve">a cesta </w:t>
      </w:r>
      <w:r w:rsidRPr="00DD1881">
        <w:rPr>
          <w:b/>
          <w:sz w:val="22"/>
          <w:szCs w:val="22"/>
          <w:lang w:val="sk-SK"/>
        </w:rPr>
        <w:t>podania</w:t>
      </w:r>
    </w:p>
    <w:p w:rsidR="00DD1881" w:rsidRPr="00DD1881" w:rsidRDefault="00DD1881" w:rsidP="006C0294">
      <w:pPr>
        <w:rPr>
          <w:sz w:val="22"/>
          <w:szCs w:val="22"/>
          <w:lang w:val="sk-SK"/>
        </w:rPr>
      </w:pPr>
      <w:r w:rsidRPr="00DD1881">
        <w:rPr>
          <w:sz w:val="22"/>
          <w:szCs w:val="22"/>
          <w:lang w:val="sk-SK"/>
        </w:rPr>
        <w:t>Liek nie je určený na bezprostredné použitie a musí byť pred podaním rozpustený.</w:t>
      </w:r>
    </w:p>
    <w:p w:rsidR="00DD1881" w:rsidRPr="00DD1881" w:rsidRDefault="00DD1881" w:rsidP="006C0294">
      <w:pPr>
        <w:rPr>
          <w:sz w:val="22"/>
          <w:szCs w:val="22"/>
          <w:lang w:val="sk-SK"/>
        </w:rPr>
      </w:pPr>
      <w:r w:rsidRPr="00DD1881">
        <w:rPr>
          <w:sz w:val="22"/>
          <w:szCs w:val="22"/>
          <w:lang w:val="sk-SK"/>
        </w:rPr>
        <w:t xml:space="preserve">Na </w:t>
      </w:r>
      <w:r w:rsidR="00142FE2">
        <w:rPr>
          <w:sz w:val="22"/>
          <w:szCs w:val="22"/>
          <w:lang w:val="sk-SK"/>
        </w:rPr>
        <w:t>vnútrožilovú</w:t>
      </w:r>
      <w:r w:rsidR="00142FE2" w:rsidRPr="00DD1881">
        <w:rPr>
          <w:sz w:val="22"/>
          <w:szCs w:val="22"/>
          <w:lang w:val="sk-SK"/>
        </w:rPr>
        <w:t xml:space="preserve"> </w:t>
      </w:r>
      <w:r w:rsidRPr="00DD1881">
        <w:rPr>
          <w:sz w:val="22"/>
          <w:szCs w:val="22"/>
          <w:lang w:val="sk-SK"/>
        </w:rPr>
        <w:t xml:space="preserve">injekciu sa roztok pripraví rozpustením 1,5 g </w:t>
      </w:r>
      <w:r>
        <w:rPr>
          <w:sz w:val="22"/>
          <w:szCs w:val="22"/>
          <w:lang w:val="sk-SK"/>
        </w:rPr>
        <w:t>BITAMMON</w:t>
      </w:r>
      <w:r w:rsidR="00D90B7E" w:rsidRPr="00D90B7E">
        <w:rPr>
          <w:caps/>
          <w:sz w:val="22"/>
          <w:szCs w:val="22"/>
          <w:lang w:val="sk-SK"/>
        </w:rPr>
        <w:t>u</w:t>
      </w:r>
      <w:r w:rsidRPr="00DD1881">
        <w:rPr>
          <w:sz w:val="22"/>
          <w:szCs w:val="22"/>
          <w:lang w:val="sk-SK"/>
        </w:rPr>
        <w:t xml:space="preserve"> v 3,2 ml aqua pro injectione alebo inom vhodnom kompatibilnom rozpúšťadle a na infúziu sa ďalej riedi vhodným infúznym roztokom. Po rozpustení treba počkať, kým ustúpi penenie a vizuálne skontrolovať rozpustenie a kompatibilitu. </w:t>
      </w:r>
      <w:r w:rsidR="00595D14">
        <w:rPr>
          <w:sz w:val="22"/>
          <w:szCs w:val="22"/>
          <w:lang w:val="sk-SK"/>
        </w:rPr>
        <w:t>Vnútrožilovo</w:t>
      </w:r>
      <w:r w:rsidR="00595D14" w:rsidRPr="00DD1881">
        <w:rPr>
          <w:sz w:val="22"/>
          <w:szCs w:val="22"/>
          <w:lang w:val="sk-SK"/>
        </w:rPr>
        <w:t xml:space="preserve"> </w:t>
      </w:r>
      <w:r w:rsidRPr="00DD1881">
        <w:rPr>
          <w:sz w:val="22"/>
          <w:szCs w:val="22"/>
          <w:lang w:val="sk-SK"/>
        </w:rPr>
        <w:t>možno dávku podať ako bolus (</w:t>
      </w:r>
      <w:r w:rsidR="009005FE">
        <w:rPr>
          <w:sz w:val="22"/>
          <w:szCs w:val="22"/>
          <w:lang w:val="sk-SK"/>
        </w:rPr>
        <w:t xml:space="preserve">jednorázová dávka podávaná </w:t>
      </w:r>
      <w:r w:rsidRPr="00DD1881">
        <w:rPr>
          <w:sz w:val="22"/>
          <w:szCs w:val="22"/>
          <w:lang w:val="sk-SK"/>
        </w:rPr>
        <w:t>v trvaní najmenej 3 minúty), alebo v</w:t>
      </w:r>
      <w:r w:rsidR="00C76466">
        <w:rPr>
          <w:sz w:val="22"/>
          <w:szCs w:val="22"/>
          <w:lang w:val="sk-SK"/>
        </w:rPr>
        <w:t>o</w:t>
      </w:r>
      <w:r w:rsidRPr="00DD1881">
        <w:rPr>
          <w:sz w:val="22"/>
          <w:szCs w:val="22"/>
          <w:lang w:val="sk-SK"/>
        </w:rPr>
        <w:t xml:space="preserve"> </w:t>
      </w:r>
      <w:r w:rsidR="00595D14">
        <w:rPr>
          <w:sz w:val="22"/>
          <w:szCs w:val="22"/>
          <w:lang w:val="sk-SK"/>
        </w:rPr>
        <w:t>vnútožilovej</w:t>
      </w:r>
      <w:r w:rsidR="00595D14" w:rsidRPr="00DD1881">
        <w:rPr>
          <w:sz w:val="22"/>
          <w:szCs w:val="22"/>
          <w:lang w:val="sk-SK"/>
        </w:rPr>
        <w:t xml:space="preserve"> </w:t>
      </w:r>
      <w:r w:rsidRPr="00DD1881">
        <w:rPr>
          <w:sz w:val="22"/>
          <w:szCs w:val="22"/>
          <w:lang w:val="sk-SK"/>
        </w:rPr>
        <w:t xml:space="preserve">infúzii v priebehu 15 až 30 minút. Liek možno podať aj hlboko </w:t>
      </w:r>
      <w:r w:rsidR="00C76466">
        <w:rPr>
          <w:sz w:val="22"/>
          <w:szCs w:val="22"/>
          <w:lang w:val="sk-SK"/>
        </w:rPr>
        <w:t>do svalu</w:t>
      </w:r>
      <w:r w:rsidRPr="00DD1881">
        <w:rPr>
          <w:sz w:val="22"/>
          <w:szCs w:val="22"/>
          <w:lang w:val="sk-SK"/>
        </w:rPr>
        <w:t xml:space="preserve">. V prípade bolesti pri </w:t>
      </w:r>
      <w:r w:rsidR="00C76466">
        <w:rPr>
          <w:sz w:val="22"/>
          <w:szCs w:val="22"/>
          <w:lang w:val="sk-SK"/>
        </w:rPr>
        <w:t>podaní</w:t>
      </w:r>
      <w:r w:rsidR="00C76466" w:rsidRPr="00DD1881">
        <w:rPr>
          <w:sz w:val="22"/>
          <w:szCs w:val="22"/>
          <w:lang w:val="sk-SK"/>
        </w:rPr>
        <w:t xml:space="preserve"> </w:t>
      </w:r>
      <w:r w:rsidRPr="00DD1881">
        <w:rPr>
          <w:sz w:val="22"/>
          <w:szCs w:val="22"/>
          <w:lang w:val="sk-SK"/>
        </w:rPr>
        <w:t xml:space="preserve">možno pridať </w:t>
      </w:r>
      <w:r w:rsidR="005E5EE8">
        <w:rPr>
          <w:sz w:val="22"/>
          <w:szCs w:val="22"/>
          <w:lang w:val="sk-SK"/>
        </w:rPr>
        <w:t>miestne</w:t>
      </w:r>
      <w:r w:rsidR="005E5EE8" w:rsidRPr="00DD1881">
        <w:rPr>
          <w:sz w:val="22"/>
          <w:szCs w:val="22"/>
          <w:lang w:val="sk-SK"/>
        </w:rPr>
        <w:t xml:space="preserve"> </w:t>
      </w:r>
      <w:r w:rsidRPr="00DD1881">
        <w:rPr>
          <w:sz w:val="22"/>
          <w:szCs w:val="22"/>
          <w:lang w:val="sk-SK"/>
        </w:rPr>
        <w:t xml:space="preserve">anestetikum (napr. hydrochlorid lidokaínu). </w:t>
      </w:r>
    </w:p>
    <w:p w:rsidR="00DD1881" w:rsidRPr="00F637D9" w:rsidRDefault="00DD1881" w:rsidP="006C0294">
      <w:pPr>
        <w:pStyle w:val="Zkladntext"/>
        <w:rPr>
          <w:sz w:val="22"/>
          <w:szCs w:val="22"/>
          <w:lang w:val="sk-SK"/>
        </w:rPr>
      </w:pPr>
    </w:p>
    <w:p w:rsidR="00DD02F6" w:rsidRPr="00DD1881" w:rsidRDefault="001F105C" w:rsidP="006C0294">
      <w:pPr>
        <w:numPr>
          <w:ilvl w:val="12"/>
          <w:numId w:val="0"/>
        </w:numPr>
        <w:ind w:right="-2"/>
        <w:outlineLvl w:val="0"/>
        <w:rPr>
          <w:b/>
          <w:sz w:val="22"/>
          <w:szCs w:val="22"/>
          <w:lang w:val="sk-SK"/>
        </w:rPr>
      </w:pPr>
      <w:r>
        <w:rPr>
          <w:b/>
          <w:sz w:val="22"/>
          <w:szCs w:val="22"/>
          <w:lang w:val="sk-SK"/>
        </w:rPr>
        <w:t xml:space="preserve">Ak použijete viac </w:t>
      </w:r>
      <w:r w:rsidR="00DD02F6" w:rsidRPr="00DD1881">
        <w:rPr>
          <w:b/>
          <w:sz w:val="22"/>
          <w:szCs w:val="22"/>
          <w:lang w:val="sk-SK"/>
        </w:rPr>
        <w:t xml:space="preserve">lieku </w:t>
      </w:r>
      <w:r w:rsidR="00DD1881">
        <w:rPr>
          <w:b/>
          <w:sz w:val="22"/>
          <w:szCs w:val="22"/>
          <w:lang w:val="sk-SK"/>
        </w:rPr>
        <w:t>BITAMMON</w:t>
      </w:r>
      <w:r w:rsidR="00DD02F6" w:rsidRPr="00DD1881">
        <w:rPr>
          <w:b/>
          <w:sz w:val="22"/>
          <w:szCs w:val="22"/>
          <w:lang w:val="sk-SK"/>
        </w:rPr>
        <w:t>, ako máte</w:t>
      </w:r>
    </w:p>
    <w:p w:rsidR="00DD02F6" w:rsidRPr="00F637D9" w:rsidRDefault="00DD02F6" w:rsidP="006C0294">
      <w:pPr>
        <w:numPr>
          <w:ilvl w:val="12"/>
          <w:numId w:val="0"/>
        </w:numPr>
        <w:ind w:right="-2"/>
        <w:outlineLvl w:val="0"/>
        <w:rPr>
          <w:sz w:val="22"/>
          <w:szCs w:val="22"/>
          <w:lang w:val="sk-SK"/>
        </w:rPr>
      </w:pPr>
    </w:p>
    <w:p w:rsidR="002C4706" w:rsidRPr="00DD1881" w:rsidRDefault="002C4706" w:rsidP="006C0294">
      <w:pPr>
        <w:rPr>
          <w:sz w:val="22"/>
          <w:szCs w:val="22"/>
          <w:lang w:val="sk-SK"/>
        </w:rPr>
      </w:pPr>
      <w:r w:rsidRPr="00DD1881">
        <w:rPr>
          <w:sz w:val="22"/>
          <w:szCs w:val="22"/>
          <w:lang w:val="sk-SK"/>
        </w:rPr>
        <w:t xml:space="preserve">Pri podávaní vysokých dávok </w:t>
      </w:r>
      <w:r w:rsidR="00DD1881">
        <w:rPr>
          <w:sz w:val="22"/>
          <w:szCs w:val="22"/>
          <w:lang w:val="sk-SK"/>
        </w:rPr>
        <w:t>BITAMMON</w:t>
      </w:r>
      <w:r w:rsidR="00D90B7E" w:rsidRPr="00D90B7E">
        <w:rPr>
          <w:caps/>
          <w:sz w:val="22"/>
          <w:szCs w:val="22"/>
          <w:lang w:val="sk-SK"/>
        </w:rPr>
        <w:t>u</w:t>
      </w:r>
      <w:r w:rsidRPr="00DD1881">
        <w:rPr>
          <w:sz w:val="22"/>
          <w:szCs w:val="22"/>
          <w:lang w:val="sk-SK"/>
        </w:rPr>
        <w:t xml:space="preserve">, najmä dlhší čas, je potrebné kontrolovať funkciu pečene, predovšetkým zmeny AST, ALT a ALP. </w:t>
      </w:r>
    </w:p>
    <w:p w:rsidR="002C4706" w:rsidRPr="00DD1881" w:rsidRDefault="002C4706" w:rsidP="006C0294">
      <w:pPr>
        <w:rPr>
          <w:sz w:val="22"/>
          <w:szCs w:val="22"/>
          <w:lang w:val="sk-SK"/>
        </w:rPr>
      </w:pPr>
      <w:r w:rsidRPr="00DD1881">
        <w:rPr>
          <w:sz w:val="22"/>
          <w:szCs w:val="22"/>
          <w:lang w:val="sk-SK"/>
        </w:rPr>
        <w:t xml:space="preserve">Vo veľkých dávkach môže rovnako ako penicilíny vyvolať podráždením CNS epileptiformné kŕče. Kŕče vyvolané predávkovaním sa liečia </w:t>
      </w:r>
      <w:r w:rsidR="0018445D">
        <w:rPr>
          <w:sz w:val="22"/>
          <w:szCs w:val="22"/>
          <w:lang w:val="sk-SK"/>
        </w:rPr>
        <w:t xml:space="preserve">podaním </w:t>
      </w:r>
      <w:r w:rsidRPr="00DD1881">
        <w:rPr>
          <w:sz w:val="22"/>
          <w:szCs w:val="22"/>
          <w:lang w:val="sk-SK"/>
        </w:rPr>
        <w:t>diazepam</w:t>
      </w:r>
      <w:r w:rsidR="0018445D">
        <w:rPr>
          <w:sz w:val="22"/>
          <w:szCs w:val="22"/>
          <w:lang w:val="sk-SK"/>
        </w:rPr>
        <w:t>u</w:t>
      </w:r>
      <w:r w:rsidRPr="00DD1881">
        <w:rPr>
          <w:sz w:val="22"/>
          <w:szCs w:val="22"/>
          <w:lang w:val="sk-SK"/>
        </w:rPr>
        <w:t xml:space="preserve">. </w:t>
      </w:r>
    </w:p>
    <w:p w:rsidR="002C4706" w:rsidRPr="00DD1881" w:rsidRDefault="002C4706" w:rsidP="006C0294">
      <w:pPr>
        <w:rPr>
          <w:sz w:val="22"/>
          <w:szCs w:val="22"/>
          <w:lang w:val="sk-SK"/>
        </w:rPr>
      </w:pPr>
      <w:r w:rsidRPr="00DD1881">
        <w:rPr>
          <w:sz w:val="22"/>
          <w:szCs w:val="22"/>
          <w:lang w:val="sk-SK"/>
        </w:rPr>
        <w:t xml:space="preserve">Alergická reakcia je indikáciou pre prerušenie podávania </w:t>
      </w:r>
      <w:r w:rsidR="00AC7F72">
        <w:rPr>
          <w:sz w:val="22"/>
          <w:szCs w:val="22"/>
          <w:lang w:val="sk-SK"/>
        </w:rPr>
        <w:t>lieku</w:t>
      </w:r>
      <w:r w:rsidRPr="00DD1881">
        <w:rPr>
          <w:sz w:val="22"/>
          <w:szCs w:val="22"/>
          <w:lang w:val="sk-SK"/>
        </w:rPr>
        <w:t xml:space="preserve">. </w:t>
      </w:r>
      <w:r w:rsidRPr="000064A9">
        <w:rPr>
          <w:sz w:val="22"/>
          <w:szCs w:val="22"/>
          <w:lang w:val="sk-SK"/>
        </w:rPr>
        <w:t xml:space="preserve">Pri anafylaktickom šoku </w:t>
      </w:r>
      <w:r w:rsidR="00AC7F72">
        <w:rPr>
          <w:sz w:val="22"/>
          <w:szCs w:val="22"/>
          <w:lang w:val="sk-SK"/>
        </w:rPr>
        <w:t xml:space="preserve">(náhlej alergickej reakcii) </w:t>
      </w:r>
      <w:r w:rsidRPr="000064A9">
        <w:rPr>
          <w:sz w:val="22"/>
          <w:szCs w:val="22"/>
          <w:lang w:val="sk-SK"/>
        </w:rPr>
        <w:t>je potrebné predovše</w:t>
      </w:r>
      <w:r w:rsidR="001E1082">
        <w:rPr>
          <w:sz w:val="22"/>
          <w:szCs w:val="22"/>
          <w:lang w:val="sk-SK"/>
        </w:rPr>
        <w:t>tkým zvládnuť zlyhanie krvného obehu a porúch dýchania adrenalínom, noradrenalínom, hydrokortizónom, podať kalcium a antihistaminiká; postupuje sa podľa zásad na zvládnutie týchto reakcií.</w:t>
      </w:r>
      <w:r w:rsidRPr="00DD1881">
        <w:rPr>
          <w:sz w:val="22"/>
          <w:szCs w:val="22"/>
          <w:lang w:val="sk-SK"/>
        </w:rPr>
        <w:t xml:space="preserve"> </w:t>
      </w:r>
    </w:p>
    <w:p w:rsidR="002C4706" w:rsidRPr="00DD1881" w:rsidRDefault="002C4706" w:rsidP="006C0294">
      <w:pPr>
        <w:rPr>
          <w:sz w:val="22"/>
          <w:szCs w:val="22"/>
          <w:lang w:val="sk-SK"/>
        </w:rPr>
      </w:pPr>
    </w:p>
    <w:p w:rsidR="00DD02F6" w:rsidRPr="00DD1881" w:rsidRDefault="00DD02F6" w:rsidP="006C0294">
      <w:pPr>
        <w:pStyle w:val="Zkladntext"/>
        <w:rPr>
          <w:sz w:val="22"/>
          <w:szCs w:val="22"/>
          <w:lang w:val="sk-SK"/>
        </w:rPr>
      </w:pPr>
    </w:p>
    <w:p w:rsidR="00DD02F6" w:rsidRPr="005B215C" w:rsidRDefault="005B215C" w:rsidP="005B215C">
      <w:pPr>
        <w:numPr>
          <w:ilvl w:val="0"/>
          <w:numId w:val="3"/>
        </w:numPr>
        <w:overflowPunct/>
        <w:autoSpaceDE/>
        <w:autoSpaceDN/>
        <w:adjustRightInd/>
        <w:ind w:right="-2"/>
        <w:textAlignment w:val="auto"/>
        <w:outlineLvl w:val="0"/>
        <w:rPr>
          <w:b/>
          <w:sz w:val="22"/>
          <w:szCs w:val="22"/>
          <w:lang w:val="sk-SK"/>
        </w:rPr>
      </w:pPr>
      <w:r w:rsidRPr="005B215C">
        <w:rPr>
          <w:b/>
          <w:sz w:val="22"/>
          <w:szCs w:val="22"/>
          <w:lang w:val="sk-SK"/>
        </w:rPr>
        <w:t>Možné vedľajšie účinky</w:t>
      </w:r>
      <w:r w:rsidRPr="005B215C" w:rsidDel="005B215C">
        <w:rPr>
          <w:b/>
          <w:sz w:val="22"/>
          <w:szCs w:val="22"/>
          <w:lang w:val="sk-SK"/>
        </w:rPr>
        <w:t xml:space="preserve"> </w:t>
      </w:r>
    </w:p>
    <w:p w:rsidR="001746BB" w:rsidRDefault="001746BB" w:rsidP="006C0294">
      <w:pPr>
        <w:pStyle w:val="Zkladntext"/>
        <w:rPr>
          <w:sz w:val="22"/>
          <w:szCs w:val="22"/>
          <w:u w:val="single"/>
          <w:lang w:val="sk-SK"/>
        </w:rPr>
      </w:pPr>
    </w:p>
    <w:p w:rsidR="007A5725" w:rsidRDefault="007A5725" w:rsidP="006C0294">
      <w:pPr>
        <w:pStyle w:val="Zkladntext"/>
        <w:rPr>
          <w:sz w:val="22"/>
          <w:szCs w:val="22"/>
          <w:u w:val="single"/>
          <w:lang w:val="sk-SK"/>
        </w:rPr>
      </w:pPr>
      <w:r>
        <w:rPr>
          <w:sz w:val="22"/>
          <w:szCs w:val="22"/>
          <w:u w:val="single"/>
          <w:lang w:val="sk-SK"/>
        </w:rPr>
        <w:t xml:space="preserve">Tak ako všetky lieky, aj tento liek môže spôsobovať vedľajšie účinky, hoci sa neprejavia </w:t>
      </w:r>
      <w:r w:rsidR="006B7F2B">
        <w:rPr>
          <w:sz w:val="22"/>
          <w:szCs w:val="22"/>
          <w:u w:val="single"/>
          <w:lang w:val="sk-SK"/>
        </w:rPr>
        <w:t>u každého.</w:t>
      </w:r>
    </w:p>
    <w:p w:rsidR="00E11C2B" w:rsidRPr="00E11C2B" w:rsidRDefault="00E11C2B" w:rsidP="006C0294">
      <w:pPr>
        <w:pStyle w:val="Zkladntext"/>
        <w:rPr>
          <w:sz w:val="22"/>
          <w:szCs w:val="22"/>
          <w:lang w:val="sk-SK"/>
        </w:rPr>
      </w:pPr>
      <w:r w:rsidRPr="00E11C2B">
        <w:rPr>
          <w:sz w:val="22"/>
          <w:szCs w:val="22"/>
          <w:u w:val="single"/>
          <w:lang w:val="sk-SK"/>
        </w:rPr>
        <w:t>Poruchy krvi a lymfatického systému:</w:t>
      </w:r>
      <w:r w:rsidR="00D90B7E" w:rsidRPr="00D90B7E">
        <w:rPr>
          <w:sz w:val="22"/>
          <w:szCs w:val="22"/>
          <w:lang w:val="sk-SK"/>
        </w:rPr>
        <w:t xml:space="preserve"> </w:t>
      </w:r>
      <w:r w:rsidRPr="00E11C2B">
        <w:rPr>
          <w:sz w:val="22"/>
          <w:szCs w:val="22"/>
          <w:lang w:val="sk-SK"/>
        </w:rPr>
        <w:t>v priebehu liečby kombináciou ampicilín/sulbaktám sa môže vyskytnúť málokrvnosť, nedostatok krvných doštičiek, zvýšený počet eozinofilných leukocytov v krvi a znížený počet bielych krviniek. Tieto reakcie po ukončení liečby obvykle spontánne vymiznú.</w:t>
      </w:r>
    </w:p>
    <w:p w:rsidR="00DA6BC5" w:rsidRPr="00DA6BC5" w:rsidRDefault="00DA6BC5" w:rsidP="006C0294">
      <w:pPr>
        <w:pStyle w:val="Zkladntext"/>
        <w:rPr>
          <w:sz w:val="22"/>
          <w:szCs w:val="22"/>
          <w:lang w:val="sk-SK"/>
        </w:rPr>
      </w:pPr>
      <w:r w:rsidRPr="00DA6BC5">
        <w:rPr>
          <w:sz w:val="22"/>
          <w:szCs w:val="22"/>
          <w:u w:val="single"/>
          <w:lang w:val="sk-SK"/>
        </w:rPr>
        <w:t>Poruchy gastrointestinálneho traktu:</w:t>
      </w:r>
      <w:r w:rsidR="00D90B7E" w:rsidRPr="00D90B7E">
        <w:rPr>
          <w:sz w:val="22"/>
          <w:szCs w:val="22"/>
          <w:lang w:val="sk-SK"/>
        </w:rPr>
        <w:t xml:space="preserve"> </w:t>
      </w:r>
      <w:r w:rsidRPr="00DA6BC5">
        <w:rPr>
          <w:sz w:val="22"/>
          <w:szCs w:val="22"/>
          <w:lang w:val="sk-SK"/>
        </w:rPr>
        <w:t xml:space="preserve">najčastejšie nevoľnosť, vracanie a hnačka. </w:t>
      </w:r>
    </w:p>
    <w:p w:rsidR="002702BC" w:rsidRDefault="002702BC" w:rsidP="006C0294">
      <w:pPr>
        <w:pStyle w:val="Zkladntext"/>
        <w:rPr>
          <w:sz w:val="22"/>
          <w:szCs w:val="22"/>
          <w:lang w:val="sk-SK"/>
        </w:rPr>
      </w:pPr>
      <w:r w:rsidRPr="00DD1881">
        <w:rPr>
          <w:sz w:val="22"/>
          <w:szCs w:val="22"/>
          <w:u w:val="single"/>
          <w:lang w:val="sk-SK"/>
        </w:rPr>
        <w:t>P</w:t>
      </w:r>
      <w:r w:rsidR="00B511E9">
        <w:rPr>
          <w:sz w:val="22"/>
          <w:szCs w:val="22"/>
          <w:u w:val="single"/>
          <w:lang w:val="sk-SK"/>
        </w:rPr>
        <w:t>oruchy pečene a žlčových ciest</w:t>
      </w:r>
      <w:r w:rsidR="00D90B7E" w:rsidRPr="00D90B7E">
        <w:rPr>
          <w:sz w:val="22"/>
          <w:szCs w:val="22"/>
          <w:u w:val="single"/>
          <w:lang w:val="sk-SK"/>
        </w:rPr>
        <w:t>:</w:t>
      </w:r>
      <w:r w:rsidRPr="00DD1881">
        <w:rPr>
          <w:sz w:val="22"/>
          <w:szCs w:val="22"/>
          <w:lang w:val="sk-SK"/>
        </w:rPr>
        <w:t xml:space="preserve"> prechodne môže dôjsť k zvýšeniu hodnôt AST, ALT a ALP. </w:t>
      </w:r>
    </w:p>
    <w:p w:rsidR="00CB3816" w:rsidRDefault="00C759EC" w:rsidP="006C0294">
      <w:pPr>
        <w:pStyle w:val="Zkladntext"/>
        <w:rPr>
          <w:sz w:val="22"/>
          <w:szCs w:val="22"/>
          <w:lang w:val="sk-SK"/>
        </w:rPr>
      </w:pPr>
      <w:r w:rsidRPr="00C759EC">
        <w:rPr>
          <w:sz w:val="22"/>
          <w:szCs w:val="22"/>
          <w:u w:val="single"/>
          <w:lang w:val="sk-SK"/>
        </w:rPr>
        <w:t>Poruchy kože a podkožného tkaniva:</w:t>
      </w:r>
      <w:r w:rsidRPr="00C759EC">
        <w:rPr>
          <w:sz w:val="22"/>
          <w:szCs w:val="22"/>
          <w:lang w:val="sk-SK"/>
        </w:rPr>
        <w:t xml:space="preserve"> </w:t>
      </w:r>
      <w:r w:rsidR="006B7F2B">
        <w:rPr>
          <w:sz w:val="22"/>
          <w:szCs w:val="22"/>
          <w:lang w:val="sk-SK"/>
        </w:rPr>
        <w:t xml:space="preserve">s neznámou frekvenciou </w:t>
      </w:r>
      <w:r w:rsidR="00CB3816">
        <w:rPr>
          <w:sz w:val="22"/>
          <w:szCs w:val="22"/>
          <w:lang w:val="sk-SK"/>
        </w:rPr>
        <w:t xml:space="preserve">sa </w:t>
      </w:r>
      <w:r w:rsidR="006B7F2B">
        <w:rPr>
          <w:sz w:val="22"/>
          <w:szCs w:val="22"/>
          <w:lang w:val="sk-SK"/>
        </w:rPr>
        <w:t>môže vyskyt</w:t>
      </w:r>
      <w:r w:rsidR="000B01D9">
        <w:rPr>
          <w:sz w:val="22"/>
          <w:szCs w:val="22"/>
          <w:lang w:val="sk-SK"/>
        </w:rPr>
        <w:t>n</w:t>
      </w:r>
      <w:r w:rsidR="006B7F2B">
        <w:rPr>
          <w:sz w:val="22"/>
          <w:szCs w:val="22"/>
          <w:lang w:val="sk-SK"/>
        </w:rPr>
        <w:t>úť o</w:t>
      </w:r>
      <w:r w:rsidR="006B7F2B" w:rsidRPr="006B7F2B">
        <w:rPr>
          <w:sz w:val="22"/>
          <w:szCs w:val="22"/>
          <w:lang w:val="sk-SK"/>
        </w:rPr>
        <w:t>puch tváre, pier, jazyka a/alebo hrdla s ťažkosťami pri prehĺtaní alebo dýchaní (angioedém), kožná vyrážka (erytém), pľuzgiere, začervenanie kože alebo kožné podliatiny (žihľavka</w:t>
      </w:r>
      <w:r w:rsidR="00C52946">
        <w:rPr>
          <w:sz w:val="22"/>
          <w:szCs w:val="22"/>
          <w:lang w:val="sk-SK"/>
        </w:rPr>
        <w:t>)</w:t>
      </w:r>
      <w:r w:rsidR="00CB3816">
        <w:rPr>
          <w:sz w:val="22"/>
          <w:szCs w:val="22"/>
          <w:lang w:val="sk-SK"/>
        </w:rPr>
        <w:t>.</w:t>
      </w:r>
      <w:r w:rsidR="006B7F2B" w:rsidRPr="006B7F2B">
        <w:rPr>
          <w:sz w:val="22"/>
          <w:szCs w:val="22"/>
          <w:lang w:val="sk-SK"/>
        </w:rPr>
        <w:t xml:space="preserve"> </w:t>
      </w:r>
    </w:p>
    <w:p w:rsidR="00C759EC" w:rsidRPr="00DD1881" w:rsidRDefault="00CB3816" w:rsidP="006C0294">
      <w:pPr>
        <w:pStyle w:val="Zkladntext"/>
        <w:rPr>
          <w:sz w:val="22"/>
          <w:szCs w:val="22"/>
          <w:lang w:val="sk-SK"/>
        </w:rPr>
      </w:pPr>
      <w:r>
        <w:rPr>
          <w:sz w:val="22"/>
          <w:szCs w:val="22"/>
          <w:lang w:val="sk-SK"/>
        </w:rPr>
        <w:t>V</w:t>
      </w:r>
      <w:r w:rsidR="00C759EC" w:rsidRPr="00C759EC">
        <w:rPr>
          <w:sz w:val="22"/>
          <w:szCs w:val="22"/>
          <w:lang w:val="sk-SK"/>
        </w:rPr>
        <w:t>yrážky, svrbenie prípadne ďalšie kožné reakcie podobne ako u ostatných penicilínov.</w:t>
      </w:r>
    </w:p>
    <w:p w:rsidR="00CB3816" w:rsidRPr="00C759EC" w:rsidRDefault="00C759EC" w:rsidP="00C759EC">
      <w:pPr>
        <w:rPr>
          <w:sz w:val="22"/>
          <w:szCs w:val="22"/>
          <w:lang w:val="sk-SK"/>
        </w:rPr>
      </w:pPr>
      <w:r w:rsidRPr="00C759EC">
        <w:rPr>
          <w:sz w:val="22"/>
          <w:szCs w:val="22"/>
          <w:u w:val="single"/>
          <w:lang w:val="sk-SK"/>
        </w:rPr>
        <w:t>Celkové poruchy a reakcie v mieste podania:</w:t>
      </w:r>
      <w:r w:rsidRPr="00C759EC">
        <w:rPr>
          <w:sz w:val="22"/>
          <w:szCs w:val="22"/>
          <w:lang w:val="sk-SK"/>
        </w:rPr>
        <w:t xml:space="preserve"> podobne ako pri ostatných </w:t>
      </w:r>
      <w:r w:rsidR="000B01D9">
        <w:rPr>
          <w:sz w:val="22"/>
          <w:szCs w:val="22"/>
          <w:lang w:val="sk-SK"/>
        </w:rPr>
        <w:t>injekčne</w:t>
      </w:r>
      <w:r w:rsidR="000B01D9" w:rsidRPr="00C759EC">
        <w:rPr>
          <w:sz w:val="22"/>
          <w:szCs w:val="22"/>
          <w:lang w:val="sk-SK"/>
        </w:rPr>
        <w:t xml:space="preserve"> </w:t>
      </w:r>
      <w:r w:rsidRPr="00C759EC">
        <w:rPr>
          <w:sz w:val="22"/>
          <w:szCs w:val="22"/>
          <w:lang w:val="sk-SK"/>
        </w:rPr>
        <w:t xml:space="preserve">podávaných antibiotikách bolestivosť v mieste vpichu, najmä po vnútrosvalovom podaní. Po </w:t>
      </w:r>
      <w:r w:rsidR="000B01D9">
        <w:rPr>
          <w:sz w:val="22"/>
          <w:szCs w:val="22"/>
          <w:lang w:val="sk-SK"/>
        </w:rPr>
        <w:t>vnútrožilovom</w:t>
      </w:r>
      <w:r w:rsidRPr="00C759EC">
        <w:rPr>
          <w:sz w:val="22"/>
          <w:szCs w:val="22"/>
          <w:lang w:val="sk-SK"/>
        </w:rPr>
        <w:t xml:space="preserve"> podaní sa môže vyskytnúť zápal žíl.</w:t>
      </w:r>
    </w:p>
    <w:p w:rsidR="00C759EC" w:rsidRPr="00DD1881" w:rsidRDefault="00C759EC" w:rsidP="006C0294">
      <w:pPr>
        <w:rPr>
          <w:lang w:val="sk-SK"/>
        </w:rPr>
      </w:pPr>
    </w:p>
    <w:p w:rsidR="00EC33D7" w:rsidRPr="00A106DC" w:rsidRDefault="00EC33D7" w:rsidP="006C0294">
      <w:pPr>
        <w:rPr>
          <w:b/>
          <w:sz w:val="22"/>
          <w:szCs w:val="22"/>
          <w:lang w:val="sk-SK"/>
        </w:rPr>
      </w:pPr>
      <w:r w:rsidRPr="00A106DC">
        <w:rPr>
          <w:b/>
          <w:sz w:val="22"/>
          <w:szCs w:val="22"/>
          <w:lang w:val="sk-SK"/>
        </w:rPr>
        <w:lastRenderedPageBreak/>
        <w:t>Hlásenie vedľajších účinkov</w:t>
      </w:r>
    </w:p>
    <w:p w:rsidR="00EC33D7" w:rsidRPr="00A106DC" w:rsidRDefault="00EC33D7" w:rsidP="006C0294">
      <w:pPr>
        <w:ind w:right="-2"/>
        <w:rPr>
          <w:b/>
          <w:sz w:val="22"/>
          <w:szCs w:val="22"/>
          <w:lang w:val="sk-SK"/>
        </w:rPr>
      </w:pPr>
      <w:r w:rsidRPr="00A106DC">
        <w:rPr>
          <w:sz w:val="22"/>
          <w:szCs w:val="22"/>
          <w:lang w:val="sk-SK"/>
        </w:rPr>
        <w:t xml:space="preserve">Ak sa u vás vyskytne akýkoľvek vedľajší účinok, obráťte sa na svojho lekára alebo lekárnika alebo zdravotnú sestru. To sa týka aj akýchkoľvek vedľajších účinkov, ktoré nie sú uvedené v tejto písomnej informácii. Vedľajšie účinky môžete hlásiť aj </w:t>
      </w:r>
      <w:r w:rsidR="00CB6FC1">
        <w:rPr>
          <w:sz w:val="22"/>
          <w:szCs w:val="22"/>
          <w:lang w:val="sk-SK"/>
        </w:rPr>
        <w:t xml:space="preserve">priamo </w:t>
      </w:r>
      <w:r w:rsidR="00385735">
        <w:rPr>
          <w:sz w:val="22"/>
          <w:szCs w:val="22"/>
          <w:lang w:val="sk-SK"/>
        </w:rPr>
        <w:t>na</w:t>
      </w:r>
      <w:r w:rsidRPr="00A106DC">
        <w:rPr>
          <w:noProof/>
          <w:sz w:val="22"/>
          <w:szCs w:val="22"/>
          <w:lang w:val="sk-SK"/>
        </w:rPr>
        <w:t xml:space="preserve"> </w:t>
      </w:r>
      <w:r w:rsidRPr="00A106DC">
        <w:rPr>
          <w:noProof/>
          <w:sz w:val="22"/>
          <w:szCs w:val="22"/>
          <w:highlight w:val="lightGray"/>
          <w:lang w:val="sk-SK"/>
        </w:rPr>
        <w:t xml:space="preserve">národné </w:t>
      </w:r>
      <w:r w:rsidR="00385735">
        <w:rPr>
          <w:noProof/>
          <w:sz w:val="22"/>
          <w:szCs w:val="22"/>
          <w:highlight w:val="lightGray"/>
          <w:lang w:val="sk-SK"/>
        </w:rPr>
        <w:t>centrum</w:t>
      </w:r>
      <w:r w:rsidRPr="00A106DC">
        <w:rPr>
          <w:noProof/>
          <w:sz w:val="22"/>
          <w:szCs w:val="22"/>
          <w:highlight w:val="lightGray"/>
          <w:lang w:val="sk-SK"/>
        </w:rPr>
        <w:t xml:space="preserve"> hlásenia uvedené v </w:t>
      </w:r>
      <w:hyperlink r:id="rId8" w:history="1">
        <w:r w:rsidRPr="00A106DC">
          <w:rPr>
            <w:rStyle w:val="Hypertextovprepojenie"/>
            <w:noProof/>
            <w:sz w:val="22"/>
            <w:szCs w:val="22"/>
            <w:highlight w:val="lightGray"/>
            <w:lang w:val="sk-SK"/>
          </w:rPr>
          <w:t>Prílohe V</w:t>
        </w:r>
      </w:hyperlink>
      <w:r w:rsidRPr="00A106DC">
        <w:rPr>
          <w:color w:val="008000"/>
          <w:sz w:val="22"/>
          <w:szCs w:val="22"/>
          <w:highlight w:val="lightGray"/>
          <w:lang w:val="sk-SK"/>
        </w:rPr>
        <w:t>*</w:t>
      </w:r>
      <w:r w:rsidRPr="00A106DC">
        <w:rPr>
          <w:noProof/>
          <w:sz w:val="22"/>
          <w:szCs w:val="22"/>
          <w:lang w:val="sk-SK"/>
        </w:rPr>
        <w:t>.</w:t>
      </w:r>
      <w:r w:rsidR="006C0294" w:rsidRPr="00A106DC">
        <w:rPr>
          <w:noProof/>
          <w:sz w:val="22"/>
          <w:szCs w:val="22"/>
          <w:lang w:val="sk-SK"/>
        </w:rPr>
        <w:t xml:space="preserve"> </w:t>
      </w:r>
      <w:r w:rsidRPr="00A106DC">
        <w:rPr>
          <w:sz w:val="22"/>
          <w:szCs w:val="22"/>
          <w:lang w:val="sk-SK"/>
        </w:rPr>
        <w:t>Hlásením vedľajších účinkov môžete prispieť k získaniu ďalších informácií o bezpečnosti tohto lieku.</w:t>
      </w:r>
    </w:p>
    <w:p w:rsidR="002702BC" w:rsidRPr="008948CD" w:rsidRDefault="002702BC" w:rsidP="006C0294">
      <w:pPr>
        <w:rPr>
          <w:bCs/>
          <w:sz w:val="22"/>
          <w:szCs w:val="22"/>
          <w:lang w:val="sk-SK"/>
        </w:rPr>
      </w:pPr>
    </w:p>
    <w:p w:rsidR="00DD02F6" w:rsidRPr="00DD1881" w:rsidRDefault="00DD02F6" w:rsidP="006C0294">
      <w:pPr>
        <w:rPr>
          <w:sz w:val="22"/>
          <w:szCs w:val="22"/>
          <w:lang w:val="sk-SK"/>
        </w:rPr>
      </w:pPr>
    </w:p>
    <w:p w:rsidR="00DD02F6" w:rsidRPr="005B215C" w:rsidRDefault="005B215C" w:rsidP="006C0294">
      <w:pPr>
        <w:numPr>
          <w:ilvl w:val="0"/>
          <w:numId w:val="2"/>
        </w:numPr>
        <w:overflowPunct/>
        <w:autoSpaceDE/>
        <w:autoSpaceDN/>
        <w:adjustRightInd/>
        <w:ind w:right="-2"/>
        <w:textAlignment w:val="auto"/>
        <w:outlineLvl w:val="0"/>
        <w:rPr>
          <w:b/>
          <w:sz w:val="22"/>
          <w:szCs w:val="22"/>
          <w:lang w:val="sk-SK"/>
        </w:rPr>
      </w:pPr>
      <w:r w:rsidRPr="005B215C">
        <w:rPr>
          <w:b/>
          <w:sz w:val="22"/>
          <w:szCs w:val="22"/>
          <w:lang w:val="sk-SK"/>
        </w:rPr>
        <w:t>Ako uchovávať BITAMMON</w:t>
      </w:r>
    </w:p>
    <w:p w:rsidR="00DD02F6" w:rsidRPr="00DD1881" w:rsidRDefault="00DD02F6" w:rsidP="006C0294">
      <w:pPr>
        <w:numPr>
          <w:ilvl w:val="12"/>
          <w:numId w:val="0"/>
        </w:numPr>
        <w:ind w:right="-2"/>
        <w:rPr>
          <w:sz w:val="22"/>
          <w:szCs w:val="22"/>
          <w:lang w:val="sk-SK"/>
        </w:rPr>
      </w:pPr>
    </w:p>
    <w:p w:rsidR="00DD02F6" w:rsidRPr="00DD1881" w:rsidRDefault="00DD02F6" w:rsidP="006C0294">
      <w:pPr>
        <w:pStyle w:val="Zkladntext"/>
        <w:rPr>
          <w:sz w:val="22"/>
          <w:szCs w:val="22"/>
          <w:lang w:val="sk-SK"/>
        </w:rPr>
      </w:pPr>
      <w:r w:rsidRPr="00DD1881">
        <w:rPr>
          <w:sz w:val="22"/>
          <w:szCs w:val="22"/>
          <w:lang w:val="sk-SK"/>
        </w:rPr>
        <w:t xml:space="preserve">Uchovávajte </w:t>
      </w:r>
      <w:r w:rsidR="002702BC" w:rsidRPr="00DD1881">
        <w:rPr>
          <w:sz w:val="22"/>
          <w:szCs w:val="22"/>
          <w:lang w:val="sk-SK"/>
        </w:rPr>
        <w:t>v pôvodnom obale na ochranu pred svetlom a vlhkosťou.</w:t>
      </w:r>
    </w:p>
    <w:p w:rsidR="00DD02F6" w:rsidRPr="00DD1881" w:rsidRDefault="00544BEC" w:rsidP="006C0294">
      <w:pPr>
        <w:pStyle w:val="Zkladntext"/>
        <w:rPr>
          <w:sz w:val="22"/>
          <w:szCs w:val="22"/>
          <w:lang w:val="sk-SK"/>
        </w:rPr>
      </w:pPr>
      <w:r>
        <w:rPr>
          <w:sz w:val="22"/>
          <w:szCs w:val="22"/>
          <w:lang w:val="sk-SK"/>
        </w:rPr>
        <w:t xml:space="preserve">Tento liek uchovávajte </w:t>
      </w:r>
      <w:r w:rsidR="001E6CBF">
        <w:rPr>
          <w:sz w:val="22"/>
          <w:szCs w:val="22"/>
          <w:lang w:val="sk-SK"/>
        </w:rPr>
        <w:t xml:space="preserve">mimo </w:t>
      </w:r>
      <w:r w:rsidR="00DD02F6" w:rsidRPr="00DD1881">
        <w:rPr>
          <w:sz w:val="22"/>
          <w:szCs w:val="22"/>
          <w:lang w:val="sk-SK"/>
        </w:rPr>
        <w:t>dohľadu</w:t>
      </w:r>
      <w:r w:rsidR="001E6CBF">
        <w:rPr>
          <w:sz w:val="22"/>
          <w:szCs w:val="22"/>
          <w:lang w:val="sk-SK"/>
        </w:rPr>
        <w:t xml:space="preserve"> a dosahu</w:t>
      </w:r>
      <w:r w:rsidR="00DD02F6" w:rsidRPr="00DD1881">
        <w:rPr>
          <w:sz w:val="22"/>
          <w:szCs w:val="22"/>
          <w:lang w:val="sk-SK"/>
        </w:rPr>
        <w:t xml:space="preserve"> detí.</w:t>
      </w:r>
    </w:p>
    <w:p w:rsidR="00DD02F6" w:rsidRDefault="00544BEC" w:rsidP="006C0294">
      <w:pPr>
        <w:pStyle w:val="Zkladntext"/>
        <w:rPr>
          <w:sz w:val="22"/>
          <w:szCs w:val="22"/>
          <w:lang w:val="sk-SK"/>
        </w:rPr>
      </w:pPr>
      <w:r>
        <w:rPr>
          <w:sz w:val="22"/>
          <w:szCs w:val="22"/>
          <w:lang w:val="sk-SK"/>
        </w:rPr>
        <w:t>Nepoužívajte tento l</w:t>
      </w:r>
      <w:r w:rsidR="00DD02F6" w:rsidRPr="00DD1881">
        <w:rPr>
          <w:sz w:val="22"/>
          <w:szCs w:val="22"/>
          <w:lang w:val="sk-SK"/>
        </w:rPr>
        <w:t xml:space="preserve">iek </w:t>
      </w:r>
      <w:r w:rsidR="008E302D">
        <w:rPr>
          <w:sz w:val="22"/>
          <w:szCs w:val="22"/>
          <w:lang w:val="sk-SK"/>
        </w:rPr>
        <w:t xml:space="preserve">po dátume exspirácie, ktorý je uvedený na </w:t>
      </w:r>
      <w:r w:rsidR="00DD02F6" w:rsidRPr="00DD1881">
        <w:rPr>
          <w:sz w:val="22"/>
          <w:szCs w:val="22"/>
          <w:lang w:val="sk-SK"/>
        </w:rPr>
        <w:t>obale</w:t>
      </w:r>
      <w:r w:rsidR="001746BB">
        <w:rPr>
          <w:sz w:val="22"/>
          <w:szCs w:val="22"/>
          <w:lang w:val="sk-SK"/>
        </w:rPr>
        <w:t xml:space="preserve"> po skratke EXP</w:t>
      </w:r>
      <w:r w:rsidR="00DD02F6" w:rsidRPr="00DD1881">
        <w:rPr>
          <w:sz w:val="22"/>
          <w:szCs w:val="22"/>
          <w:lang w:val="sk-SK"/>
        </w:rPr>
        <w:t>.</w:t>
      </w:r>
      <w:r w:rsidR="00DF09FC">
        <w:rPr>
          <w:sz w:val="22"/>
          <w:szCs w:val="22"/>
          <w:lang w:val="sk-SK"/>
        </w:rPr>
        <w:t xml:space="preserve"> </w:t>
      </w:r>
    </w:p>
    <w:p w:rsidR="00DF09FC" w:rsidRPr="00DD1881" w:rsidRDefault="00DF09FC" w:rsidP="006C0294">
      <w:pPr>
        <w:pStyle w:val="Zkladntext"/>
        <w:rPr>
          <w:sz w:val="22"/>
          <w:szCs w:val="22"/>
          <w:lang w:val="sk-SK"/>
        </w:rPr>
      </w:pPr>
      <w:r>
        <w:rPr>
          <w:sz w:val="22"/>
          <w:szCs w:val="22"/>
          <w:lang w:val="sk-SK"/>
        </w:rPr>
        <w:t>Dátum exspirácie sa vzťahuje na posledný deň v danom mesiaci.</w:t>
      </w:r>
    </w:p>
    <w:p w:rsidR="00DD02F6" w:rsidRPr="00DD1881" w:rsidRDefault="00DD02F6" w:rsidP="006C0294">
      <w:pPr>
        <w:numPr>
          <w:ilvl w:val="12"/>
          <w:numId w:val="0"/>
        </w:numPr>
        <w:ind w:right="-2"/>
        <w:rPr>
          <w:sz w:val="22"/>
          <w:szCs w:val="22"/>
          <w:lang w:val="sk-SK"/>
        </w:rPr>
      </w:pPr>
    </w:p>
    <w:p w:rsidR="00DD02F6" w:rsidRPr="00DD1881" w:rsidRDefault="001B6817" w:rsidP="006C0294">
      <w:pPr>
        <w:numPr>
          <w:ilvl w:val="12"/>
          <w:numId w:val="0"/>
        </w:numPr>
        <w:ind w:right="-2"/>
        <w:rPr>
          <w:sz w:val="22"/>
          <w:szCs w:val="22"/>
          <w:lang w:val="sk-SK"/>
        </w:rPr>
      </w:pPr>
      <w:r>
        <w:rPr>
          <w:sz w:val="22"/>
          <w:szCs w:val="22"/>
          <w:lang w:val="sk-SK"/>
        </w:rPr>
        <w:t>Nelikvidujte l</w:t>
      </w:r>
      <w:r w:rsidR="00DD02F6" w:rsidRPr="00DD1881">
        <w:rPr>
          <w:sz w:val="22"/>
          <w:szCs w:val="22"/>
          <w:lang w:val="sk-SK"/>
        </w:rPr>
        <w:t>ieky odpadovou vodou alebo domovým odpadom. Nepoužitý liek vráťte do lekárne. Tieto opatrenia pomôžu chrániť životné prostredie.</w:t>
      </w:r>
    </w:p>
    <w:p w:rsidR="00DD02F6" w:rsidRPr="00DD1881" w:rsidRDefault="00DD02F6" w:rsidP="006C0294">
      <w:pPr>
        <w:numPr>
          <w:ilvl w:val="12"/>
          <w:numId w:val="0"/>
        </w:numPr>
        <w:ind w:right="-2"/>
        <w:rPr>
          <w:sz w:val="22"/>
          <w:szCs w:val="22"/>
          <w:lang w:val="sk-SK"/>
        </w:rPr>
      </w:pPr>
    </w:p>
    <w:p w:rsidR="00DD02F6" w:rsidRPr="00DD1881" w:rsidRDefault="00DD02F6" w:rsidP="006C0294">
      <w:pPr>
        <w:numPr>
          <w:ilvl w:val="12"/>
          <w:numId w:val="0"/>
        </w:numPr>
        <w:ind w:right="-2"/>
        <w:rPr>
          <w:sz w:val="22"/>
          <w:szCs w:val="22"/>
          <w:lang w:val="sk-SK"/>
        </w:rPr>
      </w:pPr>
    </w:p>
    <w:p w:rsidR="005B215C" w:rsidRPr="005B215C" w:rsidRDefault="005B215C" w:rsidP="005B215C">
      <w:pPr>
        <w:numPr>
          <w:ilvl w:val="0"/>
          <w:numId w:val="2"/>
        </w:numPr>
        <w:ind w:right="-2"/>
        <w:rPr>
          <w:b/>
          <w:sz w:val="22"/>
          <w:szCs w:val="22"/>
          <w:lang w:val="sk-SK"/>
        </w:rPr>
      </w:pPr>
      <w:r w:rsidRPr="005B215C">
        <w:rPr>
          <w:b/>
          <w:sz w:val="22"/>
          <w:szCs w:val="22"/>
          <w:lang w:val="sk-SK"/>
        </w:rPr>
        <w:t>Obsah balenia a ďalšie informácie</w:t>
      </w:r>
      <w:r w:rsidRPr="005B215C" w:rsidDel="005B215C">
        <w:rPr>
          <w:b/>
          <w:sz w:val="22"/>
          <w:szCs w:val="22"/>
          <w:lang w:val="sk-SK"/>
        </w:rPr>
        <w:t xml:space="preserve"> </w:t>
      </w:r>
    </w:p>
    <w:p w:rsidR="00DD02F6" w:rsidRPr="00DD1881" w:rsidRDefault="00DD02F6" w:rsidP="005B215C">
      <w:pPr>
        <w:ind w:right="-2"/>
        <w:rPr>
          <w:sz w:val="22"/>
          <w:szCs w:val="22"/>
          <w:lang w:val="sk-SK"/>
        </w:rPr>
      </w:pPr>
    </w:p>
    <w:p w:rsidR="00DD02F6" w:rsidRPr="00DD1881" w:rsidRDefault="00DD02F6" w:rsidP="006C0294">
      <w:pPr>
        <w:numPr>
          <w:ilvl w:val="12"/>
          <w:numId w:val="0"/>
        </w:numPr>
        <w:ind w:right="-2"/>
        <w:rPr>
          <w:b/>
          <w:sz w:val="22"/>
          <w:szCs w:val="22"/>
          <w:lang w:val="sk-SK"/>
        </w:rPr>
      </w:pPr>
      <w:r w:rsidRPr="00DD1881">
        <w:rPr>
          <w:b/>
          <w:sz w:val="22"/>
          <w:szCs w:val="22"/>
          <w:lang w:val="sk-SK"/>
        </w:rPr>
        <w:t xml:space="preserve">Čo </w:t>
      </w:r>
      <w:r w:rsidR="00DD1881">
        <w:rPr>
          <w:b/>
          <w:sz w:val="22"/>
          <w:szCs w:val="22"/>
          <w:lang w:val="sk-SK"/>
        </w:rPr>
        <w:t>BITAMMON</w:t>
      </w:r>
      <w:r w:rsidRPr="00DD1881">
        <w:rPr>
          <w:b/>
          <w:sz w:val="22"/>
          <w:szCs w:val="22"/>
          <w:lang w:val="sk-SK"/>
        </w:rPr>
        <w:t xml:space="preserve"> obsahuje</w:t>
      </w:r>
    </w:p>
    <w:p w:rsidR="00DD02F6" w:rsidRPr="00A106DC" w:rsidRDefault="00DD02F6" w:rsidP="006C0294">
      <w:pPr>
        <w:numPr>
          <w:ilvl w:val="12"/>
          <w:numId w:val="0"/>
        </w:numPr>
        <w:ind w:right="-2"/>
        <w:rPr>
          <w:sz w:val="22"/>
          <w:szCs w:val="22"/>
          <w:lang w:val="sk-SK"/>
        </w:rPr>
      </w:pPr>
    </w:p>
    <w:p w:rsidR="00E9405A" w:rsidRPr="00DD1881" w:rsidRDefault="00E9405A" w:rsidP="006C0294">
      <w:pPr>
        <w:numPr>
          <w:ilvl w:val="12"/>
          <w:numId w:val="0"/>
        </w:numPr>
        <w:ind w:right="-2"/>
        <w:rPr>
          <w:sz w:val="22"/>
          <w:szCs w:val="22"/>
          <w:lang w:val="sk-SK"/>
        </w:rPr>
      </w:pPr>
      <w:r w:rsidRPr="00DD1881">
        <w:rPr>
          <w:sz w:val="22"/>
          <w:szCs w:val="22"/>
          <w:lang w:val="sk-SK"/>
        </w:rPr>
        <w:t>Jedna injekčná liekovka obsahuje:</w:t>
      </w:r>
    </w:p>
    <w:p w:rsidR="00E9405A" w:rsidRPr="00DD1881" w:rsidRDefault="00DD02F6" w:rsidP="006C0294">
      <w:pPr>
        <w:pStyle w:val="Zkladntext"/>
        <w:rPr>
          <w:sz w:val="22"/>
          <w:szCs w:val="22"/>
          <w:lang w:val="sk-SK"/>
        </w:rPr>
      </w:pPr>
      <w:r w:rsidRPr="00DD1881">
        <w:rPr>
          <w:sz w:val="22"/>
          <w:szCs w:val="22"/>
          <w:u w:val="single"/>
          <w:lang w:val="sk-SK"/>
        </w:rPr>
        <w:t>Liečiv</w:t>
      </w:r>
      <w:r w:rsidR="001F7BDA" w:rsidRPr="00DD1881">
        <w:rPr>
          <w:sz w:val="22"/>
          <w:szCs w:val="22"/>
          <w:u w:val="single"/>
          <w:lang w:val="sk-SK"/>
        </w:rPr>
        <w:t>á</w:t>
      </w:r>
      <w:r w:rsidR="001F7BDA" w:rsidRPr="00DD1881">
        <w:rPr>
          <w:sz w:val="22"/>
          <w:szCs w:val="22"/>
          <w:lang w:val="sk-SK"/>
        </w:rPr>
        <w:t xml:space="preserve">: </w:t>
      </w:r>
    </w:p>
    <w:p w:rsidR="007F7C5E" w:rsidRPr="0077758E" w:rsidRDefault="007F7C5E" w:rsidP="007F7C5E">
      <w:pPr>
        <w:pStyle w:val="Zkladntext"/>
        <w:rPr>
          <w:sz w:val="22"/>
          <w:szCs w:val="22"/>
          <w:lang w:val="sk-SK"/>
        </w:rPr>
      </w:pPr>
      <w:r>
        <w:rPr>
          <w:sz w:val="22"/>
          <w:szCs w:val="22"/>
          <w:lang w:val="sk-SK"/>
        </w:rPr>
        <w:t>1,063 g sodnej soli</w:t>
      </w:r>
      <w:r w:rsidRPr="0077758E">
        <w:rPr>
          <w:sz w:val="22"/>
          <w:szCs w:val="22"/>
          <w:lang w:val="sk-SK"/>
        </w:rPr>
        <w:t xml:space="preserve"> </w:t>
      </w:r>
      <w:r>
        <w:rPr>
          <w:sz w:val="22"/>
          <w:szCs w:val="22"/>
          <w:lang w:val="sk-SK"/>
        </w:rPr>
        <w:t xml:space="preserve">ampicilínu, čo </w:t>
      </w:r>
      <w:r w:rsidRPr="0077758E">
        <w:rPr>
          <w:sz w:val="22"/>
          <w:szCs w:val="22"/>
          <w:lang w:val="sk-SK"/>
        </w:rPr>
        <w:t xml:space="preserve">zodpovedá 1,0 g </w:t>
      </w:r>
      <w:r>
        <w:rPr>
          <w:sz w:val="22"/>
          <w:szCs w:val="22"/>
          <w:lang w:val="sk-SK"/>
        </w:rPr>
        <w:t>ampicilínu</w:t>
      </w:r>
      <w:r w:rsidRPr="0077758E">
        <w:rPr>
          <w:sz w:val="22"/>
          <w:szCs w:val="22"/>
          <w:lang w:val="sk-SK"/>
        </w:rPr>
        <w:t xml:space="preserve"> </w:t>
      </w:r>
    </w:p>
    <w:p w:rsidR="001F7BDA" w:rsidRPr="0077758E" w:rsidRDefault="007F7C5E" w:rsidP="006C0294">
      <w:pPr>
        <w:rPr>
          <w:sz w:val="22"/>
          <w:szCs w:val="22"/>
          <w:lang w:val="sk-SK"/>
        </w:rPr>
      </w:pPr>
      <w:r w:rsidRPr="0077758E">
        <w:rPr>
          <w:sz w:val="22"/>
          <w:szCs w:val="22"/>
          <w:lang w:val="sk-SK"/>
        </w:rPr>
        <w:t xml:space="preserve">0,547 g </w:t>
      </w:r>
      <w:r>
        <w:rPr>
          <w:sz w:val="22"/>
          <w:szCs w:val="22"/>
          <w:lang w:val="sk-SK"/>
        </w:rPr>
        <w:t>sodnej soli</w:t>
      </w:r>
      <w:r w:rsidRPr="0077758E">
        <w:rPr>
          <w:sz w:val="22"/>
          <w:szCs w:val="22"/>
          <w:lang w:val="sk-SK"/>
        </w:rPr>
        <w:t xml:space="preserve"> </w:t>
      </w:r>
      <w:r>
        <w:rPr>
          <w:sz w:val="22"/>
          <w:szCs w:val="22"/>
          <w:lang w:val="sk-SK"/>
        </w:rPr>
        <w:t>s</w:t>
      </w:r>
      <w:r w:rsidRPr="0077758E">
        <w:rPr>
          <w:sz w:val="22"/>
          <w:szCs w:val="22"/>
          <w:lang w:val="sk-SK"/>
        </w:rPr>
        <w:t>ulba</w:t>
      </w:r>
      <w:r>
        <w:rPr>
          <w:sz w:val="22"/>
          <w:szCs w:val="22"/>
          <w:lang w:val="sk-SK"/>
        </w:rPr>
        <w:t xml:space="preserve">ktámu, čo </w:t>
      </w:r>
      <w:r w:rsidRPr="0077758E">
        <w:rPr>
          <w:sz w:val="22"/>
          <w:szCs w:val="22"/>
          <w:lang w:val="sk-SK"/>
        </w:rPr>
        <w:t>zodpovedá 0,5 g sulba</w:t>
      </w:r>
      <w:r>
        <w:rPr>
          <w:sz w:val="22"/>
          <w:szCs w:val="22"/>
          <w:lang w:val="sk-SK"/>
        </w:rPr>
        <w:t>ktámu</w:t>
      </w:r>
    </w:p>
    <w:p w:rsidR="00DD02F6" w:rsidRPr="00DD1881" w:rsidRDefault="00DD02F6" w:rsidP="006C0294">
      <w:pPr>
        <w:numPr>
          <w:ilvl w:val="12"/>
          <w:numId w:val="0"/>
        </w:numPr>
        <w:ind w:right="-2"/>
        <w:rPr>
          <w:sz w:val="22"/>
          <w:szCs w:val="22"/>
          <w:lang w:val="sk-SK"/>
        </w:rPr>
      </w:pPr>
      <w:r w:rsidRPr="00DD1881">
        <w:rPr>
          <w:sz w:val="22"/>
          <w:szCs w:val="22"/>
          <w:u w:val="single"/>
          <w:lang w:val="sk-SK"/>
        </w:rPr>
        <w:t>Pomocné látky:</w:t>
      </w:r>
      <w:r w:rsidR="001F7BDA" w:rsidRPr="00DD1881">
        <w:rPr>
          <w:sz w:val="22"/>
          <w:szCs w:val="22"/>
          <w:lang w:val="sk-SK"/>
        </w:rPr>
        <w:t xml:space="preserve"> žiadne</w:t>
      </w:r>
    </w:p>
    <w:p w:rsidR="00DD02F6" w:rsidRPr="00DD1881" w:rsidRDefault="00DD02F6" w:rsidP="006C0294">
      <w:pPr>
        <w:numPr>
          <w:ilvl w:val="12"/>
          <w:numId w:val="0"/>
        </w:numPr>
        <w:ind w:right="-2"/>
        <w:rPr>
          <w:sz w:val="22"/>
          <w:szCs w:val="22"/>
          <w:lang w:val="sk-SK"/>
        </w:rPr>
      </w:pPr>
    </w:p>
    <w:p w:rsidR="0003096D" w:rsidRPr="00DD1881" w:rsidRDefault="0003096D" w:rsidP="006C0294">
      <w:pPr>
        <w:pStyle w:val="Zkladntext"/>
        <w:rPr>
          <w:sz w:val="22"/>
          <w:szCs w:val="22"/>
          <w:lang w:val="sk-SK"/>
        </w:rPr>
      </w:pPr>
      <w:r w:rsidRPr="00DD1881">
        <w:rPr>
          <w:sz w:val="22"/>
          <w:szCs w:val="22"/>
          <w:lang w:val="sk-SK"/>
        </w:rPr>
        <w:t xml:space="preserve">Liek obsahuje 115 mg </w:t>
      </w:r>
      <w:r w:rsidR="00A470E1" w:rsidRPr="00DD1881">
        <w:rPr>
          <w:sz w:val="22"/>
          <w:szCs w:val="22"/>
          <w:lang w:val="sk-SK"/>
        </w:rPr>
        <w:t>(5 mmol)</w:t>
      </w:r>
      <w:r w:rsidR="00A62946">
        <w:rPr>
          <w:sz w:val="22"/>
          <w:szCs w:val="22"/>
          <w:lang w:val="sk-SK"/>
        </w:rPr>
        <w:t xml:space="preserve"> </w:t>
      </w:r>
      <w:r w:rsidRPr="00DD1881">
        <w:rPr>
          <w:sz w:val="22"/>
          <w:szCs w:val="22"/>
          <w:lang w:val="sk-SK"/>
        </w:rPr>
        <w:t>sodíka.</w:t>
      </w:r>
    </w:p>
    <w:p w:rsidR="00DD02F6" w:rsidRPr="00DD1881" w:rsidRDefault="00DD02F6" w:rsidP="006C0294">
      <w:pPr>
        <w:rPr>
          <w:sz w:val="22"/>
          <w:szCs w:val="22"/>
          <w:lang w:val="sk-SK"/>
        </w:rPr>
      </w:pPr>
    </w:p>
    <w:p w:rsidR="00DD02F6" w:rsidRPr="00DD1881" w:rsidRDefault="00DD02F6" w:rsidP="006C0294">
      <w:pPr>
        <w:numPr>
          <w:ilvl w:val="12"/>
          <w:numId w:val="0"/>
        </w:numPr>
        <w:ind w:right="-2"/>
        <w:rPr>
          <w:b/>
          <w:sz w:val="22"/>
          <w:szCs w:val="22"/>
          <w:lang w:val="sk-SK"/>
        </w:rPr>
      </w:pPr>
      <w:r w:rsidRPr="00DD1881">
        <w:rPr>
          <w:b/>
          <w:sz w:val="22"/>
          <w:szCs w:val="22"/>
          <w:lang w:val="sk-SK"/>
        </w:rPr>
        <w:t xml:space="preserve">Ako vyzerá </w:t>
      </w:r>
      <w:r w:rsidR="00DD1881">
        <w:rPr>
          <w:b/>
          <w:sz w:val="22"/>
          <w:szCs w:val="22"/>
          <w:lang w:val="sk-SK"/>
        </w:rPr>
        <w:t>BITAMMON</w:t>
      </w:r>
      <w:r w:rsidR="00A658AF" w:rsidRPr="00DD1881">
        <w:rPr>
          <w:b/>
          <w:sz w:val="22"/>
          <w:szCs w:val="22"/>
          <w:lang w:val="sk-SK"/>
        </w:rPr>
        <w:t xml:space="preserve"> </w:t>
      </w:r>
      <w:r w:rsidRPr="00DD1881">
        <w:rPr>
          <w:b/>
          <w:sz w:val="22"/>
          <w:szCs w:val="22"/>
          <w:lang w:val="sk-SK"/>
        </w:rPr>
        <w:t>a obsah balenia</w:t>
      </w:r>
    </w:p>
    <w:p w:rsidR="00DD02F6" w:rsidRPr="00A106DC" w:rsidRDefault="00DD02F6" w:rsidP="006C0294">
      <w:pPr>
        <w:numPr>
          <w:ilvl w:val="12"/>
          <w:numId w:val="0"/>
        </w:numPr>
        <w:ind w:right="-2"/>
        <w:rPr>
          <w:sz w:val="22"/>
          <w:szCs w:val="22"/>
          <w:lang w:val="sk-SK"/>
        </w:rPr>
      </w:pPr>
    </w:p>
    <w:p w:rsidR="00DD02F6" w:rsidRPr="00DD1881" w:rsidRDefault="00A658AF" w:rsidP="006C0294">
      <w:pPr>
        <w:pStyle w:val="Zkladntext"/>
        <w:rPr>
          <w:sz w:val="22"/>
          <w:szCs w:val="22"/>
          <w:lang w:val="sk-SK"/>
        </w:rPr>
      </w:pPr>
      <w:r w:rsidRPr="00DD1881">
        <w:rPr>
          <w:sz w:val="22"/>
          <w:szCs w:val="22"/>
          <w:lang w:val="sk-SK"/>
        </w:rPr>
        <w:t>Prášok na i</w:t>
      </w:r>
      <w:r w:rsidR="00DD02F6" w:rsidRPr="00DD1881">
        <w:rPr>
          <w:sz w:val="22"/>
          <w:szCs w:val="22"/>
          <w:lang w:val="sk-SK"/>
        </w:rPr>
        <w:t xml:space="preserve">njekčný </w:t>
      </w:r>
      <w:r w:rsidRPr="00DD1881">
        <w:rPr>
          <w:sz w:val="22"/>
          <w:szCs w:val="22"/>
          <w:lang w:val="sk-SK"/>
        </w:rPr>
        <w:t>a</w:t>
      </w:r>
      <w:r w:rsidR="00FA4C52">
        <w:rPr>
          <w:sz w:val="22"/>
          <w:szCs w:val="22"/>
          <w:lang w:val="sk-SK"/>
        </w:rPr>
        <w:t>lebo</w:t>
      </w:r>
      <w:r w:rsidRPr="00DD1881">
        <w:rPr>
          <w:sz w:val="22"/>
          <w:szCs w:val="22"/>
          <w:lang w:val="sk-SK"/>
        </w:rPr>
        <w:t xml:space="preserve"> infúzny </w:t>
      </w:r>
      <w:r w:rsidR="00DD02F6" w:rsidRPr="00DD1881">
        <w:rPr>
          <w:sz w:val="22"/>
          <w:szCs w:val="22"/>
          <w:lang w:val="sk-SK"/>
        </w:rPr>
        <w:t>roztok</w:t>
      </w:r>
    </w:p>
    <w:p w:rsidR="00DD02F6" w:rsidRPr="00DD1881" w:rsidRDefault="0003096D" w:rsidP="006C0294">
      <w:pPr>
        <w:pStyle w:val="Zkladntext"/>
        <w:rPr>
          <w:sz w:val="22"/>
          <w:szCs w:val="22"/>
          <w:lang w:val="sk-SK"/>
        </w:rPr>
      </w:pPr>
      <w:r w:rsidRPr="00DD1881">
        <w:rPr>
          <w:sz w:val="22"/>
          <w:szCs w:val="22"/>
          <w:lang w:val="sk-SK"/>
        </w:rPr>
        <w:t>Biely až krémový prášok charakteristického zápachu</w:t>
      </w:r>
      <w:r w:rsidR="00F92395" w:rsidRPr="00DD1881">
        <w:rPr>
          <w:sz w:val="22"/>
          <w:szCs w:val="22"/>
          <w:lang w:val="sk-SK"/>
        </w:rPr>
        <w:t>.</w:t>
      </w:r>
    </w:p>
    <w:p w:rsidR="00DD02F6" w:rsidRPr="00DD1881" w:rsidRDefault="00DD02F6" w:rsidP="006C0294">
      <w:pPr>
        <w:pStyle w:val="Zkladntext"/>
        <w:rPr>
          <w:sz w:val="22"/>
          <w:szCs w:val="22"/>
          <w:lang w:val="sk-SK"/>
        </w:rPr>
      </w:pPr>
    </w:p>
    <w:p w:rsidR="00DD02F6" w:rsidRPr="00DD1881" w:rsidRDefault="00DD02F6" w:rsidP="006C0294">
      <w:pPr>
        <w:pStyle w:val="Nadpis8"/>
        <w:rPr>
          <w:rFonts w:ascii="Times New Roman" w:hAnsi="Times New Roman"/>
          <w:sz w:val="22"/>
          <w:szCs w:val="22"/>
        </w:rPr>
      </w:pPr>
      <w:r w:rsidRPr="00DD1881">
        <w:rPr>
          <w:rFonts w:ascii="Times New Roman" w:hAnsi="Times New Roman"/>
          <w:sz w:val="22"/>
          <w:szCs w:val="22"/>
        </w:rPr>
        <w:t>Obsah balenia</w:t>
      </w:r>
    </w:p>
    <w:p w:rsidR="00DD02F6" w:rsidRPr="00DD1881" w:rsidRDefault="00DD02F6" w:rsidP="006C0294">
      <w:pPr>
        <w:rPr>
          <w:sz w:val="22"/>
          <w:szCs w:val="22"/>
          <w:lang w:val="sk-SK"/>
        </w:rPr>
      </w:pPr>
    </w:p>
    <w:p w:rsidR="00F92395" w:rsidRPr="00DD1881" w:rsidRDefault="00F92395" w:rsidP="006C0294">
      <w:pPr>
        <w:rPr>
          <w:bCs/>
          <w:sz w:val="22"/>
          <w:szCs w:val="22"/>
          <w:lang w:val="sk-SK"/>
        </w:rPr>
      </w:pPr>
      <w:r w:rsidRPr="00DD1881">
        <w:rPr>
          <w:bCs/>
          <w:sz w:val="22"/>
          <w:szCs w:val="22"/>
          <w:lang w:val="sk-SK"/>
        </w:rPr>
        <w:t xml:space="preserve">Liekovka </w:t>
      </w:r>
      <w:r w:rsidR="00A62946">
        <w:rPr>
          <w:bCs/>
          <w:sz w:val="22"/>
          <w:szCs w:val="22"/>
          <w:lang w:val="sk-SK"/>
        </w:rPr>
        <w:t xml:space="preserve">z bezfarebného skla </w:t>
      </w:r>
      <w:r w:rsidRPr="00DD1881">
        <w:rPr>
          <w:bCs/>
          <w:sz w:val="22"/>
          <w:szCs w:val="22"/>
          <w:lang w:val="sk-SK"/>
        </w:rPr>
        <w:t xml:space="preserve">s obrubou, gumová zátka, hliníkový obrubovací uzáver, </w:t>
      </w:r>
      <w:r w:rsidR="002523A5">
        <w:rPr>
          <w:bCs/>
          <w:sz w:val="22"/>
          <w:szCs w:val="22"/>
          <w:lang w:val="sk-SK"/>
        </w:rPr>
        <w:t>škatuľka.</w:t>
      </w:r>
    </w:p>
    <w:p w:rsidR="00D90B7E" w:rsidRDefault="00F92395" w:rsidP="00D90B7E">
      <w:pPr>
        <w:tabs>
          <w:tab w:val="left" w:pos="1843"/>
        </w:tabs>
        <w:rPr>
          <w:sz w:val="22"/>
          <w:szCs w:val="22"/>
          <w:lang w:val="sk-SK"/>
        </w:rPr>
      </w:pPr>
      <w:r w:rsidRPr="00DD1881">
        <w:rPr>
          <w:sz w:val="22"/>
          <w:szCs w:val="22"/>
          <w:lang w:val="sk-SK"/>
        </w:rPr>
        <w:t xml:space="preserve">Veľkosť balenia: </w:t>
      </w:r>
      <w:r w:rsidR="001746BB">
        <w:rPr>
          <w:sz w:val="22"/>
          <w:szCs w:val="22"/>
          <w:lang w:val="sk-SK"/>
        </w:rPr>
        <w:tab/>
      </w:r>
      <w:r w:rsidR="00AD3D61">
        <w:rPr>
          <w:sz w:val="22"/>
          <w:szCs w:val="22"/>
          <w:lang w:val="sk-SK"/>
        </w:rPr>
        <w:t xml:space="preserve">  </w:t>
      </w:r>
      <w:r w:rsidR="001746BB" w:rsidRPr="00D60E72">
        <w:rPr>
          <w:sz w:val="22"/>
          <w:szCs w:val="22"/>
          <w:lang w:val="sk-SK"/>
        </w:rPr>
        <w:t>1</w:t>
      </w:r>
      <w:r w:rsidR="001746BB">
        <w:rPr>
          <w:sz w:val="22"/>
          <w:szCs w:val="22"/>
          <w:lang w:val="sk-SK"/>
        </w:rPr>
        <w:t xml:space="preserve"> injekčná liekovka po </w:t>
      </w:r>
      <w:r w:rsidR="001746BB" w:rsidRPr="00D60E72">
        <w:rPr>
          <w:sz w:val="22"/>
          <w:szCs w:val="22"/>
          <w:lang w:val="sk-SK"/>
        </w:rPr>
        <w:t>1,5g</w:t>
      </w:r>
    </w:p>
    <w:p w:rsidR="00D90B7E" w:rsidRDefault="001746BB" w:rsidP="00D90B7E">
      <w:pPr>
        <w:tabs>
          <w:tab w:val="left" w:pos="1985"/>
        </w:tabs>
        <w:ind w:left="1416" w:firstLine="427"/>
        <w:rPr>
          <w:sz w:val="22"/>
          <w:szCs w:val="22"/>
          <w:lang w:val="sk-SK"/>
        </w:rPr>
      </w:pPr>
      <w:r w:rsidRPr="00D60E72">
        <w:rPr>
          <w:sz w:val="22"/>
          <w:szCs w:val="22"/>
          <w:lang w:val="sk-SK"/>
        </w:rPr>
        <w:t>10</w:t>
      </w:r>
      <w:r>
        <w:rPr>
          <w:sz w:val="22"/>
          <w:szCs w:val="22"/>
          <w:lang w:val="sk-SK"/>
        </w:rPr>
        <w:t xml:space="preserve"> injekčných </w:t>
      </w:r>
      <w:r w:rsidR="00820877">
        <w:rPr>
          <w:sz w:val="22"/>
          <w:szCs w:val="22"/>
          <w:lang w:val="sk-SK"/>
        </w:rPr>
        <w:t xml:space="preserve">liekoviek </w:t>
      </w:r>
      <w:r>
        <w:rPr>
          <w:sz w:val="22"/>
          <w:szCs w:val="22"/>
          <w:lang w:val="sk-SK"/>
        </w:rPr>
        <w:t xml:space="preserve">po </w:t>
      </w:r>
      <w:r w:rsidRPr="00D60E72">
        <w:rPr>
          <w:sz w:val="22"/>
          <w:szCs w:val="22"/>
          <w:lang w:val="sk-SK"/>
        </w:rPr>
        <w:t xml:space="preserve">1,5g  </w:t>
      </w:r>
    </w:p>
    <w:p w:rsidR="00D90B7E" w:rsidRDefault="001746BB" w:rsidP="00D90B7E">
      <w:pPr>
        <w:ind w:left="1843"/>
        <w:rPr>
          <w:sz w:val="22"/>
          <w:szCs w:val="22"/>
          <w:lang w:val="sk-SK"/>
        </w:rPr>
      </w:pPr>
      <w:r w:rsidRPr="00D60E72">
        <w:rPr>
          <w:sz w:val="22"/>
          <w:szCs w:val="22"/>
          <w:lang w:val="sk-SK"/>
        </w:rPr>
        <w:t>50</w:t>
      </w:r>
      <w:r>
        <w:rPr>
          <w:sz w:val="22"/>
          <w:szCs w:val="22"/>
          <w:lang w:val="sk-SK"/>
        </w:rPr>
        <w:t xml:space="preserve"> injekčných liekoviek po </w:t>
      </w:r>
      <w:r w:rsidRPr="00D60E72">
        <w:rPr>
          <w:sz w:val="22"/>
          <w:szCs w:val="22"/>
          <w:lang w:val="sk-SK"/>
        </w:rPr>
        <w:t xml:space="preserve">1,5g </w:t>
      </w:r>
    </w:p>
    <w:p w:rsidR="00DD02F6" w:rsidRPr="00DD1881" w:rsidRDefault="00DD02F6" w:rsidP="001746BB">
      <w:pPr>
        <w:rPr>
          <w:sz w:val="22"/>
          <w:szCs w:val="22"/>
          <w:lang w:val="sk-SK"/>
        </w:rPr>
      </w:pPr>
    </w:p>
    <w:p w:rsidR="00DD02F6" w:rsidRPr="00DD1881" w:rsidRDefault="00DD02F6" w:rsidP="006C0294">
      <w:pPr>
        <w:numPr>
          <w:ilvl w:val="12"/>
          <w:numId w:val="0"/>
        </w:numPr>
        <w:ind w:right="-2"/>
        <w:rPr>
          <w:b/>
          <w:sz w:val="22"/>
          <w:szCs w:val="22"/>
          <w:lang w:val="sk-SK"/>
        </w:rPr>
      </w:pPr>
      <w:r w:rsidRPr="00DD1881">
        <w:rPr>
          <w:b/>
          <w:sz w:val="22"/>
          <w:szCs w:val="22"/>
          <w:lang w:val="sk-SK"/>
        </w:rPr>
        <w:t xml:space="preserve">Držiteľ rozhodnutia o registrácii </w:t>
      </w:r>
    </w:p>
    <w:p w:rsidR="00DD02F6" w:rsidRDefault="006620DD" w:rsidP="006C0294">
      <w:pPr>
        <w:numPr>
          <w:ilvl w:val="12"/>
          <w:numId w:val="0"/>
        </w:numPr>
        <w:ind w:right="-2"/>
        <w:rPr>
          <w:sz w:val="22"/>
          <w:szCs w:val="22"/>
          <w:lang w:val="sk-SK"/>
        </w:rPr>
      </w:pPr>
      <w:r>
        <w:rPr>
          <w:sz w:val="22"/>
          <w:szCs w:val="22"/>
          <w:lang w:val="sk-SK"/>
        </w:rPr>
        <w:t xml:space="preserve">BB Pharma a.s., </w:t>
      </w:r>
      <w:r w:rsidR="00976AA4">
        <w:rPr>
          <w:sz w:val="22"/>
          <w:szCs w:val="22"/>
          <w:lang w:val="sk-SK"/>
        </w:rPr>
        <w:t>Durychova 101/66</w:t>
      </w:r>
      <w:r>
        <w:rPr>
          <w:sz w:val="22"/>
          <w:szCs w:val="22"/>
          <w:lang w:val="sk-SK"/>
        </w:rPr>
        <w:t xml:space="preserve">, </w:t>
      </w:r>
      <w:r w:rsidR="00976AA4">
        <w:rPr>
          <w:sz w:val="22"/>
          <w:szCs w:val="22"/>
          <w:lang w:val="sk-SK"/>
        </w:rPr>
        <w:t xml:space="preserve">142 </w:t>
      </w:r>
      <w:r>
        <w:rPr>
          <w:sz w:val="22"/>
          <w:szCs w:val="22"/>
          <w:lang w:val="sk-SK"/>
        </w:rPr>
        <w:t>00 Praha 4</w:t>
      </w:r>
      <w:r w:rsidR="00976AA4">
        <w:rPr>
          <w:sz w:val="22"/>
          <w:szCs w:val="22"/>
          <w:lang w:val="sk-SK"/>
        </w:rPr>
        <w:t xml:space="preserve"> - Lhotka</w:t>
      </w:r>
      <w:r>
        <w:rPr>
          <w:sz w:val="22"/>
          <w:szCs w:val="22"/>
          <w:lang w:val="sk-SK"/>
        </w:rPr>
        <w:t>, Česká republika</w:t>
      </w:r>
    </w:p>
    <w:p w:rsidR="006620DD" w:rsidRDefault="006620DD" w:rsidP="006C0294">
      <w:pPr>
        <w:numPr>
          <w:ilvl w:val="12"/>
          <w:numId w:val="0"/>
        </w:numPr>
        <w:ind w:right="-2"/>
        <w:rPr>
          <w:sz w:val="22"/>
          <w:szCs w:val="22"/>
          <w:lang w:val="sk-SK"/>
        </w:rPr>
      </w:pPr>
    </w:p>
    <w:p w:rsidR="006620DD" w:rsidRPr="006620DD" w:rsidRDefault="006620DD" w:rsidP="006C0294">
      <w:pPr>
        <w:numPr>
          <w:ilvl w:val="12"/>
          <w:numId w:val="0"/>
        </w:numPr>
        <w:ind w:right="-2"/>
        <w:rPr>
          <w:b/>
          <w:sz w:val="22"/>
          <w:szCs w:val="22"/>
          <w:lang w:val="sk-SK"/>
        </w:rPr>
      </w:pPr>
      <w:r>
        <w:rPr>
          <w:b/>
          <w:sz w:val="22"/>
          <w:szCs w:val="22"/>
          <w:lang w:val="sk-SK"/>
        </w:rPr>
        <w:t>Výrobca</w:t>
      </w:r>
    </w:p>
    <w:p w:rsidR="00DD02F6" w:rsidRDefault="00D604C4" w:rsidP="006C0294">
      <w:pPr>
        <w:rPr>
          <w:sz w:val="22"/>
          <w:szCs w:val="22"/>
          <w:lang w:val="sk-SK"/>
        </w:rPr>
      </w:pPr>
      <w:r>
        <w:rPr>
          <w:sz w:val="22"/>
          <w:szCs w:val="22"/>
          <w:lang w:val="sk-SK"/>
        </w:rPr>
        <w:t>AtB Pharma, s.r.o., Sklabinská 28, 036 01 Martin, Slovenská republika</w:t>
      </w:r>
    </w:p>
    <w:p w:rsidR="00D604C4" w:rsidRPr="00DD1881" w:rsidRDefault="00D604C4" w:rsidP="006C0294">
      <w:pPr>
        <w:rPr>
          <w:sz w:val="22"/>
          <w:szCs w:val="22"/>
          <w:lang w:val="sk-SK"/>
        </w:rPr>
      </w:pPr>
      <w:r>
        <w:rPr>
          <w:sz w:val="22"/>
          <w:szCs w:val="22"/>
          <w:lang w:val="sk-SK"/>
        </w:rPr>
        <w:t>Prevádzkareň AtB Pharma,</w:t>
      </w:r>
      <w:r w:rsidR="00884D38">
        <w:rPr>
          <w:sz w:val="22"/>
          <w:szCs w:val="22"/>
          <w:lang w:val="sk-SK"/>
        </w:rPr>
        <w:t xml:space="preserve"> s.r.o, </w:t>
      </w:r>
      <w:r>
        <w:rPr>
          <w:sz w:val="22"/>
          <w:szCs w:val="22"/>
          <w:lang w:val="sk-SK"/>
        </w:rPr>
        <w:t>976 13 Slovenská Ľupča 970, Slovenská republika</w:t>
      </w:r>
    </w:p>
    <w:p w:rsidR="00DD02F6" w:rsidRPr="00820877" w:rsidRDefault="00DD02F6" w:rsidP="006C0294">
      <w:pPr>
        <w:rPr>
          <w:sz w:val="22"/>
          <w:szCs w:val="22"/>
          <w:lang w:val="sk-SK"/>
        </w:rPr>
      </w:pPr>
    </w:p>
    <w:p w:rsidR="00DD02F6" w:rsidRPr="00DD1881" w:rsidRDefault="00DD02F6" w:rsidP="006C0294">
      <w:pPr>
        <w:numPr>
          <w:ilvl w:val="12"/>
          <w:numId w:val="0"/>
        </w:numPr>
        <w:ind w:right="-2"/>
        <w:rPr>
          <w:sz w:val="22"/>
          <w:szCs w:val="22"/>
          <w:lang w:val="sk-SK"/>
        </w:rPr>
      </w:pPr>
      <w:r w:rsidRPr="00DD1881">
        <w:rPr>
          <w:sz w:val="22"/>
          <w:szCs w:val="22"/>
          <w:lang w:val="sk-SK"/>
        </w:rPr>
        <w:t>Ďalšie informácie o tomto lieku získate u držiteľa rozhodnutia o registrácii.</w:t>
      </w:r>
    </w:p>
    <w:p w:rsidR="00DD02F6" w:rsidRDefault="00DD02F6" w:rsidP="006C0294">
      <w:pPr>
        <w:numPr>
          <w:ilvl w:val="12"/>
          <w:numId w:val="0"/>
        </w:numPr>
        <w:ind w:right="-2"/>
        <w:rPr>
          <w:sz w:val="22"/>
          <w:szCs w:val="22"/>
          <w:lang w:val="sk-SK"/>
        </w:rPr>
      </w:pPr>
    </w:p>
    <w:p w:rsidR="00D15D7B" w:rsidRPr="00DD1881" w:rsidRDefault="00D15D7B" w:rsidP="006C0294">
      <w:pPr>
        <w:numPr>
          <w:ilvl w:val="12"/>
          <w:numId w:val="0"/>
        </w:numPr>
        <w:ind w:right="-2"/>
        <w:rPr>
          <w:sz w:val="22"/>
          <w:szCs w:val="22"/>
          <w:lang w:val="sk-SK"/>
        </w:rPr>
      </w:pPr>
    </w:p>
    <w:p w:rsidR="00DD02F6" w:rsidRPr="00DD1881" w:rsidRDefault="00DD02F6" w:rsidP="006C0294">
      <w:pPr>
        <w:numPr>
          <w:ilvl w:val="12"/>
          <w:numId w:val="0"/>
        </w:numPr>
        <w:ind w:right="-2"/>
        <w:rPr>
          <w:b/>
          <w:sz w:val="22"/>
          <w:szCs w:val="22"/>
          <w:lang w:val="sk-SK"/>
        </w:rPr>
      </w:pPr>
      <w:r w:rsidRPr="00DD1881">
        <w:rPr>
          <w:b/>
          <w:sz w:val="22"/>
          <w:szCs w:val="22"/>
          <w:lang w:val="sk-SK"/>
        </w:rPr>
        <w:t>Táto písomn</w:t>
      </w:r>
      <w:r w:rsidR="001F105C">
        <w:rPr>
          <w:b/>
          <w:sz w:val="22"/>
          <w:szCs w:val="22"/>
          <w:lang w:val="sk-SK"/>
        </w:rPr>
        <w:t>á informácia pre používateľa</w:t>
      </w:r>
      <w:r w:rsidRPr="00DD1881">
        <w:rPr>
          <w:b/>
          <w:sz w:val="22"/>
          <w:szCs w:val="22"/>
          <w:lang w:val="sk-SK"/>
        </w:rPr>
        <w:t xml:space="preserve"> bola na</w:t>
      </w:r>
      <w:r w:rsidR="001F105C">
        <w:rPr>
          <w:b/>
          <w:sz w:val="22"/>
          <w:szCs w:val="22"/>
          <w:lang w:val="sk-SK"/>
        </w:rPr>
        <w:t>posledy aktualizovaná</w:t>
      </w:r>
      <w:r w:rsidR="00D15D7B">
        <w:rPr>
          <w:b/>
          <w:sz w:val="22"/>
          <w:szCs w:val="22"/>
          <w:lang w:val="sk-SK"/>
        </w:rPr>
        <w:t xml:space="preserve"> v</w:t>
      </w:r>
      <w:r w:rsidR="00A470E1">
        <w:rPr>
          <w:b/>
          <w:sz w:val="22"/>
          <w:szCs w:val="22"/>
          <w:lang w:val="sk-SK"/>
        </w:rPr>
        <w:t> 0</w:t>
      </w:r>
      <w:r w:rsidR="00862A2E">
        <w:rPr>
          <w:b/>
          <w:sz w:val="22"/>
          <w:szCs w:val="22"/>
          <w:lang w:val="sk-SK"/>
        </w:rPr>
        <w:t>7</w:t>
      </w:r>
      <w:r w:rsidR="00A470E1">
        <w:rPr>
          <w:b/>
          <w:sz w:val="22"/>
          <w:szCs w:val="22"/>
          <w:lang w:val="sk-SK"/>
        </w:rPr>
        <w:t>/2017</w:t>
      </w:r>
      <w:r w:rsidRPr="00DD1881">
        <w:rPr>
          <w:b/>
          <w:sz w:val="22"/>
          <w:szCs w:val="22"/>
          <w:lang w:val="sk-SK"/>
        </w:rPr>
        <w:t xml:space="preserve"> </w:t>
      </w:r>
    </w:p>
    <w:p w:rsidR="00D064DD" w:rsidRPr="00DD1881" w:rsidRDefault="00D064DD"/>
    <w:sectPr w:rsidR="00D064DD" w:rsidRPr="00DD1881" w:rsidSect="006C0294">
      <w:pgSz w:w="11906" w:h="16838"/>
      <w:pgMar w:top="1134" w:right="1418" w:bottom="1134"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8B6" w:rsidRDefault="00FC58B6">
      <w:r>
        <w:separator/>
      </w:r>
    </w:p>
  </w:endnote>
  <w:endnote w:type="continuationSeparator" w:id="0">
    <w:p w:rsidR="00FC58B6" w:rsidRDefault="00FC58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Calibri Light">
    <w:altName w:val="Segoe UI"/>
    <w:charset w:val="EE"/>
    <w:family w:val="swiss"/>
    <w:pitch w:val="variable"/>
    <w:sig w:usb0="00000001" w:usb1="4000207B" w:usb2="00000000" w:usb3="00000000" w:csb0="000001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8B6" w:rsidRDefault="00FC58B6">
      <w:r>
        <w:separator/>
      </w:r>
    </w:p>
  </w:footnote>
  <w:footnote w:type="continuationSeparator" w:id="0">
    <w:p w:rsidR="00FC58B6" w:rsidRDefault="00FC58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3F0C51"/>
    <w:multiLevelType w:val="hybridMultilevel"/>
    <w:tmpl w:val="40D4668C"/>
    <w:lvl w:ilvl="0" w:tplc="3ECC8E22">
      <w:start w:val="5"/>
      <w:numFmt w:val="decimal"/>
      <w:lvlText w:val="%1."/>
      <w:lvlJc w:val="left"/>
      <w:pPr>
        <w:tabs>
          <w:tab w:val="num" w:pos="570"/>
        </w:tabs>
        <w:ind w:left="570" w:hanging="57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217C549A"/>
    <w:multiLevelType w:val="hybridMultilevel"/>
    <w:tmpl w:val="2C669FD6"/>
    <w:lvl w:ilvl="0" w:tplc="036CC55E">
      <w:start w:val="3"/>
      <w:numFmt w:val="decimal"/>
      <w:lvlText w:val="%1."/>
      <w:lvlJc w:val="left"/>
      <w:pPr>
        <w:tabs>
          <w:tab w:val="num" w:pos="570"/>
        </w:tabs>
        <w:ind w:left="570" w:hanging="57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Čipková">
    <w15:presenceInfo w15:providerId="None" w15:userId="Čipková"/>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trackRevisions/>
  <w:defaultTabStop w:val="708"/>
  <w:hyphenationZone w:val="425"/>
  <w:noPunctuationKerning/>
  <w:characterSpacingControl w:val="doNotCompress"/>
  <w:footnotePr>
    <w:footnote w:id="-1"/>
    <w:footnote w:id="0"/>
  </w:footnotePr>
  <w:endnotePr>
    <w:endnote w:id="-1"/>
    <w:endnote w:id="0"/>
  </w:endnotePr>
  <w:compat/>
  <w:rsids>
    <w:rsidRoot w:val="00652398"/>
    <w:rsid w:val="000064A9"/>
    <w:rsid w:val="000112CC"/>
    <w:rsid w:val="00017034"/>
    <w:rsid w:val="0001743E"/>
    <w:rsid w:val="0003096D"/>
    <w:rsid w:val="00056C7D"/>
    <w:rsid w:val="00063EE2"/>
    <w:rsid w:val="00076AB3"/>
    <w:rsid w:val="000845FA"/>
    <w:rsid w:val="000907E4"/>
    <w:rsid w:val="000931AA"/>
    <w:rsid w:val="000979A3"/>
    <w:rsid w:val="000A59F2"/>
    <w:rsid w:val="000B01D9"/>
    <w:rsid w:val="000B248A"/>
    <w:rsid w:val="000B7D4B"/>
    <w:rsid w:val="000D34D7"/>
    <w:rsid w:val="000F239A"/>
    <w:rsid w:val="000F6FFC"/>
    <w:rsid w:val="00121973"/>
    <w:rsid w:val="00121CAA"/>
    <w:rsid w:val="001269E4"/>
    <w:rsid w:val="00134474"/>
    <w:rsid w:val="00142FE2"/>
    <w:rsid w:val="00150934"/>
    <w:rsid w:val="00154616"/>
    <w:rsid w:val="00155CE8"/>
    <w:rsid w:val="00160D02"/>
    <w:rsid w:val="001746BB"/>
    <w:rsid w:val="0018445D"/>
    <w:rsid w:val="0019109C"/>
    <w:rsid w:val="001B6817"/>
    <w:rsid w:val="001D1408"/>
    <w:rsid w:val="001D42C6"/>
    <w:rsid w:val="001E1082"/>
    <w:rsid w:val="001E552B"/>
    <w:rsid w:val="001E6CBF"/>
    <w:rsid w:val="001E6D7B"/>
    <w:rsid w:val="001E7B27"/>
    <w:rsid w:val="001F105C"/>
    <w:rsid w:val="001F5BBD"/>
    <w:rsid w:val="001F6628"/>
    <w:rsid w:val="001F7BDA"/>
    <w:rsid w:val="001F7C68"/>
    <w:rsid w:val="00222C27"/>
    <w:rsid w:val="0022679F"/>
    <w:rsid w:val="00232AC4"/>
    <w:rsid w:val="002335BA"/>
    <w:rsid w:val="00247612"/>
    <w:rsid w:val="002523A5"/>
    <w:rsid w:val="0025245F"/>
    <w:rsid w:val="00266C42"/>
    <w:rsid w:val="002702BC"/>
    <w:rsid w:val="00275A9D"/>
    <w:rsid w:val="00287B82"/>
    <w:rsid w:val="002A28E1"/>
    <w:rsid w:val="002A652E"/>
    <w:rsid w:val="002A7B5A"/>
    <w:rsid w:val="002C4706"/>
    <w:rsid w:val="002D0DD3"/>
    <w:rsid w:val="002D5B3F"/>
    <w:rsid w:val="00306938"/>
    <w:rsid w:val="0031272F"/>
    <w:rsid w:val="003371C6"/>
    <w:rsid w:val="0036023F"/>
    <w:rsid w:val="003647A2"/>
    <w:rsid w:val="00376755"/>
    <w:rsid w:val="003770A1"/>
    <w:rsid w:val="00382255"/>
    <w:rsid w:val="00385735"/>
    <w:rsid w:val="003B0B4B"/>
    <w:rsid w:val="003C1BDF"/>
    <w:rsid w:val="003D6E46"/>
    <w:rsid w:val="003E1220"/>
    <w:rsid w:val="003E3D5D"/>
    <w:rsid w:val="00405959"/>
    <w:rsid w:val="004139EE"/>
    <w:rsid w:val="004427AA"/>
    <w:rsid w:val="004604FC"/>
    <w:rsid w:val="00481DE0"/>
    <w:rsid w:val="004862AE"/>
    <w:rsid w:val="004931B6"/>
    <w:rsid w:val="004A06B7"/>
    <w:rsid w:val="004A342F"/>
    <w:rsid w:val="004A670F"/>
    <w:rsid w:val="004C515E"/>
    <w:rsid w:val="004C7C38"/>
    <w:rsid w:val="004D4ECE"/>
    <w:rsid w:val="004E5C54"/>
    <w:rsid w:val="004F0E11"/>
    <w:rsid w:val="004F457E"/>
    <w:rsid w:val="00501780"/>
    <w:rsid w:val="00506D8D"/>
    <w:rsid w:val="005227D3"/>
    <w:rsid w:val="005345B5"/>
    <w:rsid w:val="00534F74"/>
    <w:rsid w:val="00540FF0"/>
    <w:rsid w:val="00542746"/>
    <w:rsid w:val="00542764"/>
    <w:rsid w:val="00543B9E"/>
    <w:rsid w:val="00544BEC"/>
    <w:rsid w:val="005542CA"/>
    <w:rsid w:val="005759AE"/>
    <w:rsid w:val="00584E11"/>
    <w:rsid w:val="00591776"/>
    <w:rsid w:val="0059552B"/>
    <w:rsid w:val="00595D14"/>
    <w:rsid w:val="005A02BE"/>
    <w:rsid w:val="005A37D3"/>
    <w:rsid w:val="005B215C"/>
    <w:rsid w:val="005C000B"/>
    <w:rsid w:val="005D074E"/>
    <w:rsid w:val="005D623E"/>
    <w:rsid w:val="005E5EE8"/>
    <w:rsid w:val="005F63FD"/>
    <w:rsid w:val="006119BA"/>
    <w:rsid w:val="00633125"/>
    <w:rsid w:val="00650635"/>
    <w:rsid w:val="00652398"/>
    <w:rsid w:val="0065646E"/>
    <w:rsid w:val="006620DD"/>
    <w:rsid w:val="00687209"/>
    <w:rsid w:val="006A6018"/>
    <w:rsid w:val="006B7F2B"/>
    <w:rsid w:val="006C0294"/>
    <w:rsid w:val="006C2B0C"/>
    <w:rsid w:val="006C694C"/>
    <w:rsid w:val="006F5851"/>
    <w:rsid w:val="00702CBF"/>
    <w:rsid w:val="00710E56"/>
    <w:rsid w:val="00716599"/>
    <w:rsid w:val="00764490"/>
    <w:rsid w:val="00765983"/>
    <w:rsid w:val="007721C3"/>
    <w:rsid w:val="007742AA"/>
    <w:rsid w:val="00774EC0"/>
    <w:rsid w:val="0077758E"/>
    <w:rsid w:val="007A5725"/>
    <w:rsid w:val="007B29AE"/>
    <w:rsid w:val="007C5A51"/>
    <w:rsid w:val="007C5F38"/>
    <w:rsid w:val="007C6CCE"/>
    <w:rsid w:val="007D25DE"/>
    <w:rsid w:val="007D78F3"/>
    <w:rsid w:val="007E1A33"/>
    <w:rsid w:val="007E2BCF"/>
    <w:rsid w:val="007F7C5E"/>
    <w:rsid w:val="008109B6"/>
    <w:rsid w:val="00820877"/>
    <w:rsid w:val="00837B90"/>
    <w:rsid w:val="008513DE"/>
    <w:rsid w:val="0085611A"/>
    <w:rsid w:val="00862A2E"/>
    <w:rsid w:val="00864627"/>
    <w:rsid w:val="0086505C"/>
    <w:rsid w:val="00865C32"/>
    <w:rsid w:val="00872639"/>
    <w:rsid w:val="008772A4"/>
    <w:rsid w:val="008832C7"/>
    <w:rsid w:val="00884D38"/>
    <w:rsid w:val="008906E0"/>
    <w:rsid w:val="008948CD"/>
    <w:rsid w:val="008D523B"/>
    <w:rsid w:val="008E302D"/>
    <w:rsid w:val="008E35E9"/>
    <w:rsid w:val="009005FE"/>
    <w:rsid w:val="009006FE"/>
    <w:rsid w:val="009305A1"/>
    <w:rsid w:val="00962DE4"/>
    <w:rsid w:val="009634B3"/>
    <w:rsid w:val="00972886"/>
    <w:rsid w:val="00972C94"/>
    <w:rsid w:val="00976AA4"/>
    <w:rsid w:val="00987096"/>
    <w:rsid w:val="00992CCA"/>
    <w:rsid w:val="0099469D"/>
    <w:rsid w:val="009A18DC"/>
    <w:rsid w:val="009A4880"/>
    <w:rsid w:val="009B13DD"/>
    <w:rsid w:val="009C74FE"/>
    <w:rsid w:val="00A0090E"/>
    <w:rsid w:val="00A106DC"/>
    <w:rsid w:val="00A12E2B"/>
    <w:rsid w:val="00A13289"/>
    <w:rsid w:val="00A134D8"/>
    <w:rsid w:val="00A3184F"/>
    <w:rsid w:val="00A36F44"/>
    <w:rsid w:val="00A43127"/>
    <w:rsid w:val="00A470E1"/>
    <w:rsid w:val="00A54E2C"/>
    <w:rsid w:val="00A62946"/>
    <w:rsid w:val="00A658AF"/>
    <w:rsid w:val="00A96818"/>
    <w:rsid w:val="00AA3C27"/>
    <w:rsid w:val="00AA4E85"/>
    <w:rsid w:val="00AB06C0"/>
    <w:rsid w:val="00AC46AF"/>
    <w:rsid w:val="00AC7F72"/>
    <w:rsid w:val="00AD3D61"/>
    <w:rsid w:val="00AE6FBA"/>
    <w:rsid w:val="00B06E37"/>
    <w:rsid w:val="00B077E2"/>
    <w:rsid w:val="00B07ADA"/>
    <w:rsid w:val="00B30001"/>
    <w:rsid w:val="00B321AC"/>
    <w:rsid w:val="00B342D8"/>
    <w:rsid w:val="00B40D1D"/>
    <w:rsid w:val="00B4623E"/>
    <w:rsid w:val="00B511E9"/>
    <w:rsid w:val="00B551D7"/>
    <w:rsid w:val="00B566A4"/>
    <w:rsid w:val="00B64FD7"/>
    <w:rsid w:val="00B67076"/>
    <w:rsid w:val="00B8157F"/>
    <w:rsid w:val="00B83706"/>
    <w:rsid w:val="00B83C6B"/>
    <w:rsid w:val="00B87955"/>
    <w:rsid w:val="00BB5B99"/>
    <w:rsid w:val="00BE4E64"/>
    <w:rsid w:val="00C05024"/>
    <w:rsid w:val="00C12329"/>
    <w:rsid w:val="00C1533F"/>
    <w:rsid w:val="00C431CD"/>
    <w:rsid w:val="00C47962"/>
    <w:rsid w:val="00C52946"/>
    <w:rsid w:val="00C55AF9"/>
    <w:rsid w:val="00C66958"/>
    <w:rsid w:val="00C759EC"/>
    <w:rsid w:val="00C76466"/>
    <w:rsid w:val="00C87FD9"/>
    <w:rsid w:val="00CA3297"/>
    <w:rsid w:val="00CA3972"/>
    <w:rsid w:val="00CB3816"/>
    <w:rsid w:val="00CB62AC"/>
    <w:rsid w:val="00CB6FC1"/>
    <w:rsid w:val="00CB736A"/>
    <w:rsid w:val="00CC39DA"/>
    <w:rsid w:val="00CF522D"/>
    <w:rsid w:val="00D05896"/>
    <w:rsid w:val="00D064DD"/>
    <w:rsid w:val="00D07101"/>
    <w:rsid w:val="00D15D7B"/>
    <w:rsid w:val="00D30E96"/>
    <w:rsid w:val="00D465F0"/>
    <w:rsid w:val="00D5485A"/>
    <w:rsid w:val="00D604C4"/>
    <w:rsid w:val="00D90B7E"/>
    <w:rsid w:val="00D96068"/>
    <w:rsid w:val="00DA6BC5"/>
    <w:rsid w:val="00DD02F6"/>
    <w:rsid w:val="00DD1881"/>
    <w:rsid w:val="00DD2C93"/>
    <w:rsid w:val="00DD35BA"/>
    <w:rsid w:val="00DE1415"/>
    <w:rsid w:val="00DE36E9"/>
    <w:rsid w:val="00DE7062"/>
    <w:rsid w:val="00DF09FC"/>
    <w:rsid w:val="00E11B46"/>
    <w:rsid w:val="00E11C2B"/>
    <w:rsid w:val="00E125F6"/>
    <w:rsid w:val="00E21BA9"/>
    <w:rsid w:val="00E37708"/>
    <w:rsid w:val="00E53961"/>
    <w:rsid w:val="00E80967"/>
    <w:rsid w:val="00E9405A"/>
    <w:rsid w:val="00EB3D0F"/>
    <w:rsid w:val="00EB7039"/>
    <w:rsid w:val="00EC27AB"/>
    <w:rsid w:val="00EC33D7"/>
    <w:rsid w:val="00EE1041"/>
    <w:rsid w:val="00EE4F42"/>
    <w:rsid w:val="00F033BD"/>
    <w:rsid w:val="00F1298C"/>
    <w:rsid w:val="00F4681D"/>
    <w:rsid w:val="00F47B3A"/>
    <w:rsid w:val="00F54CAC"/>
    <w:rsid w:val="00F637D9"/>
    <w:rsid w:val="00F64A77"/>
    <w:rsid w:val="00F848BB"/>
    <w:rsid w:val="00F92395"/>
    <w:rsid w:val="00F94ED8"/>
    <w:rsid w:val="00FA4C52"/>
    <w:rsid w:val="00FB6AFE"/>
    <w:rsid w:val="00FC58B6"/>
    <w:rsid w:val="00FF0A53"/>
    <w:rsid w:val="00FF14D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D02F6"/>
    <w:pPr>
      <w:overflowPunct w:val="0"/>
      <w:autoSpaceDE w:val="0"/>
      <w:autoSpaceDN w:val="0"/>
      <w:adjustRightInd w:val="0"/>
      <w:textAlignment w:val="baseline"/>
    </w:pPr>
    <w:rPr>
      <w:lang w:val="cs-CZ"/>
    </w:rPr>
  </w:style>
  <w:style w:type="paragraph" w:styleId="Nadpis8">
    <w:name w:val="heading 8"/>
    <w:basedOn w:val="Normlny"/>
    <w:next w:val="Normlny"/>
    <w:qFormat/>
    <w:rsid w:val="00DD02F6"/>
    <w:pPr>
      <w:keepNext/>
      <w:overflowPunct/>
      <w:autoSpaceDE/>
      <w:autoSpaceDN/>
      <w:adjustRightInd/>
      <w:textAlignment w:val="auto"/>
      <w:outlineLvl w:val="7"/>
    </w:pPr>
    <w:rPr>
      <w:rFonts w:ascii="MS Sans Serif" w:hAnsi="MS Sans Serif"/>
      <w:b/>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DD02F6"/>
    <w:rPr>
      <w:color w:val="000000"/>
      <w:sz w:val="24"/>
    </w:rPr>
  </w:style>
  <w:style w:type="paragraph" w:styleId="Pta">
    <w:name w:val="footer"/>
    <w:basedOn w:val="Normlny"/>
    <w:rsid w:val="00DD02F6"/>
    <w:pPr>
      <w:tabs>
        <w:tab w:val="center" w:pos="4536"/>
        <w:tab w:val="right" w:pos="9072"/>
      </w:tabs>
    </w:pPr>
  </w:style>
  <w:style w:type="character" w:styleId="slostrany">
    <w:name w:val="page number"/>
    <w:basedOn w:val="Predvolenpsmoodseku"/>
    <w:rsid w:val="00DD02F6"/>
  </w:style>
  <w:style w:type="paragraph" w:customStyle="1" w:styleId="Odstavecblok">
    <w:name w:val="Odstavec blok"/>
    <w:basedOn w:val="Normlny"/>
    <w:rsid w:val="00DD02F6"/>
    <w:pPr>
      <w:overflowPunct/>
      <w:autoSpaceDE/>
      <w:autoSpaceDN/>
      <w:adjustRightInd/>
      <w:textAlignment w:val="auto"/>
    </w:pPr>
    <w:rPr>
      <w:sz w:val="24"/>
      <w:szCs w:val="24"/>
      <w:lang w:eastAsia="cs-CZ"/>
    </w:rPr>
  </w:style>
  <w:style w:type="paragraph" w:styleId="Textbubliny">
    <w:name w:val="Balloon Text"/>
    <w:basedOn w:val="Normlny"/>
    <w:semiHidden/>
    <w:rsid w:val="0085611A"/>
    <w:rPr>
      <w:rFonts w:ascii="Tahoma" w:hAnsi="Tahoma" w:cs="Tahoma"/>
      <w:sz w:val="16"/>
      <w:szCs w:val="16"/>
    </w:rPr>
  </w:style>
  <w:style w:type="character" w:styleId="Hypertextovprepojenie">
    <w:name w:val="Hyperlink"/>
    <w:rsid w:val="00EC33D7"/>
    <w:rPr>
      <w:color w:val="0000FF"/>
      <w:u w:val="single"/>
    </w:rPr>
  </w:style>
  <w:style w:type="paragraph" w:styleId="Hlavika">
    <w:name w:val="header"/>
    <w:basedOn w:val="Normlny"/>
    <w:link w:val="HlavikaChar"/>
    <w:rsid w:val="006C0294"/>
    <w:pPr>
      <w:tabs>
        <w:tab w:val="center" w:pos="4536"/>
        <w:tab w:val="right" w:pos="9072"/>
      </w:tabs>
    </w:pPr>
  </w:style>
  <w:style w:type="paragraph" w:styleId="Revzia">
    <w:name w:val="Revision"/>
    <w:hidden/>
    <w:uiPriority w:val="99"/>
    <w:semiHidden/>
    <w:rsid w:val="004139EE"/>
    <w:rPr>
      <w:lang w:val="cs-CZ"/>
    </w:rPr>
  </w:style>
  <w:style w:type="character" w:customStyle="1" w:styleId="HlavikaChar">
    <w:name w:val="Hlavička Char"/>
    <w:basedOn w:val="Predvolenpsmoodseku"/>
    <w:link w:val="Hlavika"/>
    <w:rsid w:val="00B83C6B"/>
    <w:rPr>
      <w:lang w:val="cs-CZ"/>
    </w:rPr>
  </w:style>
  <w:style w:type="character" w:styleId="Odkaznakomentr">
    <w:name w:val="annotation reference"/>
    <w:basedOn w:val="Predvolenpsmoodseku"/>
    <w:semiHidden/>
    <w:unhideWhenUsed/>
    <w:rsid w:val="00232AC4"/>
    <w:rPr>
      <w:sz w:val="16"/>
      <w:szCs w:val="16"/>
    </w:rPr>
  </w:style>
  <w:style w:type="paragraph" w:styleId="Textkomentra">
    <w:name w:val="annotation text"/>
    <w:basedOn w:val="Normlny"/>
    <w:link w:val="TextkomentraChar"/>
    <w:semiHidden/>
    <w:unhideWhenUsed/>
    <w:rsid w:val="00232AC4"/>
  </w:style>
  <w:style w:type="character" w:customStyle="1" w:styleId="TextkomentraChar">
    <w:name w:val="Text komentára Char"/>
    <w:basedOn w:val="Predvolenpsmoodseku"/>
    <w:link w:val="Textkomentra"/>
    <w:semiHidden/>
    <w:rsid w:val="00232AC4"/>
    <w:rPr>
      <w:lang w:val="cs-CZ"/>
    </w:rPr>
  </w:style>
  <w:style w:type="paragraph" w:styleId="Predmetkomentra">
    <w:name w:val="annotation subject"/>
    <w:basedOn w:val="Textkomentra"/>
    <w:next w:val="Textkomentra"/>
    <w:link w:val="PredmetkomentraChar"/>
    <w:semiHidden/>
    <w:unhideWhenUsed/>
    <w:rsid w:val="00232AC4"/>
    <w:rPr>
      <w:b/>
      <w:bCs/>
    </w:rPr>
  </w:style>
  <w:style w:type="character" w:customStyle="1" w:styleId="PredmetkomentraChar">
    <w:name w:val="Predmet komentára Char"/>
    <w:basedOn w:val="TextkomentraChar"/>
    <w:link w:val="Predmetkomentra"/>
    <w:semiHidden/>
    <w:rsid w:val="00232AC4"/>
    <w:rPr>
      <w:b/>
      <w:bCs/>
      <w:lang w:val="cs-CZ"/>
    </w:rPr>
  </w:style>
</w:styles>
</file>

<file path=word/webSettings.xml><?xml version="1.0" encoding="utf-8"?>
<w:webSettings xmlns:r="http://schemas.openxmlformats.org/officeDocument/2006/relationships" xmlns:w="http://schemas.openxmlformats.org/wordprocessingml/2006/main">
  <w:divs>
    <w:div w:id="179046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CC2D5-4A16-456C-B755-DAF73A2A7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1800</Words>
  <Characters>10260</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12036</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Sarkar</dc:creator>
  <cp:keywords/>
  <dc:description/>
  <cp:lastModifiedBy> Jana Repiščáková</cp:lastModifiedBy>
  <cp:revision>4</cp:revision>
  <cp:lastPrinted>2013-09-20T07:58:00Z</cp:lastPrinted>
  <dcterms:created xsi:type="dcterms:W3CDTF">2017-06-30T11:39:00Z</dcterms:created>
  <dcterms:modified xsi:type="dcterms:W3CDTF">2017-07-03T08:57:00Z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