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687" w:rsidRPr="004378CA" w:rsidRDefault="00907687" w:rsidP="00B66CD4">
      <w:pPr>
        <w:jc w:val="center"/>
        <w:outlineLvl w:val="0"/>
        <w:rPr>
          <w:noProof/>
          <w:szCs w:val="22"/>
        </w:rPr>
      </w:pPr>
      <w:r w:rsidRPr="004378CA">
        <w:rPr>
          <w:b/>
          <w:noProof/>
          <w:szCs w:val="22"/>
        </w:rPr>
        <w:t>P</w:t>
      </w:r>
      <w:r>
        <w:rPr>
          <w:b/>
          <w:noProof/>
          <w:szCs w:val="22"/>
        </w:rPr>
        <w:t>ísomná</w:t>
      </w:r>
      <w:r w:rsidRPr="004378CA">
        <w:rPr>
          <w:b/>
          <w:noProof/>
          <w:szCs w:val="22"/>
        </w:rPr>
        <w:t xml:space="preserve"> </w:t>
      </w:r>
      <w:r>
        <w:rPr>
          <w:b/>
          <w:noProof/>
          <w:szCs w:val="22"/>
        </w:rPr>
        <w:t>informácia</w:t>
      </w:r>
      <w:r w:rsidRPr="004378CA">
        <w:rPr>
          <w:b/>
          <w:noProof/>
          <w:szCs w:val="22"/>
        </w:rPr>
        <w:t xml:space="preserve"> </w:t>
      </w:r>
      <w:r>
        <w:rPr>
          <w:b/>
          <w:noProof/>
          <w:szCs w:val="22"/>
        </w:rPr>
        <w:t>pre používateľa</w:t>
      </w:r>
    </w:p>
    <w:p w:rsidR="00907687" w:rsidRPr="004378CA" w:rsidRDefault="00907687" w:rsidP="00B66CD4">
      <w:pPr>
        <w:jc w:val="center"/>
        <w:rPr>
          <w:noProof/>
          <w:szCs w:val="22"/>
        </w:rPr>
      </w:pPr>
    </w:p>
    <w:p w:rsidR="00907687" w:rsidRPr="004378CA" w:rsidRDefault="00907687" w:rsidP="00B66CD4">
      <w:pPr>
        <w:numPr>
          <w:ilvl w:val="12"/>
          <w:numId w:val="0"/>
        </w:numPr>
        <w:jc w:val="center"/>
        <w:rPr>
          <w:b/>
          <w:bCs/>
          <w:noProof/>
          <w:szCs w:val="22"/>
        </w:rPr>
      </w:pPr>
      <w:r w:rsidRPr="004378CA">
        <w:rPr>
          <w:b/>
          <w:bCs/>
          <w:noProof/>
          <w:szCs w:val="22"/>
        </w:rPr>
        <w:t>BITAMMON</w:t>
      </w:r>
    </w:p>
    <w:p w:rsidR="00907687" w:rsidRPr="004378CA" w:rsidRDefault="00907687" w:rsidP="00B66CD4">
      <w:pPr>
        <w:numPr>
          <w:ilvl w:val="12"/>
          <w:numId w:val="0"/>
        </w:numPr>
        <w:jc w:val="center"/>
        <w:rPr>
          <w:noProof/>
          <w:szCs w:val="22"/>
        </w:rPr>
      </w:pPr>
      <w:r w:rsidRPr="004378CA">
        <w:rPr>
          <w:noProof/>
          <w:szCs w:val="22"/>
        </w:rPr>
        <w:t>(</w:t>
      </w:r>
      <w:r w:rsidR="00152A63" w:rsidRPr="004378CA">
        <w:rPr>
          <w:noProof/>
          <w:szCs w:val="22"/>
        </w:rPr>
        <w:t>Sultamicil</w:t>
      </w:r>
      <w:r w:rsidR="00152A63">
        <w:rPr>
          <w:noProof/>
          <w:szCs w:val="22"/>
        </w:rPr>
        <w:t>ín</w:t>
      </w:r>
      <w:r w:rsidRPr="004378CA">
        <w:rPr>
          <w:noProof/>
          <w:szCs w:val="22"/>
        </w:rPr>
        <w:t>)</w:t>
      </w:r>
    </w:p>
    <w:p w:rsidR="00907687" w:rsidRPr="004378CA" w:rsidRDefault="00907687" w:rsidP="00B66CD4">
      <w:pPr>
        <w:jc w:val="center"/>
        <w:rPr>
          <w:noProof/>
          <w:szCs w:val="22"/>
        </w:rPr>
      </w:pPr>
    </w:p>
    <w:p w:rsidR="00907687" w:rsidRPr="004378CA" w:rsidRDefault="00907687" w:rsidP="00B66CD4">
      <w:pPr>
        <w:ind w:right="-2"/>
        <w:rPr>
          <w:noProof/>
          <w:szCs w:val="22"/>
        </w:rPr>
      </w:pPr>
      <w:r w:rsidRPr="004378CA">
        <w:rPr>
          <w:b/>
          <w:noProof/>
          <w:szCs w:val="22"/>
        </w:rPr>
        <w:t xml:space="preserve">Pozorne si prečítajte celú písomnú informáciu </w:t>
      </w:r>
      <w:r>
        <w:rPr>
          <w:b/>
          <w:noProof/>
          <w:szCs w:val="22"/>
        </w:rPr>
        <w:t>predtým</w:t>
      </w:r>
      <w:r w:rsidRPr="004378CA">
        <w:rPr>
          <w:b/>
          <w:noProof/>
          <w:szCs w:val="22"/>
        </w:rPr>
        <w:t>, ako začnete užívať</w:t>
      </w:r>
      <w:r w:rsidRPr="004378CA">
        <w:rPr>
          <w:noProof/>
          <w:szCs w:val="22"/>
        </w:rPr>
        <w:t xml:space="preserve"> </w:t>
      </w:r>
      <w:r>
        <w:rPr>
          <w:b/>
          <w:noProof/>
          <w:szCs w:val="22"/>
        </w:rPr>
        <w:t>tento</w:t>
      </w:r>
      <w:r w:rsidRPr="004378CA">
        <w:rPr>
          <w:b/>
          <w:noProof/>
          <w:szCs w:val="22"/>
        </w:rPr>
        <w:t xml:space="preserve"> liek</w:t>
      </w:r>
      <w:r>
        <w:rPr>
          <w:b/>
          <w:noProof/>
          <w:szCs w:val="22"/>
        </w:rPr>
        <w:t>, pretože obsahuje pre vás dôležité informácie</w:t>
      </w:r>
      <w:r w:rsidRPr="004378CA">
        <w:rPr>
          <w:b/>
          <w:noProof/>
          <w:szCs w:val="22"/>
        </w:rPr>
        <w:t>.</w:t>
      </w:r>
    </w:p>
    <w:p w:rsidR="00907687" w:rsidRPr="004378CA" w:rsidRDefault="00907687" w:rsidP="00B66CD4">
      <w:pPr>
        <w:numPr>
          <w:ilvl w:val="0"/>
          <w:numId w:val="1"/>
        </w:numPr>
        <w:ind w:left="567" w:right="-2" w:hanging="567"/>
        <w:rPr>
          <w:noProof/>
          <w:szCs w:val="22"/>
        </w:rPr>
      </w:pPr>
      <w:r w:rsidRPr="004378CA">
        <w:rPr>
          <w:noProof/>
          <w:szCs w:val="22"/>
        </w:rPr>
        <w:t>Túto písomnú informáciu si uschovajte. Možno bude potrebné, aby ste si ju znovu prečítali.</w:t>
      </w:r>
    </w:p>
    <w:p w:rsidR="00907687" w:rsidRPr="004378CA" w:rsidRDefault="00907687" w:rsidP="00B66CD4">
      <w:pPr>
        <w:numPr>
          <w:ilvl w:val="0"/>
          <w:numId w:val="1"/>
        </w:numPr>
        <w:ind w:left="567" w:right="-2" w:hanging="567"/>
        <w:rPr>
          <w:noProof/>
          <w:szCs w:val="22"/>
        </w:rPr>
      </w:pPr>
      <w:r w:rsidRPr="004378CA">
        <w:rPr>
          <w:noProof/>
          <w:szCs w:val="22"/>
        </w:rPr>
        <w:t>Ak máte akékoľvek ďalšie otázky, obráťte sa na svojho lekára</w:t>
      </w:r>
      <w:r>
        <w:rPr>
          <w:noProof/>
          <w:szCs w:val="22"/>
        </w:rPr>
        <w:t>,</w:t>
      </w:r>
      <w:r w:rsidRPr="004378CA">
        <w:rPr>
          <w:noProof/>
          <w:szCs w:val="22"/>
        </w:rPr>
        <w:t xml:space="preserve"> lekárnika</w:t>
      </w:r>
      <w:r>
        <w:rPr>
          <w:noProof/>
          <w:szCs w:val="22"/>
        </w:rPr>
        <w:t xml:space="preserve"> alebo zdravotnú sestru</w:t>
      </w:r>
      <w:r w:rsidRPr="004378CA">
        <w:rPr>
          <w:noProof/>
          <w:szCs w:val="22"/>
        </w:rPr>
        <w:t>.</w:t>
      </w:r>
    </w:p>
    <w:p w:rsidR="00907687" w:rsidRPr="004378CA" w:rsidRDefault="00907687" w:rsidP="00B66CD4">
      <w:pPr>
        <w:numPr>
          <w:ilvl w:val="0"/>
          <w:numId w:val="1"/>
        </w:numPr>
        <w:ind w:left="567" w:right="-2" w:hanging="567"/>
        <w:rPr>
          <w:b/>
          <w:noProof/>
          <w:szCs w:val="22"/>
        </w:rPr>
      </w:pPr>
      <w:r w:rsidRPr="004378CA">
        <w:rPr>
          <w:noProof/>
          <w:szCs w:val="22"/>
        </w:rPr>
        <w:t xml:space="preserve">Tento liek bol predpísaný </w:t>
      </w:r>
      <w:r>
        <w:rPr>
          <w:noProof/>
          <w:szCs w:val="22"/>
        </w:rPr>
        <w:t>iba v</w:t>
      </w:r>
      <w:r w:rsidRPr="004378CA">
        <w:rPr>
          <w:noProof/>
          <w:szCs w:val="22"/>
        </w:rPr>
        <w:t xml:space="preserve">ám. Nedávajte ho nikomu inému. Môže mu uškodiť, dokonca aj vtedy, ak má rovnaké </w:t>
      </w:r>
      <w:r w:rsidR="00937326">
        <w:rPr>
          <w:noProof/>
          <w:szCs w:val="22"/>
        </w:rPr>
        <w:t>prejavy</w:t>
      </w:r>
      <w:r w:rsidR="00937326" w:rsidRPr="004378CA">
        <w:rPr>
          <w:noProof/>
          <w:szCs w:val="22"/>
        </w:rPr>
        <w:t xml:space="preserve"> </w:t>
      </w:r>
      <w:r>
        <w:rPr>
          <w:noProof/>
          <w:szCs w:val="22"/>
        </w:rPr>
        <w:t xml:space="preserve">ochorenia </w:t>
      </w:r>
      <w:r w:rsidRPr="004378CA">
        <w:rPr>
          <w:noProof/>
          <w:szCs w:val="22"/>
        </w:rPr>
        <w:t xml:space="preserve">ako </w:t>
      </w:r>
      <w:r>
        <w:rPr>
          <w:noProof/>
          <w:szCs w:val="22"/>
        </w:rPr>
        <w:t>v</w:t>
      </w:r>
      <w:r w:rsidRPr="004378CA">
        <w:rPr>
          <w:noProof/>
          <w:szCs w:val="22"/>
        </w:rPr>
        <w:t>y.</w:t>
      </w:r>
    </w:p>
    <w:p w:rsidR="00907687" w:rsidRPr="004378CA" w:rsidRDefault="00907687" w:rsidP="00B66CD4">
      <w:pPr>
        <w:rPr>
          <w:noProof/>
          <w:szCs w:val="22"/>
        </w:rPr>
      </w:pPr>
      <w:r w:rsidRPr="004378CA">
        <w:rPr>
          <w:noProof/>
          <w:szCs w:val="22"/>
        </w:rPr>
        <w:t>-</w:t>
      </w:r>
      <w:r w:rsidRPr="004378CA">
        <w:rPr>
          <w:noProof/>
          <w:szCs w:val="22"/>
        </w:rPr>
        <w:tab/>
        <w:t xml:space="preserve">Ak </w:t>
      </w:r>
      <w:r>
        <w:rPr>
          <w:noProof/>
          <w:szCs w:val="22"/>
        </w:rPr>
        <w:t xml:space="preserve">sa u vás vyskytne </w:t>
      </w:r>
      <w:r w:rsidRPr="004378CA">
        <w:rPr>
          <w:noProof/>
          <w:szCs w:val="22"/>
        </w:rPr>
        <w:t>akýkoľvek vedľajší účinok</w:t>
      </w:r>
      <w:r>
        <w:rPr>
          <w:noProof/>
          <w:szCs w:val="22"/>
        </w:rPr>
        <w:t>, obráťte sa na svojho lekára, lekárnika alebo zdravotnú sestru. To sa týka aj akýchkoľvek vedľajších účinkov, ktoré nie sú uvedené v tejto písomnej informácii</w:t>
      </w:r>
      <w:r w:rsidRPr="004378CA">
        <w:rPr>
          <w:noProof/>
          <w:szCs w:val="22"/>
        </w:rPr>
        <w:t>.</w:t>
      </w:r>
      <w:r>
        <w:rPr>
          <w:noProof/>
          <w:szCs w:val="22"/>
        </w:rPr>
        <w:t xml:space="preserve"> Pozri časť 4.</w:t>
      </w:r>
    </w:p>
    <w:p w:rsidR="00907687" w:rsidRPr="004378CA" w:rsidRDefault="00907687" w:rsidP="00B66CD4">
      <w:pPr>
        <w:numPr>
          <w:ilvl w:val="12"/>
          <w:numId w:val="0"/>
        </w:numPr>
        <w:ind w:right="-2"/>
        <w:rPr>
          <w:noProof/>
          <w:szCs w:val="22"/>
        </w:rPr>
      </w:pPr>
    </w:p>
    <w:p w:rsidR="00907687" w:rsidRPr="004378CA" w:rsidRDefault="00907687" w:rsidP="00B66CD4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4378CA">
        <w:rPr>
          <w:b/>
          <w:noProof/>
          <w:szCs w:val="22"/>
        </w:rPr>
        <w:t>V tejto písomnej informácii pre používateľ</w:t>
      </w:r>
      <w:r>
        <w:rPr>
          <w:b/>
          <w:noProof/>
          <w:szCs w:val="22"/>
        </w:rPr>
        <w:t>a</w:t>
      </w:r>
      <w:r w:rsidRPr="004378CA">
        <w:rPr>
          <w:b/>
          <w:noProof/>
          <w:szCs w:val="22"/>
        </w:rPr>
        <w:t xml:space="preserve"> sa dozviete</w:t>
      </w:r>
      <w:r w:rsidRPr="004378CA">
        <w:rPr>
          <w:noProof/>
          <w:szCs w:val="22"/>
        </w:rPr>
        <w:t xml:space="preserve">: </w:t>
      </w:r>
    </w:p>
    <w:p w:rsidR="00907687" w:rsidRPr="004378CA" w:rsidRDefault="00907687" w:rsidP="00B66CD4">
      <w:pPr>
        <w:ind w:right="-29"/>
        <w:rPr>
          <w:noProof/>
          <w:szCs w:val="22"/>
        </w:rPr>
      </w:pPr>
      <w:r w:rsidRPr="004378CA">
        <w:rPr>
          <w:noProof/>
          <w:szCs w:val="22"/>
        </w:rPr>
        <w:t>1.</w:t>
      </w:r>
      <w:r w:rsidRPr="004378CA">
        <w:rPr>
          <w:noProof/>
          <w:szCs w:val="22"/>
        </w:rPr>
        <w:tab/>
        <w:t>Čo je BITAMMON a na čo sa používa</w:t>
      </w:r>
    </w:p>
    <w:p w:rsidR="00907687" w:rsidRPr="004378CA" w:rsidRDefault="00907687" w:rsidP="00B66CD4">
      <w:pPr>
        <w:ind w:right="-29"/>
        <w:rPr>
          <w:noProof/>
          <w:szCs w:val="22"/>
        </w:rPr>
      </w:pPr>
      <w:r w:rsidRPr="004378CA">
        <w:rPr>
          <w:noProof/>
          <w:szCs w:val="22"/>
        </w:rPr>
        <w:t>2.</w:t>
      </w:r>
      <w:r w:rsidRPr="004378CA">
        <w:rPr>
          <w:noProof/>
          <w:szCs w:val="22"/>
        </w:rPr>
        <w:tab/>
      </w:r>
      <w:r>
        <w:rPr>
          <w:noProof/>
          <w:szCs w:val="22"/>
        </w:rPr>
        <w:t>Čo potrebujete vedieť predtým,</w:t>
      </w:r>
      <w:r w:rsidRPr="004378CA">
        <w:rPr>
          <w:noProof/>
          <w:szCs w:val="22"/>
        </w:rPr>
        <w:t xml:space="preserve"> ako užijete BITAMMON</w:t>
      </w:r>
    </w:p>
    <w:p w:rsidR="00907687" w:rsidRPr="004378CA" w:rsidRDefault="00907687" w:rsidP="00B66CD4">
      <w:pPr>
        <w:ind w:right="-29"/>
        <w:rPr>
          <w:noProof/>
          <w:szCs w:val="22"/>
        </w:rPr>
      </w:pPr>
      <w:r w:rsidRPr="004378CA">
        <w:rPr>
          <w:noProof/>
          <w:szCs w:val="22"/>
        </w:rPr>
        <w:t>3.</w:t>
      </w:r>
      <w:r w:rsidRPr="004378CA">
        <w:rPr>
          <w:noProof/>
          <w:szCs w:val="22"/>
        </w:rPr>
        <w:tab/>
        <w:t>Ako užívať BITAMMON</w:t>
      </w:r>
    </w:p>
    <w:p w:rsidR="00907687" w:rsidRPr="004378CA" w:rsidRDefault="00907687" w:rsidP="00B66CD4">
      <w:pPr>
        <w:ind w:right="-29"/>
        <w:rPr>
          <w:noProof/>
          <w:szCs w:val="22"/>
        </w:rPr>
      </w:pPr>
      <w:r w:rsidRPr="004378CA">
        <w:rPr>
          <w:noProof/>
          <w:szCs w:val="22"/>
        </w:rPr>
        <w:t>4.</w:t>
      </w:r>
      <w:r w:rsidRPr="004378CA">
        <w:rPr>
          <w:noProof/>
          <w:szCs w:val="22"/>
        </w:rPr>
        <w:tab/>
        <w:t>Možné vedľajšie účinky</w:t>
      </w:r>
    </w:p>
    <w:p w:rsidR="00907687" w:rsidRPr="004378CA" w:rsidRDefault="00907687" w:rsidP="00B66CD4">
      <w:pPr>
        <w:ind w:right="-29"/>
        <w:rPr>
          <w:noProof/>
          <w:szCs w:val="22"/>
        </w:rPr>
      </w:pPr>
      <w:r w:rsidRPr="004378CA">
        <w:rPr>
          <w:noProof/>
          <w:szCs w:val="22"/>
        </w:rPr>
        <w:t>5.</w:t>
      </w:r>
      <w:r w:rsidRPr="004378CA">
        <w:rPr>
          <w:noProof/>
          <w:szCs w:val="22"/>
        </w:rPr>
        <w:tab/>
        <w:t>Ako uchovávať BITAMMON</w:t>
      </w:r>
    </w:p>
    <w:p w:rsidR="00907687" w:rsidRPr="004378CA" w:rsidRDefault="00907687" w:rsidP="00B66CD4">
      <w:pPr>
        <w:ind w:right="-29"/>
        <w:rPr>
          <w:noProof/>
          <w:szCs w:val="22"/>
        </w:rPr>
      </w:pPr>
      <w:r w:rsidRPr="004378CA">
        <w:rPr>
          <w:noProof/>
          <w:szCs w:val="22"/>
        </w:rPr>
        <w:t>6.</w:t>
      </w:r>
      <w:r w:rsidRPr="004378CA">
        <w:rPr>
          <w:noProof/>
          <w:szCs w:val="22"/>
        </w:rPr>
        <w:tab/>
      </w:r>
      <w:r>
        <w:rPr>
          <w:noProof/>
          <w:szCs w:val="22"/>
        </w:rPr>
        <w:t>Obsah balenia a ď</w:t>
      </w:r>
      <w:r w:rsidRPr="004378CA">
        <w:rPr>
          <w:noProof/>
          <w:szCs w:val="22"/>
        </w:rPr>
        <w:t>alšie informácie</w:t>
      </w:r>
    </w:p>
    <w:p w:rsidR="00907687" w:rsidRPr="004378CA" w:rsidRDefault="00907687" w:rsidP="00B66CD4">
      <w:pPr>
        <w:numPr>
          <w:ilvl w:val="12"/>
          <w:numId w:val="0"/>
        </w:numPr>
        <w:ind w:right="-2"/>
        <w:rPr>
          <w:noProof/>
          <w:szCs w:val="22"/>
        </w:rPr>
      </w:pPr>
    </w:p>
    <w:p w:rsidR="00907687" w:rsidRPr="004378CA" w:rsidRDefault="00907687" w:rsidP="00B66CD4">
      <w:pPr>
        <w:numPr>
          <w:ilvl w:val="12"/>
          <w:numId w:val="0"/>
        </w:numPr>
        <w:ind w:right="-2"/>
        <w:rPr>
          <w:noProof/>
          <w:szCs w:val="22"/>
        </w:rPr>
      </w:pPr>
    </w:p>
    <w:p w:rsidR="00907687" w:rsidRPr="004378CA" w:rsidRDefault="00907687" w:rsidP="001D5CA0">
      <w:pPr>
        <w:ind w:right="-29"/>
        <w:rPr>
          <w:noProof/>
          <w:szCs w:val="22"/>
        </w:rPr>
      </w:pPr>
      <w:r w:rsidRPr="004378CA">
        <w:rPr>
          <w:b/>
          <w:noProof/>
          <w:szCs w:val="22"/>
        </w:rPr>
        <w:t>1.</w:t>
      </w:r>
      <w:r w:rsidRPr="004378CA">
        <w:rPr>
          <w:b/>
          <w:noProof/>
          <w:szCs w:val="22"/>
        </w:rPr>
        <w:tab/>
      </w:r>
      <w:r w:rsidRPr="001D5CA0">
        <w:rPr>
          <w:b/>
          <w:noProof/>
          <w:szCs w:val="22"/>
        </w:rPr>
        <w:t>Čo je BITAMMON a na čo sa používa</w:t>
      </w:r>
    </w:p>
    <w:p w:rsidR="00907687" w:rsidRPr="004378CA" w:rsidRDefault="00907687" w:rsidP="00B66CD4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</w:p>
    <w:p w:rsidR="00907687" w:rsidRPr="004378CA" w:rsidRDefault="00907687" w:rsidP="00D34375">
      <w:pPr>
        <w:jc w:val="both"/>
        <w:rPr>
          <w:noProof/>
          <w:szCs w:val="22"/>
        </w:rPr>
      </w:pPr>
      <w:r w:rsidRPr="004378CA">
        <w:rPr>
          <w:noProof/>
          <w:szCs w:val="22"/>
        </w:rPr>
        <w:t>BITAMMON je penicilínové antibiotikum, ktoré je kombináciou dvoch účinných látok: ampicilínu</w:t>
      </w:r>
    </w:p>
    <w:p w:rsidR="00907687" w:rsidRPr="004378CA" w:rsidRDefault="00907687" w:rsidP="00D34375">
      <w:pPr>
        <w:jc w:val="both"/>
        <w:rPr>
          <w:noProof/>
          <w:szCs w:val="22"/>
        </w:rPr>
      </w:pPr>
      <w:r w:rsidRPr="004378CA">
        <w:rPr>
          <w:noProof/>
          <w:szCs w:val="22"/>
        </w:rPr>
        <w:t xml:space="preserve">a sulbaktámu. </w:t>
      </w:r>
    </w:p>
    <w:p w:rsidR="00907687" w:rsidRPr="004378CA" w:rsidRDefault="00907687" w:rsidP="00D34375">
      <w:pPr>
        <w:jc w:val="both"/>
        <w:rPr>
          <w:noProof/>
          <w:szCs w:val="22"/>
        </w:rPr>
      </w:pPr>
      <w:r w:rsidRPr="004378CA">
        <w:rPr>
          <w:noProof/>
          <w:szCs w:val="22"/>
        </w:rPr>
        <w:t>Ampicilín je účinné širokospektrálne antibiotikum, ktoré usmrcuje patogénne choroboplodné</w:t>
      </w:r>
    </w:p>
    <w:p w:rsidR="00907687" w:rsidRPr="004378CA" w:rsidRDefault="00907687" w:rsidP="00D34375">
      <w:pPr>
        <w:jc w:val="both"/>
        <w:rPr>
          <w:noProof/>
          <w:szCs w:val="22"/>
        </w:rPr>
      </w:pPr>
      <w:r w:rsidRPr="004378CA">
        <w:rPr>
          <w:noProof/>
          <w:szCs w:val="22"/>
        </w:rPr>
        <w:t>mikroorganizmy tým, že zabraňuje stavbe ich bunkovej steny, bez ktorej nemôžu existovať.</w:t>
      </w:r>
    </w:p>
    <w:p w:rsidR="00907687" w:rsidRPr="004378CA" w:rsidRDefault="00907687" w:rsidP="00D34375">
      <w:pPr>
        <w:jc w:val="both"/>
        <w:rPr>
          <w:noProof/>
          <w:szCs w:val="22"/>
        </w:rPr>
      </w:pPr>
      <w:r w:rsidRPr="004378CA">
        <w:rPr>
          <w:noProof/>
          <w:szCs w:val="22"/>
        </w:rPr>
        <w:t>Sulbaktám chráni ampicilín pred deštrukciou enzýmami, ktoré produkujú niektoré patogénne</w:t>
      </w:r>
    </w:p>
    <w:p w:rsidR="00907687" w:rsidRPr="004378CA" w:rsidRDefault="00907687" w:rsidP="00D34375">
      <w:pPr>
        <w:jc w:val="both"/>
        <w:rPr>
          <w:noProof/>
          <w:szCs w:val="22"/>
        </w:rPr>
      </w:pPr>
      <w:r w:rsidRPr="004378CA">
        <w:rPr>
          <w:noProof/>
          <w:szCs w:val="22"/>
        </w:rPr>
        <w:t xml:space="preserve">choroboplodné mikroorganizmy, čím zvyšuje jeho účinnosť a rozširuje antibakteriálne spektrum. </w:t>
      </w:r>
    </w:p>
    <w:p w:rsidR="00907687" w:rsidRPr="004378CA" w:rsidRDefault="00907687" w:rsidP="00D34375">
      <w:pPr>
        <w:jc w:val="both"/>
        <w:rPr>
          <w:noProof/>
          <w:szCs w:val="22"/>
        </w:rPr>
      </w:pPr>
      <w:r w:rsidRPr="004378CA">
        <w:rPr>
          <w:noProof/>
          <w:szCs w:val="22"/>
        </w:rPr>
        <w:t xml:space="preserve">Okrem toho má sulbaktám aj vlastný protibakteriálny účinok.   </w:t>
      </w:r>
    </w:p>
    <w:p w:rsidR="00907687" w:rsidRPr="004378CA" w:rsidRDefault="00907687" w:rsidP="00B66CD4">
      <w:pPr>
        <w:numPr>
          <w:ilvl w:val="12"/>
          <w:numId w:val="0"/>
        </w:numPr>
        <w:ind w:right="-2"/>
        <w:rPr>
          <w:noProof/>
          <w:szCs w:val="22"/>
        </w:rPr>
      </w:pPr>
    </w:p>
    <w:p w:rsidR="00907687" w:rsidRDefault="00907687" w:rsidP="002C2B9B">
      <w:pPr>
        <w:jc w:val="both"/>
        <w:rPr>
          <w:noProof/>
          <w:szCs w:val="22"/>
        </w:rPr>
      </w:pPr>
      <w:r w:rsidRPr="004378CA">
        <w:rPr>
          <w:noProof/>
          <w:szCs w:val="22"/>
        </w:rPr>
        <w:t>BITAMMON je vhodný na liečbu infekcií v oblasti horných dýchacích ciest (angína, zápal</w:t>
      </w:r>
    </w:p>
    <w:p w:rsidR="00907687" w:rsidRDefault="00907687" w:rsidP="002C2B9B">
      <w:pPr>
        <w:jc w:val="both"/>
        <w:rPr>
          <w:noProof/>
          <w:szCs w:val="22"/>
        </w:rPr>
      </w:pPr>
      <w:r w:rsidRPr="004378CA">
        <w:rPr>
          <w:noProof/>
          <w:szCs w:val="22"/>
        </w:rPr>
        <w:t>prinosových dutín, zápal stredného ucha a pod.) a dolných dýchacích</w:t>
      </w:r>
      <w:r>
        <w:rPr>
          <w:noProof/>
          <w:szCs w:val="22"/>
        </w:rPr>
        <w:t xml:space="preserve"> ciest (zápal priedušiek, zápal</w:t>
      </w:r>
    </w:p>
    <w:p w:rsidR="00907687" w:rsidRDefault="00907687" w:rsidP="002C2B9B">
      <w:pPr>
        <w:jc w:val="both"/>
        <w:rPr>
          <w:noProof/>
          <w:szCs w:val="22"/>
        </w:rPr>
      </w:pPr>
      <w:r w:rsidRPr="004378CA">
        <w:rPr>
          <w:noProof/>
          <w:szCs w:val="22"/>
        </w:rPr>
        <w:t xml:space="preserve">pľúc), brušné infekcie, infekcie kostí a kĺbov, zápalov močových </w:t>
      </w:r>
      <w:r>
        <w:rPr>
          <w:noProof/>
          <w:szCs w:val="22"/>
        </w:rPr>
        <w:t>ciest a obličiek, gynekologické</w:t>
      </w:r>
    </w:p>
    <w:p w:rsidR="00907687" w:rsidRPr="004378CA" w:rsidRDefault="00907687" w:rsidP="00727AE7">
      <w:pPr>
        <w:jc w:val="both"/>
        <w:rPr>
          <w:noProof/>
          <w:szCs w:val="22"/>
        </w:rPr>
      </w:pPr>
      <w:r w:rsidRPr="004378CA">
        <w:rPr>
          <w:noProof/>
          <w:szCs w:val="22"/>
        </w:rPr>
        <w:t>infekcie, na liečbu</w:t>
      </w:r>
      <w:r>
        <w:rPr>
          <w:noProof/>
          <w:szCs w:val="22"/>
        </w:rPr>
        <w:t xml:space="preserve"> </w:t>
      </w:r>
      <w:r w:rsidRPr="004378CA">
        <w:rPr>
          <w:noProof/>
          <w:szCs w:val="22"/>
        </w:rPr>
        <w:t xml:space="preserve">kvapavky a infekčného postihnutia kože a mäkkých tkanív. </w:t>
      </w:r>
    </w:p>
    <w:p w:rsidR="00907687" w:rsidRPr="004378CA" w:rsidRDefault="00907687" w:rsidP="00674583">
      <w:pPr>
        <w:jc w:val="both"/>
        <w:rPr>
          <w:szCs w:val="22"/>
        </w:rPr>
      </w:pPr>
      <w:r w:rsidRPr="004378CA">
        <w:rPr>
          <w:noProof/>
          <w:szCs w:val="22"/>
        </w:rPr>
        <w:t xml:space="preserve"> </w:t>
      </w:r>
    </w:p>
    <w:p w:rsidR="00907687" w:rsidRPr="004378CA" w:rsidRDefault="00907687" w:rsidP="00B66CD4">
      <w:pPr>
        <w:numPr>
          <w:ilvl w:val="12"/>
          <w:numId w:val="0"/>
        </w:numPr>
        <w:ind w:right="-2"/>
        <w:rPr>
          <w:noProof/>
          <w:szCs w:val="22"/>
        </w:rPr>
      </w:pPr>
    </w:p>
    <w:p w:rsidR="00907687" w:rsidRPr="004378CA" w:rsidRDefault="00907687" w:rsidP="00B66CD4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4378CA">
        <w:rPr>
          <w:b/>
          <w:noProof/>
          <w:szCs w:val="22"/>
        </w:rPr>
        <w:t>2.</w:t>
      </w:r>
      <w:r w:rsidRPr="004378CA">
        <w:rPr>
          <w:b/>
          <w:noProof/>
          <w:szCs w:val="22"/>
        </w:rPr>
        <w:tab/>
      </w:r>
      <w:r w:rsidRPr="001D5CA0">
        <w:rPr>
          <w:b/>
          <w:noProof/>
          <w:szCs w:val="22"/>
        </w:rPr>
        <w:t>Čo potrebujete vedieť predtým, ako užijete BITAMMON</w:t>
      </w:r>
    </w:p>
    <w:p w:rsidR="00907687" w:rsidRPr="004378CA" w:rsidRDefault="00907687" w:rsidP="00B66CD4">
      <w:pPr>
        <w:numPr>
          <w:ilvl w:val="12"/>
          <w:numId w:val="0"/>
        </w:numPr>
        <w:ind w:right="-2"/>
        <w:rPr>
          <w:noProof/>
          <w:szCs w:val="22"/>
        </w:rPr>
      </w:pPr>
    </w:p>
    <w:p w:rsidR="00907687" w:rsidRPr="004378CA" w:rsidRDefault="00907687" w:rsidP="00B66CD4">
      <w:pPr>
        <w:numPr>
          <w:ilvl w:val="12"/>
          <w:numId w:val="0"/>
        </w:numPr>
        <w:outlineLvl w:val="0"/>
        <w:rPr>
          <w:noProof/>
          <w:szCs w:val="22"/>
        </w:rPr>
      </w:pPr>
      <w:r w:rsidRPr="004378CA">
        <w:rPr>
          <w:b/>
          <w:noProof/>
          <w:szCs w:val="22"/>
        </w:rPr>
        <w:t>Neužívajte BITAMMON</w:t>
      </w:r>
    </w:p>
    <w:p w:rsidR="00907687" w:rsidRPr="004378CA" w:rsidRDefault="00907687" w:rsidP="00B66CD4">
      <w:pPr>
        <w:numPr>
          <w:ilvl w:val="12"/>
          <w:numId w:val="0"/>
        </w:numPr>
        <w:ind w:left="567" w:hanging="567"/>
        <w:rPr>
          <w:noProof/>
          <w:szCs w:val="22"/>
        </w:rPr>
      </w:pPr>
      <w:r w:rsidRPr="004378CA">
        <w:rPr>
          <w:noProof/>
          <w:szCs w:val="22"/>
        </w:rPr>
        <w:t>-</w:t>
      </w:r>
      <w:r w:rsidRPr="004378CA">
        <w:rPr>
          <w:noProof/>
          <w:szCs w:val="22"/>
        </w:rPr>
        <w:tab/>
        <w:t>pri precitlivenosti na penicilíny a cefalosporíny</w:t>
      </w:r>
    </w:p>
    <w:p w:rsidR="00907687" w:rsidRPr="004378CA" w:rsidRDefault="00907687" w:rsidP="00B66CD4">
      <w:pPr>
        <w:numPr>
          <w:ilvl w:val="12"/>
          <w:numId w:val="0"/>
        </w:numPr>
        <w:ind w:left="567" w:hanging="567"/>
        <w:rPr>
          <w:noProof/>
          <w:szCs w:val="22"/>
        </w:rPr>
      </w:pPr>
      <w:r w:rsidRPr="004378CA">
        <w:rPr>
          <w:noProof/>
          <w:szCs w:val="22"/>
        </w:rPr>
        <w:t>-         pri ťažkej nedostatočnosti funkcie pečene</w:t>
      </w:r>
    </w:p>
    <w:p w:rsidR="00907687" w:rsidRPr="004378CA" w:rsidRDefault="00907687" w:rsidP="00B66CD4">
      <w:pPr>
        <w:numPr>
          <w:ilvl w:val="12"/>
          <w:numId w:val="0"/>
        </w:numPr>
        <w:ind w:left="567" w:hanging="567"/>
        <w:rPr>
          <w:noProof/>
          <w:szCs w:val="22"/>
        </w:rPr>
      </w:pPr>
      <w:r w:rsidRPr="004378CA">
        <w:rPr>
          <w:noProof/>
          <w:szCs w:val="22"/>
        </w:rPr>
        <w:t>-</w:t>
      </w:r>
      <w:r w:rsidRPr="004378CA">
        <w:rPr>
          <w:noProof/>
          <w:szCs w:val="22"/>
        </w:rPr>
        <w:tab/>
        <w:t>ak máte infekčné ochorenie vyvolané kmeňmi odolnými voči ampicilínu, predovšetkým pseudomonádami a stafylokokmi</w:t>
      </w:r>
    </w:p>
    <w:p w:rsidR="00907687" w:rsidRPr="004378CA" w:rsidRDefault="00907687" w:rsidP="00B66CD4">
      <w:pPr>
        <w:numPr>
          <w:ilvl w:val="12"/>
          <w:numId w:val="0"/>
        </w:numPr>
        <w:ind w:left="567" w:hanging="567"/>
        <w:rPr>
          <w:noProof/>
          <w:szCs w:val="22"/>
        </w:rPr>
      </w:pPr>
      <w:r w:rsidRPr="004378CA">
        <w:rPr>
          <w:noProof/>
          <w:szCs w:val="22"/>
        </w:rPr>
        <w:t>-         pri akejkoľvek alergii v anamnéze</w:t>
      </w:r>
    </w:p>
    <w:p w:rsidR="00907687" w:rsidRPr="004378CA" w:rsidRDefault="00907687" w:rsidP="00B66CD4">
      <w:pPr>
        <w:numPr>
          <w:ilvl w:val="12"/>
          <w:numId w:val="0"/>
        </w:numPr>
        <w:ind w:left="567" w:hanging="567"/>
        <w:rPr>
          <w:noProof/>
          <w:szCs w:val="22"/>
        </w:rPr>
      </w:pPr>
      <w:r w:rsidRPr="004378CA">
        <w:rPr>
          <w:noProof/>
          <w:szCs w:val="22"/>
        </w:rPr>
        <w:t>-         pri bronchiálnej (prieduškovej) astme, sennej nádche alebo žihľavke</w:t>
      </w:r>
    </w:p>
    <w:p w:rsidR="00907687" w:rsidRPr="004378CA" w:rsidRDefault="00907687" w:rsidP="00B66CD4">
      <w:pPr>
        <w:numPr>
          <w:ilvl w:val="12"/>
          <w:numId w:val="0"/>
        </w:numPr>
        <w:ind w:left="567" w:hanging="567"/>
        <w:rPr>
          <w:noProof/>
          <w:szCs w:val="22"/>
        </w:rPr>
      </w:pPr>
      <w:r w:rsidRPr="004378CA">
        <w:rPr>
          <w:noProof/>
          <w:szCs w:val="22"/>
        </w:rPr>
        <w:t>-         pri infekčnej mononukleóze vzhľadom na zvýšené riziko vzniku kožných vyrážok</w:t>
      </w:r>
    </w:p>
    <w:p w:rsidR="00907687" w:rsidRPr="004378CA" w:rsidRDefault="00907687" w:rsidP="00B66CD4">
      <w:pPr>
        <w:numPr>
          <w:ilvl w:val="12"/>
          <w:numId w:val="0"/>
        </w:numPr>
        <w:ind w:left="567" w:hanging="567"/>
        <w:rPr>
          <w:noProof/>
          <w:szCs w:val="22"/>
        </w:rPr>
      </w:pPr>
      <w:r w:rsidRPr="004378CA">
        <w:rPr>
          <w:noProof/>
          <w:szCs w:val="22"/>
        </w:rPr>
        <w:t>-         pri lymfatickej leukémii</w:t>
      </w:r>
    </w:p>
    <w:p w:rsidR="00907687" w:rsidRDefault="00907687" w:rsidP="00B66CD4">
      <w:pPr>
        <w:numPr>
          <w:ilvl w:val="12"/>
          <w:numId w:val="0"/>
        </w:numPr>
        <w:ind w:left="567" w:hanging="567"/>
        <w:rPr>
          <w:noProof/>
          <w:szCs w:val="22"/>
        </w:rPr>
        <w:sectPr w:rsidR="00907687" w:rsidSect="00EB0C9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:rsidR="00907687" w:rsidRDefault="00907687" w:rsidP="00B66CD4">
      <w:pPr>
        <w:numPr>
          <w:ilvl w:val="12"/>
          <w:numId w:val="0"/>
        </w:numPr>
        <w:ind w:left="567" w:hanging="567"/>
        <w:rPr>
          <w:noProof/>
          <w:szCs w:val="22"/>
        </w:rPr>
      </w:pPr>
    </w:p>
    <w:p w:rsidR="00907687" w:rsidRPr="004378CA" w:rsidRDefault="00907687" w:rsidP="009A5396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  <w:r>
        <w:rPr>
          <w:b/>
          <w:noProof/>
          <w:szCs w:val="22"/>
        </w:rPr>
        <w:t>Upozornenia a opatrenia</w:t>
      </w:r>
    </w:p>
    <w:p w:rsidR="00907687" w:rsidRPr="004378CA" w:rsidRDefault="00907687" w:rsidP="009A5396">
      <w:pPr>
        <w:jc w:val="both"/>
        <w:rPr>
          <w:noProof/>
          <w:szCs w:val="22"/>
        </w:rPr>
      </w:pPr>
      <w:r w:rsidRPr="004378CA">
        <w:rPr>
          <w:noProof/>
          <w:szCs w:val="22"/>
        </w:rPr>
        <w:t xml:space="preserve">Počas dlhotrvajúcej liečby liekom BITAMMON sa odporúča pravidelné sledovanie obličkových </w:t>
      </w:r>
    </w:p>
    <w:p w:rsidR="00907687" w:rsidRPr="004378CA" w:rsidRDefault="00907687" w:rsidP="009A5396">
      <w:pPr>
        <w:jc w:val="both"/>
        <w:rPr>
          <w:noProof/>
          <w:szCs w:val="22"/>
        </w:rPr>
      </w:pPr>
      <w:r w:rsidRPr="004378CA">
        <w:rPr>
          <w:noProof/>
          <w:szCs w:val="22"/>
        </w:rPr>
        <w:t>a pečeňových funkcií, ako aj parametrov krvného obrazu.</w:t>
      </w:r>
    </w:p>
    <w:p w:rsidR="00907687" w:rsidRPr="004378CA" w:rsidRDefault="00907687" w:rsidP="009A5396">
      <w:pPr>
        <w:jc w:val="both"/>
        <w:rPr>
          <w:noProof/>
          <w:szCs w:val="22"/>
        </w:rPr>
      </w:pPr>
      <w:r w:rsidRPr="004378CA">
        <w:rPr>
          <w:noProof/>
          <w:szCs w:val="22"/>
        </w:rPr>
        <w:t xml:space="preserve">Podávanie lieku pacientom s infekčnou mononukleózou sa neodporúča vzhľadom na zvýšené </w:t>
      </w:r>
    </w:p>
    <w:p w:rsidR="00907687" w:rsidRDefault="00907687" w:rsidP="009A5396">
      <w:pPr>
        <w:jc w:val="both"/>
        <w:rPr>
          <w:noProof/>
          <w:szCs w:val="22"/>
        </w:rPr>
      </w:pPr>
      <w:r w:rsidRPr="004378CA">
        <w:rPr>
          <w:noProof/>
          <w:szCs w:val="22"/>
        </w:rPr>
        <w:t>riziko vzniku kožných vyrážok.</w:t>
      </w:r>
    </w:p>
    <w:p w:rsidR="00907687" w:rsidRPr="004378CA" w:rsidRDefault="00907687" w:rsidP="00B66CD4">
      <w:pPr>
        <w:numPr>
          <w:ilvl w:val="12"/>
          <w:numId w:val="0"/>
        </w:numPr>
        <w:ind w:right="-2"/>
        <w:rPr>
          <w:noProof/>
          <w:szCs w:val="22"/>
        </w:rPr>
      </w:pPr>
    </w:p>
    <w:p w:rsidR="00907687" w:rsidRPr="004378CA" w:rsidRDefault="00907687" w:rsidP="00B66CD4">
      <w:pPr>
        <w:numPr>
          <w:ilvl w:val="12"/>
          <w:numId w:val="0"/>
        </w:numPr>
        <w:ind w:right="-2"/>
        <w:rPr>
          <w:b/>
          <w:noProof/>
          <w:szCs w:val="22"/>
        </w:rPr>
      </w:pPr>
      <w:r>
        <w:rPr>
          <w:b/>
          <w:noProof/>
          <w:szCs w:val="22"/>
        </w:rPr>
        <w:t>Iné lieky a BITAMMON</w:t>
      </w:r>
    </w:p>
    <w:p w:rsidR="00907687" w:rsidRDefault="00907687" w:rsidP="007B280D">
      <w:pPr>
        <w:jc w:val="both"/>
        <w:rPr>
          <w:szCs w:val="22"/>
        </w:rPr>
      </w:pPr>
      <w:r w:rsidRPr="004378CA">
        <w:rPr>
          <w:szCs w:val="22"/>
        </w:rPr>
        <w:t xml:space="preserve">Účinky lieku BITAMMON a iných súčasne užívaných liekov sa </w:t>
      </w:r>
      <w:r>
        <w:rPr>
          <w:szCs w:val="22"/>
        </w:rPr>
        <w:t>môžu navzájom ovplyvňovať. Váš</w:t>
      </w:r>
    </w:p>
    <w:p w:rsidR="00907687" w:rsidRPr="004378CA" w:rsidRDefault="00907687" w:rsidP="007B280D">
      <w:pPr>
        <w:jc w:val="both"/>
        <w:rPr>
          <w:szCs w:val="22"/>
        </w:rPr>
      </w:pPr>
      <w:r>
        <w:rPr>
          <w:szCs w:val="22"/>
        </w:rPr>
        <w:t>l</w:t>
      </w:r>
      <w:r w:rsidRPr="004378CA">
        <w:rPr>
          <w:szCs w:val="22"/>
        </w:rPr>
        <w:t>ekár</w:t>
      </w:r>
      <w:r>
        <w:rPr>
          <w:szCs w:val="22"/>
        </w:rPr>
        <w:t xml:space="preserve"> </w:t>
      </w:r>
      <w:r w:rsidRPr="004378CA">
        <w:rPr>
          <w:szCs w:val="22"/>
        </w:rPr>
        <w:t>by preto mal byť informovaný o všetkých lieko</w:t>
      </w:r>
      <w:r>
        <w:rPr>
          <w:szCs w:val="22"/>
        </w:rPr>
        <w:t xml:space="preserve">ch, ktoré v súčasnosti užívate </w:t>
      </w:r>
      <w:r w:rsidRPr="004378CA">
        <w:rPr>
          <w:szCs w:val="22"/>
        </w:rPr>
        <w:t xml:space="preserve">alebo ktoré začnete </w:t>
      </w:r>
    </w:p>
    <w:p w:rsidR="00907687" w:rsidRPr="004378CA" w:rsidRDefault="00907687" w:rsidP="007B280D">
      <w:pPr>
        <w:jc w:val="both"/>
        <w:rPr>
          <w:szCs w:val="22"/>
        </w:rPr>
      </w:pPr>
      <w:r w:rsidRPr="004378CA">
        <w:rPr>
          <w:szCs w:val="22"/>
        </w:rPr>
        <w:t>užívať, a to na lekársky predpis i bez neho.</w:t>
      </w:r>
    </w:p>
    <w:p w:rsidR="00907687" w:rsidRPr="004378CA" w:rsidRDefault="00907687" w:rsidP="007B280D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szCs w:val="22"/>
        </w:rPr>
      </w:pPr>
      <w:proofErr w:type="spellStart"/>
      <w:r w:rsidRPr="004378CA">
        <w:rPr>
          <w:i/>
          <w:szCs w:val="22"/>
          <w:u w:val="single"/>
        </w:rPr>
        <w:t>Alopurinol</w:t>
      </w:r>
      <w:proofErr w:type="spellEnd"/>
      <w:r w:rsidRPr="004378CA">
        <w:rPr>
          <w:szCs w:val="22"/>
        </w:rPr>
        <w:t xml:space="preserve"> (používaný na liečbu dny): pri súčasnom užívaní spolu s </w:t>
      </w:r>
      <w:proofErr w:type="spellStart"/>
      <w:r w:rsidRPr="004378CA">
        <w:rPr>
          <w:szCs w:val="22"/>
        </w:rPr>
        <w:t>BITAMMONom</w:t>
      </w:r>
      <w:proofErr w:type="spellEnd"/>
      <w:r w:rsidRPr="004378CA">
        <w:rPr>
          <w:szCs w:val="22"/>
        </w:rPr>
        <w:t xml:space="preserve"> sa zvyšuje pravdepodobnosť výskytu kožného exantému (vyrážok na koži).</w:t>
      </w:r>
    </w:p>
    <w:p w:rsidR="00907687" w:rsidRPr="004378CA" w:rsidRDefault="00907687" w:rsidP="007B280D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szCs w:val="22"/>
        </w:rPr>
      </w:pPr>
      <w:proofErr w:type="spellStart"/>
      <w:r w:rsidRPr="004378CA">
        <w:rPr>
          <w:i/>
          <w:szCs w:val="22"/>
          <w:u w:val="single"/>
        </w:rPr>
        <w:t>Antikoagulanciá</w:t>
      </w:r>
      <w:proofErr w:type="spellEnd"/>
      <w:r w:rsidRPr="004378CA">
        <w:rPr>
          <w:szCs w:val="22"/>
        </w:rPr>
        <w:t xml:space="preserve"> (používané v prevencii zrážania krvi): BITAMMON môže zvyšovať účinok týchto liekov.</w:t>
      </w:r>
    </w:p>
    <w:p w:rsidR="00907687" w:rsidRPr="004378CA" w:rsidRDefault="00907687" w:rsidP="007B280D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szCs w:val="22"/>
        </w:rPr>
      </w:pPr>
      <w:proofErr w:type="spellStart"/>
      <w:r w:rsidRPr="004378CA">
        <w:rPr>
          <w:i/>
          <w:szCs w:val="22"/>
          <w:u w:val="single"/>
        </w:rPr>
        <w:t>Chloramfenikol</w:t>
      </w:r>
      <w:proofErr w:type="spellEnd"/>
      <w:r w:rsidRPr="004378CA">
        <w:rPr>
          <w:i/>
          <w:szCs w:val="22"/>
          <w:u w:val="single"/>
        </w:rPr>
        <w:t xml:space="preserve">, </w:t>
      </w:r>
      <w:proofErr w:type="spellStart"/>
      <w:r w:rsidRPr="004378CA">
        <w:rPr>
          <w:i/>
          <w:szCs w:val="22"/>
          <w:u w:val="single"/>
        </w:rPr>
        <w:t>erytromycín</w:t>
      </w:r>
      <w:proofErr w:type="spellEnd"/>
      <w:r w:rsidRPr="004378CA">
        <w:rPr>
          <w:i/>
          <w:szCs w:val="22"/>
          <w:u w:val="single"/>
        </w:rPr>
        <w:t>, sulfónamidy a tetracyklíny</w:t>
      </w:r>
      <w:r w:rsidRPr="004378CA">
        <w:rPr>
          <w:szCs w:val="22"/>
        </w:rPr>
        <w:t xml:space="preserve"> (</w:t>
      </w:r>
      <w:proofErr w:type="spellStart"/>
      <w:r w:rsidRPr="004378CA">
        <w:rPr>
          <w:szCs w:val="22"/>
        </w:rPr>
        <w:t>bakteriostaticky</w:t>
      </w:r>
      <w:proofErr w:type="spellEnd"/>
      <w:r w:rsidRPr="004378CA">
        <w:rPr>
          <w:szCs w:val="22"/>
        </w:rPr>
        <w:t xml:space="preserve"> pôsobiace antibiotiká): tieto lieky sa môžu krížiť s baktericídnym účinkom </w:t>
      </w:r>
      <w:proofErr w:type="spellStart"/>
      <w:r w:rsidRPr="004378CA">
        <w:rPr>
          <w:szCs w:val="22"/>
        </w:rPr>
        <w:t>BITAMMONu</w:t>
      </w:r>
      <w:proofErr w:type="spellEnd"/>
      <w:r w:rsidRPr="004378CA">
        <w:rPr>
          <w:szCs w:val="22"/>
        </w:rPr>
        <w:t>. Preto je lepšie vyhnúť sa ich súčasnému podávaniu.</w:t>
      </w:r>
    </w:p>
    <w:p w:rsidR="00907687" w:rsidRPr="004378CA" w:rsidRDefault="00907687" w:rsidP="007B280D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szCs w:val="22"/>
        </w:rPr>
      </w:pPr>
      <w:r w:rsidRPr="004378CA">
        <w:rPr>
          <w:i/>
          <w:szCs w:val="22"/>
          <w:u w:val="single"/>
        </w:rPr>
        <w:t>Antikoncepčné tablety obsahujúce estrogény:</w:t>
      </w:r>
      <w:r w:rsidRPr="004378CA">
        <w:rPr>
          <w:szCs w:val="22"/>
        </w:rPr>
        <w:t xml:space="preserve"> BITAMMON môže znížiť antikoncepčný účinok týchto liekov. Pacientky by preto mali užívať alternatívnu alebo kombinovanú antikoncepčnú metódu, ak sú liečené </w:t>
      </w:r>
      <w:proofErr w:type="spellStart"/>
      <w:r w:rsidRPr="004378CA">
        <w:rPr>
          <w:szCs w:val="22"/>
        </w:rPr>
        <w:t>ampicilínom</w:t>
      </w:r>
      <w:proofErr w:type="spellEnd"/>
      <w:r w:rsidRPr="004378CA">
        <w:rPr>
          <w:szCs w:val="22"/>
        </w:rPr>
        <w:t>.</w:t>
      </w:r>
    </w:p>
    <w:p w:rsidR="00907687" w:rsidRPr="004378CA" w:rsidRDefault="00907687" w:rsidP="007B280D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szCs w:val="22"/>
        </w:rPr>
      </w:pPr>
      <w:proofErr w:type="spellStart"/>
      <w:r w:rsidRPr="004378CA">
        <w:rPr>
          <w:i/>
          <w:szCs w:val="22"/>
          <w:u w:val="single"/>
        </w:rPr>
        <w:t>Metotrexát</w:t>
      </w:r>
      <w:proofErr w:type="spellEnd"/>
      <w:r w:rsidRPr="004378CA">
        <w:rPr>
          <w:szCs w:val="22"/>
        </w:rPr>
        <w:t xml:space="preserve"> (používaný pri liečbe niektorých typov karcinómov, pri kožných a zápalových ochoreniach): BITAMMON môže zvyšovať toxicitu </w:t>
      </w:r>
      <w:proofErr w:type="spellStart"/>
      <w:r w:rsidRPr="004378CA">
        <w:rPr>
          <w:szCs w:val="22"/>
        </w:rPr>
        <w:t>metotrexátu</w:t>
      </w:r>
      <w:proofErr w:type="spellEnd"/>
      <w:r w:rsidRPr="004378CA">
        <w:rPr>
          <w:szCs w:val="22"/>
        </w:rPr>
        <w:t>.</w:t>
      </w:r>
    </w:p>
    <w:p w:rsidR="00907687" w:rsidRPr="004378CA" w:rsidRDefault="00907687" w:rsidP="007B280D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szCs w:val="22"/>
        </w:rPr>
      </w:pPr>
      <w:proofErr w:type="spellStart"/>
      <w:r w:rsidRPr="004378CA">
        <w:rPr>
          <w:i/>
          <w:szCs w:val="22"/>
          <w:u w:val="single"/>
        </w:rPr>
        <w:t>Probenecid</w:t>
      </w:r>
      <w:proofErr w:type="spellEnd"/>
      <w:r w:rsidRPr="004378CA">
        <w:rPr>
          <w:szCs w:val="22"/>
        </w:rPr>
        <w:t xml:space="preserve"> (používaný pri liečbe dny): Tento liek môže zvyšovať riziko toxicity </w:t>
      </w:r>
      <w:proofErr w:type="spellStart"/>
      <w:r w:rsidRPr="004378CA">
        <w:rPr>
          <w:szCs w:val="22"/>
        </w:rPr>
        <w:t>BITAMMONu</w:t>
      </w:r>
      <w:proofErr w:type="spellEnd"/>
      <w:r w:rsidRPr="004378CA">
        <w:rPr>
          <w:szCs w:val="22"/>
        </w:rPr>
        <w:t>.</w:t>
      </w:r>
    </w:p>
    <w:p w:rsidR="00907687" w:rsidRPr="00DA6D35" w:rsidRDefault="00907687" w:rsidP="00B66CD4">
      <w:pPr>
        <w:numPr>
          <w:ilvl w:val="12"/>
          <w:numId w:val="0"/>
        </w:numPr>
        <w:ind w:right="-2"/>
        <w:rPr>
          <w:noProof/>
          <w:szCs w:val="22"/>
        </w:rPr>
      </w:pPr>
    </w:p>
    <w:p w:rsidR="00907687" w:rsidRPr="004378CA" w:rsidRDefault="00907687" w:rsidP="00B66CD4">
      <w:pPr>
        <w:numPr>
          <w:ilvl w:val="12"/>
          <w:numId w:val="0"/>
        </w:numPr>
        <w:ind w:right="-2"/>
        <w:rPr>
          <w:noProof/>
          <w:szCs w:val="22"/>
        </w:rPr>
      </w:pPr>
    </w:p>
    <w:p w:rsidR="00907687" w:rsidRPr="004378CA" w:rsidRDefault="00907687" w:rsidP="00B66CD4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  <w:r>
        <w:rPr>
          <w:b/>
          <w:noProof/>
          <w:szCs w:val="22"/>
        </w:rPr>
        <w:t xml:space="preserve">Tehotenstvo, </w:t>
      </w:r>
      <w:r w:rsidRPr="004378CA">
        <w:rPr>
          <w:b/>
          <w:noProof/>
          <w:szCs w:val="22"/>
        </w:rPr>
        <w:t>dojčenie</w:t>
      </w:r>
      <w:r>
        <w:rPr>
          <w:b/>
          <w:noProof/>
          <w:szCs w:val="22"/>
        </w:rPr>
        <w:t xml:space="preserve"> a plodnosť</w:t>
      </w:r>
    </w:p>
    <w:p w:rsidR="00907687" w:rsidRPr="004378CA" w:rsidRDefault="00907687" w:rsidP="007B280D">
      <w:pPr>
        <w:jc w:val="both"/>
        <w:rPr>
          <w:noProof/>
          <w:szCs w:val="22"/>
        </w:rPr>
      </w:pPr>
      <w:r w:rsidRPr="004378CA">
        <w:rPr>
          <w:noProof/>
          <w:szCs w:val="22"/>
        </w:rPr>
        <w:t xml:space="preserve">Užívanie lieku počas tehotenstva a dojčenia je vhodné len v prípade, že očakávaný prínos liečby </w:t>
      </w:r>
    </w:p>
    <w:p w:rsidR="00907687" w:rsidRPr="004378CA" w:rsidRDefault="00907687" w:rsidP="007B280D">
      <w:pPr>
        <w:jc w:val="both"/>
        <w:rPr>
          <w:noProof/>
          <w:szCs w:val="22"/>
        </w:rPr>
      </w:pPr>
      <w:r w:rsidRPr="004378CA">
        <w:rPr>
          <w:noProof/>
          <w:szCs w:val="22"/>
        </w:rPr>
        <w:t>prevýši jej možné riziká.</w:t>
      </w:r>
    </w:p>
    <w:p w:rsidR="00907687" w:rsidRPr="003C1213" w:rsidRDefault="00907687" w:rsidP="00DD347F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</w:p>
    <w:p w:rsidR="00907687" w:rsidRPr="004378CA" w:rsidRDefault="00907687" w:rsidP="00B66CD4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  <w:r w:rsidRPr="004378CA">
        <w:rPr>
          <w:b/>
          <w:noProof/>
          <w:szCs w:val="22"/>
        </w:rPr>
        <w:t>Vedenie vozidla a obsluha strojov</w:t>
      </w:r>
    </w:p>
    <w:p w:rsidR="00907687" w:rsidRDefault="00907687" w:rsidP="00DD347F">
      <w:pPr>
        <w:pStyle w:val="Zkladntext"/>
        <w:jc w:val="both"/>
        <w:rPr>
          <w:rFonts w:ascii="Times New Roman" w:hAnsi="Times New Roman"/>
          <w:sz w:val="22"/>
          <w:szCs w:val="22"/>
        </w:rPr>
      </w:pPr>
      <w:r w:rsidRPr="001D5CA0">
        <w:rPr>
          <w:rFonts w:ascii="Times New Roman" w:hAnsi="Times New Roman"/>
          <w:b w:val="0"/>
          <w:sz w:val="22"/>
          <w:szCs w:val="22"/>
        </w:rPr>
        <w:t>BITAMMON nemá žiadny alebo má zanedbateľný vplyv na schopnosť viesť vozidlá a obsluhovať stroje.</w:t>
      </w:r>
    </w:p>
    <w:p w:rsidR="00907687" w:rsidRPr="00DA6D35" w:rsidRDefault="00907687" w:rsidP="00DD347F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</w:p>
    <w:p w:rsidR="00907687" w:rsidRPr="004378CA" w:rsidRDefault="00907687" w:rsidP="00DD347F">
      <w:pPr>
        <w:pStyle w:val="Zkladntext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BITAMMON obsahuje sacharózu</w:t>
      </w:r>
    </w:p>
    <w:p w:rsidR="00907687" w:rsidRDefault="00907687" w:rsidP="005864A4">
      <w:pPr>
        <w:jc w:val="both"/>
        <w:rPr>
          <w:szCs w:val="22"/>
        </w:rPr>
      </w:pPr>
      <w:r w:rsidRPr="004378CA">
        <w:rPr>
          <w:szCs w:val="22"/>
        </w:rPr>
        <w:t>Zvýšená opatrnosť je pot</w:t>
      </w:r>
      <w:r>
        <w:rPr>
          <w:szCs w:val="22"/>
        </w:rPr>
        <w:t>rebná u diabetických pacientov</w:t>
      </w:r>
      <w:r w:rsidRPr="004378CA">
        <w:rPr>
          <w:szCs w:val="22"/>
        </w:rPr>
        <w:t>.</w:t>
      </w:r>
    </w:p>
    <w:p w:rsidR="00907687" w:rsidRPr="004378CA" w:rsidRDefault="00907687" w:rsidP="005864A4">
      <w:pPr>
        <w:jc w:val="both"/>
        <w:rPr>
          <w:szCs w:val="22"/>
        </w:rPr>
      </w:pPr>
    </w:p>
    <w:p w:rsidR="00907687" w:rsidRPr="004378CA" w:rsidRDefault="00907687" w:rsidP="00B66CD4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</w:p>
    <w:p w:rsidR="00907687" w:rsidRPr="001D5CA0" w:rsidRDefault="00907687" w:rsidP="001D5CA0">
      <w:pPr>
        <w:numPr>
          <w:ilvl w:val="0"/>
          <w:numId w:val="7"/>
        </w:numPr>
        <w:tabs>
          <w:tab w:val="clear" w:pos="930"/>
          <w:tab w:val="num" w:pos="540"/>
        </w:tabs>
        <w:ind w:right="-2" w:hanging="930"/>
        <w:outlineLvl w:val="0"/>
        <w:rPr>
          <w:b/>
          <w:noProof/>
          <w:szCs w:val="22"/>
        </w:rPr>
      </w:pPr>
      <w:r w:rsidRPr="001D5CA0">
        <w:rPr>
          <w:b/>
          <w:noProof/>
          <w:szCs w:val="22"/>
        </w:rPr>
        <w:t>Ako užívať BITAMMON</w:t>
      </w:r>
    </w:p>
    <w:p w:rsidR="00907687" w:rsidRPr="003C1213" w:rsidRDefault="00907687" w:rsidP="001D5CA0">
      <w:pPr>
        <w:ind w:left="0" w:right="-2" w:firstLine="0"/>
        <w:outlineLvl w:val="0"/>
        <w:rPr>
          <w:noProof/>
          <w:szCs w:val="22"/>
        </w:rPr>
      </w:pPr>
    </w:p>
    <w:p w:rsidR="00907687" w:rsidRPr="004378CA" w:rsidRDefault="00907687" w:rsidP="00AB7E91">
      <w:pPr>
        <w:jc w:val="both"/>
        <w:rPr>
          <w:noProof/>
          <w:szCs w:val="22"/>
        </w:rPr>
      </w:pPr>
      <w:r w:rsidRPr="004378CA">
        <w:rPr>
          <w:noProof/>
          <w:szCs w:val="22"/>
        </w:rPr>
        <w:t>Presné dávkovanie a d</w:t>
      </w:r>
      <w:r>
        <w:rPr>
          <w:noProof/>
          <w:szCs w:val="22"/>
        </w:rPr>
        <w:t>ĺ</w:t>
      </w:r>
      <w:r w:rsidRPr="004378CA">
        <w:rPr>
          <w:noProof/>
          <w:szCs w:val="22"/>
        </w:rPr>
        <w:t>žku liečby vždy určí lekár.</w:t>
      </w:r>
    </w:p>
    <w:p w:rsidR="00907687" w:rsidRDefault="00907687" w:rsidP="00AB7E91">
      <w:pPr>
        <w:jc w:val="both"/>
        <w:rPr>
          <w:noProof/>
          <w:szCs w:val="22"/>
        </w:rPr>
      </w:pPr>
      <w:r w:rsidRPr="004378CA">
        <w:rPr>
          <w:noProof/>
          <w:szCs w:val="22"/>
        </w:rPr>
        <w:t>Zvyčajná dávka pre dospelých je 375 – 750 mg sultamicilínu (tj. 220-440 mg ampicilí</w:t>
      </w:r>
      <w:r>
        <w:rPr>
          <w:noProof/>
          <w:szCs w:val="22"/>
        </w:rPr>
        <w:t>nu a 147-296</w:t>
      </w:r>
    </w:p>
    <w:p w:rsidR="00907687" w:rsidRDefault="00907687" w:rsidP="00AB7E91">
      <w:pPr>
        <w:jc w:val="both"/>
        <w:rPr>
          <w:noProof/>
          <w:szCs w:val="22"/>
        </w:rPr>
      </w:pPr>
      <w:r w:rsidRPr="004378CA">
        <w:rPr>
          <w:noProof/>
          <w:szCs w:val="22"/>
        </w:rPr>
        <w:t xml:space="preserve">mg sulbaktámu) 2-krát denne cez ústa v závislosti na závažnosti infekcie. </w:t>
      </w:r>
    </w:p>
    <w:p w:rsidR="00907687" w:rsidRPr="003C1213" w:rsidRDefault="00907687" w:rsidP="00AB7E91">
      <w:pPr>
        <w:jc w:val="both"/>
        <w:rPr>
          <w:noProof/>
          <w:szCs w:val="22"/>
        </w:rPr>
      </w:pPr>
    </w:p>
    <w:p w:rsidR="00907687" w:rsidRPr="006C0B8C" w:rsidRDefault="00907687" w:rsidP="00AB7E91">
      <w:pPr>
        <w:jc w:val="both"/>
        <w:rPr>
          <w:b/>
          <w:noProof/>
          <w:szCs w:val="22"/>
        </w:rPr>
      </w:pPr>
      <w:r w:rsidRPr="006C0B8C">
        <w:rPr>
          <w:b/>
          <w:noProof/>
          <w:szCs w:val="22"/>
        </w:rPr>
        <w:t>Použitie u detí a dospievajúcich</w:t>
      </w:r>
    </w:p>
    <w:p w:rsidR="00907687" w:rsidRPr="004378CA" w:rsidRDefault="00907687" w:rsidP="00AB7E91">
      <w:pPr>
        <w:jc w:val="both"/>
        <w:rPr>
          <w:noProof/>
          <w:szCs w:val="22"/>
        </w:rPr>
      </w:pPr>
      <w:r w:rsidRPr="004378CA">
        <w:rPr>
          <w:noProof/>
          <w:szCs w:val="22"/>
        </w:rPr>
        <w:t xml:space="preserve">Deťom do 30 kg sa podáva sultamicilín obvykle 25-50 mg/kg/den v dvoch jednotlivých dávkach. </w:t>
      </w:r>
    </w:p>
    <w:p w:rsidR="00907687" w:rsidRDefault="00907687" w:rsidP="00AB7E91">
      <w:pPr>
        <w:jc w:val="both"/>
        <w:rPr>
          <w:noProof/>
          <w:szCs w:val="22"/>
        </w:rPr>
      </w:pPr>
    </w:p>
    <w:p w:rsidR="00907687" w:rsidRPr="004378CA" w:rsidRDefault="00907687" w:rsidP="00AB7E91">
      <w:pPr>
        <w:jc w:val="both"/>
        <w:rPr>
          <w:noProof/>
          <w:szCs w:val="22"/>
        </w:rPr>
      </w:pPr>
      <w:r w:rsidRPr="004378CA">
        <w:rPr>
          <w:noProof/>
          <w:szCs w:val="22"/>
        </w:rPr>
        <w:t>Liečba má trvať ešte 48-72 hodín po klesnutí teploty a ustúpení príznakov infekcie a trvá</w:t>
      </w:r>
    </w:p>
    <w:p w:rsidR="00907687" w:rsidRPr="004378CA" w:rsidRDefault="00907687" w:rsidP="00AB7E91">
      <w:pPr>
        <w:jc w:val="both"/>
        <w:rPr>
          <w:noProof/>
          <w:szCs w:val="22"/>
        </w:rPr>
      </w:pPr>
      <w:r w:rsidRPr="004378CA">
        <w:rPr>
          <w:noProof/>
          <w:szCs w:val="22"/>
        </w:rPr>
        <w:t xml:space="preserve">zvyčajne 5-14 dní, ale v nevyhnutných prípadoch môže lekár rozhodnúť o jej predĺžení. </w:t>
      </w:r>
    </w:p>
    <w:p w:rsidR="00907687" w:rsidRPr="004378CA" w:rsidRDefault="00907687" w:rsidP="00AB7E91">
      <w:pPr>
        <w:jc w:val="both"/>
        <w:rPr>
          <w:noProof/>
          <w:szCs w:val="22"/>
        </w:rPr>
      </w:pPr>
      <w:r w:rsidRPr="004378CA">
        <w:rPr>
          <w:noProof/>
          <w:szCs w:val="22"/>
        </w:rPr>
        <w:t xml:space="preserve">Pri obličkovej nedostatočnosti s poklesom funkcie obličiek pod 30 % (GF= 30 ml/min.), tj. 0,5 ml/s sa </w:t>
      </w:r>
    </w:p>
    <w:p w:rsidR="00907687" w:rsidRPr="004378CA" w:rsidRDefault="00907687" w:rsidP="00AB7E91">
      <w:pPr>
        <w:jc w:val="both"/>
        <w:rPr>
          <w:noProof/>
          <w:szCs w:val="22"/>
        </w:rPr>
      </w:pPr>
      <w:r w:rsidRPr="004378CA">
        <w:rPr>
          <w:noProof/>
          <w:szCs w:val="22"/>
        </w:rPr>
        <w:t xml:space="preserve">dávkovanie upravuje: jednotlivá dávka sultamicilínu sa zníži na 2/3, prípadne až na 1/3 alebo sa </w:t>
      </w:r>
    </w:p>
    <w:p w:rsidR="00907687" w:rsidRPr="004378CA" w:rsidRDefault="00907687" w:rsidP="00AB7E91">
      <w:pPr>
        <w:jc w:val="both"/>
        <w:rPr>
          <w:noProof/>
          <w:szCs w:val="22"/>
        </w:rPr>
      </w:pPr>
      <w:r w:rsidRPr="004378CA">
        <w:rPr>
          <w:noProof/>
          <w:szCs w:val="22"/>
        </w:rPr>
        <w:t xml:space="preserve">dávkovací interval predĺži na 24 hodín. Pri hemodialyzovaných pacientoch množstvo oddialyzovaného </w:t>
      </w:r>
    </w:p>
    <w:p w:rsidR="00907687" w:rsidRPr="004378CA" w:rsidRDefault="00907687" w:rsidP="00AB7E91">
      <w:pPr>
        <w:jc w:val="both"/>
        <w:rPr>
          <w:noProof/>
          <w:szCs w:val="22"/>
        </w:rPr>
      </w:pPr>
      <w:r w:rsidRPr="004378CA">
        <w:rPr>
          <w:noProof/>
          <w:szCs w:val="22"/>
        </w:rPr>
        <w:t>ampicilínu nie je tak veľké, aby bolo nevyhnutné podať suplementačnú dávku po hemodialýze.</w:t>
      </w:r>
    </w:p>
    <w:p w:rsidR="00907687" w:rsidRPr="004378CA" w:rsidRDefault="00907687" w:rsidP="00AB7E91">
      <w:pPr>
        <w:jc w:val="both"/>
        <w:rPr>
          <w:noProof/>
          <w:szCs w:val="22"/>
        </w:rPr>
      </w:pPr>
    </w:p>
    <w:p w:rsidR="00907687" w:rsidRPr="004378CA" w:rsidRDefault="00907687" w:rsidP="00AB7E91">
      <w:pPr>
        <w:jc w:val="both"/>
        <w:rPr>
          <w:b/>
          <w:noProof/>
          <w:szCs w:val="22"/>
        </w:rPr>
      </w:pPr>
      <w:r w:rsidRPr="004378CA">
        <w:rPr>
          <w:b/>
          <w:noProof/>
          <w:szCs w:val="22"/>
        </w:rPr>
        <w:t>Príprava suspenzie</w:t>
      </w:r>
    </w:p>
    <w:p w:rsidR="00907687" w:rsidRPr="004378CA" w:rsidRDefault="00907687" w:rsidP="00AB7E91">
      <w:pPr>
        <w:jc w:val="both"/>
        <w:rPr>
          <w:noProof/>
          <w:szCs w:val="22"/>
        </w:rPr>
      </w:pPr>
      <w:r w:rsidRPr="004378CA">
        <w:rPr>
          <w:noProof/>
          <w:szCs w:val="22"/>
        </w:rPr>
        <w:t>Suspenzia sa pripravuje v lekárni pridaním čistenej vody.</w:t>
      </w:r>
    </w:p>
    <w:p w:rsidR="00907687" w:rsidRPr="004378CA" w:rsidRDefault="00907687" w:rsidP="00AB7E91">
      <w:pPr>
        <w:jc w:val="both"/>
        <w:rPr>
          <w:noProof/>
          <w:szCs w:val="22"/>
        </w:rPr>
      </w:pPr>
      <w:r w:rsidRPr="004378CA">
        <w:rPr>
          <w:noProof/>
          <w:szCs w:val="22"/>
        </w:rPr>
        <w:lastRenderedPageBreak/>
        <w:t>Najskôr sa fľaškou zatrepe tak, aby práškový obsah bol sypký. Potom sa pridá 50 ml čistenej vody</w:t>
      </w:r>
    </w:p>
    <w:p w:rsidR="00907687" w:rsidRPr="004378CA" w:rsidRDefault="00907687" w:rsidP="00AB7E91">
      <w:pPr>
        <w:jc w:val="both"/>
        <w:rPr>
          <w:noProof/>
          <w:szCs w:val="22"/>
        </w:rPr>
      </w:pPr>
      <w:r w:rsidRPr="004378CA">
        <w:rPr>
          <w:noProof/>
          <w:szCs w:val="22"/>
        </w:rPr>
        <w:t>a dôkladne sa pretrepáva 5 minút.</w:t>
      </w:r>
    </w:p>
    <w:p w:rsidR="00907687" w:rsidRPr="004378CA" w:rsidRDefault="00907687" w:rsidP="00AB7E91">
      <w:pPr>
        <w:jc w:val="both"/>
        <w:rPr>
          <w:noProof/>
          <w:szCs w:val="22"/>
        </w:rPr>
      </w:pPr>
      <w:r w:rsidRPr="004378CA">
        <w:rPr>
          <w:noProof/>
          <w:szCs w:val="22"/>
        </w:rPr>
        <w:t xml:space="preserve">Pred odobratím každej dávky je nutné suspenziu pretrepať. </w:t>
      </w:r>
    </w:p>
    <w:p w:rsidR="00907687" w:rsidRPr="004378CA" w:rsidRDefault="00907687" w:rsidP="00AB7E91">
      <w:pPr>
        <w:ind w:left="360" w:right="-2" w:firstLine="0"/>
        <w:outlineLvl w:val="0"/>
        <w:rPr>
          <w:noProof/>
          <w:szCs w:val="22"/>
        </w:rPr>
      </w:pPr>
    </w:p>
    <w:p w:rsidR="00907687" w:rsidRPr="004378CA" w:rsidRDefault="00907687" w:rsidP="00B66CD4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  <w:r w:rsidRPr="004378CA">
        <w:rPr>
          <w:b/>
          <w:noProof/>
          <w:szCs w:val="22"/>
        </w:rPr>
        <w:t>Ak užijete viac lieku BITAMMON, ako máte</w:t>
      </w:r>
    </w:p>
    <w:p w:rsidR="00907687" w:rsidRPr="004378CA" w:rsidRDefault="00907687" w:rsidP="00B66CD4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4378CA">
        <w:rPr>
          <w:noProof/>
          <w:szCs w:val="22"/>
        </w:rPr>
        <w:t>Pri predávkovaní alebo náhodnom užití lieku dieťaťom sa poraďte s lekárom.</w:t>
      </w:r>
    </w:p>
    <w:p w:rsidR="00907687" w:rsidRPr="004378CA" w:rsidRDefault="00907687" w:rsidP="00B66CD4">
      <w:pPr>
        <w:numPr>
          <w:ilvl w:val="12"/>
          <w:numId w:val="0"/>
        </w:numPr>
        <w:ind w:right="-2"/>
        <w:rPr>
          <w:noProof/>
          <w:szCs w:val="22"/>
        </w:rPr>
      </w:pPr>
    </w:p>
    <w:p w:rsidR="00907687" w:rsidRPr="004378CA" w:rsidRDefault="00907687" w:rsidP="00B66CD4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  <w:r w:rsidRPr="004378CA">
        <w:rPr>
          <w:b/>
          <w:noProof/>
          <w:szCs w:val="22"/>
        </w:rPr>
        <w:t>Ak zabudnete užiť BITAMMON</w:t>
      </w:r>
    </w:p>
    <w:p w:rsidR="00907687" w:rsidRDefault="00907687" w:rsidP="00AB7E91">
      <w:pPr>
        <w:jc w:val="both"/>
        <w:rPr>
          <w:noProof/>
          <w:szCs w:val="22"/>
        </w:rPr>
      </w:pPr>
      <w:r w:rsidRPr="004378CA">
        <w:rPr>
          <w:noProof/>
          <w:szCs w:val="22"/>
        </w:rPr>
        <w:t>Liek užívajte v pravidelných intervaloch, ktoré určí lekár. Ak zabudne</w:t>
      </w:r>
      <w:r>
        <w:rPr>
          <w:noProof/>
          <w:szCs w:val="22"/>
        </w:rPr>
        <w:t>te užiť pravidelnú dávku, užite</w:t>
      </w:r>
    </w:p>
    <w:p w:rsidR="00907687" w:rsidRPr="004378CA" w:rsidRDefault="00907687" w:rsidP="001D5CA0">
      <w:pPr>
        <w:rPr>
          <w:noProof/>
          <w:szCs w:val="22"/>
        </w:rPr>
      </w:pPr>
      <w:r>
        <w:rPr>
          <w:noProof/>
          <w:szCs w:val="22"/>
        </w:rPr>
        <w:t>j</w:t>
      </w:r>
      <w:r w:rsidRPr="004378CA">
        <w:rPr>
          <w:noProof/>
          <w:szCs w:val="22"/>
        </w:rPr>
        <w:t>u</w:t>
      </w:r>
      <w:r>
        <w:rPr>
          <w:noProof/>
          <w:szCs w:val="22"/>
        </w:rPr>
        <w:t xml:space="preserve"> </w:t>
      </w:r>
      <w:r w:rsidRPr="004378CA">
        <w:rPr>
          <w:noProof/>
          <w:szCs w:val="22"/>
        </w:rPr>
        <w:t>ihneď ako si spomeniete</w:t>
      </w:r>
      <w:r>
        <w:rPr>
          <w:noProof/>
          <w:szCs w:val="22"/>
        </w:rPr>
        <w:t>.</w:t>
      </w:r>
      <w:r w:rsidRPr="004378CA">
        <w:rPr>
          <w:noProof/>
          <w:szCs w:val="22"/>
        </w:rPr>
        <w:t xml:space="preserve"> </w:t>
      </w:r>
      <w:r>
        <w:rPr>
          <w:noProof/>
          <w:szCs w:val="22"/>
        </w:rPr>
        <w:t>Neužívajte dvojnásobnú dávku, aby ste nahradili vynechanú dávku.</w:t>
      </w:r>
      <w:r w:rsidRPr="004378CA">
        <w:rPr>
          <w:noProof/>
          <w:szCs w:val="22"/>
        </w:rPr>
        <w:t xml:space="preserve"> </w:t>
      </w:r>
    </w:p>
    <w:p w:rsidR="00907687" w:rsidRPr="004378CA" w:rsidRDefault="00907687" w:rsidP="00B66CD4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</w:p>
    <w:p w:rsidR="00907687" w:rsidRPr="004378CA" w:rsidRDefault="00907687" w:rsidP="00B66CD4">
      <w:pPr>
        <w:numPr>
          <w:ilvl w:val="12"/>
          <w:numId w:val="0"/>
        </w:numPr>
        <w:ind w:right="-2"/>
        <w:rPr>
          <w:noProof/>
          <w:szCs w:val="22"/>
        </w:rPr>
      </w:pPr>
    </w:p>
    <w:p w:rsidR="00907687" w:rsidRPr="004378CA" w:rsidRDefault="00907687" w:rsidP="001D5CA0">
      <w:pPr>
        <w:numPr>
          <w:ilvl w:val="0"/>
          <w:numId w:val="7"/>
        </w:numPr>
        <w:tabs>
          <w:tab w:val="clear" w:pos="930"/>
          <w:tab w:val="num" w:pos="540"/>
        </w:tabs>
        <w:ind w:left="540" w:right="-2" w:hanging="540"/>
        <w:outlineLvl w:val="0"/>
        <w:rPr>
          <w:b/>
          <w:noProof/>
          <w:szCs w:val="22"/>
        </w:rPr>
      </w:pPr>
      <w:r>
        <w:rPr>
          <w:b/>
          <w:noProof/>
          <w:szCs w:val="22"/>
        </w:rPr>
        <w:t>Možné vedľajšie účinky</w:t>
      </w:r>
    </w:p>
    <w:p w:rsidR="00907687" w:rsidRPr="003C1213" w:rsidRDefault="00907687" w:rsidP="00E53F5F">
      <w:pPr>
        <w:ind w:left="360" w:right="-2" w:firstLine="0"/>
        <w:outlineLvl w:val="0"/>
        <w:rPr>
          <w:noProof/>
          <w:szCs w:val="22"/>
        </w:rPr>
      </w:pPr>
    </w:p>
    <w:p w:rsidR="00907687" w:rsidRPr="004378CA" w:rsidRDefault="00907687" w:rsidP="00E53F5F">
      <w:pPr>
        <w:jc w:val="both"/>
        <w:rPr>
          <w:noProof/>
          <w:szCs w:val="22"/>
        </w:rPr>
      </w:pPr>
      <w:r w:rsidRPr="004378CA">
        <w:rPr>
          <w:noProof/>
          <w:szCs w:val="22"/>
        </w:rPr>
        <w:t xml:space="preserve">BITAMMON sa zvyčajne dobre znáša, prípadné </w:t>
      </w:r>
      <w:r>
        <w:rPr>
          <w:noProof/>
          <w:szCs w:val="22"/>
        </w:rPr>
        <w:t>vedľajšie</w:t>
      </w:r>
      <w:r w:rsidRPr="004378CA">
        <w:rPr>
          <w:noProof/>
          <w:szCs w:val="22"/>
        </w:rPr>
        <w:t xml:space="preserve"> účinky nebývajú závažné.</w:t>
      </w:r>
    </w:p>
    <w:p w:rsidR="00907687" w:rsidRPr="004378CA" w:rsidRDefault="00907687" w:rsidP="00E53F5F">
      <w:pPr>
        <w:jc w:val="both"/>
        <w:rPr>
          <w:noProof/>
          <w:szCs w:val="22"/>
        </w:rPr>
      </w:pPr>
      <w:r w:rsidRPr="004378CA">
        <w:rPr>
          <w:noProof/>
          <w:szCs w:val="22"/>
        </w:rPr>
        <w:t xml:space="preserve">Môžu sa vyskytnúť tráviace ťažkosti, ako napr. hnačky, nevoľnosť, vracanie, bolesti brucha; </w:t>
      </w:r>
    </w:p>
    <w:p w:rsidR="00907687" w:rsidRPr="004378CA" w:rsidRDefault="00907687" w:rsidP="00E53F5F">
      <w:pPr>
        <w:jc w:val="both"/>
        <w:rPr>
          <w:noProof/>
          <w:szCs w:val="22"/>
        </w:rPr>
      </w:pPr>
      <w:r w:rsidRPr="004378CA">
        <w:rPr>
          <w:noProof/>
          <w:szCs w:val="22"/>
        </w:rPr>
        <w:t xml:space="preserve">zriedkavo sa môže objaviť kožná vyrážka alebo svrbenie kože, sucho v ústach, únavenosť, </w:t>
      </w:r>
    </w:p>
    <w:p w:rsidR="00907687" w:rsidRPr="004378CA" w:rsidRDefault="00907687" w:rsidP="00E53F5F">
      <w:pPr>
        <w:jc w:val="both"/>
        <w:rPr>
          <w:noProof/>
          <w:szCs w:val="22"/>
        </w:rPr>
      </w:pPr>
      <w:r w:rsidRPr="004378CA">
        <w:rPr>
          <w:noProof/>
          <w:szCs w:val="22"/>
        </w:rPr>
        <w:t>bolesti hlavy.</w:t>
      </w:r>
    </w:p>
    <w:p w:rsidR="00907687" w:rsidRPr="004378CA" w:rsidRDefault="00907687" w:rsidP="00E53F5F">
      <w:pPr>
        <w:jc w:val="both"/>
        <w:rPr>
          <w:noProof/>
          <w:szCs w:val="22"/>
        </w:rPr>
      </w:pPr>
      <w:r w:rsidRPr="004378CA">
        <w:rPr>
          <w:noProof/>
          <w:szCs w:val="22"/>
        </w:rPr>
        <w:t xml:space="preserve">Pri prípadnom výskyte </w:t>
      </w:r>
      <w:r>
        <w:rPr>
          <w:noProof/>
          <w:szCs w:val="22"/>
        </w:rPr>
        <w:t>vedľajších</w:t>
      </w:r>
      <w:r w:rsidRPr="004378CA">
        <w:rPr>
          <w:noProof/>
          <w:szCs w:val="22"/>
        </w:rPr>
        <w:t xml:space="preserve"> účinkov alebo iných nezvyčajných reakci</w:t>
      </w:r>
      <w:r>
        <w:rPr>
          <w:noProof/>
          <w:szCs w:val="22"/>
        </w:rPr>
        <w:t>í</w:t>
      </w:r>
      <w:r w:rsidRPr="004378CA">
        <w:rPr>
          <w:noProof/>
          <w:szCs w:val="22"/>
        </w:rPr>
        <w:t xml:space="preserve"> sa o ďalšom užívaní</w:t>
      </w:r>
    </w:p>
    <w:p w:rsidR="00907687" w:rsidRPr="004378CA" w:rsidRDefault="00907687" w:rsidP="00E53F5F">
      <w:pPr>
        <w:jc w:val="both"/>
        <w:rPr>
          <w:noProof/>
          <w:szCs w:val="22"/>
        </w:rPr>
      </w:pPr>
      <w:r w:rsidRPr="004378CA">
        <w:rPr>
          <w:noProof/>
          <w:szCs w:val="22"/>
        </w:rPr>
        <w:t>lieku (podávaní deťom) poraďte s lekárom.</w:t>
      </w:r>
    </w:p>
    <w:p w:rsidR="00907687" w:rsidRDefault="00907687" w:rsidP="00E53F5F">
      <w:pPr>
        <w:jc w:val="both"/>
        <w:rPr>
          <w:noProof/>
          <w:szCs w:val="22"/>
        </w:rPr>
      </w:pPr>
    </w:p>
    <w:p w:rsidR="00907687" w:rsidRPr="00C23889" w:rsidRDefault="00907687" w:rsidP="00D6035D">
      <w:pPr>
        <w:jc w:val="both"/>
        <w:rPr>
          <w:b/>
          <w:szCs w:val="22"/>
        </w:rPr>
      </w:pPr>
      <w:r w:rsidRPr="00C23889">
        <w:rPr>
          <w:b/>
          <w:szCs w:val="22"/>
        </w:rPr>
        <w:t>Hlásenie vedľajších účinkov</w:t>
      </w:r>
    </w:p>
    <w:p w:rsidR="00907687" w:rsidRDefault="00907687" w:rsidP="00D6035D">
      <w:pPr>
        <w:ind w:right="-2"/>
        <w:rPr>
          <w:szCs w:val="22"/>
        </w:rPr>
      </w:pPr>
      <w:r w:rsidRPr="002D3EB6">
        <w:rPr>
          <w:szCs w:val="22"/>
        </w:rPr>
        <w:t>Ak sa u vás vyskytne akýkoľvek vedľajší účinok, obráťte sa na svoj</w:t>
      </w:r>
      <w:r>
        <w:rPr>
          <w:szCs w:val="22"/>
        </w:rPr>
        <w:t>ho lekára alebo lekárnika alebo</w:t>
      </w:r>
    </w:p>
    <w:p w:rsidR="00907687" w:rsidRPr="002D3EB6" w:rsidRDefault="00907687" w:rsidP="004462DC">
      <w:pPr>
        <w:ind w:left="0" w:right="-2" w:firstLine="0"/>
        <w:rPr>
          <w:b/>
          <w:szCs w:val="22"/>
        </w:rPr>
      </w:pPr>
      <w:r w:rsidRPr="002D3EB6">
        <w:rPr>
          <w:szCs w:val="22"/>
        </w:rPr>
        <w:t xml:space="preserve">zdravotnú sestru. To sa týka aj akýchkoľvek vedľajších účinkov, ktoré nie sú uvedené v tejto písomnej informácii pre používateľa. Vedľajšie účinky môžete hlásiť aj </w:t>
      </w:r>
      <w:r w:rsidR="009759F2">
        <w:rPr>
          <w:noProof/>
          <w:szCs w:val="22"/>
        </w:rPr>
        <w:t>priamo na</w:t>
      </w:r>
      <w:r w:rsidR="009759F2" w:rsidRPr="002D3EB6">
        <w:rPr>
          <w:noProof/>
          <w:szCs w:val="22"/>
        </w:rPr>
        <w:t xml:space="preserve"> </w:t>
      </w:r>
      <w:r w:rsidRPr="002D3EB6">
        <w:rPr>
          <w:noProof/>
          <w:szCs w:val="22"/>
          <w:highlight w:val="lightGray"/>
        </w:rPr>
        <w:t>národné</w:t>
      </w:r>
      <w:r w:rsidR="009759F2">
        <w:rPr>
          <w:noProof/>
          <w:szCs w:val="22"/>
          <w:highlight w:val="lightGray"/>
        </w:rPr>
        <w:t xml:space="preserve"> centrum</w:t>
      </w:r>
      <w:r w:rsidRPr="002D3EB6">
        <w:rPr>
          <w:noProof/>
          <w:szCs w:val="22"/>
          <w:highlight w:val="lightGray"/>
        </w:rPr>
        <w:t xml:space="preserve"> hlásenia uvedené v </w:t>
      </w:r>
      <w:hyperlink r:id="rId13" w:history="1">
        <w:r w:rsidRPr="002D3EB6">
          <w:rPr>
            <w:rStyle w:val="Hypertextovprepojenie"/>
            <w:noProof/>
            <w:szCs w:val="22"/>
            <w:highlight w:val="lightGray"/>
          </w:rPr>
          <w:t>Prílohe V</w:t>
        </w:r>
      </w:hyperlink>
      <w:r w:rsidRPr="002D3EB6">
        <w:rPr>
          <w:color w:val="008000"/>
          <w:szCs w:val="22"/>
          <w:highlight w:val="lightGray"/>
        </w:rPr>
        <w:t>*</w:t>
      </w:r>
      <w:r w:rsidRPr="002D3EB6">
        <w:rPr>
          <w:noProof/>
          <w:szCs w:val="22"/>
        </w:rPr>
        <w:t>.</w:t>
      </w:r>
      <w:r>
        <w:rPr>
          <w:noProof/>
          <w:szCs w:val="22"/>
        </w:rPr>
        <w:t xml:space="preserve"> </w:t>
      </w:r>
      <w:r w:rsidRPr="002D3EB6">
        <w:rPr>
          <w:szCs w:val="22"/>
        </w:rPr>
        <w:t>Hlásením vedľajších účinkov môžete prispieť k získaniu ďalších informácií o bezpečnosti tohto lieku.</w:t>
      </w:r>
    </w:p>
    <w:p w:rsidR="00907687" w:rsidRPr="004378CA" w:rsidRDefault="00907687" w:rsidP="00E53F5F">
      <w:pPr>
        <w:jc w:val="both"/>
        <w:rPr>
          <w:noProof/>
          <w:szCs w:val="22"/>
        </w:rPr>
      </w:pPr>
    </w:p>
    <w:p w:rsidR="00907687" w:rsidRPr="004378CA" w:rsidRDefault="00907687" w:rsidP="00B66CD4">
      <w:pPr>
        <w:numPr>
          <w:ilvl w:val="12"/>
          <w:numId w:val="0"/>
        </w:numPr>
        <w:ind w:right="-29"/>
        <w:rPr>
          <w:noProof/>
          <w:szCs w:val="22"/>
        </w:rPr>
      </w:pPr>
    </w:p>
    <w:p w:rsidR="00907687" w:rsidRPr="004378CA" w:rsidRDefault="00907687" w:rsidP="001D5CA0">
      <w:pPr>
        <w:numPr>
          <w:ilvl w:val="0"/>
          <w:numId w:val="5"/>
        </w:numPr>
        <w:tabs>
          <w:tab w:val="clear" w:pos="930"/>
          <w:tab w:val="num" w:pos="540"/>
        </w:tabs>
        <w:ind w:left="540" w:right="-2"/>
        <w:outlineLvl w:val="0"/>
        <w:rPr>
          <w:b/>
          <w:noProof/>
          <w:szCs w:val="22"/>
        </w:rPr>
      </w:pPr>
      <w:r>
        <w:rPr>
          <w:b/>
          <w:noProof/>
          <w:szCs w:val="22"/>
        </w:rPr>
        <w:t>Ako uchovávať BITAMMON</w:t>
      </w:r>
    </w:p>
    <w:p w:rsidR="00907687" w:rsidRPr="003C1213" w:rsidRDefault="00907687" w:rsidP="00642552">
      <w:pPr>
        <w:ind w:left="360" w:right="-2" w:firstLine="0"/>
        <w:outlineLvl w:val="0"/>
        <w:rPr>
          <w:noProof/>
          <w:szCs w:val="22"/>
        </w:rPr>
      </w:pPr>
    </w:p>
    <w:p w:rsidR="00907687" w:rsidRPr="004378CA" w:rsidRDefault="00907687" w:rsidP="001D5CA0">
      <w:pPr>
        <w:rPr>
          <w:noProof/>
          <w:szCs w:val="22"/>
        </w:rPr>
      </w:pPr>
      <w:r w:rsidRPr="004378CA">
        <w:rPr>
          <w:noProof/>
          <w:szCs w:val="22"/>
        </w:rPr>
        <w:t xml:space="preserve">Uchovávajte pri teplote do </w:t>
      </w:r>
      <w:smartTag w:uri="urn:schemas-microsoft-com:office:smarttags" w:element="metricconverter">
        <w:smartTagPr>
          <w:attr w:name="ProductID" w:val="25 ﾰC"/>
        </w:smartTagPr>
        <w:r w:rsidRPr="004378CA">
          <w:rPr>
            <w:noProof/>
            <w:szCs w:val="22"/>
          </w:rPr>
          <w:t>25 °C</w:t>
        </w:r>
      </w:smartTag>
      <w:r>
        <w:rPr>
          <w:noProof/>
          <w:szCs w:val="22"/>
        </w:rPr>
        <w:t xml:space="preserve"> na ochranu pred vlhkosťou</w:t>
      </w:r>
      <w:r w:rsidRPr="004378CA">
        <w:rPr>
          <w:noProof/>
          <w:szCs w:val="22"/>
        </w:rPr>
        <w:t xml:space="preserve">. </w:t>
      </w:r>
    </w:p>
    <w:p w:rsidR="00907687" w:rsidRPr="004378CA" w:rsidRDefault="00907687" w:rsidP="001D5CA0">
      <w:pPr>
        <w:ind w:left="0" w:firstLine="0"/>
        <w:rPr>
          <w:noProof/>
          <w:szCs w:val="22"/>
        </w:rPr>
      </w:pPr>
      <w:r w:rsidRPr="00095D11">
        <w:rPr>
          <w:szCs w:val="22"/>
        </w:rPr>
        <w:t>Nariedenú suspenziu uchováva</w:t>
      </w:r>
      <w:r>
        <w:rPr>
          <w:szCs w:val="22"/>
        </w:rPr>
        <w:t>jte</w:t>
      </w:r>
      <w:r w:rsidRPr="00095D11">
        <w:rPr>
          <w:szCs w:val="22"/>
        </w:rPr>
        <w:t xml:space="preserve"> v chladničke najdlhšie 14 dní pri teplote </w:t>
      </w:r>
      <w:r>
        <w:rPr>
          <w:noProof/>
        </w:rPr>
        <w:t>(2</w:t>
      </w:r>
      <w:r>
        <w:rPr>
          <w:noProof/>
          <w:szCs w:val="22"/>
        </w:rPr>
        <w:sym w:font="Symbol" w:char="F0B0"/>
      </w:r>
      <w:r>
        <w:rPr>
          <w:noProof/>
        </w:rPr>
        <w:t>C – 8</w:t>
      </w:r>
      <w:r>
        <w:rPr>
          <w:noProof/>
          <w:szCs w:val="22"/>
        </w:rPr>
        <w:sym w:font="Symbol" w:char="F0B0"/>
      </w:r>
      <w:r>
        <w:rPr>
          <w:noProof/>
        </w:rPr>
        <w:t>C)</w:t>
      </w:r>
      <w:r w:rsidRPr="00095D11">
        <w:rPr>
          <w:szCs w:val="22"/>
        </w:rPr>
        <w:t xml:space="preserve">. </w:t>
      </w:r>
    </w:p>
    <w:p w:rsidR="00907687" w:rsidRPr="004378CA" w:rsidRDefault="00907687" w:rsidP="00B66CD4">
      <w:pPr>
        <w:numPr>
          <w:ilvl w:val="12"/>
          <w:numId w:val="0"/>
        </w:numPr>
        <w:ind w:right="-2"/>
        <w:rPr>
          <w:noProof/>
          <w:szCs w:val="22"/>
        </w:rPr>
      </w:pPr>
      <w:r w:rsidRPr="004378CA">
        <w:rPr>
          <w:noProof/>
          <w:szCs w:val="22"/>
        </w:rPr>
        <w:t xml:space="preserve">Uchovávajte mimo </w:t>
      </w:r>
      <w:r>
        <w:rPr>
          <w:noProof/>
          <w:szCs w:val="22"/>
        </w:rPr>
        <w:t>dohľadu</w:t>
      </w:r>
      <w:r w:rsidRPr="004378CA">
        <w:rPr>
          <w:noProof/>
          <w:szCs w:val="22"/>
        </w:rPr>
        <w:t xml:space="preserve"> a </w:t>
      </w:r>
      <w:r>
        <w:rPr>
          <w:noProof/>
          <w:szCs w:val="22"/>
        </w:rPr>
        <w:t>dosahu</w:t>
      </w:r>
      <w:r w:rsidRPr="004378CA">
        <w:rPr>
          <w:noProof/>
          <w:szCs w:val="22"/>
        </w:rPr>
        <w:t xml:space="preserve"> detí.</w:t>
      </w:r>
    </w:p>
    <w:p w:rsidR="00907687" w:rsidRPr="004378CA" w:rsidRDefault="00907687" w:rsidP="00B66CD4">
      <w:pPr>
        <w:numPr>
          <w:ilvl w:val="12"/>
          <w:numId w:val="0"/>
        </w:numPr>
        <w:ind w:right="-2"/>
        <w:rPr>
          <w:noProof/>
          <w:szCs w:val="22"/>
        </w:rPr>
      </w:pPr>
    </w:p>
    <w:p w:rsidR="00907687" w:rsidRPr="004378CA" w:rsidRDefault="00907687" w:rsidP="00B66CD4">
      <w:pPr>
        <w:numPr>
          <w:ilvl w:val="12"/>
          <w:numId w:val="0"/>
        </w:numPr>
        <w:ind w:right="-2"/>
        <w:rPr>
          <w:noProof/>
          <w:szCs w:val="22"/>
        </w:rPr>
      </w:pPr>
      <w:r w:rsidRPr="004378CA">
        <w:rPr>
          <w:noProof/>
          <w:szCs w:val="22"/>
        </w:rPr>
        <w:t xml:space="preserve">Nepoužívajte </w:t>
      </w:r>
      <w:r>
        <w:rPr>
          <w:noProof/>
          <w:szCs w:val="22"/>
        </w:rPr>
        <w:t>tento liek</w:t>
      </w:r>
      <w:r w:rsidRPr="004378CA">
        <w:rPr>
          <w:noProof/>
          <w:szCs w:val="22"/>
        </w:rPr>
        <w:t xml:space="preserve"> po dátume exspirácie, ktorý je uvedený na škatuľke</w:t>
      </w:r>
      <w:r>
        <w:rPr>
          <w:noProof/>
          <w:szCs w:val="22"/>
        </w:rPr>
        <w:t xml:space="preserve"> po skratke EXP</w:t>
      </w:r>
      <w:r w:rsidRPr="004378CA">
        <w:rPr>
          <w:noProof/>
          <w:szCs w:val="22"/>
        </w:rPr>
        <w:t>. Dátum exspirácie sa vzťahuje na posledný deň v</w:t>
      </w:r>
      <w:r>
        <w:rPr>
          <w:noProof/>
          <w:szCs w:val="22"/>
        </w:rPr>
        <w:t xml:space="preserve"> danom </w:t>
      </w:r>
      <w:r w:rsidRPr="004378CA">
        <w:rPr>
          <w:noProof/>
          <w:szCs w:val="22"/>
        </w:rPr>
        <w:t>mesiaci.</w:t>
      </w:r>
    </w:p>
    <w:p w:rsidR="00907687" w:rsidRPr="004378CA" w:rsidRDefault="00907687" w:rsidP="00B66CD4">
      <w:pPr>
        <w:numPr>
          <w:ilvl w:val="12"/>
          <w:numId w:val="0"/>
        </w:numPr>
        <w:ind w:right="-2"/>
        <w:rPr>
          <w:noProof/>
          <w:szCs w:val="22"/>
        </w:rPr>
      </w:pPr>
    </w:p>
    <w:p w:rsidR="00907687" w:rsidRPr="004378CA" w:rsidRDefault="00907687" w:rsidP="00B66CD4">
      <w:pPr>
        <w:numPr>
          <w:ilvl w:val="12"/>
          <w:numId w:val="0"/>
        </w:numPr>
        <w:ind w:right="-2"/>
        <w:rPr>
          <w:noProof/>
          <w:szCs w:val="22"/>
        </w:rPr>
      </w:pPr>
      <w:r w:rsidRPr="004378CA">
        <w:rPr>
          <w:noProof/>
          <w:szCs w:val="22"/>
        </w:rPr>
        <w:t>Lieky sa nesmú likvidovať odpadovou vodou alebo domovým odpadom. Nepoužitý liek vráťte do lekárne. Tieto opatrenia pomôžu chrániť životné prostredie.</w:t>
      </w:r>
    </w:p>
    <w:p w:rsidR="00907687" w:rsidRPr="004378CA" w:rsidRDefault="00907687" w:rsidP="00B66CD4">
      <w:pPr>
        <w:numPr>
          <w:ilvl w:val="12"/>
          <w:numId w:val="0"/>
        </w:numPr>
        <w:ind w:right="-2"/>
        <w:rPr>
          <w:noProof/>
          <w:szCs w:val="22"/>
        </w:rPr>
      </w:pPr>
    </w:p>
    <w:p w:rsidR="00907687" w:rsidRPr="004378CA" w:rsidRDefault="00907687" w:rsidP="00B66CD4">
      <w:pPr>
        <w:numPr>
          <w:ilvl w:val="12"/>
          <w:numId w:val="0"/>
        </w:numPr>
        <w:ind w:right="-2"/>
        <w:rPr>
          <w:noProof/>
          <w:szCs w:val="22"/>
        </w:rPr>
      </w:pPr>
    </w:p>
    <w:p w:rsidR="00907687" w:rsidRPr="004378CA" w:rsidRDefault="00907687" w:rsidP="00B66CD4">
      <w:pPr>
        <w:numPr>
          <w:ilvl w:val="12"/>
          <w:numId w:val="0"/>
        </w:numPr>
        <w:ind w:left="567" w:right="-2" w:hanging="567"/>
        <w:rPr>
          <w:b/>
          <w:noProof/>
          <w:szCs w:val="22"/>
        </w:rPr>
      </w:pPr>
      <w:r w:rsidRPr="004378CA">
        <w:rPr>
          <w:b/>
          <w:noProof/>
          <w:szCs w:val="22"/>
        </w:rPr>
        <w:t>6.</w:t>
      </w:r>
      <w:r w:rsidRPr="004378CA">
        <w:rPr>
          <w:b/>
          <w:noProof/>
          <w:szCs w:val="22"/>
        </w:rPr>
        <w:tab/>
      </w:r>
      <w:r>
        <w:rPr>
          <w:b/>
          <w:noProof/>
          <w:szCs w:val="22"/>
        </w:rPr>
        <w:t>Obsah balenia a ďalšie informácie</w:t>
      </w:r>
    </w:p>
    <w:p w:rsidR="00907687" w:rsidRPr="004378CA" w:rsidRDefault="00907687" w:rsidP="00B66CD4">
      <w:pPr>
        <w:numPr>
          <w:ilvl w:val="12"/>
          <w:numId w:val="0"/>
        </w:numPr>
        <w:ind w:right="-2"/>
        <w:rPr>
          <w:noProof/>
          <w:szCs w:val="22"/>
        </w:rPr>
      </w:pPr>
    </w:p>
    <w:p w:rsidR="00907687" w:rsidRPr="004378CA" w:rsidRDefault="00907687" w:rsidP="00B66CD4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4378CA">
        <w:rPr>
          <w:b/>
          <w:noProof/>
          <w:szCs w:val="22"/>
        </w:rPr>
        <w:t>Čo liek BITAMMON obsahuje</w:t>
      </w:r>
    </w:p>
    <w:p w:rsidR="00907687" w:rsidRPr="003C1213" w:rsidRDefault="00907687" w:rsidP="00B66CD4">
      <w:pPr>
        <w:numPr>
          <w:ilvl w:val="12"/>
          <w:numId w:val="0"/>
        </w:numPr>
        <w:ind w:right="-2"/>
        <w:rPr>
          <w:noProof/>
          <w:szCs w:val="22"/>
        </w:rPr>
      </w:pPr>
    </w:p>
    <w:p w:rsidR="00907687" w:rsidRPr="004378CA" w:rsidRDefault="00907687" w:rsidP="00B66CD4">
      <w:pPr>
        <w:numPr>
          <w:ilvl w:val="12"/>
          <w:numId w:val="0"/>
        </w:numPr>
        <w:ind w:right="-2"/>
        <w:rPr>
          <w:noProof/>
          <w:szCs w:val="22"/>
        </w:rPr>
      </w:pPr>
      <w:r w:rsidRPr="004378CA">
        <w:rPr>
          <w:noProof/>
          <w:szCs w:val="22"/>
          <w:u w:val="single"/>
        </w:rPr>
        <w:t>Liečivo</w:t>
      </w:r>
      <w:r w:rsidRPr="004378CA">
        <w:rPr>
          <w:noProof/>
          <w:szCs w:val="22"/>
        </w:rPr>
        <w:t>: sultamicilín 3,5 g (250mg/5ml)</w:t>
      </w:r>
    </w:p>
    <w:p w:rsidR="00907687" w:rsidRPr="004378CA" w:rsidRDefault="00907687" w:rsidP="00B66CD4">
      <w:pPr>
        <w:numPr>
          <w:ilvl w:val="12"/>
          <w:numId w:val="0"/>
        </w:numPr>
        <w:ind w:right="-2"/>
        <w:rPr>
          <w:noProof/>
          <w:szCs w:val="22"/>
        </w:rPr>
      </w:pPr>
    </w:p>
    <w:p w:rsidR="00907687" w:rsidRPr="004378CA" w:rsidRDefault="00907687" w:rsidP="00B66CD4">
      <w:pPr>
        <w:numPr>
          <w:ilvl w:val="12"/>
          <w:numId w:val="0"/>
        </w:numPr>
        <w:ind w:right="-2"/>
        <w:rPr>
          <w:noProof/>
          <w:szCs w:val="22"/>
        </w:rPr>
      </w:pPr>
      <w:r w:rsidRPr="004378CA">
        <w:rPr>
          <w:noProof/>
          <w:szCs w:val="22"/>
          <w:u w:val="single"/>
        </w:rPr>
        <w:t xml:space="preserve">Pomocné látky: </w:t>
      </w:r>
    </w:p>
    <w:p w:rsidR="00907687" w:rsidRPr="004378CA" w:rsidRDefault="00907687">
      <w:pPr>
        <w:jc w:val="both"/>
        <w:rPr>
          <w:noProof/>
          <w:szCs w:val="22"/>
        </w:rPr>
      </w:pPr>
      <w:r w:rsidRPr="004378CA">
        <w:rPr>
          <w:noProof/>
          <w:szCs w:val="22"/>
        </w:rPr>
        <w:t xml:space="preserve">sacharóza, xantánová guma, hyprolóza, sodná soľ karmelózy, kyselina citrónová bezvodá, </w:t>
      </w:r>
    </w:p>
    <w:p w:rsidR="00907687" w:rsidRPr="004378CA" w:rsidRDefault="00907687" w:rsidP="00E53F5F">
      <w:pPr>
        <w:jc w:val="both"/>
        <w:rPr>
          <w:noProof/>
          <w:szCs w:val="22"/>
        </w:rPr>
      </w:pPr>
      <w:r w:rsidRPr="004378CA">
        <w:rPr>
          <w:noProof/>
          <w:szCs w:val="22"/>
        </w:rPr>
        <w:t xml:space="preserve">hydrogénfosforečnan sodný bezvodý, </w:t>
      </w:r>
      <w:r w:rsidR="001D489B">
        <w:rPr>
          <w:noProof/>
          <w:szCs w:val="22"/>
        </w:rPr>
        <w:t xml:space="preserve">aróma </w:t>
      </w:r>
      <w:bookmarkStart w:id="0" w:name="_GoBack"/>
      <w:bookmarkEnd w:id="0"/>
      <w:r w:rsidRPr="004378CA">
        <w:rPr>
          <w:noProof/>
          <w:szCs w:val="22"/>
        </w:rPr>
        <w:t>guarana</w:t>
      </w:r>
    </w:p>
    <w:p w:rsidR="00907687" w:rsidRPr="004378CA" w:rsidRDefault="00907687" w:rsidP="00E53F5F">
      <w:pPr>
        <w:jc w:val="both"/>
        <w:rPr>
          <w:noProof/>
          <w:szCs w:val="22"/>
        </w:rPr>
      </w:pPr>
    </w:p>
    <w:p w:rsidR="00907687" w:rsidRPr="004378CA" w:rsidRDefault="00907687" w:rsidP="00B66CD4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4378CA">
        <w:rPr>
          <w:b/>
          <w:noProof/>
          <w:szCs w:val="22"/>
        </w:rPr>
        <w:t>Ako vyzerá liek BITAMMON a obsah balenia</w:t>
      </w:r>
    </w:p>
    <w:p w:rsidR="00907687" w:rsidRPr="003C1213" w:rsidRDefault="00907687" w:rsidP="00B66CD4">
      <w:pPr>
        <w:numPr>
          <w:ilvl w:val="12"/>
          <w:numId w:val="0"/>
        </w:numPr>
        <w:ind w:right="-2"/>
        <w:rPr>
          <w:noProof/>
          <w:szCs w:val="22"/>
        </w:rPr>
      </w:pPr>
    </w:p>
    <w:p w:rsidR="00907687" w:rsidRPr="004378CA" w:rsidRDefault="00907687" w:rsidP="003D2E01">
      <w:pPr>
        <w:rPr>
          <w:noProof/>
          <w:szCs w:val="22"/>
        </w:rPr>
      </w:pPr>
      <w:r>
        <w:rPr>
          <w:noProof/>
          <w:szCs w:val="22"/>
        </w:rPr>
        <w:t>p</w:t>
      </w:r>
      <w:r w:rsidRPr="004378CA">
        <w:rPr>
          <w:noProof/>
          <w:szCs w:val="22"/>
        </w:rPr>
        <w:t>rášok na prípravu suspenzie</w:t>
      </w:r>
    </w:p>
    <w:p w:rsidR="00907687" w:rsidRPr="004378CA" w:rsidRDefault="00907687" w:rsidP="003D2E01">
      <w:pPr>
        <w:rPr>
          <w:noProof/>
          <w:szCs w:val="22"/>
        </w:rPr>
      </w:pPr>
      <w:r>
        <w:rPr>
          <w:noProof/>
          <w:szCs w:val="22"/>
        </w:rPr>
        <w:t>p</w:t>
      </w:r>
      <w:r w:rsidRPr="004378CA">
        <w:rPr>
          <w:noProof/>
          <w:szCs w:val="22"/>
        </w:rPr>
        <w:t>opis lieku: biely až takmer biely sypký prášok</w:t>
      </w:r>
    </w:p>
    <w:p w:rsidR="00907687" w:rsidRPr="004378CA" w:rsidRDefault="00907687" w:rsidP="003D2E01">
      <w:pPr>
        <w:rPr>
          <w:noProof/>
          <w:szCs w:val="22"/>
        </w:rPr>
      </w:pPr>
    </w:p>
    <w:p w:rsidR="00907687" w:rsidRPr="004378CA" w:rsidRDefault="00907687" w:rsidP="003D2E01">
      <w:pPr>
        <w:pStyle w:val="Nadpis8"/>
        <w:jc w:val="both"/>
        <w:rPr>
          <w:rFonts w:ascii="Times New Roman" w:hAnsi="Times New Roman"/>
          <w:noProof/>
          <w:sz w:val="22"/>
          <w:szCs w:val="22"/>
        </w:rPr>
      </w:pPr>
      <w:r w:rsidRPr="004378CA">
        <w:rPr>
          <w:rFonts w:ascii="Times New Roman" w:hAnsi="Times New Roman"/>
          <w:noProof/>
          <w:sz w:val="22"/>
          <w:szCs w:val="22"/>
        </w:rPr>
        <w:lastRenderedPageBreak/>
        <w:t>Balenie</w:t>
      </w:r>
    </w:p>
    <w:p w:rsidR="00907687" w:rsidRPr="004378CA" w:rsidRDefault="00907687" w:rsidP="003D2E01">
      <w:pPr>
        <w:jc w:val="both"/>
        <w:rPr>
          <w:noProof/>
          <w:szCs w:val="22"/>
        </w:rPr>
      </w:pPr>
      <w:r w:rsidRPr="004378CA">
        <w:rPr>
          <w:noProof/>
          <w:szCs w:val="22"/>
        </w:rPr>
        <w:t>Fľaška obsahujúca prášok na perorálnu suspenziu 33,9 g. Po nariedení vznikne 70 ml suspenzie</w:t>
      </w:r>
    </w:p>
    <w:p w:rsidR="00907687" w:rsidRPr="004378CA" w:rsidRDefault="00907687" w:rsidP="003D2E01">
      <w:pPr>
        <w:jc w:val="both"/>
        <w:rPr>
          <w:noProof/>
          <w:szCs w:val="22"/>
        </w:rPr>
      </w:pPr>
      <w:r w:rsidRPr="004378CA">
        <w:rPr>
          <w:noProof/>
          <w:szCs w:val="22"/>
        </w:rPr>
        <w:t>s koncentráciou 250 mg sultamicilinu/5 ml.</w:t>
      </w:r>
    </w:p>
    <w:p w:rsidR="00907687" w:rsidRPr="004378CA" w:rsidRDefault="00907687" w:rsidP="003D2E01">
      <w:pPr>
        <w:jc w:val="both"/>
        <w:rPr>
          <w:noProof/>
          <w:szCs w:val="22"/>
        </w:rPr>
      </w:pPr>
    </w:p>
    <w:p w:rsidR="00907687" w:rsidRPr="004378CA" w:rsidRDefault="00907687" w:rsidP="00B66CD4">
      <w:pPr>
        <w:numPr>
          <w:ilvl w:val="12"/>
          <w:numId w:val="0"/>
        </w:numPr>
        <w:ind w:right="-2"/>
        <w:rPr>
          <w:noProof/>
          <w:szCs w:val="22"/>
        </w:rPr>
      </w:pPr>
    </w:p>
    <w:p w:rsidR="00907687" w:rsidRDefault="00907687" w:rsidP="00B66CD4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4378CA">
        <w:rPr>
          <w:b/>
          <w:noProof/>
          <w:szCs w:val="22"/>
        </w:rPr>
        <w:t>Držiteľ rozhodnutia o</w:t>
      </w:r>
      <w:r w:rsidR="004D0EA0">
        <w:rPr>
          <w:b/>
          <w:noProof/>
          <w:szCs w:val="22"/>
        </w:rPr>
        <w:t> </w:t>
      </w:r>
      <w:r w:rsidRPr="004378CA">
        <w:rPr>
          <w:b/>
          <w:noProof/>
          <w:szCs w:val="22"/>
        </w:rPr>
        <w:t>registrácii</w:t>
      </w:r>
      <w:r w:rsidR="004D0EA0">
        <w:rPr>
          <w:b/>
          <w:noProof/>
          <w:szCs w:val="22"/>
        </w:rPr>
        <w:t xml:space="preserve"> a výrobca</w:t>
      </w:r>
    </w:p>
    <w:p w:rsidR="004D0EA0" w:rsidRPr="004D0EA0" w:rsidRDefault="004D0EA0" w:rsidP="00B66CD4">
      <w:pPr>
        <w:numPr>
          <w:ilvl w:val="12"/>
          <w:numId w:val="0"/>
        </w:numPr>
        <w:ind w:right="-2"/>
        <w:rPr>
          <w:noProof/>
          <w:szCs w:val="22"/>
          <w:u w:val="single"/>
        </w:rPr>
      </w:pPr>
      <w:r>
        <w:rPr>
          <w:noProof/>
          <w:szCs w:val="22"/>
          <w:u w:val="single"/>
        </w:rPr>
        <w:t>Držiteľ rozhodnutia o registrácii</w:t>
      </w:r>
    </w:p>
    <w:p w:rsidR="00907687" w:rsidRPr="004378CA" w:rsidRDefault="00907687" w:rsidP="00B66CD4">
      <w:pPr>
        <w:numPr>
          <w:ilvl w:val="12"/>
          <w:numId w:val="0"/>
        </w:numPr>
        <w:ind w:right="-2"/>
        <w:rPr>
          <w:noProof/>
          <w:szCs w:val="22"/>
        </w:rPr>
      </w:pPr>
      <w:r w:rsidRPr="004378CA">
        <w:rPr>
          <w:noProof/>
          <w:szCs w:val="22"/>
        </w:rPr>
        <w:t xml:space="preserve">BB Pharma a.s., </w:t>
      </w:r>
      <w:r>
        <w:rPr>
          <w:noProof/>
          <w:szCs w:val="22"/>
        </w:rPr>
        <w:t>Durychova 101/66, 142 00</w:t>
      </w:r>
      <w:r w:rsidRPr="004378CA">
        <w:rPr>
          <w:noProof/>
          <w:szCs w:val="22"/>
        </w:rPr>
        <w:t xml:space="preserve"> Praha 4</w:t>
      </w:r>
      <w:r>
        <w:rPr>
          <w:noProof/>
          <w:szCs w:val="22"/>
        </w:rPr>
        <w:t xml:space="preserve"> - Lhotka</w:t>
      </w:r>
      <w:r w:rsidRPr="004378CA">
        <w:rPr>
          <w:noProof/>
          <w:szCs w:val="22"/>
        </w:rPr>
        <w:t>, Česká republika</w:t>
      </w:r>
    </w:p>
    <w:p w:rsidR="00907687" w:rsidRPr="004378CA" w:rsidRDefault="00907687" w:rsidP="00B66CD4">
      <w:pPr>
        <w:numPr>
          <w:ilvl w:val="12"/>
          <w:numId w:val="0"/>
        </w:numPr>
        <w:ind w:right="-2"/>
        <w:rPr>
          <w:noProof/>
          <w:szCs w:val="22"/>
        </w:rPr>
      </w:pPr>
    </w:p>
    <w:p w:rsidR="001B3BB4" w:rsidRDefault="001B3BB4" w:rsidP="001B3BB4">
      <w:pPr>
        <w:pStyle w:val="Zkladntext"/>
        <w:jc w:val="left"/>
        <w:rPr>
          <w:rFonts w:ascii="Times New Roman" w:hAnsi="Times New Roman"/>
          <w:b w:val="0"/>
          <w:sz w:val="22"/>
          <w:szCs w:val="22"/>
          <w:u w:val="single"/>
        </w:rPr>
      </w:pPr>
      <w:r>
        <w:rPr>
          <w:rFonts w:ascii="Times New Roman" w:hAnsi="Times New Roman"/>
          <w:b w:val="0"/>
          <w:sz w:val="22"/>
          <w:szCs w:val="22"/>
          <w:u w:val="single"/>
        </w:rPr>
        <w:t>Výrobca</w:t>
      </w:r>
    </w:p>
    <w:p w:rsidR="001B3BB4" w:rsidRDefault="001B3BB4" w:rsidP="001B3BB4">
      <w:pPr>
        <w:pStyle w:val="Zkladntext"/>
        <w:jc w:val="left"/>
        <w:rPr>
          <w:rFonts w:ascii="Times New Roman" w:hAnsi="Times New Roman"/>
          <w:b w:val="0"/>
          <w:sz w:val="22"/>
          <w:szCs w:val="22"/>
        </w:rPr>
      </w:pPr>
      <w:proofErr w:type="spellStart"/>
      <w:r>
        <w:rPr>
          <w:rFonts w:ascii="Times New Roman" w:hAnsi="Times New Roman"/>
          <w:b w:val="0"/>
          <w:sz w:val="22"/>
          <w:szCs w:val="22"/>
        </w:rPr>
        <w:t>AtB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Pharma</w:t>
      </w:r>
      <w:proofErr w:type="spellEnd"/>
      <w:r>
        <w:rPr>
          <w:rFonts w:ascii="Times New Roman" w:hAnsi="Times New Roman"/>
          <w:b w:val="0"/>
          <w:sz w:val="22"/>
          <w:szCs w:val="22"/>
        </w:rPr>
        <w:t>, s.r.o., Sklabinská 28, 036 01 Martin, Slovenská republika</w:t>
      </w:r>
    </w:p>
    <w:p w:rsidR="001B3BB4" w:rsidRDefault="001B3BB4" w:rsidP="001B3BB4">
      <w:pPr>
        <w:pStyle w:val="Zkladntext"/>
        <w:jc w:val="lef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Prevádzkareň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AtB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Pharma</w:t>
      </w:r>
      <w:proofErr w:type="spellEnd"/>
      <w:r>
        <w:rPr>
          <w:rFonts w:ascii="Times New Roman" w:hAnsi="Times New Roman"/>
          <w:b w:val="0"/>
          <w:sz w:val="22"/>
          <w:szCs w:val="22"/>
        </w:rPr>
        <w:t>, s.r.o., 976 13 Slovenská Ľupča 970, Slovenská republika</w:t>
      </w:r>
    </w:p>
    <w:p w:rsidR="001B3BB4" w:rsidRDefault="001B3BB4" w:rsidP="001B3BB4">
      <w:pPr>
        <w:pStyle w:val="Zkladntext"/>
        <w:jc w:val="left"/>
        <w:rPr>
          <w:rFonts w:ascii="Times New Roman" w:hAnsi="Times New Roman"/>
          <w:b w:val="0"/>
          <w:sz w:val="22"/>
          <w:szCs w:val="22"/>
        </w:rPr>
      </w:pPr>
    </w:p>
    <w:p w:rsidR="00907687" w:rsidRPr="004378CA" w:rsidRDefault="00907687" w:rsidP="00B66CD4">
      <w:pPr>
        <w:numPr>
          <w:ilvl w:val="12"/>
          <w:numId w:val="0"/>
        </w:numPr>
        <w:ind w:right="-2"/>
        <w:rPr>
          <w:noProof/>
          <w:szCs w:val="22"/>
        </w:rPr>
      </w:pPr>
      <w:r w:rsidRPr="004378CA">
        <w:rPr>
          <w:noProof/>
          <w:szCs w:val="22"/>
        </w:rPr>
        <w:t>Ďalšie informácie o tomto lieku získate u držiteľa rozhodnutia o registrácii.</w:t>
      </w:r>
    </w:p>
    <w:p w:rsidR="00907687" w:rsidRPr="004378CA" w:rsidRDefault="00907687" w:rsidP="00B66CD4">
      <w:pPr>
        <w:numPr>
          <w:ilvl w:val="12"/>
          <w:numId w:val="0"/>
        </w:numPr>
        <w:ind w:right="-2"/>
        <w:rPr>
          <w:noProof/>
          <w:szCs w:val="22"/>
        </w:rPr>
      </w:pPr>
    </w:p>
    <w:p w:rsidR="00907687" w:rsidRPr="004378CA" w:rsidRDefault="00907687" w:rsidP="00B66CD4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4378CA">
        <w:rPr>
          <w:b/>
          <w:noProof/>
          <w:szCs w:val="22"/>
        </w:rPr>
        <w:t>Táto písomná informácia pre používateľ</w:t>
      </w:r>
      <w:r>
        <w:rPr>
          <w:b/>
          <w:noProof/>
          <w:szCs w:val="22"/>
        </w:rPr>
        <w:t>a</w:t>
      </w:r>
      <w:r w:rsidRPr="004378CA">
        <w:rPr>
          <w:b/>
          <w:noProof/>
          <w:szCs w:val="22"/>
        </w:rPr>
        <w:t xml:space="preserve"> bola naposledy </w:t>
      </w:r>
      <w:r>
        <w:rPr>
          <w:b/>
          <w:noProof/>
          <w:szCs w:val="22"/>
        </w:rPr>
        <w:t>aktualizovaná</w:t>
      </w:r>
      <w:r w:rsidRPr="004378CA">
        <w:rPr>
          <w:b/>
          <w:noProof/>
          <w:szCs w:val="22"/>
        </w:rPr>
        <w:t xml:space="preserve"> v</w:t>
      </w:r>
      <w:r w:rsidR="008B0B18">
        <w:rPr>
          <w:b/>
          <w:noProof/>
          <w:szCs w:val="22"/>
        </w:rPr>
        <w:t> 07/</w:t>
      </w:r>
      <w:r w:rsidR="002C7230">
        <w:rPr>
          <w:b/>
          <w:noProof/>
          <w:szCs w:val="22"/>
        </w:rPr>
        <w:t>2017</w:t>
      </w:r>
    </w:p>
    <w:p w:rsidR="00907687" w:rsidRPr="004378CA" w:rsidRDefault="00907687" w:rsidP="00B66CD4">
      <w:pPr>
        <w:numPr>
          <w:ilvl w:val="12"/>
          <w:numId w:val="0"/>
        </w:numPr>
        <w:ind w:right="-2"/>
        <w:rPr>
          <w:noProof/>
          <w:szCs w:val="22"/>
        </w:rPr>
      </w:pPr>
    </w:p>
    <w:sectPr w:rsidR="00907687" w:rsidRPr="004378CA" w:rsidSect="004462DC">
      <w:headerReference w:type="first" r:id="rId14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2605D61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0F66" w:rsidRDefault="00C90F66">
      <w:r>
        <w:separator/>
      </w:r>
    </w:p>
  </w:endnote>
  <w:endnote w:type="continuationSeparator" w:id="0">
    <w:p w:rsidR="00C90F66" w:rsidRDefault="00C90F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687" w:rsidRDefault="00EB7171" w:rsidP="00FB524E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907687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907687" w:rsidRDefault="00907687">
    <w:pPr>
      <w:pStyle w:val="Pt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687" w:rsidRPr="006A7452" w:rsidRDefault="00EB7171" w:rsidP="00FB524E">
    <w:pPr>
      <w:pStyle w:val="Pta"/>
      <w:framePr w:wrap="around" w:vAnchor="text" w:hAnchor="margin" w:xAlign="center" w:y="1"/>
      <w:rPr>
        <w:rStyle w:val="slostrany"/>
        <w:sz w:val="18"/>
        <w:szCs w:val="18"/>
      </w:rPr>
    </w:pPr>
    <w:r w:rsidRPr="006A7452">
      <w:rPr>
        <w:rStyle w:val="slostrany"/>
        <w:sz w:val="18"/>
        <w:szCs w:val="18"/>
      </w:rPr>
      <w:fldChar w:fldCharType="begin"/>
    </w:r>
    <w:r w:rsidR="00907687" w:rsidRPr="006A7452">
      <w:rPr>
        <w:rStyle w:val="slostrany"/>
        <w:sz w:val="18"/>
        <w:szCs w:val="18"/>
      </w:rPr>
      <w:instrText xml:space="preserve">PAGE  </w:instrText>
    </w:r>
    <w:r w:rsidRPr="006A7452">
      <w:rPr>
        <w:rStyle w:val="slostrany"/>
        <w:sz w:val="18"/>
        <w:szCs w:val="18"/>
      </w:rPr>
      <w:fldChar w:fldCharType="separate"/>
    </w:r>
    <w:r w:rsidR="00653F25">
      <w:rPr>
        <w:rStyle w:val="slostrany"/>
        <w:noProof/>
        <w:sz w:val="18"/>
        <w:szCs w:val="18"/>
      </w:rPr>
      <w:t>3</w:t>
    </w:r>
    <w:r w:rsidRPr="006A7452">
      <w:rPr>
        <w:rStyle w:val="slostrany"/>
        <w:sz w:val="18"/>
        <w:szCs w:val="18"/>
      </w:rPr>
      <w:fldChar w:fldCharType="end"/>
    </w:r>
  </w:p>
  <w:p w:rsidR="00907687" w:rsidRDefault="00907687">
    <w:pPr>
      <w:pStyle w:val="Pt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80E" w:rsidRDefault="008D180E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0F66" w:rsidRDefault="00C90F66">
      <w:r>
        <w:separator/>
      </w:r>
    </w:p>
  </w:footnote>
  <w:footnote w:type="continuationSeparator" w:id="0">
    <w:p w:rsidR="00C90F66" w:rsidRDefault="00C90F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80E" w:rsidRDefault="008D180E">
    <w:pPr>
      <w:pStyle w:val="Hlavik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80E" w:rsidRDefault="008D180E">
    <w:pPr>
      <w:pStyle w:val="Hlavik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687" w:rsidRPr="004462DC" w:rsidRDefault="001B3BB4" w:rsidP="004462DC">
    <w:pPr>
      <w:pStyle w:val="Hlavika"/>
      <w:rPr>
        <w:sz w:val="18"/>
        <w:szCs w:val="18"/>
      </w:rPr>
    </w:pPr>
    <w:r>
      <w:rPr>
        <w:sz w:val="18"/>
        <w:szCs w:val="18"/>
      </w:rPr>
      <w:t>Príloha č. 1 k notifikácii o zmene, ev. č.:</w:t>
    </w:r>
    <w:r w:rsidR="008D180E">
      <w:rPr>
        <w:sz w:val="18"/>
        <w:szCs w:val="18"/>
      </w:rPr>
      <w:t xml:space="preserve"> 2017/03344-Z1A</w: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687" w:rsidRPr="004462DC" w:rsidRDefault="00907687" w:rsidP="004462DC">
    <w:pPr>
      <w:pStyle w:val="Hlavika"/>
      <w:rPr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43F0C51"/>
    <w:multiLevelType w:val="hybridMultilevel"/>
    <w:tmpl w:val="40D4668C"/>
    <w:lvl w:ilvl="0" w:tplc="3ECC8E22">
      <w:start w:val="5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727137C"/>
    <w:multiLevelType w:val="hybridMultilevel"/>
    <w:tmpl w:val="7BCCA63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17C549A"/>
    <w:multiLevelType w:val="hybridMultilevel"/>
    <w:tmpl w:val="2C669FD6"/>
    <w:lvl w:ilvl="0" w:tplc="036CC55E">
      <w:start w:val="3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38B1E77"/>
    <w:multiLevelType w:val="hybridMultilevel"/>
    <w:tmpl w:val="5AB67E5E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E184EA2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3972093F"/>
    <w:multiLevelType w:val="hybridMultilevel"/>
    <w:tmpl w:val="DBFC0D5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7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Čipková">
    <w15:presenceInfo w15:providerId="None" w15:userId="Čipková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trackRevision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4243"/>
    <w:rsid w:val="000050A0"/>
    <w:rsid w:val="0006687B"/>
    <w:rsid w:val="00095D11"/>
    <w:rsid w:val="000A56DB"/>
    <w:rsid w:val="000B73EB"/>
    <w:rsid w:val="000C2270"/>
    <w:rsid w:val="000D1BB6"/>
    <w:rsid w:val="000E17F4"/>
    <w:rsid w:val="000E4547"/>
    <w:rsid w:val="000F0359"/>
    <w:rsid w:val="00111E8E"/>
    <w:rsid w:val="00145CE8"/>
    <w:rsid w:val="00152A63"/>
    <w:rsid w:val="00157450"/>
    <w:rsid w:val="00183137"/>
    <w:rsid w:val="001A2746"/>
    <w:rsid w:val="001A4243"/>
    <w:rsid w:val="001B3BB4"/>
    <w:rsid w:val="001D489B"/>
    <w:rsid w:val="001D5CA0"/>
    <w:rsid w:val="002456C1"/>
    <w:rsid w:val="00267832"/>
    <w:rsid w:val="00273245"/>
    <w:rsid w:val="002A2A03"/>
    <w:rsid w:val="002A54D1"/>
    <w:rsid w:val="002B77A6"/>
    <w:rsid w:val="002C2B9B"/>
    <w:rsid w:val="002C7230"/>
    <w:rsid w:val="002D3EB6"/>
    <w:rsid w:val="002D590D"/>
    <w:rsid w:val="002D7FDE"/>
    <w:rsid w:val="002E6CD4"/>
    <w:rsid w:val="003178B4"/>
    <w:rsid w:val="00332B73"/>
    <w:rsid w:val="003822A0"/>
    <w:rsid w:val="00383F68"/>
    <w:rsid w:val="00393178"/>
    <w:rsid w:val="003A29F6"/>
    <w:rsid w:val="003C1213"/>
    <w:rsid w:val="003C69D6"/>
    <w:rsid w:val="003D2E01"/>
    <w:rsid w:val="00411019"/>
    <w:rsid w:val="004209A5"/>
    <w:rsid w:val="004378CA"/>
    <w:rsid w:val="004462DC"/>
    <w:rsid w:val="0044757B"/>
    <w:rsid w:val="00451E88"/>
    <w:rsid w:val="004D0EA0"/>
    <w:rsid w:val="004F0DA9"/>
    <w:rsid w:val="00551AFF"/>
    <w:rsid w:val="00551C12"/>
    <w:rsid w:val="005864A4"/>
    <w:rsid w:val="00591299"/>
    <w:rsid w:val="0059528C"/>
    <w:rsid w:val="005A5A77"/>
    <w:rsid w:val="005A747C"/>
    <w:rsid w:val="005C012F"/>
    <w:rsid w:val="0060475F"/>
    <w:rsid w:val="00605E4C"/>
    <w:rsid w:val="00627388"/>
    <w:rsid w:val="00642552"/>
    <w:rsid w:val="00653CAF"/>
    <w:rsid w:val="00653F25"/>
    <w:rsid w:val="00674583"/>
    <w:rsid w:val="006855B4"/>
    <w:rsid w:val="006A637C"/>
    <w:rsid w:val="006A7452"/>
    <w:rsid w:val="006C0B8C"/>
    <w:rsid w:val="006D497B"/>
    <w:rsid w:val="006E13C5"/>
    <w:rsid w:val="006F265E"/>
    <w:rsid w:val="00727AE7"/>
    <w:rsid w:val="007410C8"/>
    <w:rsid w:val="00742E65"/>
    <w:rsid w:val="007600DB"/>
    <w:rsid w:val="0077208D"/>
    <w:rsid w:val="00790EE5"/>
    <w:rsid w:val="0079723E"/>
    <w:rsid w:val="007B280D"/>
    <w:rsid w:val="007E5AC6"/>
    <w:rsid w:val="00814612"/>
    <w:rsid w:val="00831901"/>
    <w:rsid w:val="00841BD7"/>
    <w:rsid w:val="00891629"/>
    <w:rsid w:val="008A16AB"/>
    <w:rsid w:val="008A5889"/>
    <w:rsid w:val="008B0B18"/>
    <w:rsid w:val="008C0BC8"/>
    <w:rsid w:val="008C6A2A"/>
    <w:rsid w:val="008D180E"/>
    <w:rsid w:val="00906754"/>
    <w:rsid w:val="00907687"/>
    <w:rsid w:val="00923657"/>
    <w:rsid w:val="00937326"/>
    <w:rsid w:val="00956CFA"/>
    <w:rsid w:val="009759F2"/>
    <w:rsid w:val="009A3BF3"/>
    <w:rsid w:val="009A5396"/>
    <w:rsid w:val="009B45DD"/>
    <w:rsid w:val="009C7F64"/>
    <w:rsid w:val="00A03222"/>
    <w:rsid w:val="00A1098C"/>
    <w:rsid w:val="00A44482"/>
    <w:rsid w:val="00A47AF1"/>
    <w:rsid w:val="00A722AD"/>
    <w:rsid w:val="00A77891"/>
    <w:rsid w:val="00AB7E91"/>
    <w:rsid w:val="00AC4E5C"/>
    <w:rsid w:val="00AE52A1"/>
    <w:rsid w:val="00B56704"/>
    <w:rsid w:val="00B66CD4"/>
    <w:rsid w:val="00B9054B"/>
    <w:rsid w:val="00BF2CCC"/>
    <w:rsid w:val="00C04FB6"/>
    <w:rsid w:val="00C1080C"/>
    <w:rsid w:val="00C23889"/>
    <w:rsid w:val="00C25106"/>
    <w:rsid w:val="00C25BCF"/>
    <w:rsid w:val="00C57083"/>
    <w:rsid w:val="00C707F0"/>
    <w:rsid w:val="00C70D8E"/>
    <w:rsid w:val="00C72782"/>
    <w:rsid w:val="00C900C9"/>
    <w:rsid w:val="00C90F66"/>
    <w:rsid w:val="00CF6345"/>
    <w:rsid w:val="00D34375"/>
    <w:rsid w:val="00D3767F"/>
    <w:rsid w:val="00D47675"/>
    <w:rsid w:val="00D6035D"/>
    <w:rsid w:val="00D754AF"/>
    <w:rsid w:val="00DA6D35"/>
    <w:rsid w:val="00DD347F"/>
    <w:rsid w:val="00E0755B"/>
    <w:rsid w:val="00E53F5F"/>
    <w:rsid w:val="00E57D25"/>
    <w:rsid w:val="00E63726"/>
    <w:rsid w:val="00EB0C95"/>
    <w:rsid w:val="00EB7171"/>
    <w:rsid w:val="00ED3F86"/>
    <w:rsid w:val="00EE069A"/>
    <w:rsid w:val="00EE3418"/>
    <w:rsid w:val="00F3327C"/>
    <w:rsid w:val="00F87517"/>
    <w:rsid w:val="00F97E62"/>
    <w:rsid w:val="00FB524E"/>
    <w:rsid w:val="00FC17CB"/>
    <w:rsid w:val="00FD4E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66CD4"/>
    <w:pPr>
      <w:ind w:left="567" w:hanging="567"/>
    </w:pPr>
    <w:rPr>
      <w:sz w:val="22"/>
      <w:szCs w:val="24"/>
    </w:rPr>
  </w:style>
  <w:style w:type="paragraph" w:styleId="Nadpis8">
    <w:name w:val="heading 8"/>
    <w:basedOn w:val="Normlny"/>
    <w:next w:val="Normlny"/>
    <w:link w:val="Nadpis8Char"/>
    <w:uiPriority w:val="9"/>
    <w:qFormat/>
    <w:rsid w:val="003D2E01"/>
    <w:pPr>
      <w:keepNext/>
      <w:ind w:left="0" w:firstLine="0"/>
      <w:outlineLvl w:val="7"/>
    </w:pPr>
    <w:rPr>
      <w:rFonts w:ascii="MS Sans Serif" w:hAnsi="MS Sans Serif"/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8Char">
    <w:name w:val="Nadpis 8 Char"/>
    <w:basedOn w:val="Predvolenpsmoodseku"/>
    <w:link w:val="Nadpis8"/>
    <w:uiPriority w:val="9"/>
    <w:semiHidden/>
    <w:rsid w:val="00C512C6"/>
    <w:rPr>
      <w:rFonts w:ascii="Calibri" w:eastAsia="Times New Roman" w:hAnsi="Calibri" w:cs="Times New Roman"/>
      <w:i/>
      <w:iCs/>
      <w:sz w:val="24"/>
      <w:szCs w:val="24"/>
    </w:rPr>
  </w:style>
  <w:style w:type="character" w:styleId="Hypertextovprepojenie">
    <w:name w:val="Hyperlink"/>
    <w:basedOn w:val="Predvolenpsmoodseku"/>
    <w:uiPriority w:val="99"/>
    <w:rsid w:val="00B66CD4"/>
    <w:rPr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DD347F"/>
    <w:pPr>
      <w:overflowPunct w:val="0"/>
      <w:autoSpaceDE w:val="0"/>
      <w:autoSpaceDN w:val="0"/>
      <w:adjustRightInd w:val="0"/>
      <w:ind w:left="0" w:firstLine="0"/>
      <w:jc w:val="center"/>
      <w:textAlignment w:val="baseline"/>
    </w:pPr>
    <w:rPr>
      <w:rFonts w:ascii="Arial" w:hAnsi="Arial"/>
      <w:b/>
      <w:sz w:val="72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C512C6"/>
    <w:rPr>
      <w:sz w:val="22"/>
      <w:szCs w:val="24"/>
    </w:rPr>
  </w:style>
  <w:style w:type="paragraph" w:styleId="Hlavika">
    <w:name w:val="header"/>
    <w:basedOn w:val="Normlny"/>
    <w:link w:val="HlavikaChar"/>
    <w:uiPriority w:val="99"/>
    <w:rsid w:val="00EB0C9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C512C6"/>
    <w:rPr>
      <w:sz w:val="22"/>
      <w:szCs w:val="24"/>
    </w:rPr>
  </w:style>
  <w:style w:type="paragraph" w:styleId="Pta">
    <w:name w:val="footer"/>
    <w:basedOn w:val="Normlny"/>
    <w:link w:val="PtaChar"/>
    <w:uiPriority w:val="99"/>
    <w:rsid w:val="00EB0C9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C512C6"/>
    <w:rPr>
      <w:sz w:val="22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A7789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512C6"/>
    <w:rPr>
      <w:sz w:val="0"/>
      <w:szCs w:val="0"/>
    </w:rPr>
  </w:style>
  <w:style w:type="character" w:styleId="slostrany">
    <w:name w:val="page number"/>
    <w:basedOn w:val="Predvolenpsmoodseku"/>
    <w:uiPriority w:val="99"/>
    <w:rsid w:val="006A7452"/>
    <w:rPr>
      <w:rFonts w:cs="Times New Roman"/>
    </w:rPr>
  </w:style>
  <w:style w:type="character" w:styleId="Odkaznakomentr">
    <w:name w:val="annotation reference"/>
    <w:basedOn w:val="Predvolenpsmoodseku"/>
    <w:semiHidden/>
    <w:unhideWhenUsed/>
    <w:rsid w:val="00BF2CCC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unhideWhenUsed/>
    <w:rsid w:val="00BF2CC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BF2CCC"/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BF2CC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semiHidden/>
    <w:rsid w:val="00BF2CC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1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www.ema.europa.eu/docs/en_GB/document_library/Template_or_form/2013/03/WC500139752.doc" TargetMode="External"/><Relationship Id="rId1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1250</Words>
  <Characters>7127</Characters>
  <Application>Microsoft Office Word</Application>
  <DocSecurity>0</DocSecurity>
  <Lines>59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PÍSOMNÁ INFORMÁCIA PRE POUŽÍVATEĽOV</vt:lpstr>
    </vt:vector>
  </TitlesOfParts>
  <Company>Biotika a.s.</Company>
  <LinksUpToDate>false</LinksUpToDate>
  <CharactersWithSpaces>8361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PÍSOMNÁ INFORMÁCIA PRE POUŽÍVATEĽOV</dc:title>
  <dc:subject/>
  <dc:creator>Eva Kasarova</dc:creator>
  <cp:keywords/>
  <dc:description/>
  <cp:lastModifiedBy> Jana Repiščáková</cp:lastModifiedBy>
  <cp:revision>8</cp:revision>
  <cp:lastPrinted>2013-09-20T07:52:00Z</cp:lastPrinted>
  <dcterms:created xsi:type="dcterms:W3CDTF">2017-06-28T07:03:00Z</dcterms:created>
  <dcterms:modified xsi:type="dcterms:W3CDTF">2017-07-03T13:35:00Z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