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02" w:rsidRPr="00BD425A" w:rsidRDefault="004C2502" w:rsidP="008D5942">
      <w:pPr>
        <w:pStyle w:val="SPCnadpis"/>
        <w:spacing w:before="0" w:after="0"/>
        <w:rPr>
          <w:szCs w:val="22"/>
          <w:lang w:val="sk-SK"/>
        </w:rPr>
      </w:pPr>
    </w:p>
    <w:p w:rsidR="00625A4D" w:rsidRPr="00491C42" w:rsidRDefault="00625A4D" w:rsidP="008D5942">
      <w:pPr>
        <w:pStyle w:val="SPCnadpis"/>
        <w:spacing w:before="0" w:after="0"/>
        <w:rPr>
          <w:szCs w:val="22"/>
          <w:lang w:val="sk-SK"/>
        </w:rPr>
      </w:pPr>
      <w:r w:rsidRPr="00491C42">
        <w:rPr>
          <w:szCs w:val="22"/>
          <w:lang w:val="sk-SK"/>
        </w:rPr>
        <w:t>Písomná informácia pre používateľa</w:t>
      </w:r>
    </w:p>
    <w:p w:rsidR="000206E0" w:rsidRPr="00491C42" w:rsidRDefault="000206E0" w:rsidP="008D5942">
      <w:pPr>
        <w:pStyle w:val="SPCnadpis"/>
        <w:spacing w:before="0" w:after="0"/>
        <w:rPr>
          <w:szCs w:val="22"/>
          <w:lang w:val="sk-SK"/>
        </w:rPr>
      </w:pPr>
    </w:p>
    <w:p w:rsidR="00770291" w:rsidRPr="00491C42" w:rsidRDefault="00AF4424" w:rsidP="008D5942">
      <w:pPr>
        <w:pStyle w:val="SPCnadpis"/>
        <w:spacing w:before="0" w:after="0"/>
        <w:rPr>
          <w:bCs w:val="0"/>
          <w:szCs w:val="22"/>
          <w:lang w:val="sk-SK" w:eastAsia="en-US"/>
        </w:rPr>
      </w:pPr>
      <w:r w:rsidRPr="00491C42">
        <w:rPr>
          <w:bCs w:val="0"/>
          <w:szCs w:val="22"/>
          <w:lang w:val="sk-SK" w:eastAsia="en-US"/>
        </w:rPr>
        <w:t>FOLINAR</w:t>
      </w:r>
      <w:r w:rsidR="00E65499" w:rsidRPr="00491C42">
        <w:rPr>
          <w:bCs w:val="0"/>
          <w:szCs w:val="22"/>
          <w:lang w:val="sk-SK" w:eastAsia="en-US"/>
        </w:rPr>
        <w:t xml:space="preserve"> 5</w:t>
      </w:r>
      <w:r w:rsidRPr="00491C42">
        <w:rPr>
          <w:bCs w:val="0"/>
          <w:szCs w:val="22"/>
          <w:lang w:val="sk-SK" w:eastAsia="en-US"/>
        </w:rPr>
        <w:t> </w:t>
      </w:r>
      <w:r w:rsidR="00770291" w:rsidRPr="00491C42">
        <w:rPr>
          <w:bCs w:val="0"/>
          <w:szCs w:val="22"/>
          <w:lang w:val="sk-SK" w:eastAsia="en-US"/>
        </w:rPr>
        <w:t>mg</w:t>
      </w:r>
      <w:r w:rsidR="00E65499" w:rsidRPr="00491C42">
        <w:rPr>
          <w:bCs w:val="0"/>
          <w:szCs w:val="22"/>
          <w:lang w:val="sk-SK" w:eastAsia="en-US"/>
        </w:rPr>
        <w:t xml:space="preserve"> filmom obalené tablety</w:t>
      </w:r>
    </w:p>
    <w:p w:rsidR="00AF4424" w:rsidRPr="00491C42" w:rsidRDefault="00AF4424" w:rsidP="008D5942">
      <w:pPr>
        <w:pStyle w:val="SPCnadpis"/>
        <w:spacing w:before="0" w:after="0"/>
        <w:rPr>
          <w:bCs w:val="0"/>
          <w:szCs w:val="22"/>
          <w:lang w:val="sk-SK" w:eastAsia="en-US"/>
        </w:rPr>
      </w:pPr>
      <w:r w:rsidRPr="00491C42">
        <w:rPr>
          <w:bCs w:val="0"/>
          <w:szCs w:val="22"/>
          <w:lang w:val="sk-SK" w:eastAsia="en-US"/>
        </w:rPr>
        <w:t>FOLINAR 10 mg filmom obalené tablety</w:t>
      </w:r>
    </w:p>
    <w:p w:rsidR="000206E0" w:rsidRPr="00491C42" w:rsidRDefault="000206E0" w:rsidP="008D5942">
      <w:pPr>
        <w:pStyle w:val="SPCnadpis"/>
        <w:spacing w:before="0" w:after="0"/>
        <w:rPr>
          <w:bCs w:val="0"/>
          <w:szCs w:val="22"/>
          <w:lang w:val="sk-SK" w:eastAsia="en-US"/>
        </w:rPr>
      </w:pPr>
    </w:p>
    <w:p w:rsidR="00625A4D" w:rsidRPr="00491C42" w:rsidRDefault="000206E0" w:rsidP="000206E0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  <w:proofErr w:type="spellStart"/>
      <w:r w:rsidRPr="00491C42">
        <w:rPr>
          <w:rFonts w:eastAsia="Calibri"/>
          <w:b w:val="0"/>
          <w:bCs w:val="0"/>
          <w:szCs w:val="22"/>
          <w:lang w:val="sk-SK" w:eastAsia="en-US"/>
        </w:rPr>
        <w:t>s</w:t>
      </w:r>
      <w:r w:rsidR="00AF4424" w:rsidRPr="00491C42">
        <w:rPr>
          <w:rFonts w:eastAsia="Calibri"/>
          <w:b w:val="0"/>
          <w:bCs w:val="0"/>
          <w:szCs w:val="22"/>
          <w:lang w:val="sk-SK" w:eastAsia="en-US"/>
        </w:rPr>
        <w:t>olifenacíniumsukcinát</w:t>
      </w:r>
      <w:proofErr w:type="spellEnd"/>
    </w:p>
    <w:p w:rsidR="008D0EE7" w:rsidRPr="00491C42" w:rsidRDefault="008D0EE7" w:rsidP="000206E0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Pozorne si prečítajte celú písomnú informáciu predtým, ako začnete užívať tento liek, pretože obsahuje pre vás dôležité informácie.</w:t>
      </w:r>
    </w:p>
    <w:p w:rsidR="00625A4D" w:rsidRPr="00491C42" w:rsidRDefault="00625A4D" w:rsidP="00726C19">
      <w:pPr>
        <w:pStyle w:val="Normlndoblokusodrkami"/>
        <w:rPr>
          <w:szCs w:val="22"/>
        </w:rPr>
      </w:pPr>
      <w:r w:rsidRPr="00491C42">
        <w:rPr>
          <w:szCs w:val="22"/>
        </w:rPr>
        <w:t>Túto písomnú informáciu si uschovajte. Možno bude potrebné, aby ste si ju znovu prečítali.</w:t>
      </w:r>
    </w:p>
    <w:p w:rsidR="00625A4D" w:rsidRPr="00491C42" w:rsidRDefault="00625A4D" w:rsidP="00726C19">
      <w:pPr>
        <w:pStyle w:val="Normlndoblokusodrkami"/>
        <w:rPr>
          <w:szCs w:val="22"/>
        </w:rPr>
      </w:pPr>
      <w:r w:rsidRPr="00491C42">
        <w:rPr>
          <w:szCs w:val="22"/>
        </w:rPr>
        <w:t>Ak máte akékoľvek ďalšie otázky, obráťte sa na svojho lekára alebo lekárnika.</w:t>
      </w:r>
    </w:p>
    <w:p w:rsidR="00625A4D" w:rsidRPr="00491C42" w:rsidRDefault="00625A4D" w:rsidP="00726C19">
      <w:pPr>
        <w:pStyle w:val="Normlndoblokusodrkami"/>
        <w:rPr>
          <w:szCs w:val="22"/>
        </w:rPr>
      </w:pPr>
      <w:r w:rsidRPr="00491C42">
        <w:rPr>
          <w:szCs w:val="22"/>
        </w:rPr>
        <w:t>Tento liek bol predpísaný iba vám. Nedávajte ho nikomu inému. Môže mu uškodiť, dokonca aj vtedy, ak má rovnaké prejavy ochorenia ako vy.</w:t>
      </w:r>
    </w:p>
    <w:p w:rsidR="008D0EE7" w:rsidRPr="00491C42" w:rsidRDefault="00625A4D" w:rsidP="00726C19">
      <w:pPr>
        <w:pStyle w:val="Normlndoblokusodrkami"/>
        <w:rPr>
          <w:szCs w:val="22"/>
        </w:rPr>
      </w:pPr>
      <w:r w:rsidRPr="00491C42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440605" w:rsidRPr="00491C42" w:rsidRDefault="00440605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V tejto písomnej informácii sa dozviete:</w:t>
      </w: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1. </w:t>
      </w:r>
      <w:r w:rsidR="000206E0" w:rsidRPr="00491C42">
        <w:rPr>
          <w:szCs w:val="22"/>
        </w:rPr>
        <w:tab/>
      </w:r>
      <w:r w:rsidRPr="00491C42">
        <w:rPr>
          <w:szCs w:val="22"/>
        </w:rPr>
        <w:t xml:space="preserve">Čo je </w:t>
      </w:r>
      <w:r w:rsidR="00AF4424" w:rsidRPr="00491C42">
        <w:rPr>
          <w:szCs w:val="22"/>
        </w:rPr>
        <w:t>FOLINAR</w:t>
      </w:r>
      <w:r w:rsidRPr="00491C42">
        <w:rPr>
          <w:szCs w:val="22"/>
        </w:rPr>
        <w:t xml:space="preserve"> a na čo sa používa</w:t>
      </w:r>
    </w:p>
    <w:p w:rsidR="00625A4D" w:rsidRPr="00491C42" w:rsidRDefault="00625A4D" w:rsidP="00E42D71">
      <w:pPr>
        <w:pStyle w:val="Normlndobloku"/>
        <w:rPr>
          <w:szCs w:val="22"/>
        </w:rPr>
      </w:pPr>
      <w:r w:rsidRPr="00491C42">
        <w:rPr>
          <w:szCs w:val="22"/>
        </w:rPr>
        <w:t xml:space="preserve">2. </w:t>
      </w:r>
      <w:r w:rsidR="000206E0" w:rsidRPr="00491C42">
        <w:rPr>
          <w:szCs w:val="22"/>
        </w:rPr>
        <w:tab/>
      </w:r>
      <w:r w:rsidRPr="00491C42">
        <w:rPr>
          <w:szCs w:val="22"/>
        </w:rPr>
        <w:t xml:space="preserve">Čo potrebujete vedieť predtým, ako užijete </w:t>
      </w:r>
      <w:r w:rsidR="00AF4424" w:rsidRPr="00491C42">
        <w:rPr>
          <w:szCs w:val="22"/>
        </w:rPr>
        <w:t>FOLINAR</w:t>
      </w:r>
    </w:p>
    <w:p w:rsidR="00625A4D" w:rsidRPr="00491C42" w:rsidRDefault="00625A4D" w:rsidP="00E42D71">
      <w:pPr>
        <w:pStyle w:val="Normlndobloku"/>
        <w:rPr>
          <w:szCs w:val="22"/>
        </w:rPr>
      </w:pPr>
      <w:r w:rsidRPr="00491C42">
        <w:rPr>
          <w:szCs w:val="22"/>
        </w:rPr>
        <w:t xml:space="preserve">3. </w:t>
      </w:r>
      <w:r w:rsidR="000206E0" w:rsidRPr="00491C42">
        <w:rPr>
          <w:szCs w:val="22"/>
        </w:rPr>
        <w:tab/>
      </w:r>
      <w:r w:rsidRPr="00491C42">
        <w:rPr>
          <w:szCs w:val="22"/>
        </w:rPr>
        <w:t xml:space="preserve">Ako užívať </w:t>
      </w:r>
      <w:r w:rsidR="00AF4424" w:rsidRPr="00491C42">
        <w:rPr>
          <w:szCs w:val="22"/>
        </w:rPr>
        <w:t>FOLINAR</w:t>
      </w:r>
    </w:p>
    <w:p w:rsidR="00625A4D" w:rsidRPr="00491C42" w:rsidRDefault="00625A4D" w:rsidP="00E42D71">
      <w:pPr>
        <w:pStyle w:val="Normlndobloku"/>
        <w:rPr>
          <w:szCs w:val="22"/>
        </w:rPr>
      </w:pPr>
      <w:r w:rsidRPr="00491C42">
        <w:rPr>
          <w:szCs w:val="22"/>
        </w:rPr>
        <w:t xml:space="preserve">4. </w:t>
      </w:r>
      <w:r w:rsidR="000206E0" w:rsidRPr="00491C42">
        <w:rPr>
          <w:szCs w:val="22"/>
        </w:rPr>
        <w:tab/>
      </w:r>
      <w:r w:rsidRPr="00491C42">
        <w:rPr>
          <w:szCs w:val="22"/>
        </w:rPr>
        <w:t>Možné vedľajšie účinky</w:t>
      </w:r>
    </w:p>
    <w:p w:rsidR="00625A4D" w:rsidRPr="00491C42" w:rsidRDefault="00625A4D" w:rsidP="00E42D71">
      <w:pPr>
        <w:pStyle w:val="Normlndobloku"/>
        <w:rPr>
          <w:szCs w:val="22"/>
        </w:rPr>
      </w:pPr>
      <w:r w:rsidRPr="00491C42">
        <w:rPr>
          <w:szCs w:val="22"/>
        </w:rPr>
        <w:t xml:space="preserve">5. </w:t>
      </w:r>
      <w:r w:rsidR="000206E0" w:rsidRPr="00491C42">
        <w:rPr>
          <w:szCs w:val="22"/>
        </w:rPr>
        <w:tab/>
      </w:r>
      <w:r w:rsidRPr="00491C42">
        <w:rPr>
          <w:szCs w:val="22"/>
        </w:rPr>
        <w:t xml:space="preserve">Ako uchovávať </w:t>
      </w:r>
      <w:r w:rsidR="00AF4424" w:rsidRPr="00491C42">
        <w:rPr>
          <w:szCs w:val="22"/>
        </w:rPr>
        <w:t>FOLINAR</w:t>
      </w:r>
    </w:p>
    <w:p w:rsidR="00625A4D" w:rsidRPr="00491C42" w:rsidRDefault="00625A4D" w:rsidP="00E42D71">
      <w:pPr>
        <w:pStyle w:val="Normlndobloku"/>
        <w:rPr>
          <w:szCs w:val="22"/>
        </w:rPr>
      </w:pPr>
      <w:r w:rsidRPr="00491C42">
        <w:rPr>
          <w:szCs w:val="22"/>
        </w:rPr>
        <w:t xml:space="preserve">6. </w:t>
      </w:r>
      <w:r w:rsidR="000206E0" w:rsidRPr="00491C42">
        <w:rPr>
          <w:szCs w:val="22"/>
        </w:rPr>
        <w:tab/>
      </w:r>
      <w:r w:rsidRPr="00491C42">
        <w:rPr>
          <w:szCs w:val="22"/>
        </w:rPr>
        <w:t>Obsah balenia a ďalšie informácie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0206E0" w:rsidRPr="00491C42" w:rsidRDefault="000206E0" w:rsidP="00726C19">
      <w:pPr>
        <w:pStyle w:val="Normlndobloku"/>
        <w:rPr>
          <w:szCs w:val="22"/>
        </w:rPr>
      </w:pPr>
    </w:p>
    <w:p w:rsidR="001A28FF" w:rsidRPr="00E42D71" w:rsidRDefault="001A28FF" w:rsidP="001A28F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42D71">
        <w:rPr>
          <w:b/>
          <w:noProof/>
          <w:sz w:val="22"/>
          <w:szCs w:val="22"/>
        </w:rPr>
        <w:t>1.</w:t>
      </w:r>
      <w:r w:rsidRPr="00E42D71">
        <w:rPr>
          <w:b/>
          <w:noProof/>
          <w:sz w:val="22"/>
          <w:szCs w:val="22"/>
        </w:rPr>
        <w:tab/>
        <w:t>Čo</w:t>
      </w:r>
      <w:r w:rsidRPr="00E42D71">
        <w:rPr>
          <w:b/>
          <w:sz w:val="22"/>
          <w:szCs w:val="22"/>
        </w:rPr>
        <w:t xml:space="preserve"> je </w:t>
      </w:r>
      <w:r w:rsidR="003E1B86" w:rsidRPr="00E42D71">
        <w:rPr>
          <w:b/>
          <w:noProof/>
          <w:sz w:val="22"/>
          <w:szCs w:val="22"/>
        </w:rPr>
        <w:t>FOLINAR</w:t>
      </w:r>
      <w:r w:rsidRPr="00E42D71">
        <w:rPr>
          <w:b/>
          <w:noProof/>
          <w:sz w:val="22"/>
          <w:szCs w:val="22"/>
        </w:rPr>
        <w:t xml:space="preserve"> a </w:t>
      </w:r>
      <w:r w:rsidRPr="00E42D71">
        <w:rPr>
          <w:b/>
          <w:sz w:val="22"/>
          <w:szCs w:val="22"/>
        </w:rPr>
        <w:t xml:space="preserve">na </w:t>
      </w:r>
      <w:r w:rsidRPr="00E42D71">
        <w:rPr>
          <w:b/>
          <w:noProof/>
          <w:sz w:val="22"/>
          <w:szCs w:val="22"/>
        </w:rPr>
        <w:t>čo sa používa</w:t>
      </w:r>
    </w:p>
    <w:p w:rsidR="001A28FF" w:rsidRPr="00491C42" w:rsidRDefault="001A28FF" w:rsidP="00E42D71">
      <w:pPr>
        <w:pStyle w:val="Styl1"/>
        <w:numPr>
          <w:ilvl w:val="0"/>
          <w:numId w:val="0"/>
        </w:numPr>
        <w:ind w:left="567" w:hanging="567"/>
        <w:rPr>
          <w:szCs w:val="22"/>
        </w:rPr>
      </w:pPr>
    </w:p>
    <w:p w:rsidR="00387125" w:rsidRPr="00491C42" w:rsidRDefault="00387125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Liečivo </w:t>
      </w:r>
      <w:r w:rsidR="0093641B" w:rsidRPr="00491C42">
        <w:rPr>
          <w:szCs w:val="22"/>
        </w:rPr>
        <w:t xml:space="preserve">obsiahnuté v </w:t>
      </w:r>
      <w:r w:rsidRPr="00491C42">
        <w:rPr>
          <w:szCs w:val="22"/>
        </w:rPr>
        <w:t xml:space="preserve">lieku FOLINAR patrí do skupiny </w:t>
      </w:r>
      <w:proofErr w:type="spellStart"/>
      <w:r w:rsidRPr="00491C42">
        <w:rPr>
          <w:szCs w:val="22"/>
        </w:rPr>
        <w:t>anticholinergík</w:t>
      </w:r>
      <w:proofErr w:type="spellEnd"/>
      <w:r w:rsidRPr="00491C42">
        <w:rPr>
          <w:szCs w:val="22"/>
        </w:rPr>
        <w:t>. Tieto lieky sa používajú na zníženie aktivity hyperaktívneho močového mechúra. Výsledkom je, že dokážete vydržať dlhšie, pokým budete mať potrebu ísť na toaletu a váš močový mechúr bude schopný udržať väčšie množstvo moču.</w:t>
      </w:r>
    </w:p>
    <w:p w:rsidR="00387125" w:rsidRPr="00491C42" w:rsidRDefault="00387125" w:rsidP="00726C19">
      <w:pPr>
        <w:pStyle w:val="Normlndobloku"/>
        <w:rPr>
          <w:szCs w:val="22"/>
        </w:rPr>
      </w:pPr>
      <w:r w:rsidRPr="00491C42">
        <w:rPr>
          <w:szCs w:val="22"/>
        </w:rPr>
        <w:t>FOLINAR sa používa na liečbu príznakov stavu nazývaného hyperaktívny močový mechúr. Tieto príznaky zahŕňajú: silnú a náhlu potrebu močiť bez predchádzajúceho varovného signálu, častú potrebu močiť alebo pomočenie sa, pretože ste nestihli dôjsť včas na toaletu.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0206E0" w:rsidRPr="00491C42" w:rsidRDefault="000206E0" w:rsidP="00726C19">
      <w:pPr>
        <w:pStyle w:val="Normlndobloku"/>
        <w:rPr>
          <w:szCs w:val="22"/>
        </w:rPr>
      </w:pPr>
    </w:p>
    <w:p w:rsidR="001A28FF" w:rsidRPr="00E42D71" w:rsidRDefault="001A28FF" w:rsidP="001A28F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42D71">
        <w:rPr>
          <w:b/>
          <w:noProof/>
          <w:sz w:val="22"/>
          <w:szCs w:val="22"/>
        </w:rPr>
        <w:t>2.</w:t>
      </w:r>
      <w:r w:rsidRPr="00E42D71">
        <w:rPr>
          <w:b/>
          <w:noProof/>
          <w:sz w:val="22"/>
          <w:szCs w:val="22"/>
        </w:rPr>
        <w:tab/>
        <w:t>Čo potrebujete vedieť predtým, ako užijete</w:t>
      </w:r>
      <w:r w:rsidR="003E1B86" w:rsidRPr="00E42D71">
        <w:rPr>
          <w:b/>
          <w:noProof/>
          <w:sz w:val="22"/>
          <w:szCs w:val="22"/>
        </w:rPr>
        <w:t xml:space="preserve"> FOLINAR</w:t>
      </w:r>
    </w:p>
    <w:p w:rsidR="001A28FF" w:rsidRPr="00491C42" w:rsidRDefault="001A28FF" w:rsidP="00E42D71">
      <w:pPr>
        <w:pStyle w:val="Styl1"/>
        <w:numPr>
          <w:ilvl w:val="0"/>
          <w:numId w:val="0"/>
        </w:numPr>
        <w:ind w:left="567" w:hanging="567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 xml:space="preserve">Neužívajte </w:t>
      </w:r>
      <w:r w:rsidR="00AF4424" w:rsidRPr="00491C42">
        <w:rPr>
          <w:szCs w:val="22"/>
        </w:rPr>
        <w:t>FOLINAR</w:t>
      </w:r>
    </w:p>
    <w:p w:rsidR="00625A4D" w:rsidRPr="00491C42" w:rsidRDefault="002426EB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ak </w:t>
      </w:r>
      <w:r w:rsidR="00387125" w:rsidRPr="00491C42">
        <w:rPr>
          <w:szCs w:val="22"/>
        </w:rPr>
        <w:t xml:space="preserve">ste alergický na </w:t>
      </w:r>
      <w:proofErr w:type="spellStart"/>
      <w:r w:rsidR="00387125" w:rsidRPr="00491C42">
        <w:rPr>
          <w:szCs w:val="22"/>
        </w:rPr>
        <w:t>solifenacín</w:t>
      </w:r>
      <w:proofErr w:type="spellEnd"/>
      <w:r w:rsidR="00625A4D" w:rsidRPr="00491C42">
        <w:rPr>
          <w:szCs w:val="22"/>
        </w:rPr>
        <w:t xml:space="preserve"> alebo na ktorúkoľvek z ďalších zložiek tohto lieku (uvedených v časti 6)</w:t>
      </w:r>
    </w:p>
    <w:p w:rsidR="00387125" w:rsidRPr="00491C42" w:rsidRDefault="00387125" w:rsidP="00726C19">
      <w:pPr>
        <w:pStyle w:val="Normlndoblokusodrkami"/>
        <w:rPr>
          <w:szCs w:val="22"/>
        </w:rPr>
      </w:pPr>
      <w:r w:rsidRPr="00491C42">
        <w:rPr>
          <w:szCs w:val="22"/>
        </w:rPr>
        <w:t>ak nie ste schopný močiť alebo úplne vyprázdniť močový mechúr (retencia moču)</w:t>
      </w:r>
    </w:p>
    <w:p w:rsidR="00387125" w:rsidRPr="00491C42" w:rsidRDefault="00387125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ak máte závažné žalúdočné alebo črevné problémy (vrátane toxického </w:t>
      </w:r>
      <w:proofErr w:type="spellStart"/>
      <w:r w:rsidRPr="00491C42">
        <w:rPr>
          <w:szCs w:val="22"/>
        </w:rPr>
        <w:t>megakolónu</w:t>
      </w:r>
      <w:proofErr w:type="spellEnd"/>
      <w:r w:rsidRPr="00491C42">
        <w:rPr>
          <w:szCs w:val="22"/>
        </w:rPr>
        <w:t>, komplikácie spojenej s</w:t>
      </w:r>
      <w:r w:rsidR="008D0EE7" w:rsidRPr="00491C42">
        <w:rPr>
          <w:szCs w:val="22"/>
        </w:rPr>
        <w:t xml:space="preserve"> </w:t>
      </w:r>
      <w:proofErr w:type="spellStart"/>
      <w:r w:rsidRPr="00491C42">
        <w:rPr>
          <w:szCs w:val="22"/>
        </w:rPr>
        <w:t>ulceróznou</w:t>
      </w:r>
      <w:proofErr w:type="spellEnd"/>
      <w:r w:rsidR="008D0EE7" w:rsidRPr="00491C42">
        <w:rPr>
          <w:szCs w:val="22"/>
        </w:rPr>
        <w:t xml:space="preserve"> </w:t>
      </w:r>
      <w:proofErr w:type="spellStart"/>
      <w:r w:rsidRPr="00491C42">
        <w:rPr>
          <w:szCs w:val="22"/>
        </w:rPr>
        <w:t>kolitídou</w:t>
      </w:r>
      <w:proofErr w:type="spellEnd"/>
      <w:r w:rsidRPr="00491C42">
        <w:rPr>
          <w:szCs w:val="22"/>
        </w:rPr>
        <w:t>)</w:t>
      </w:r>
    </w:p>
    <w:p w:rsidR="00387125" w:rsidRPr="00491C42" w:rsidRDefault="00387125" w:rsidP="00726C19">
      <w:pPr>
        <w:pStyle w:val="Normlndoblokusodrkami"/>
        <w:rPr>
          <w:szCs w:val="22"/>
        </w:rPr>
      </w:pPr>
      <w:r w:rsidRPr="00491C42">
        <w:rPr>
          <w:szCs w:val="22"/>
        </w:rPr>
        <w:t>ak trpíte ochorením svalov nazývaným myasténia gravis, ktorá môže spôsobiť extrémne ochabnutie niektorých svalov</w:t>
      </w:r>
    </w:p>
    <w:p w:rsidR="00387125" w:rsidRPr="00491C42" w:rsidRDefault="00387125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ak trpíte vysokým </w:t>
      </w:r>
      <w:proofErr w:type="spellStart"/>
      <w:r w:rsidRPr="00491C42">
        <w:rPr>
          <w:szCs w:val="22"/>
        </w:rPr>
        <w:t>vnútroočným</w:t>
      </w:r>
      <w:proofErr w:type="spellEnd"/>
      <w:r w:rsidRPr="00491C42">
        <w:rPr>
          <w:szCs w:val="22"/>
        </w:rPr>
        <w:t xml:space="preserve"> tlakom s postupnou stratou zraku (glaukóm)</w:t>
      </w:r>
    </w:p>
    <w:p w:rsidR="00387125" w:rsidRPr="00491C42" w:rsidRDefault="00387125" w:rsidP="00726C19">
      <w:pPr>
        <w:pStyle w:val="Normlndoblokusodrkami"/>
        <w:rPr>
          <w:szCs w:val="22"/>
        </w:rPr>
      </w:pPr>
      <w:r w:rsidRPr="00491C42">
        <w:rPr>
          <w:szCs w:val="22"/>
        </w:rPr>
        <w:t>ak podstupujete dialýzu</w:t>
      </w:r>
    </w:p>
    <w:p w:rsidR="00387125" w:rsidRPr="00491C42" w:rsidRDefault="00387125" w:rsidP="00726C19">
      <w:pPr>
        <w:pStyle w:val="Normlndoblokusodrkami"/>
        <w:rPr>
          <w:szCs w:val="22"/>
        </w:rPr>
      </w:pPr>
      <w:r w:rsidRPr="00491C42">
        <w:rPr>
          <w:szCs w:val="22"/>
        </w:rPr>
        <w:t>ak trpíte závažným ochorením pečene</w:t>
      </w:r>
    </w:p>
    <w:p w:rsidR="00387125" w:rsidRPr="00491C42" w:rsidRDefault="00387125" w:rsidP="00726C19">
      <w:pPr>
        <w:pStyle w:val="Normlndoblokusodrkami"/>
        <w:rPr>
          <w:szCs w:val="22"/>
        </w:rPr>
      </w:pPr>
      <w:r w:rsidRPr="00491C42">
        <w:rPr>
          <w:szCs w:val="22"/>
        </w:rPr>
        <w:t>ak trpíte závažným ochorením obličiek alebo stredne závažným ochorením pečene</w:t>
      </w:r>
      <w:r w:rsidR="008D0EE7" w:rsidRPr="00491C42">
        <w:rPr>
          <w:szCs w:val="22"/>
        </w:rPr>
        <w:t xml:space="preserve"> </w:t>
      </w:r>
      <w:r w:rsidRPr="00491C42">
        <w:rPr>
          <w:szCs w:val="22"/>
        </w:rPr>
        <w:t xml:space="preserve">a súbežne užívate lieky, ktoré môžu znížiť vylučovanie </w:t>
      </w:r>
      <w:proofErr w:type="spellStart"/>
      <w:r w:rsidRPr="00491C42">
        <w:rPr>
          <w:szCs w:val="22"/>
        </w:rPr>
        <w:t>solifenacínu</w:t>
      </w:r>
      <w:proofErr w:type="spellEnd"/>
      <w:r w:rsidRPr="00491C42">
        <w:rPr>
          <w:szCs w:val="22"/>
        </w:rPr>
        <w:t xml:space="preserve"> z tela (napr. </w:t>
      </w:r>
      <w:proofErr w:type="spellStart"/>
      <w:r w:rsidRPr="00491C42">
        <w:rPr>
          <w:szCs w:val="22"/>
        </w:rPr>
        <w:t>ketokonazol</w:t>
      </w:r>
      <w:proofErr w:type="spellEnd"/>
      <w:r w:rsidRPr="00491C42">
        <w:rPr>
          <w:szCs w:val="22"/>
        </w:rPr>
        <w:t>). Váš lekár alebo lekárnik vás v takom prípade bude o tom informovať.</w:t>
      </w:r>
    </w:p>
    <w:p w:rsidR="00387125" w:rsidRPr="00491C42" w:rsidRDefault="00387125" w:rsidP="00726C19">
      <w:pPr>
        <w:pStyle w:val="Normlndobloku"/>
        <w:rPr>
          <w:szCs w:val="22"/>
        </w:rPr>
      </w:pPr>
      <w:r w:rsidRPr="00491C42">
        <w:rPr>
          <w:szCs w:val="22"/>
        </w:rPr>
        <w:t>Ak sa vás týka alebo v minulosti sa vás týkal niektorý zo stavov uvedených vyššie, povedzte to svojmu lekárovi predtým, ako začnete užívať FOLINAR.</w:t>
      </w:r>
    </w:p>
    <w:p w:rsidR="008D0EE7" w:rsidRPr="00491C42" w:rsidRDefault="008D0EE7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Upozornenia a opatrenia</w:t>
      </w:r>
    </w:p>
    <w:p w:rsidR="00A553AF" w:rsidRPr="00491C42" w:rsidRDefault="00A553AF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Predtým, ako začnete užívať </w:t>
      </w:r>
      <w:r w:rsidR="00AF4424" w:rsidRPr="00491C42">
        <w:rPr>
          <w:szCs w:val="22"/>
        </w:rPr>
        <w:t>FOLINAR</w:t>
      </w:r>
      <w:r w:rsidRPr="00491C42">
        <w:rPr>
          <w:szCs w:val="22"/>
        </w:rPr>
        <w:t>, obráťte sa n</w:t>
      </w:r>
      <w:r w:rsidR="00387125" w:rsidRPr="00491C42">
        <w:rPr>
          <w:szCs w:val="22"/>
        </w:rPr>
        <w:t>a svojho lekára alebo lekárnika:</w:t>
      </w:r>
    </w:p>
    <w:p w:rsidR="00D12A83" w:rsidRPr="00491C42" w:rsidRDefault="00D12A83" w:rsidP="00726C19">
      <w:pPr>
        <w:pStyle w:val="Normlndoblokusodrkami"/>
        <w:rPr>
          <w:szCs w:val="22"/>
        </w:rPr>
      </w:pPr>
      <w:r w:rsidRPr="00491C42">
        <w:rPr>
          <w:szCs w:val="22"/>
        </w:rPr>
        <w:t>ak máte ťažkosti s vyprázdnením močového mechúra (obštrukcia močového mechúra) alebo máte problémy s močením (napr. slabý prúd moču). Riziko hromadenia moču v mechúre (retencia moču) je oveľa väčšie.</w:t>
      </w:r>
    </w:p>
    <w:p w:rsidR="00D12A83" w:rsidRPr="00491C42" w:rsidRDefault="00D12A83" w:rsidP="00726C19">
      <w:pPr>
        <w:pStyle w:val="Normlndoblokusodrkami"/>
        <w:rPr>
          <w:szCs w:val="22"/>
        </w:rPr>
      </w:pPr>
      <w:r w:rsidRPr="00491C42">
        <w:rPr>
          <w:szCs w:val="22"/>
        </w:rPr>
        <w:t>ak máte ťažkosti s priechodnosťou tráviaceho traktu (zápcha)</w:t>
      </w:r>
    </w:p>
    <w:p w:rsidR="00D12A83" w:rsidRPr="00491C42" w:rsidRDefault="00D12A83" w:rsidP="00726C19">
      <w:pPr>
        <w:pStyle w:val="Normlndoblokusodrkami"/>
        <w:rPr>
          <w:szCs w:val="22"/>
        </w:rPr>
      </w:pPr>
      <w:r w:rsidRPr="00491C42">
        <w:rPr>
          <w:szCs w:val="22"/>
        </w:rPr>
        <w:t>ak sa u vás vyskytuje riziko zníženej aktivity tráviaceho traktu (pohyby žalúdka a čriev). Váš lekár vás bude o tom informovať.</w:t>
      </w:r>
    </w:p>
    <w:p w:rsidR="00D12A83" w:rsidRPr="00491C42" w:rsidRDefault="00D12A83" w:rsidP="00726C19">
      <w:pPr>
        <w:pStyle w:val="Normlndoblokusodrkami"/>
        <w:rPr>
          <w:szCs w:val="22"/>
        </w:rPr>
      </w:pPr>
      <w:r w:rsidRPr="00491C42">
        <w:rPr>
          <w:szCs w:val="22"/>
        </w:rPr>
        <w:t>ak máte závažné ochorenie obličiek</w:t>
      </w:r>
    </w:p>
    <w:p w:rsidR="00D12A83" w:rsidRPr="00491C42" w:rsidRDefault="00D12A83" w:rsidP="00726C19">
      <w:pPr>
        <w:pStyle w:val="Normlndoblokusodrkami"/>
        <w:rPr>
          <w:szCs w:val="22"/>
        </w:rPr>
      </w:pPr>
      <w:r w:rsidRPr="00491C42">
        <w:rPr>
          <w:szCs w:val="22"/>
        </w:rPr>
        <w:t>ak máte stredne závažné ochorenie pečene</w:t>
      </w:r>
    </w:p>
    <w:p w:rsidR="00D12A83" w:rsidRPr="00491C42" w:rsidRDefault="00D12A83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ak máte </w:t>
      </w:r>
      <w:r w:rsidRPr="00491C42">
        <w:rPr>
          <w:color w:val="231F20"/>
          <w:szCs w:val="22"/>
        </w:rPr>
        <w:t>časť žalúdka vysunutú cez bránicu do hrudníka</w:t>
      </w:r>
      <w:r w:rsidRPr="00491C42">
        <w:rPr>
          <w:szCs w:val="22"/>
        </w:rPr>
        <w:t xml:space="preserve"> (hiátov</w:t>
      </w:r>
      <w:r w:rsidR="00340991" w:rsidRPr="00491C42">
        <w:rPr>
          <w:szCs w:val="22"/>
        </w:rPr>
        <w:t>á</w:t>
      </w:r>
      <w:r w:rsidRPr="00491C42">
        <w:rPr>
          <w:szCs w:val="22"/>
        </w:rPr>
        <w:t xml:space="preserve"> prietrž) alebo pálenie záhy</w:t>
      </w:r>
    </w:p>
    <w:p w:rsidR="000206E0" w:rsidRPr="00491C42" w:rsidRDefault="00D12A83" w:rsidP="00726C19">
      <w:pPr>
        <w:pStyle w:val="Normlndoblokusodrkami"/>
        <w:rPr>
          <w:szCs w:val="22"/>
        </w:rPr>
      </w:pPr>
      <w:r w:rsidRPr="00491C42">
        <w:rPr>
          <w:szCs w:val="22"/>
        </w:rPr>
        <w:t>ak máte nervovú poruchu (autonómna neuropatia)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D12A83" w:rsidRPr="00491C42" w:rsidRDefault="00D12A83" w:rsidP="00726C19">
      <w:pPr>
        <w:pStyle w:val="Normlndobloku"/>
        <w:rPr>
          <w:szCs w:val="22"/>
        </w:rPr>
      </w:pPr>
      <w:r w:rsidRPr="00491C42">
        <w:rPr>
          <w:szCs w:val="22"/>
        </w:rPr>
        <w:t>Ak sa vás týka alebo v minulosti sa vás týkal niektorý zo stavov uvedených vyššie, povedzte to svojmu lekárovi predtým, ako začnete užívať FOLINAR.</w:t>
      </w:r>
    </w:p>
    <w:p w:rsidR="000F7F17" w:rsidRPr="00491C42" w:rsidRDefault="00D12A83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Pred začiatkom liečby liekom FOLINAR vás lekár vyšetrí, aby zistil, či nie sú iné príčiny vášho častého močenia (napríklad srdcové zlyhávanie (neschopnosť srdca pumpovať krv v požadovanom množstve) alebo ochorenie obličiek). </w:t>
      </w:r>
    </w:p>
    <w:p w:rsidR="00D12A83" w:rsidRPr="00491C42" w:rsidRDefault="00D12A83" w:rsidP="00726C19">
      <w:pPr>
        <w:pStyle w:val="Normlndobloku"/>
        <w:rPr>
          <w:szCs w:val="22"/>
        </w:rPr>
      </w:pPr>
      <w:r w:rsidRPr="00491C42">
        <w:rPr>
          <w:szCs w:val="22"/>
        </w:rPr>
        <w:t>Ak máte infekciu močových ciest, váš lekár vám predpíše antibiotikum (liek proti určitým bakteriálnym infekciám).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D12A83" w:rsidRPr="00491C42" w:rsidRDefault="00D12A83" w:rsidP="008D5942">
      <w:pPr>
        <w:pStyle w:val="Styl2-2"/>
        <w:spacing w:before="0" w:after="0"/>
        <w:rPr>
          <w:szCs w:val="22"/>
        </w:rPr>
      </w:pPr>
      <w:r w:rsidRPr="00491C42">
        <w:rPr>
          <w:szCs w:val="22"/>
        </w:rPr>
        <w:t>Deti a dospievajúci</w:t>
      </w:r>
    </w:p>
    <w:p w:rsidR="00D12A83" w:rsidRPr="00491C42" w:rsidRDefault="00D12A83" w:rsidP="00726C19">
      <w:pPr>
        <w:pStyle w:val="Normlndobloku"/>
        <w:rPr>
          <w:szCs w:val="22"/>
        </w:rPr>
      </w:pPr>
      <w:r w:rsidRPr="00491C42">
        <w:rPr>
          <w:szCs w:val="22"/>
        </w:rPr>
        <w:t>FOLINAR ne</w:t>
      </w:r>
      <w:r w:rsidR="000F7F17" w:rsidRPr="00491C42">
        <w:rPr>
          <w:szCs w:val="22"/>
        </w:rPr>
        <w:t>smú</w:t>
      </w:r>
      <w:r w:rsidRPr="00491C42">
        <w:rPr>
          <w:szCs w:val="22"/>
        </w:rPr>
        <w:t xml:space="preserve"> užívať deti alebo dospievajúci mladší ako 18 rokov (pozri časť 3).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Iné lieky a </w:t>
      </w:r>
      <w:r w:rsidR="00AF4424" w:rsidRPr="00491C42">
        <w:rPr>
          <w:szCs w:val="22"/>
        </w:rPr>
        <w:t>FOLINAR</w:t>
      </w:r>
    </w:p>
    <w:p w:rsidR="00A64045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>Ak teraz užívate, alebo ste v poslednom čase užívali, či práve budete užívať ďalšie lieky, povedzte to svojmu lekárovi alebo lekárnikovi.</w:t>
      </w:r>
      <w:r w:rsidR="008D0EE7" w:rsidRPr="00491C42">
        <w:rPr>
          <w:szCs w:val="22"/>
        </w:rPr>
        <w:t xml:space="preserve"> </w:t>
      </w:r>
      <w:r w:rsidR="00A64045" w:rsidRPr="00491C42">
        <w:rPr>
          <w:szCs w:val="22"/>
        </w:rPr>
        <w:t>Je mimoriadne dôležité, aby ste oznámili svojmu lekárovi, ak užívate:</w:t>
      </w:r>
    </w:p>
    <w:p w:rsidR="00A64045" w:rsidRPr="00491C42" w:rsidRDefault="00A64045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iné </w:t>
      </w:r>
      <w:proofErr w:type="spellStart"/>
      <w:r w:rsidRPr="00491C42">
        <w:rPr>
          <w:szCs w:val="22"/>
        </w:rPr>
        <w:t>anticholinergi</w:t>
      </w:r>
      <w:r w:rsidR="000206E0" w:rsidRPr="00491C42">
        <w:rPr>
          <w:szCs w:val="22"/>
        </w:rPr>
        <w:t>ká</w:t>
      </w:r>
      <w:proofErr w:type="spellEnd"/>
      <w:r w:rsidRPr="00491C42">
        <w:rPr>
          <w:szCs w:val="22"/>
        </w:rPr>
        <w:t>, pretože účinky a vedľajšie účinky oboch liekov sa môžu zosilniť</w:t>
      </w:r>
    </w:p>
    <w:p w:rsidR="00A64045" w:rsidRPr="00491C42" w:rsidRDefault="00A64045" w:rsidP="00726C19">
      <w:pPr>
        <w:pStyle w:val="Normlndoblokusodrkami"/>
        <w:rPr>
          <w:szCs w:val="22"/>
        </w:rPr>
      </w:pPr>
      <w:proofErr w:type="spellStart"/>
      <w:r w:rsidRPr="00491C42">
        <w:rPr>
          <w:szCs w:val="22"/>
        </w:rPr>
        <w:t>cholinergiká</w:t>
      </w:r>
      <w:proofErr w:type="spellEnd"/>
      <w:r w:rsidRPr="00491C42">
        <w:rPr>
          <w:szCs w:val="22"/>
        </w:rPr>
        <w:t xml:space="preserve">, ktoré môžu znižovať účinok </w:t>
      </w:r>
      <w:proofErr w:type="spellStart"/>
      <w:r w:rsidRPr="00491C42">
        <w:rPr>
          <w:szCs w:val="22"/>
        </w:rPr>
        <w:t>solifenacínu</w:t>
      </w:r>
      <w:proofErr w:type="spellEnd"/>
    </w:p>
    <w:p w:rsidR="00A64045" w:rsidRPr="00491C42" w:rsidRDefault="00A64045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liečivá, ako </w:t>
      </w:r>
      <w:proofErr w:type="spellStart"/>
      <w:r w:rsidRPr="00491C42">
        <w:rPr>
          <w:szCs w:val="22"/>
        </w:rPr>
        <w:t>metoklopramid</w:t>
      </w:r>
      <w:proofErr w:type="spellEnd"/>
      <w:r w:rsidRPr="00491C42">
        <w:rPr>
          <w:szCs w:val="22"/>
        </w:rPr>
        <w:t xml:space="preserve"> a </w:t>
      </w:r>
      <w:proofErr w:type="spellStart"/>
      <w:r w:rsidRPr="00491C42">
        <w:rPr>
          <w:szCs w:val="22"/>
        </w:rPr>
        <w:t>cisaprid</w:t>
      </w:r>
      <w:proofErr w:type="spellEnd"/>
      <w:r w:rsidRPr="00491C42">
        <w:rPr>
          <w:szCs w:val="22"/>
        </w:rPr>
        <w:t xml:space="preserve">, ktoré urýchľujú pohyb potravy tráviacim traktom. </w:t>
      </w:r>
      <w:proofErr w:type="spellStart"/>
      <w:r w:rsidRPr="00491C42">
        <w:rPr>
          <w:szCs w:val="22"/>
        </w:rPr>
        <w:t>Solifenacín</w:t>
      </w:r>
      <w:proofErr w:type="spellEnd"/>
      <w:r w:rsidRPr="00491C42">
        <w:rPr>
          <w:szCs w:val="22"/>
        </w:rPr>
        <w:t xml:space="preserve"> môže znižovať ich účinok.</w:t>
      </w:r>
    </w:p>
    <w:p w:rsidR="00A64045" w:rsidRPr="00491C42" w:rsidRDefault="00A64045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liečivá ako ketokonazol, </w:t>
      </w:r>
      <w:proofErr w:type="spellStart"/>
      <w:r w:rsidRPr="00491C42">
        <w:rPr>
          <w:szCs w:val="22"/>
        </w:rPr>
        <w:t>ritonavir</w:t>
      </w:r>
      <w:proofErr w:type="spellEnd"/>
      <w:r w:rsidRPr="00491C42">
        <w:rPr>
          <w:szCs w:val="22"/>
        </w:rPr>
        <w:t xml:space="preserve">, </w:t>
      </w:r>
      <w:proofErr w:type="spellStart"/>
      <w:r w:rsidRPr="00491C42">
        <w:rPr>
          <w:szCs w:val="22"/>
        </w:rPr>
        <w:t>nelfinavir</w:t>
      </w:r>
      <w:proofErr w:type="spellEnd"/>
      <w:r w:rsidRPr="00491C42">
        <w:rPr>
          <w:szCs w:val="22"/>
        </w:rPr>
        <w:t xml:space="preserve">, </w:t>
      </w:r>
      <w:proofErr w:type="spellStart"/>
      <w:r w:rsidRPr="00491C42">
        <w:rPr>
          <w:szCs w:val="22"/>
        </w:rPr>
        <w:t>itrakonazol</w:t>
      </w:r>
      <w:proofErr w:type="spellEnd"/>
      <w:r w:rsidRPr="00491C42">
        <w:rPr>
          <w:szCs w:val="22"/>
        </w:rPr>
        <w:t xml:space="preserve">, </w:t>
      </w:r>
      <w:proofErr w:type="spellStart"/>
      <w:r w:rsidRPr="00491C42">
        <w:rPr>
          <w:szCs w:val="22"/>
        </w:rPr>
        <w:t>verapamil</w:t>
      </w:r>
      <w:proofErr w:type="spellEnd"/>
      <w:r w:rsidRPr="00491C42">
        <w:rPr>
          <w:szCs w:val="22"/>
        </w:rPr>
        <w:t xml:space="preserve"> a </w:t>
      </w:r>
      <w:proofErr w:type="spellStart"/>
      <w:r w:rsidRPr="00491C42">
        <w:rPr>
          <w:szCs w:val="22"/>
        </w:rPr>
        <w:t>diltiazem</w:t>
      </w:r>
      <w:proofErr w:type="spellEnd"/>
      <w:r w:rsidRPr="00491C42">
        <w:rPr>
          <w:szCs w:val="22"/>
        </w:rPr>
        <w:t xml:space="preserve"> znižujúce rýchlosť, ktorou sa </w:t>
      </w:r>
      <w:proofErr w:type="spellStart"/>
      <w:r w:rsidRPr="00491C42">
        <w:rPr>
          <w:szCs w:val="22"/>
        </w:rPr>
        <w:t>solifenacín</w:t>
      </w:r>
      <w:r w:rsidR="000F7F17" w:rsidRPr="00491C42">
        <w:rPr>
          <w:szCs w:val="22"/>
        </w:rPr>
        <w:t>v</w:t>
      </w:r>
      <w:proofErr w:type="spellEnd"/>
      <w:r w:rsidR="000F7F17" w:rsidRPr="00491C42">
        <w:rPr>
          <w:szCs w:val="22"/>
        </w:rPr>
        <w:t> </w:t>
      </w:r>
      <w:r w:rsidR="00637F45" w:rsidRPr="00491C42">
        <w:rPr>
          <w:szCs w:val="22"/>
        </w:rPr>
        <w:t xml:space="preserve">tele </w:t>
      </w:r>
      <w:r w:rsidR="000F7F17" w:rsidRPr="00491C42">
        <w:rPr>
          <w:szCs w:val="22"/>
        </w:rPr>
        <w:t>odbúrava</w:t>
      </w:r>
    </w:p>
    <w:p w:rsidR="00A64045" w:rsidRPr="00491C42" w:rsidRDefault="00A64045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liečivá ako rifampicín, fenytoín a karbamazepín, ktoré môžu urýchľovať odstraňovanie </w:t>
      </w:r>
      <w:proofErr w:type="spellStart"/>
      <w:r w:rsidRPr="00491C42">
        <w:rPr>
          <w:szCs w:val="22"/>
        </w:rPr>
        <w:t>solifenacínu</w:t>
      </w:r>
      <w:proofErr w:type="spellEnd"/>
      <w:r w:rsidRPr="00491C42">
        <w:rPr>
          <w:szCs w:val="22"/>
        </w:rPr>
        <w:t xml:space="preserve"> z tela</w:t>
      </w:r>
    </w:p>
    <w:p w:rsidR="00A64045" w:rsidRPr="00491C42" w:rsidRDefault="00A64045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liečivá, ako sú </w:t>
      </w:r>
      <w:proofErr w:type="spellStart"/>
      <w:r w:rsidRPr="00491C42">
        <w:rPr>
          <w:szCs w:val="22"/>
        </w:rPr>
        <w:t>bisfosfonáty</w:t>
      </w:r>
      <w:proofErr w:type="spellEnd"/>
      <w:r w:rsidRPr="00491C42">
        <w:rPr>
          <w:szCs w:val="22"/>
        </w:rPr>
        <w:t>, ktoré môžu spôsobiť alebo zhoršiť zápal pažeráka (</w:t>
      </w:r>
      <w:proofErr w:type="spellStart"/>
      <w:r w:rsidRPr="00491C42">
        <w:rPr>
          <w:szCs w:val="22"/>
        </w:rPr>
        <w:t>ezofagitídu</w:t>
      </w:r>
      <w:proofErr w:type="spellEnd"/>
      <w:r w:rsidRPr="00491C42">
        <w:rPr>
          <w:szCs w:val="22"/>
        </w:rPr>
        <w:t>)</w:t>
      </w:r>
    </w:p>
    <w:p w:rsidR="00440605" w:rsidRPr="00491C42" w:rsidRDefault="00440605" w:rsidP="00726C19">
      <w:pPr>
        <w:pStyle w:val="Normlndobloku"/>
        <w:rPr>
          <w:szCs w:val="22"/>
        </w:rPr>
      </w:pPr>
    </w:p>
    <w:p w:rsidR="00A64045" w:rsidRPr="00491C42" w:rsidRDefault="00A64045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FOLINAR a</w:t>
      </w:r>
      <w:r w:rsidR="00340991" w:rsidRPr="00491C42">
        <w:rPr>
          <w:szCs w:val="22"/>
        </w:rPr>
        <w:t> </w:t>
      </w:r>
      <w:r w:rsidRPr="00491C42">
        <w:rPr>
          <w:szCs w:val="22"/>
        </w:rPr>
        <w:t>jedlo</w:t>
      </w:r>
      <w:r w:rsidR="00340991" w:rsidRPr="00491C42">
        <w:rPr>
          <w:szCs w:val="22"/>
        </w:rPr>
        <w:t xml:space="preserve"> a</w:t>
      </w:r>
      <w:r w:rsidRPr="00491C42">
        <w:rPr>
          <w:szCs w:val="22"/>
        </w:rPr>
        <w:t xml:space="preserve"> nápoje</w:t>
      </w:r>
    </w:p>
    <w:p w:rsidR="00A64045" w:rsidRPr="00491C42" w:rsidRDefault="00A64045" w:rsidP="00726C19">
      <w:pPr>
        <w:pStyle w:val="Normlndobloku"/>
        <w:rPr>
          <w:szCs w:val="22"/>
        </w:rPr>
      </w:pPr>
      <w:r w:rsidRPr="00491C42">
        <w:rPr>
          <w:szCs w:val="22"/>
        </w:rPr>
        <w:t>FOLINAR môžete užívať podľa vášho uváženia s jedlom alebo nezávisle od jedla</w:t>
      </w:r>
      <w:r w:rsidR="009739DF" w:rsidRPr="00491C42">
        <w:rPr>
          <w:szCs w:val="22"/>
        </w:rPr>
        <w:t>.</w:t>
      </w:r>
    </w:p>
    <w:p w:rsidR="008D0EE7" w:rsidRPr="00491C42" w:rsidRDefault="008D0EE7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Tehotenstvo a dojčenie</w:t>
      </w: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>Ak ste tehotná alebo dojčíte, ak si myslíte, že ste tehotná alebo ak plánujete otehotnieť, poraďte sa so</w:t>
      </w:r>
      <w:r w:rsidR="000206E0" w:rsidRPr="00491C42">
        <w:rPr>
          <w:szCs w:val="22"/>
        </w:rPr>
        <w:t> </w:t>
      </w:r>
      <w:r w:rsidRPr="00491C42">
        <w:rPr>
          <w:szCs w:val="22"/>
        </w:rPr>
        <w:t>svojím lekárom alebo lekárnikom predtým, ako začnete užívať tento liek.</w:t>
      </w:r>
    </w:p>
    <w:p w:rsidR="00A64045" w:rsidRPr="00491C42" w:rsidRDefault="00A64045" w:rsidP="00726C19">
      <w:pPr>
        <w:pStyle w:val="Normlndobloku"/>
        <w:rPr>
          <w:szCs w:val="22"/>
        </w:rPr>
      </w:pPr>
      <w:r w:rsidRPr="00491C42">
        <w:rPr>
          <w:szCs w:val="22"/>
        </w:rPr>
        <w:t>Ak ste tehotná, neužívajte FOLINAR, pokiaľ to nie je výslovne nevyhnutné.</w:t>
      </w:r>
    </w:p>
    <w:p w:rsidR="00A64045" w:rsidRPr="00491C42" w:rsidRDefault="00A64045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Neužívajte FOLINAR, ak dojčíte, keďže </w:t>
      </w:r>
      <w:proofErr w:type="spellStart"/>
      <w:r w:rsidRPr="00491C42">
        <w:rPr>
          <w:szCs w:val="22"/>
        </w:rPr>
        <w:t>solifenacín</w:t>
      </w:r>
      <w:proofErr w:type="spellEnd"/>
      <w:r w:rsidRPr="00491C42">
        <w:rPr>
          <w:szCs w:val="22"/>
        </w:rPr>
        <w:t xml:space="preserve"> môže prechádzať do materského mlieka.</w:t>
      </w:r>
    </w:p>
    <w:p w:rsidR="008D0EE7" w:rsidRPr="00491C42" w:rsidRDefault="008D0EE7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Vedenie vozidiel a obsluha strojov</w:t>
      </w:r>
    </w:p>
    <w:p w:rsidR="00A64045" w:rsidRPr="00491C42" w:rsidRDefault="00A64045" w:rsidP="00726C19">
      <w:pPr>
        <w:pStyle w:val="Normlndobloku"/>
        <w:rPr>
          <w:szCs w:val="22"/>
        </w:rPr>
      </w:pPr>
      <w:proofErr w:type="spellStart"/>
      <w:r w:rsidRPr="00491C42">
        <w:rPr>
          <w:szCs w:val="22"/>
        </w:rPr>
        <w:t>Solifenacín</w:t>
      </w:r>
      <w:proofErr w:type="spellEnd"/>
      <w:r w:rsidRPr="00491C42">
        <w:rPr>
          <w:szCs w:val="22"/>
        </w:rPr>
        <w:t xml:space="preserve"> môže spôsobovať rozmazané videnie a niekedy ospalosť alebo únavu. Ak sa u vás vyskytnú tieto vedľajšie účinky, neveďte vozidlo a ani neobsluhujte stroje.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0206E0" w:rsidRPr="00491C42" w:rsidRDefault="000206E0" w:rsidP="00726C19">
      <w:pPr>
        <w:pStyle w:val="Normlndobloku"/>
        <w:rPr>
          <w:szCs w:val="22"/>
        </w:rPr>
      </w:pPr>
    </w:p>
    <w:p w:rsidR="00803F03" w:rsidRPr="00E42D71" w:rsidRDefault="00803F03">
      <w:pPr>
        <w:spacing w:after="200" w:line="276" w:lineRule="auto"/>
        <w:rPr>
          <w:sz w:val="22"/>
          <w:szCs w:val="22"/>
        </w:rPr>
      </w:pPr>
      <w:bookmarkStart w:id="0" w:name="_Toc443314745"/>
      <w:r w:rsidRPr="00E42D71">
        <w:rPr>
          <w:sz w:val="22"/>
          <w:szCs w:val="22"/>
        </w:rPr>
        <w:br w:type="page"/>
      </w:r>
    </w:p>
    <w:bookmarkEnd w:id="0"/>
    <w:p w:rsidR="00052FAA" w:rsidRPr="00E42D71" w:rsidRDefault="00052FAA" w:rsidP="00052FA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42D71">
        <w:rPr>
          <w:b/>
          <w:noProof/>
          <w:sz w:val="22"/>
          <w:szCs w:val="22"/>
        </w:rPr>
        <w:lastRenderedPageBreak/>
        <w:t>3.</w:t>
      </w:r>
      <w:r w:rsidRPr="00E42D71">
        <w:rPr>
          <w:b/>
          <w:noProof/>
          <w:sz w:val="22"/>
          <w:szCs w:val="22"/>
        </w:rPr>
        <w:tab/>
        <w:t>Ako užívať</w:t>
      </w:r>
      <w:r w:rsidRPr="00E42D71">
        <w:rPr>
          <w:b/>
          <w:noProof/>
          <w:sz w:val="22"/>
          <w:szCs w:val="22"/>
        </w:rPr>
        <w:t xml:space="preserve"> FOLINAR</w:t>
      </w:r>
    </w:p>
    <w:p w:rsidR="00052FAA" w:rsidRPr="00491C42" w:rsidRDefault="00052FAA" w:rsidP="00726C19">
      <w:pPr>
        <w:pStyle w:val="Styl1"/>
        <w:numPr>
          <w:ilvl w:val="0"/>
          <w:numId w:val="0"/>
        </w:numPr>
        <w:ind w:left="360"/>
        <w:rPr>
          <w:szCs w:val="22"/>
        </w:rPr>
      </w:pP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>Vždy užívajte tento liek presne tak, ako vám povedal váš lekár</w:t>
      </w:r>
      <w:r w:rsidR="000F7F17" w:rsidRPr="00491C42">
        <w:rPr>
          <w:szCs w:val="22"/>
        </w:rPr>
        <w:t xml:space="preserve"> alebo lekárnik</w:t>
      </w:r>
      <w:r w:rsidRPr="00491C42">
        <w:rPr>
          <w:szCs w:val="22"/>
        </w:rPr>
        <w:t>. Ak si nie ste niečím istý, overte si to u svojho lekára alebo lekárnika.</w:t>
      </w:r>
    </w:p>
    <w:p w:rsidR="009533C8" w:rsidRPr="00491C42" w:rsidRDefault="009533C8" w:rsidP="00726C19">
      <w:pPr>
        <w:pStyle w:val="Normlndobloku"/>
        <w:rPr>
          <w:szCs w:val="22"/>
        </w:rPr>
      </w:pPr>
      <w:r w:rsidRPr="00491C42">
        <w:rPr>
          <w:szCs w:val="22"/>
        </w:rPr>
        <w:t>Odporúčaná dávka je 5 mg jedenkrát denne, pokiaľ vám lekár nepredpíše dávku 10 mg jedenkrát denne.</w:t>
      </w:r>
    </w:p>
    <w:p w:rsidR="009533C8" w:rsidRPr="00491C42" w:rsidRDefault="009533C8" w:rsidP="00726C19">
      <w:pPr>
        <w:pStyle w:val="Normlndobloku"/>
        <w:rPr>
          <w:szCs w:val="22"/>
        </w:rPr>
      </w:pPr>
      <w:r w:rsidRPr="00491C42">
        <w:rPr>
          <w:szCs w:val="22"/>
        </w:rPr>
        <w:t>Tableta sa má prehltnúť vcelku a zapiť</w:t>
      </w:r>
      <w:r w:rsidR="00190E2D" w:rsidRPr="00491C42">
        <w:rPr>
          <w:szCs w:val="22"/>
        </w:rPr>
        <w:t xml:space="preserve"> malým množstvom</w:t>
      </w:r>
      <w:r w:rsidR="00DC1096" w:rsidRPr="00491C42">
        <w:rPr>
          <w:szCs w:val="22"/>
        </w:rPr>
        <w:t xml:space="preserve"> tekutiny</w:t>
      </w:r>
      <w:r w:rsidRPr="00491C42">
        <w:rPr>
          <w:szCs w:val="22"/>
        </w:rPr>
        <w:t>. Môžete ju užívať podľa vlastného uváženia – s jedlom alebo nezávisle od jedla. Tablety nedrvte.</w:t>
      </w:r>
    </w:p>
    <w:p w:rsidR="008D0EE7" w:rsidRPr="00491C42" w:rsidRDefault="008D0EE7" w:rsidP="00726C19">
      <w:pPr>
        <w:pStyle w:val="Normlndobloku"/>
        <w:rPr>
          <w:szCs w:val="22"/>
        </w:rPr>
      </w:pPr>
    </w:p>
    <w:p w:rsidR="009533C8" w:rsidRPr="00491C42" w:rsidRDefault="009533C8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Použitie u detí a dospievajúcich</w:t>
      </w:r>
    </w:p>
    <w:p w:rsidR="009533C8" w:rsidRPr="00491C42" w:rsidRDefault="009533C8" w:rsidP="00726C19">
      <w:pPr>
        <w:pStyle w:val="Normlndobloku"/>
        <w:rPr>
          <w:szCs w:val="22"/>
        </w:rPr>
      </w:pPr>
      <w:r w:rsidRPr="00491C42">
        <w:rPr>
          <w:szCs w:val="22"/>
        </w:rPr>
        <w:t>FOLINAR nemajú užívať deti alebo dospievajúci mladší ako 18 rokov.</w:t>
      </w:r>
    </w:p>
    <w:p w:rsidR="008D0EE7" w:rsidRPr="00491C42" w:rsidRDefault="008D0EE7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 xml:space="preserve">Ak užijete viac lieku </w:t>
      </w:r>
      <w:r w:rsidR="00AF4424" w:rsidRPr="00491C42">
        <w:rPr>
          <w:szCs w:val="22"/>
        </w:rPr>
        <w:t>FOLINAR</w:t>
      </w:r>
      <w:r w:rsidRPr="00491C42">
        <w:rPr>
          <w:szCs w:val="22"/>
        </w:rPr>
        <w:t>, ako máte</w:t>
      </w:r>
    </w:p>
    <w:p w:rsidR="009533C8" w:rsidRPr="00491C42" w:rsidRDefault="009533C8" w:rsidP="00726C19">
      <w:pPr>
        <w:pStyle w:val="Normlndobloku"/>
        <w:rPr>
          <w:szCs w:val="22"/>
        </w:rPr>
      </w:pPr>
      <w:r w:rsidRPr="00491C42">
        <w:rPr>
          <w:szCs w:val="22"/>
        </w:rPr>
        <w:t>Ak ste užili príliš veľa lieku FOLINAR alebo ak náhodne užije FOLINAR dieťa, bezodkladne sa poraďte s lekárom alebo lekárnikom.</w:t>
      </w:r>
      <w:r w:rsidR="008D0EE7" w:rsidRPr="00491C42">
        <w:rPr>
          <w:szCs w:val="22"/>
        </w:rPr>
        <w:t xml:space="preserve"> </w:t>
      </w:r>
      <w:r w:rsidRPr="00491C42">
        <w:rPr>
          <w:szCs w:val="22"/>
        </w:rPr>
        <w:t>Príznakm</w:t>
      </w:r>
      <w:r w:rsidR="00DC1096" w:rsidRPr="00491C42">
        <w:rPr>
          <w:szCs w:val="22"/>
        </w:rPr>
        <w:t>i</w:t>
      </w:r>
      <w:r w:rsidRPr="00491C42">
        <w:rPr>
          <w:szCs w:val="22"/>
        </w:rPr>
        <w:t xml:space="preserve"> predávkovania môž</w:t>
      </w:r>
      <w:r w:rsidR="00DC1096" w:rsidRPr="00491C42">
        <w:rPr>
          <w:szCs w:val="22"/>
        </w:rPr>
        <w:t>u</w:t>
      </w:r>
      <w:r w:rsidRPr="00491C42">
        <w:rPr>
          <w:szCs w:val="22"/>
        </w:rPr>
        <w:t xml:space="preserve"> byť: bolesť hlavy, sucho v ústach, závrat,</w:t>
      </w:r>
      <w:r w:rsidR="009739DF" w:rsidRPr="00491C42">
        <w:rPr>
          <w:szCs w:val="22"/>
        </w:rPr>
        <w:t xml:space="preserve"> </w:t>
      </w:r>
      <w:r w:rsidRPr="00491C42">
        <w:rPr>
          <w:szCs w:val="22"/>
        </w:rPr>
        <w:t>ospalosť a rozmazané videnie, vnímanie vecí, ktoré v skutočnosti nie sú (halucinácie), výrazné podráždenie, záchvat (kŕče), problémy s dýchaním, zrýchlený pulz (tachykardia), hromadenie moču v močovom mechúre (retencia moču), rozšírenie zreníc (</w:t>
      </w:r>
      <w:proofErr w:type="spellStart"/>
      <w:r w:rsidRPr="00491C42">
        <w:rPr>
          <w:szCs w:val="22"/>
        </w:rPr>
        <w:t>mydriáza</w:t>
      </w:r>
      <w:proofErr w:type="spellEnd"/>
      <w:r w:rsidRPr="00491C42">
        <w:rPr>
          <w:szCs w:val="22"/>
        </w:rPr>
        <w:t>).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 xml:space="preserve">Ak zabudnete užiť </w:t>
      </w:r>
      <w:r w:rsidR="00AF4424" w:rsidRPr="00491C42">
        <w:rPr>
          <w:szCs w:val="22"/>
        </w:rPr>
        <w:t>FOLINAR</w:t>
      </w:r>
    </w:p>
    <w:p w:rsidR="00DC1096" w:rsidRPr="00491C42" w:rsidRDefault="00DA650B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Ak ste zabudli užiť tabletu vo zvyčajnom čase, užite ju hneď, ako si spomeniete, ale nie v prípade, ak je už čas na užitie ďalšej dávky. </w:t>
      </w:r>
    </w:p>
    <w:p w:rsidR="00DA650B" w:rsidRPr="00491C42" w:rsidRDefault="00DA650B" w:rsidP="00726C19">
      <w:pPr>
        <w:pStyle w:val="Normlndobloku"/>
        <w:rPr>
          <w:szCs w:val="22"/>
        </w:rPr>
      </w:pPr>
      <w:r w:rsidRPr="00491C42">
        <w:rPr>
          <w:szCs w:val="22"/>
        </w:rPr>
        <w:t>Nikdy neužívajte viac ako jednu dávku denne. V prípade pochybností sa vždy opýtajte svojho lekára alebo lekárnika.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 xml:space="preserve">Ak prestanete užívať </w:t>
      </w:r>
      <w:r w:rsidR="00AF4424" w:rsidRPr="00491C42">
        <w:rPr>
          <w:szCs w:val="22"/>
        </w:rPr>
        <w:t>FOLINAR</w:t>
      </w:r>
    </w:p>
    <w:p w:rsidR="00DA650B" w:rsidRPr="00491C42" w:rsidRDefault="00DA650B" w:rsidP="00726C19">
      <w:pPr>
        <w:pStyle w:val="Normlndobloku"/>
        <w:rPr>
          <w:szCs w:val="22"/>
        </w:rPr>
      </w:pPr>
      <w:r w:rsidRPr="00491C42">
        <w:rPr>
          <w:szCs w:val="22"/>
        </w:rPr>
        <w:t>Ak prestanete užívať FOLINAR, príznaky hyperaktívneho močového mechúra sa môžu znova objaviť alebo zhoršiť. Vždy sa poraďte so svojím lekárom, ak uvažujete o ukončení liečby.</w:t>
      </w:r>
    </w:p>
    <w:p w:rsidR="00DA650B" w:rsidRPr="00491C42" w:rsidRDefault="00DA650B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Ak máte </w:t>
      </w:r>
      <w:r w:rsidR="00340991" w:rsidRPr="00491C42">
        <w:rPr>
          <w:szCs w:val="22"/>
        </w:rPr>
        <w:t xml:space="preserve">akékoľvek </w:t>
      </w:r>
      <w:r w:rsidRPr="00491C42">
        <w:rPr>
          <w:szCs w:val="22"/>
        </w:rPr>
        <w:t>ďalšie otázky týkajúce sa použitia tohto lieku, opýtajte sa svojho lekára alebo lekárnika.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0206E0" w:rsidRPr="00491C42" w:rsidRDefault="000206E0" w:rsidP="00726C19">
      <w:pPr>
        <w:pStyle w:val="Normlndobloku"/>
        <w:rPr>
          <w:szCs w:val="22"/>
        </w:rPr>
      </w:pPr>
    </w:p>
    <w:p w:rsidR="001335CC" w:rsidRPr="00E42D71" w:rsidRDefault="001335CC" w:rsidP="001335C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bookmarkStart w:id="1" w:name="_Toc443314746"/>
      <w:r w:rsidRPr="00E42D71">
        <w:rPr>
          <w:b/>
          <w:noProof/>
          <w:sz w:val="22"/>
          <w:szCs w:val="22"/>
        </w:rPr>
        <w:t>4.</w:t>
      </w:r>
      <w:r w:rsidRPr="00E42D71">
        <w:rPr>
          <w:b/>
          <w:noProof/>
          <w:sz w:val="22"/>
          <w:szCs w:val="22"/>
        </w:rPr>
        <w:tab/>
        <w:t>Možné vedľajšie účinky</w:t>
      </w:r>
    </w:p>
    <w:bookmarkEnd w:id="1"/>
    <w:p w:rsidR="000206E0" w:rsidRPr="00491C42" w:rsidRDefault="000206E0" w:rsidP="00726C19">
      <w:pPr>
        <w:pStyle w:val="Styl1"/>
        <w:numPr>
          <w:ilvl w:val="0"/>
          <w:numId w:val="0"/>
        </w:numPr>
        <w:ind w:left="360"/>
        <w:rPr>
          <w:szCs w:val="22"/>
        </w:rPr>
      </w:pP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>Tak ako všetky lieky, aj tento liek môže spôsobovať vedľajšie účinky</w:t>
      </w:r>
      <w:r w:rsidR="002566F5" w:rsidRPr="00491C42">
        <w:rPr>
          <w:szCs w:val="22"/>
        </w:rPr>
        <w:t>, hoci sa neprejavia u každého.</w:t>
      </w:r>
    </w:p>
    <w:p w:rsidR="00FB28C3" w:rsidRPr="00491C42" w:rsidRDefault="00FB28C3" w:rsidP="00726C19">
      <w:pPr>
        <w:pStyle w:val="Normlndobloku"/>
        <w:rPr>
          <w:szCs w:val="22"/>
        </w:rPr>
      </w:pPr>
      <w:r w:rsidRPr="00491C42">
        <w:rPr>
          <w:szCs w:val="22"/>
        </w:rPr>
        <w:t>V prípade výskytu alergického záchvatu alebo závažnej kožnej reakcie (napr. pľuzgiere alebo olupovanie kože), musíte</w:t>
      </w:r>
      <w:r w:rsidRPr="00491C42">
        <w:rPr>
          <w:b/>
          <w:szCs w:val="22"/>
        </w:rPr>
        <w:t xml:space="preserve"> okamžite o tom informovať svojho lekára alebo lekárnika.</w:t>
      </w:r>
    </w:p>
    <w:p w:rsidR="00FB28C3" w:rsidRPr="00491C42" w:rsidRDefault="00FB28C3" w:rsidP="00726C19">
      <w:pPr>
        <w:pStyle w:val="Normlndobloku"/>
        <w:rPr>
          <w:b/>
          <w:szCs w:val="22"/>
        </w:rPr>
      </w:pPr>
      <w:r w:rsidRPr="00491C42">
        <w:rPr>
          <w:szCs w:val="22"/>
        </w:rPr>
        <w:t xml:space="preserve">Angioedém (alergická kožná reakcia, ktorej výsledkom je opuch tkaniva tesne pod povrchom kože) so zúžením dýchacích ciest (ťažkosti s dýchaním) bol hlásený u niektorých pacientov užívajúcich </w:t>
      </w:r>
      <w:proofErr w:type="spellStart"/>
      <w:r w:rsidRPr="00491C42">
        <w:rPr>
          <w:szCs w:val="22"/>
        </w:rPr>
        <w:t>solifenacín</w:t>
      </w:r>
      <w:proofErr w:type="spellEnd"/>
      <w:r w:rsidRPr="00491C42">
        <w:rPr>
          <w:szCs w:val="22"/>
        </w:rPr>
        <w:t xml:space="preserve">. </w:t>
      </w:r>
      <w:r w:rsidRPr="00491C42">
        <w:rPr>
          <w:b/>
          <w:szCs w:val="22"/>
        </w:rPr>
        <w:t xml:space="preserve">Pri výskyte </w:t>
      </w:r>
      <w:proofErr w:type="spellStart"/>
      <w:r w:rsidRPr="00491C42">
        <w:rPr>
          <w:b/>
          <w:szCs w:val="22"/>
        </w:rPr>
        <w:t>angioedému</w:t>
      </w:r>
      <w:proofErr w:type="spellEnd"/>
      <w:r w:rsidRPr="00491C42">
        <w:rPr>
          <w:b/>
          <w:szCs w:val="22"/>
        </w:rPr>
        <w:t xml:space="preserve"> sa má užívanie </w:t>
      </w:r>
      <w:proofErr w:type="spellStart"/>
      <w:r w:rsidRPr="00491C42">
        <w:rPr>
          <w:b/>
          <w:szCs w:val="22"/>
        </w:rPr>
        <w:t>solifenacínu</w:t>
      </w:r>
      <w:proofErr w:type="spellEnd"/>
      <w:r w:rsidRPr="00491C42">
        <w:rPr>
          <w:b/>
          <w:szCs w:val="22"/>
        </w:rPr>
        <w:t xml:space="preserve"> (FOLINAR) okamžite ukončiť a má byť podaná vhodná liečba a/alebo prijaté vhodné opatrenia.</w:t>
      </w:r>
    </w:p>
    <w:p w:rsidR="005C5C03" w:rsidRPr="00E42D71" w:rsidRDefault="005C5C03" w:rsidP="00726C19">
      <w:pPr>
        <w:pStyle w:val="Normlndobloku"/>
        <w:rPr>
          <w:szCs w:val="22"/>
        </w:rPr>
      </w:pPr>
    </w:p>
    <w:p w:rsidR="00FB28C3" w:rsidRPr="00491C42" w:rsidRDefault="00220B2D" w:rsidP="00726C19">
      <w:pPr>
        <w:pStyle w:val="Normlndobloku"/>
        <w:rPr>
          <w:szCs w:val="22"/>
        </w:rPr>
      </w:pPr>
      <w:proofErr w:type="spellStart"/>
      <w:r w:rsidRPr="00491C42">
        <w:rPr>
          <w:szCs w:val="22"/>
        </w:rPr>
        <w:t>Solifenacín</w:t>
      </w:r>
      <w:proofErr w:type="spellEnd"/>
      <w:r w:rsidR="00FB28C3" w:rsidRPr="00491C42">
        <w:rPr>
          <w:szCs w:val="22"/>
        </w:rPr>
        <w:t xml:space="preserve"> môže spôsobovať </w:t>
      </w:r>
      <w:r w:rsidR="005F50B7" w:rsidRPr="00491C42">
        <w:rPr>
          <w:szCs w:val="22"/>
        </w:rPr>
        <w:t xml:space="preserve">tieto </w:t>
      </w:r>
      <w:r w:rsidR="00FB28C3" w:rsidRPr="00491C42">
        <w:rPr>
          <w:szCs w:val="22"/>
        </w:rPr>
        <w:t>ďalšie vedľajšie účinky:</w:t>
      </w:r>
    </w:p>
    <w:p w:rsidR="008B66A4" w:rsidRPr="00491C42" w:rsidRDefault="008B66A4" w:rsidP="00726C19">
      <w:pPr>
        <w:pStyle w:val="Normlndobloku"/>
        <w:rPr>
          <w:szCs w:val="22"/>
        </w:rPr>
      </w:pPr>
    </w:p>
    <w:p w:rsidR="00FB28C3" w:rsidRPr="00E42D71" w:rsidRDefault="00FB28C3" w:rsidP="00E42D71">
      <w:pPr>
        <w:pStyle w:val="Styl3"/>
        <w:rPr>
          <w:sz w:val="22"/>
          <w:szCs w:val="22"/>
        </w:rPr>
      </w:pPr>
      <w:r w:rsidRPr="00E42D71">
        <w:rPr>
          <w:sz w:val="22"/>
          <w:szCs w:val="22"/>
        </w:rPr>
        <w:t xml:space="preserve">Veľmi časté </w:t>
      </w:r>
      <w:r w:rsidRPr="00E42D71">
        <w:rPr>
          <w:sz w:val="22"/>
          <w:szCs w:val="22"/>
          <w:u w:val="none"/>
        </w:rPr>
        <w:t xml:space="preserve">(môžu </w:t>
      </w:r>
      <w:r w:rsidR="00340991" w:rsidRPr="00E42D71">
        <w:rPr>
          <w:sz w:val="22"/>
          <w:szCs w:val="22"/>
          <w:u w:val="none"/>
        </w:rPr>
        <w:t>postihovať</w:t>
      </w:r>
      <w:r w:rsidRPr="00E42D71">
        <w:rPr>
          <w:sz w:val="22"/>
          <w:szCs w:val="22"/>
          <w:u w:val="none"/>
        </w:rPr>
        <w:t xml:space="preserve"> viac ako 1 z 10 </w:t>
      </w:r>
      <w:r w:rsidR="00340991" w:rsidRPr="00E42D71">
        <w:rPr>
          <w:sz w:val="22"/>
          <w:szCs w:val="22"/>
          <w:u w:val="none"/>
        </w:rPr>
        <w:t>osôb</w:t>
      </w:r>
      <w:r w:rsidRPr="00E42D71">
        <w:rPr>
          <w:sz w:val="22"/>
          <w:szCs w:val="22"/>
          <w:u w:val="none"/>
        </w:rPr>
        <w:t>)</w:t>
      </w:r>
      <w:r w:rsidR="00662477" w:rsidRPr="00E42D71">
        <w:rPr>
          <w:sz w:val="22"/>
          <w:szCs w:val="22"/>
          <w:u w:val="none"/>
        </w:rPr>
        <w:t>: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sucho v</w:t>
      </w:r>
      <w:r w:rsidR="00662477" w:rsidRPr="00491C42">
        <w:rPr>
          <w:szCs w:val="22"/>
        </w:rPr>
        <w:t> </w:t>
      </w:r>
      <w:r w:rsidRPr="00491C42">
        <w:rPr>
          <w:szCs w:val="22"/>
        </w:rPr>
        <w:t>ústach</w:t>
      </w:r>
      <w:r w:rsidR="00662477" w:rsidRPr="00491C42">
        <w:rPr>
          <w:szCs w:val="22"/>
        </w:rPr>
        <w:t>.</w:t>
      </w:r>
    </w:p>
    <w:p w:rsidR="009739DF" w:rsidRPr="00491C42" w:rsidRDefault="009739DF" w:rsidP="00E42D71">
      <w:pPr>
        <w:pStyle w:val="Normlndobloku"/>
        <w:rPr>
          <w:szCs w:val="22"/>
        </w:rPr>
      </w:pPr>
    </w:p>
    <w:p w:rsidR="00FB28C3" w:rsidRPr="00E42D71" w:rsidRDefault="00FB28C3" w:rsidP="00E42D71">
      <w:pPr>
        <w:pStyle w:val="Styl3"/>
        <w:rPr>
          <w:sz w:val="22"/>
          <w:szCs w:val="22"/>
        </w:rPr>
      </w:pPr>
      <w:r w:rsidRPr="00E42D71">
        <w:rPr>
          <w:sz w:val="22"/>
          <w:szCs w:val="22"/>
        </w:rPr>
        <w:t>Časté</w:t>
      </w:r>
      <w:r w:rsidRPr="00E42D71">
        <w:rPr>
          <w:sz w:val="22"/>
          <w:szCs w:val="22"/>
          <w:u w:val="none"/>
        </w:rPr>
        <w:t xml:space="preserve"> (môžu </w:t>
      </w:r>
      <w:r w:rsidR="00340991" w:rsidRPr="00E42D71">
        <w:rPr>
          <w:sz w:val="22"/>
          <w:szCs w:val="22"/>
          <w:u w:val="none"/>
        </w:rPr>
        <w:t>postihovať</w:t>
      </w:r>
      <w:r w:rsidR="00C83171" w:rsidRPr="00E42D71">
        <w:rPr>
          <w:sz w:val="22"/>
          <w:szCs w:val="22"/>
          <w:u w:val="none"/>
        </w:rPr>
        <w:t xml:space="preserve"> menej ako </w:t>
      </w:r>
      <w:r w:rsidRPr="00E42D71">
        <w:rPr>
          <w:sz w:val="22"/>
          <w:szCs w:val="22"/>
          <w:u w:val="none"/>
        </w:rPr>
        <w:t xml:space="preserve">1 z 10 </w:t>
      </w:r>
      <w:r w:rsidR="00340991" w:rsidRPr="00E42D71">
        <w:rPr>
          <w:sz w:val="22"/>
          <w:szCs w:val="22"/>
          <w:u w:val="none"/>
        </w:rPr>
        <w:t>osôb</w:t>
      </w:r>
      <w:r w:rsidRPr="00E42D71">
        <w:rPr>
          <w:sz w:val="22"/>
          <w:szCs w:val="22"/>
          <w:u w:val="none"/>
        </w:rPr>
        <w:t>)</w:t>
      </w:r>
      <w:r w:rsidR="001A72F2" w:rsidRPr="00E42D71">
        <w:rPr>
          <w:sz w:val="22"/>
          <w:szCs w:val="22"/>
          <w:u w:val="none"/>
        </w:rPr>
        <w:t>: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rozmazané videnie,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zápcha, nutkanie na vracanie, poruchy trávenia s príznakmi ako pocit plnosti žalúdka, bolesť brucha, grganie, nevoľnosť a pálenie záhy (</w:t>
      </w:r>
      <w:proofErr w:type="spellStart"/>
      <w:r w:rsidRPr="00491C42">
        <w:rPr>
          <w:szCs w:val="22"/>
        </w:rPr>
        <w:t>dyspepsia</w:t>
      </w:r>
      <w:proofErr w:type="spellEnd"/>
      <w:r w:rsidRPr="00491C42">
        <w:rPr>
          <w:szCs w:val="22"/>
        </w:rPr>
        <w:t>), nepríjemný pocit v</w:t>
      </w:r>
      <w:r w:rsidR="00662477" w:rsidRPr="00491C42">
        <w:rPr>
          <w:szCs w:val="22"/>
        </w:rPr>
        <w:t> </w:t>
      </w:r>
      <w:r w:rsidRPr="00491C42">
        <w:rPr>
          <w:szCs w:val="22"/>
        </w:rPr>
        <w:t>bruchu</w:t>
      </w:r>
      <w:r w:rsidR="00662477" w:rsidRPr="00491C42">
        <w:rPr>
          <w:szCs w:val="22"/>
        </w:rPr>
        <w:t>.</w:t>
      </w:r>
    </w:p>
    <w:p w:rsidR="009739DF" w:rsidRPr="00491C42" w:rsidRDefault="009739DF" w:rsidP="00E42D71">
      <w:pPr>
        <w:pStyle w:val="Normlndobloku"/>
        <w:rPr>
          <w:szCs w:val="22"/>
        </w:rPr>
      </w:pPr>
    </w:p>
    <w:p w:rsidR="00FB28C3" w:rsidRPr="00E42D71" w:rsidRDefault="00FB28C3" w:rsidP="00E42D71">
      <w:pPr>
        <w:pStyle w:val="Styl3"/>
        <w:rPr>
          <w:sz w:val="22"/>
          <w:szCs w:val="22"/>
        </w:rPr>
      </w:pPr>
      <w:r w:rsidRPr="00E42D71">
        <w:rPr>
          <w:sz w:val="22"/>
          <w:szCs w:val="22"/>
        </w:rPr>
        <w:t>Menej časté</w:t>
      </w:r>
      <w:bookmarkStart w:id="2" w:name="OLE_LINK1"/>
      <w:bookmarkStart w:id="3" w:name="OLE_LINK2"/>
      <w:r w:rsidR="007E5913" w:rsidRPr="00E42D71">
        <w:rPr>
          <w:sz w:val="22"/>
          <w:szCs w:val="22"/>
          <w:u w:val="none"/>
        </w:rPr>
        <w:t xml:space="preserve"> </w:t>
      </w:r>
      <w:r w:rsidRPr="00E42D71">
        <w:rPr>
          <w:sz w:val="22"/>
          <w:szCs w:val="22"/>
          <w:u w:val="none"/>
        </w:rPr>
        <w:t xml:space="preserve">(môžu </w:t>
      </w:r>
      <w:r w:rsidR="00340991" w:rsidRPr="00E42D71">
        <w:rPr>
          <w:sz w:val="22"/>
          <w:szCs w:val="22"/>
          <w:u w:val="none"/>
        </w:rPr>
        <w:t>postihovať</w:t>
      </w:r>
      <w:r w:rsidR="00C83171" w:rsidRPr="00E42D71">
        <w:rPr>
          <w:sz w:val="22"/>
          <w:szCs w:val="22"/>
          <w:u w:val="none"/>
        </w:rPr>
        <w:t xml:space="preserve"> menej ako </w:t>
      </w:r>
      <w:r w:rsidRPr="00E42D71">
        <w:rPr>
          <w:sz w:val="22"/>
          <w:szCs w:val="22"/>
          <w:u w:val="none"/>
        </w:rPr>
        <w:t xml:space="preserve">1 zo 100 </w:t>
      </w:r>
      <w:r w:rsidR="00340991" w:rsidRPr="00E42D71">
        <w:rPr>
          <w:sz w:val="22"/>
          <w:szCs w:val="22"/>
          <w:u w:val="none"/>
        </w:rPr>
        <w:t>osôb</w:t>
      </w:r>
      <w:r w:rsidRPr="00E42D71">
        <w:rPr>
          <w:sz w:val="22"/>
          <w:szCs w:val="22"/>
          <w:u w:val="none"/>
        </w:rPr>
        <w:t>)</w:t>
      </w:r>
      <w:bookmarkEnd w:id="2"/>
      <w:bookmarkEnd w:id="3"/>
      <w:r w:rsidR="00662477" w:rsidRPr="00E42D71">
        <w:rPr>
          <w:sz w:val="22"/>
          <w:szCs w:val="22"/>
          <w:u w:val="none"/>
        </w:rPr>
        <w:t>: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infekcia močových ciest, infekcia močového mechúra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ospalosť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lastRenderedPageBreak/>
        <w:t>porucha vnímania chuti (</w:t>
      </w:r>
      <w:proofErr w:type="spellStart"/>
      <w:r w:rsidRPr="00491C42">
        <w:rPr>
          <w:szCs w:val="22"/>
        </w:rPr>
        <w:t>dysgeúzia</w:t>
      </w:r>
      <w:proofErr w:type="spellEnd"/>
      <w:r w:rsidRPr="00491C42">
        <w:rPr>
          <w:szCs w:val="22"/>
        </w:rPr>
        <w:t>)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suché (podráždené) oči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suché nosové </w:t>
      </w:r>
      <w:r w:rsidR="00190E2D" w:rsidRPr="00491C42">
        <w:rPr>
          <w:szCs w:val="22"/>
        </w:rPr>
        <w:t>dutiny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proofErr w:type="spellStart"/>
      <w:r w:rsidRPr="00491C42">
        <w:rPr>
          <w:szCs w:val="22"/>
        </w:rPr>
        <w:t>refluxná</w:t>
      </w:r>
      <w:proofErr w:type="spellEnd"/>
      <w:r w:rsidRPr="00491C42">
        <w:rPr>
          <w:szCs w:val="22"/>
        </w:rPr>
        <w:t xml:space="preserve"> choroba (</w:t>
      </w:r>
      <w:proofErr w:type="spellStart"/>
      <w:r w:rsidRPr="00491C42">
        <w:rPr>
          <w:szCs w:val="22"/>
        </w:rPr>
        <w:t>gastroezofa</w:t>
      </w:r>
      <w:r w:rsidR="00402958" w:rsidRPr="00491C42">
        <w:rPr>
          <w:szCs w:val="22"/>
        </w:rPr>
        <w:t>g</w:t>
      </w:r>
      <w:r w:rsidRPr="00491C42">
        <w:rPr>
          <w:szCs w:val="22"/>
        </w:rPr>
        <w:t>eálny</w:t>
      </w:r>
      <w:proofErr w:type="spellEnd"/>
      <w:r w:rsidRPr="00491C42">
        <w:rPr>
          <w:szCs w:val="22"/>
        </w:rPr>
        <w:t xml:space="preserve"> </w:t>
      </w:r>
      <w:proofErr w:type="spellStart"/>
      <w:r w:rsidRPr="00491C42">
        <w:rPr>
          <w:szCs w:val="22"/>
        </w:rPr>
        <w:t>reflux</w:t>
      </w:r>
      <w:proofErr w:type="spellEnd"/>
      <w:r w:rsidRPr="00491C42">
        <w:rPr>
          <w:szCs w:val="22"/>
        </w:rPr>
        <w:t xml:space="preserve"> </w:t>
      </w:r>
      <w:r w:rsidR="006C22D0" w:rsidRPr="00491C42">
        <w:rPr>
          <w:szCs w:val="22"/>
        </w:rPr>
        <w:t>–</w:t>
      </w:r>
      <w:r w:rsidRPr="00491C42">
        <w:rPr>
          <w:szCs w:val="22"/>
        </w:rPr>
        <w:t xml:space="preserve"> mimovoľný návrat kyslého obsahu žalúdka do</w:t>
      </w:r>
      <w:r w:rsidR="00402958" w:rsidRPr="00491C42">
        <w:rPr>
          <w:szCs w:val="22"/>
        </w:rPr>
        <w:t> </w:t>
      </w:r>
      <w:r w:rsidRPr="00491C42">
        <w:rPr>
          <w:szCs w:val="22"/>
        </w:rPr>
        <w:t>pažeráka)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sucho v</w:t>
      </w:r>
      <w:r w:rsidR="00662477" w:rsidRPr="00491C42">
        <w:rPr>
          <w:szCs w:val="22"/>
        </w:rPr>
        <w:t> </w:t>
      </w:r>
      <w:r w:rsidRPr="00491C42">
        <w:rPr>
          <w:szCs w:val="22"/>
        </w:rPr>
        <w:t>hrdle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suchá koža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ťažkosti s</w:t>
      </w:r>
      <w:r w:rsidR="00662477" w:rsidRPr="00491C42">
        <w:rPr>
          <w:szCs w:val="22"/>
        </w:rPr>
        <w:t> </w:t>
      </w:r>
      <w:r w:rsidRPr="00491C42">
        <w:rPr>
          <w:szCs w:val="22"/>
        </w:rPr>
        <w:t>močením</w:t>
      </w:r>
      <w:r w:rsidR="00662477" w:rsidRPr="00491C42">
        <w:rPr>
          <w:szCs w:val="22"/>
        </w:rPr>
        <w:t>,</w:t>
      </w:r>
    </w:p>
    <w:p w:rsidR="009739DF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hromadenie tekutiny v spodnej časti nôh (opuch)</w:t>
      </w:r>
      <w:r w:rsidR="00662477" w:rsidRPr="00491C42">
        <w:rPr>
          <w:szCs w:val="22"/>
        </w:rPr>
        <w:t>.</w:t>
      </w:r>
    </w:p>
    <w:p w:rsidR="009739DF" w:rsidRPr="00491C42" w:rsidRDefault="009739DF" w:rsidP="00E42D71">
      <w:pPr>
        <w:pStyle w:val="Normlndobloku"/>
        <w:rPr>
          <w:szCs w:val="22"/>
        </w:rPr>
      </w:pPr>
    </w:p>
    <w:p w:rsidR="00FB28C3" w:rsidRPr="00E42D71" w:rsidRDefault="00FB28C3" w:rsidP="00E42D71">
      <w:pPr>
        <w:pStyle w:val="Styl3"/>
        <w:rPr>
          <w:sz w:val="22"/>
          <w:szCs w:val="22"/>
        </w:rPr>
      </w:pPr>
      <w:r w:rsidRPr="00E42D71">
        <w:rPr>
          <w:sz w:val="22"/>
          <w:szCs w:val="22"/>
        </w:rPr>
        <w:t>Zriedkavé</w:t>
      </w:r>
      <w:r w:rsidR="007E5913" w:rsidRPr="00E42D71">
        <w:rPr>
          <w:sz w:val="22"/>
          <w:szCs w:val="22"/>
          <w:u w:val="none"/>
        </w:rPr>
        <w:t xml:space="preserve"> </w:t>
      </w:r>
      <w:r w:rsidRPr="00E42D71">
        <w:rPr>
          <w:sz w:val="22"/>
          <w:szCs w:val="22"/>
          <w:u w:val="none"/>
        </w:rPr>
        <w:t xml:space="preserve">(môžu </w:t>
      </w:r>
      <w:r w:rsidR="00340991" w:rsidRPr="00E42D71">
        <w:rPr>
          <w:sz w:val="22"/>
          <w:szCs w:val="22"/>
          <w:u w:val="none"/>
        </w:rPr>
        <w:t>postihovať</w:t>
      </w:r>
      <w:r w:rsidR="00C83171" w:rsidRPr="00E42D71">
        <w:rPr>
          <w:sz w:val="22"/>
          <w:szCs w:val="22"/>
          <w:u w:val="none"/>
        </w:rPr>
        <w:t xml:space="preserve"> menej ako </w:t>
      </w:r>
      <w:r w:rsidRPr="00E42D71">
        <w:rPr>
          <w:sz w:val="22"/>
          <w:szCs w:val="22"/>
          <w:u w:val="none"/>
        </w:rPr>
        <w:t xml:space="preserve">1 z 1 000 </w:t>
      </w:r>
      <w:r w:rsidR="00340991" w:rsidRPr="00E42D71">
        <w:rPr>
          <w:sz w:val="22"/>
          <w:szCs w:val="22"/>
          <w:u w:val="none"/>
        </w:rPr>
        <w:t>osôb</w:t>
      </w:r>
      <w:r w:rsidRPr="00E42D71">
        <w:rPr>
          <w:sz w:val="22"/>
          <w:szCs w:val="22"/>
          <w:u w:val="none"/>
        </w:rPr>
        <w:t>)</w:t>
      </w:r>
      <w:r w:rsidR="00662477" w:rsidRPr="00E42D71">
        <w:rPr>
          <w:sz w:val="22"/>
          <w:szCs w:val="22"/>
          <w:u w:val="none"/>
        </w:rPr>
        <w:t>: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hromadenie veľkého množstva stvrdnutej stolice v hrubom čreve (fekálne upchanie)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hromadenie moču v močovom mechúre v dôsledku sťaženého vyprázdňovania (</w:t>
      </w:r>
      <w:proofErr w:type="spellStart"/>
      <w:r w:rsidRPr="00491C42">
        <w:rPr>
          <w:szCs w:val="22"/>
        </w:rPr>
        <w:t>retencia</w:t>
      </w:r>
      <w:proofErr w:type="spellEnd"/>
      <w:r w:rsidRPr="00491C42">
        <w:rPr>
          <w:szCs w:val="22"/>
        </w:rPr>
        <w:t xml:space="preserve"> moču)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závrat, bolesť hlavy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vracanie</w:t>
      </w:r>
      <w:r w:rsidR="00662477" w:rsidRPr="00491C42">
        <w:rPr>
          <w:szCs w:val="22"/>
        </w:rPr>
        <w:t>,</w:t>
      </w:r>
    </w:p>
    <w:p w:rsidR="00FB28C3" w:rsidRPr="00491C42" w:rsidRDefault="00FB28C3" w:rsidP="00E42D71">
      <w:pPr>
        <w:pStyle w:val="Normlndoblokusodrkami"/>
        <w:rPr>
          <w:szCs w:val="22"/>
        </w:rPr>
      </w:pPr>
      <w:r w:rsidRPr="00491C42">
        <w:rPr>
          <w:szCs w:val="22"/>
        </w:rPr>
        <w:t>svrbenie, vyrážka</w:t>
      </w:r>
      <w:r w:rsidR="00662477" w:rsidRPr="00491C42">
        <w:rPr>
          <w:szCs w:val="22"/>
        </w:rPr>
        <w:t>.</w:t>
      </w:r>
    </w:p>
    <w:p w:rsidR="00662477" w:rsidRPr="00491C42" w:rsidRDefault="00662477" w:rsidP="00E42D71">
      <w:pPr>
        <w:pStyle w:val="Normlndobloku"/>
        <w:rPr>
          <w:szCs w:val="22"/>
        </w:rPr>
      </w:pPr>
    </w:p>
    <w:p w:rsidR="00FB28C3" w:rsidRPr="00E42D71" w:rsidRDefault="00FB28C3" w:rsidP="00E42D71">
      <w:pPr>
        <w:pStyle w:val="Styl3"/>
        <w:rPr>
          <w:sz w:val="22"/>
          <w:szCs w:val="22"/>
        </w:rPr>
      </w:pPr>
      <w:r w:rsidRPr="00E42D71">
        <w:rPr>
          <w:sz w:val="22"/>
          <w:szCs w:val="22"/>
        </w:rPr>
        <w:t>Veľmi zriedkavé</w:t>
      </w:r>
      <w:r w:rsidR="007E5913" w:rsidRPr="00E42D71">
        <w:rPr>
          <w:sz w:val="22"/>
          <w:szCs w:val="22"/>
          <w:u w:val="none"/>
        </w:rPr>
        <w:t xml:space="preserve"> </w:t>
      </w:r>
      <w:r w:rsidRPr="00E42D71">
        <w:rPr>
          <w:sz w:val="22"/>
          <w:szCs w:val="22"/>
          <w:u w:val="none"/>
        </w:rPr>
        <w:t xml:space="preserve">(môžu </w:t>
      </w:r>
      <w:r w:rsidR="00340991" w:rsidRPr="00E42D71">
        <w:rPr>
          <w:sz w:val="22"/>
          <w:szCs w:val="22"/>
          <w:u w:val="none"/>
        </w:rPr>
        <w:t>postihovať</w:t>
      </w:r>
      <w:r w:rsidR="00C83171" w:rsidRPr="00E42D71">
        <w:rPr>
          <w:sz w:val="22"/>
          <w:szCs w:val="22"/>
          <w:u w:val="none"/>
        </w:rPr>
        <w:t> menej ako</w:t>
      </w:r>
      <w:r w:rsidR="008D5942" w:rsidRPr="00E42D71">
        <w:rPr>
          <w:sz w:val="22"/>
          <w:szCs w:val="22"/>
          <w:u w:val="none"/>
        </w:rPr>
        <w:t xml:space="preserve"> </w:t>
      </w:r>
      <w:r w:rsidRPr="00E42D71">
        <w:rPr>
          <w:sz w:val="22"/>
          <w:szCs w:val="22"/>
          <w:u w:val="none"/>
        </w:rPr>
        <w:t xml:space="preserve">1 z 10 000 </w:t>
      </w:r>
      <w:r w:rsidR="00340991" w:rsidRPr="00E42D71">
        <w:rPr>
          <w:sz w:val="22"/>
          <w:szCs w:val="22"/>
          <w:u w:val="none"/>
        </w:rPr>
        <w:t>osôb</w:t>
      </w:r>
      <w:r w:rsidRPr="00E42D71">
        <w:rPr>
          <w:sz w:val="22"/>
          <w:szCs w:val="22"/>
          <w:u w:val="none"/>
        </w:rPr>
        <w:t>)</w:t>
      </w:r>
      <w:r w:rsidR="00662477" w:rsidRPr="00E42D71">
        <w:rPr>
          <w:sz w:val="22"/>
          <w:szCs w:val="22"/>
          <w:u w:val="none"/>
        </w:rPr>
        <w:t>: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halucinácie, zmätenosť</w:t>
      </w:r>
      <w:r w:rsidR="00662477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alergická vyrážka</w:t>
      </w:r>
      <w:r w:rsidR="00662477" w:rsidRPr="00491C42">
        <w:rPr>
          <w:szCs w:val="22"/>
        </w:rPr>
        <w:t>.</w:t>
      </w:r>
    </w:p>
    <w:p w:rsidR="009739DF" w:rsidRPr="00491C42" w:rsidRDefault="009739DF" w:rsidP="00E42D71">
      <w:pPr>
        <w:pStyle w:val="Normlndobloku"/>
        <w:rPr>
          <w:szCs w:val="22"/>
        </w:rPr>
      </w:pPr>
    </w:p>
    <w:p w:rsidR="00FB28C3" w:rsidRPr="00E42D71" w:rsidRDefault="00FB28C3" w:rsidP="00E42D71">
      <w:pPr>
        <w:pStyle w:val="Styl3"/>
        <w:rPr>
          <w:sz w:val="22"/>
          <w:szCs w:val="22"/>
        </w:rPr>
      </w:pPr>
      <w:r w:rsidRPr="00E42D71">
        <w:rPr>
          <w:sz w:val="22"/>
          <w:szCs w:val="22"/>
        </w:rPr>
        <w:t>Neznáme</w:t>
      </w:r>
      <w:r w:rsidRPr="00E42D71">
        <w:rPr>
          <w:sz w:val="22"/>
          <w:szCs w:val="22"/>
          <w:u w:val="none"/>
        </w:rPr>
        <w:t xml:space="preserve"> (častosť sa nedá odhadnúť z dostupných údajov)</w:t>
      </w:r>
      <w:r w:rsidR="00662477" w:rsidRPr="00E42D71">
        <w:rPr>
          <w:sz w:val="22"/>
          <w:szCs w:val="22"/>
          <w:u w:val="none"/>
        </w:rPr>
        <w:t>: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zníženie chuti do jedla, vysoká koncentrácia draslíka v krvi, ktorá môže spôsobiť neprimeraný rytmus tlkotu srdca</w:t>
      </w:r>
      <w:r w:rsidR="007E5913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zvýšenie tlaku v</w:t>
      </w:r>
      <w:r w:rsidR="007E5913" w:rsidRPr="00491C42">
        <w:rPr>
          <w:szCs w:val="22"/>
        </w:rPr>
        <w:t> </w:t>
      </w:r>
      <w:r w:rsidRPr="00491C42">
        <w:rPr>
          <w:szCs w:val="22"/>
        </w:rPr>
        <w:t>očiach</w:t>
      </w:r>
      <w:r w:rsidR="007E5913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zmeny v elektrickej aktivite srdca (EKG), nepravidelný srdcový rytmus, pocit búšenia srdca, zrýchlenie srdcového rytmu</w:t>
      </w:r>
      <w:r w:rsidR="007E5913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poruch</w:t>
      </w:r>
      <w:r w:rsidR="00340991" w:rsidRPr="00491C42">
        <w:rPr>
          <w:szCs w:val="22"/>
        </w:rPr>
        <w:t>a</w:t>
      </w:r>
      <w:r w:rsidRPr="00491C42">
        <w:rPr>
          <w:szCs w:val="22"/>
        </w:rPr>
        <w:t xml:space="preserve"> hlasu</w:t>
      </w:r>
      <w:r w:rsidR="007E5913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porucha funkcie pečene</w:t>
      </w:r>
      <w:r w:rsidR="007E5913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svalová slabosť</w:t>
      </w:r>
      <w:r w:rsidR="007E5913" w:rsidRPr="00491C42">
        <w:rPr>
          <w:szCs w:val="22"/>
        </w:rPr>
        <w:t>,</w:t>
      </w:r>
    </w:p>
    <w:p w:rsidR="00FB28C3" w:rsidRPr="00491C42" w:rsidRDefault="00FB28C3" w:rsidP="00726C19">
      <w:pPr>
        <w:pStyle w:val="Normlndoblokusodrkami"/>
        <w:rPr>
          <w:szCs w:val="22"/>
        </w:rPr>
      </w:pPr>
      <w:r w:rsidRPr="00491C42">
        <w:rPr>
          <w:szCs w:val="22"/>
        </w:rPr>
        <w:t>porucha funkcie obličiek</w:t>
      </w:r>
      <w:r w:rsidR="007E5913" w:rsidRPr="00491C42">
        <w:rPr>
          <w:szCs w:val="22"/>
        </w:rPr>
        <w:t>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Hlásenie vedľajších účinkov</w:t>
      </w: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</w:t>
      </w:r>
      <w:r w:rsidR="00656A0E" w:rsidRPr="00491C42">
        <w:rPr>
          <w:szCs w:val="22"/>
        </w:rPr>
        <w:t xml:space="preserve">lásiť aj priamo na </w:t>
      </w:r>
      <w:r w:rsidR="00656A0E" w:rsidRPr="00491C42">
        <w:rPr>
          <w:szCs w:val="22"/>
          <w:highlight w:val="lightGray"/>
        </w:rPr>
        <w:t>národné</w:t>
      </w:r>
      <w:r w:rsidR="005C5C03" w:rsidRPr="00491C42">
        <w:rPr>
          <w:szCs w:val="22"/>
          <w:highlight w:val="lightGray"/>
        </w:rPr>
        <w:t xml:space="preserve"> </w:t>
      </w:r>
      <w:r w:rsidR="00656A0E" w:rsidRPr="00491C42">
        <w:rPr>
          <w:szCs w:val="22"/>
          <w:highlight w:val="lightGray"/>
        </w:rPr>
        <w:t>centrum hlásenia uvedené</w:t>
      </w:r>
      <w:r w:rsidRPr="00491C42">
        <w:rPr>
          <w:szCs w:val="22"/>
          <w:highlight w:val="lightGray"/>
        </w:rPr>
        <w:t xml:space="preserve"> v </w:t>
      </w:r>
      <w:hyperlink r:id="rId9" w:history="1">
        <w:r w:rsidRPr="00E42D71">
          <w:rPr>
            <w:rStyle w:val="Hypertextovprepojenie"/>
            <w:szCs w:val="22"/>
            <w:highlight w:val="lightGray"/>
          </w:rPr>
          <w:t>Prílohe V</w:t>
        </w:r>
      </w:hyperlink>
      <w:r w:rsidRPr="00491C42">
        <w:rPr>
          <w:szCs w:val="22"/>
          <w:highlight w:val="lightGray"/>
        </w:rPr>
        <w:t>.</w:t>
      </w:r>
      <w:r w:rsidRPr="00491C42">
        <w:rPr>
          <w:szCs w:val="22"/>
        </w:rPr>
        <w:t xml:space="preserve"> Hlásením vedľajších účinkov môžete prispieť k získaniu ďalších informácií o bezpečnosti tohto lieku.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0206E0" w:rsidRPr="00491C42" w:rsidRDefault="000206E0" w:rsidP="00726C19">
      <w:pPr>
        <w:pStyle w:val="Normlndobloku"/>
        <w:rPr>
          <w:szCs w:val="22"/>
        </w:rPr>
      </w:pPr>
    </w:p>
    <w:p w:rsidR="00427D90" w:rsidRPr="00E42D71" w:rsidRDefault="00427D90" w:rsidP="00427D9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bookmarkStart w:id="4" w:name="_Toc443314747"/>
      <w:r w:rsidRPr="00E42D71">
        <w:rPr>
          <w:b/>
          <w:noProof/>
          <w:sz w:val="22"/>
          <w:szCs w:val="22"/>
        </w:rPr>
        <w:t>5.</w:t>
      </w:r>
      <w:r w:rsidRPr="00E42D71">
        <w:rPr>
          <w:b/>
          <w:noProof/>
          <w:sz w:val="22"/>
          <w:szCs w:val="22"/>
        </w:rPr>
        <w:tab/>
        <w:t xml:space="preserve">Ako uchovávať </w:t>
      </w:r>
      <w:r w:rsidRPr="00E42D71">
        <w:rPr>
          <w:b/>
          <w:noProof/>
          <w:sz w:val="22"/>
          <w:szCs w:val="22"/>
        </w:rPr>
        <w:t>FOLINAR</w:t>
      </w:r>
    </w:p>
    <w:bookmarkEnd w:id="4"/>
    <w:p w:rsidR="000206E0" w:rsidRPr="00491C42" w:rsidRDefault="000206E0" w:rsidP="00726C19">
      <w:pPr>
        <w:pStyle w:val="Styl1"/>
        <w:numPr>
          <w:ilvl w:val="0"/>
          <w:numId w:val="0"/>
        </w:numPr>
        <w:ind w:left="360"/>
        <w:rPr>
          <w:szCs w:val="22"/>
        </w:rPr>
      </w:pP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>Tento liek uchovávajte mimo dohľadu a dosahu detí.</w:t>
      </w:r>
    </w:p>
    <w:p w:rsidR="005C5C03" w:rsidRPr="00491C42" w:rsidRDefault="005C5C03" w:rsidP="00726C19">
      <w:pPr>
        <w:pStyle w:val="Normlndobloku"/>
        <w:rPr>
          <w:szCs w:val="22"/>
        </w:rPr>
      </w:pPr>
    </w:p>
    <w:p w:rsidR="00F9173B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Neužívajte tento liek po dátume exspirácie, ktorý je uvedený na škatuľke po EXP. </w:t>
      </w:r>
      <w:r w:rsidR="00F9173B" w:rsidRPr="00491C42">
        <w:rPr>
          <w:szCs w:val="22"/>
        </w:rPr>
        <w:t>Dátum ex</w:t>
      </w:r>
      <w:r w:rsidR="009A35AB" w:rsidRPr="00491C42">
        <w:rPr>
          <w:szCs w:val="22"/>
        </w:rPr>
        <w:t>s</w:t>
      </w:r>
      <w:r w:rsidR="00F9173B" w:rsidRPr="00491C42">
        <w:rPr>
          <w:szCs w:val="22"/>
        </w:rPr>
        <w:t>pirácie sa vzťahuje na posledný deň v danom mesiaci.</w:t>
      </w:r>
    </w:p>
    <w:p w:rsidR="00F9173B" w:rsidRPr="00491C42" w:rsidRDefault="00F9173B" w:rsidP="00726C19">
      <w:pPr>
        <w:pStyle w:val="Normlndobloku"/>
        <w:rPr>
          <w:szCs w:val="22"/>
        </w:rPr>
      </w:pPr>
      <w:r w:rsidRPr="00491C42">
        <w:rPr>
          <w:szCs w:val="22"/>
        </w:rPr>
        <w:t>Tento liek nevyžaduje žiadne špeciálne podmienky na uchovávanie.</w:t>
      </w:r>
    </w:p>
    <w:p w:rsidR="005C5C03" w:rsidRPr="00491C42" w:rsidRDefault="005C5C03" w:rsidP="00726C19">
      <w:pPr>
        <w:pStyle w:val="Normlndobloku"/>
        <w:rPr>
          <w:szCs w:val="22"/>
        </w:rPr>
      </w:pP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0206E0" w:rsidRPr="00491C42" w:rsidRDefault="000206E0" w:rsidP="00726C19">
      <w:pPr>
        <w:pStyle w:val="Normlndobloku"/>
        <w:rPr>
          <w:szCs w:val="22"/>
        </w:rPr>
      </w:pPr>
    </w:p>
    <w:p w:rsidR="004C06EB" w:rsidRPr="00E42D71" w:rsidRDefault="004C06EB">
      <w:pPr>
        <w:spacing w:after="200" w:line="276" w:lineRule="auto"/>
        <w:rPr>
          <w:b/>
          <w:noProof/>
          <w:sz w:val="22"/>
          <w:szCs w:val="22"/>
        </w:rPr>
      </w:pPr>
      <w:bookmarkStart w:id="5" w:name="_Toc443314748"/>
      <w:r w:rsidRPr="00E42D71">
        <w:rPr>
          <w:b/>
          <w:noProof/>
          <w:sz w:val="22"/>
          <w:szCs w:val="22"/>
        </w:rPr>
        <w:br w:type="page"/>
      </w:r>
    </w:p>
    <w:p w:rsidR="00DB3E0D" w:rsidRPr="00E42D71" w:rsidRDefault="00DB3E0D" w:rsidP="00DB3E0D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E42D71">
        <w:rPr>
          <w:b/>
          <w:noProof/>
          <w:sz w:val="22"/>
          <w:szCs w:val="22"/>
        </w:rPr>
        <w:lastRenderedPageBreak/>
        <w:t>6.</w:t>
      </w:r>
      <w:r w:rsidRPr="00E42D71">
        <w:rPr>
          <w:b/>
          <w:noProof/>
          <w:sz w:val="22"/>
          <w:szCs w:val="22"/>
        </w:rPr>
        <w:tab/>
        <w:t>Obsah balenia a ďalšie informácie</w:t>
      </w:r>
    </w:p>
    <w:bookmarkEnd w:id="5"/>
    <w:p w:rsidR="000206E0" w:rsidRPr="00491C42" w:rsidRDefault="000206E0" w:rsidP="00726C19">
      <w:pPr>
        <w:pStyle w:val="Styl1"/>
        <w:numPr>
          <w:ilvl w:val="0"/>
          <w:numId w:val="0"/>
        </w:numPr>
        <w:ind w:left="360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 xml:space="preserve">Čo </w:t>
      </w:r>
      <w:r w:rsidR="00AF4424" w:rsidRPr="00491C42">
        <w:rPr>
          <w:szCs w:val="22"/>
        </w:rPr>
        <w:t>FOLINAR</w:t>
      </w:r>
      <w:r w:rsidRPr="00491C42">
        <w:rPr>
          <w:szCs w:val="22"/>
        </w:rPr>
        <w:t xml:space="preserve"> obsahuje</w:t>
      </w:r>
    </w:p>
    <w:p w:rsidR="00656A0E" w:rsidRPr="00491C42" w:rsidRDefault="00656A0E" w:rsidP="00726C19">
      <w:pPr>
        <w:pStyle w:val="Normlndoblokusodrkami"/>
        <w:rPr>
          <w:szCs w:val="22"/>
        </w:rPr>
      </w:pPr>
      <w:r w:rsidRPr="00491C42">
        <w:rPr>
          <w:szCs w:val="22"/>
        </w:rPr>
        <w:t xml:space="preserve">Liečivo je </w:t>
      </w:r>
      <w:proofErr w:type="spellStart"/>
      <w:r w:rsidRPr="00491C42">
        <w:rPr>
          <w:szCs w:val="22"/>
        </w:rPr>
        <w:t>solifenacíniumsukcinát</w:t>
      </w:r>
      <w:proofErr w:type="spellEnd"/>
      <w:r w:rsidRPr="00491C42">
        <w:rPr>
          <w:szCs w:val="22"/>
        </w:rPr>
        <w:t>.</w:t>
      </w:r>
      <w:r w:rsidR="00C83171" w:rsidRPr="00491C42">
        <w:rPr>
          <w:szCs w:val="22"/>
        </w:rPr>
        <w:t xml:space="preserve"> </w:t>
      </w:r>
      <w:r w:rsidR="001E0F44" w:rsidRPr="00491C42">
        <w:rPr>
          <w:szCs w:val="22"/>
        </w:rPr>
        <w:t>Jedna</w:t>
      </w:r>
      <w:r w:rsidR="00F9173B" w:rsidRPr="00491C42">
        <w:rPr>
          <w:szCs w:val="22"/>
        </w:rPr>
        <w:t xml:space="preserve"> filmom obalená tableta</w:t>
      </w:r>
      <w:r w:rsidR="00625A4D" w:rsidRPr="00491C42">
        <w:rPr>
          <w:szCs w:val="22"/>
        </w:rPr>
        <w:t xml:space="preserve"> obsahuje </w:t>
      </w:r>
      <w:r w:rsidRPr="00491C42">
        <w:rPr>
          <w:szCs w:val="22"/>
        </w:rPr>
        <w:t xml:space="preserve">5 mg alebo 10 mg </w:t>
      </w:r>
      <w:proofErr w:type="spellStart"/>
      <w:r w:rsidRPr="00491C42">
        <w:rPr>
          <w:szCs w:val="22"/>
        </w:rPr>
        <w:t>solifenacíniumsukcinátu</w:t>
      </w:r>
      <w:proofErr w:type="spellEnd"/>
      <w:r w:rsidRPr="00491C42">
        <w:rPr>
          <w:szCs w:val="22"/>
        </w:rPr>
        <w:t xml:space="preserve">, čo zodpovedá 3,8 mg </w:t>
      </w:r>
      <w:proofErr w:type="spellStart"/>
      <w:r w:rsidRPr="00491C42">
        <w:rPr>
          <w:szCs w:val="22"/>
        </w:rPr>
        <w:t>solifenacínu</w:t>
      </w:r>
      <w:proofErr w:type="spellEnd"/>
      <w:r w:rsidRPr="00491C42">
        <w:rPr>
          <w:szCs w:val="22"/>
        </w:rPr>
        <w:t xml:space="preserve"> alebo</w:t>
      </w:r>
      <w:r w:rsidR="00C83171" w:rsidRPr="00491C42">
        <w:rPr>
          <w:szCs w:val="22"/>
        </w:rPr>
        <w:t xml:space="preserve"> </w:t>
      </w:r>
      <w:r w:rsidRPr="00491C42">
        <w:rPr>
          <w:szCs w:val="22"/>
        </w:rPr>
        <w:t xml:space="preserve">7,5 mg </w:t>
      </w:r>
      <w:proofErr w:type="spellStart"/>
      <w:r w:rsidRPr="00491C42">
        <w:rPr>
          <w:szCs w:val="22"/>
        </w:rPr>
        <w:t>solifenacínu</w:t>
      </w:r>
      <w:proofErr w:type="spellEnd"/>
      <w:r w:rsidRPr="00491C42">
        <w:rPr>
          <w:szCs w:val="22"/>
        </w:rPr>
        <w:t>.</w:t>
      </w:r>
    </w:p>
    <w:p w:rsidR="00656A0E" w:rsidRPr="00491C42" w:rsidRDefault="00625A4D" w:rsidP="00726C19">
      <w:pPr>
        <w:pStyle w:val="Normlndoblokusodrkami"/>
        <w:rPr>
          <w:szCs w:val="22"/>
        </w:rPr>
      </w:pPr>
      <w:r w:rsidRPr="00491C42">
        <w:rPr>
          <w:szCs w:val="22"/>
        </w:rPr>
        <w:t>Ďalšie zložky sú</w:t>
      </w:r>
      <w:r w:rsidR="006D7F1C" w:rsidRPr="00491C42">
        <w:rPr>
          <w:szCs w:val="22"/>
        </w:rPr>
        <w:t xml:space="preserve"> m</w:t>
      </w:r>
      <w:r w:rsidR="00656A0E" w:rsidRPr="00491C42">
        <w:rPr>
          <w:szCs w:val="22"/>
        </w:rPr>
        <w:t>ikrokryštalická celulóza, sodná soľ kroskarmelózy, koloidný bezvodý oxid kremičitý, magnéziumstearát, hypromelóza, makrogol 400, oxid titaničitý (E 171), žltý oxid železitý (E 172) (iba 5 mg sila), červený oxid železitý (E 172) (iba 10 mg sila).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625A4D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 xml:space="preserve">Ako vyzerá </w:t>
      </w:r>
      <w:r w:rsidR="00AF4424" w:rsidRPr="00491C42">
        <w:rPr>
          <w:szCs w:val="22"/>
        </w:rPr>
        <w:t>FOLINAR</w:t>
      </w:r>
      <w:r w:rsidRPr="00491C42">
        <w:rPr>
          <w:szCs w:val="22"/>
        </w:rPr>
        <w:t xml:space="preserve"> a obsah balenia</w:t>
      </w:r>
    </w:p>
    <w:p w:rsidR="0074635D" w:rsidRPr="00491C42" w:rsidRDefault="0074635D" w:rsidP="00726C19">
      <w:pPr>
        <w:pStyle w:val="Normlndobloku"/>
        <w:rPr>
          <w:szCs w:val="22"/>
        </w:rPr>
      </w:pPr>
      <w:r w:rsidRPr="00491C42">
        <w:rPr>
          <w:szCs w:val="22"/>
        </w:rPr>
        <w:t>FOLINAR 5 mg filmom obalené tablety: žlté, okrúhle, bikonvexné filmom obalené tablety s priemerom 6 mm.</w:t>
      </w:r>
    </w:p>
    <w:p w:rsidR="0074635D" w:rsidRPr="00491C42" w:rsidRDefault="0074635D" w:rsidP="00726C19">
      <w:pPr>
        <w:pStyle w:val="Normlndobloku"/>
        <w:rPr>
          <w:szCs w:val="22"/>
        </w:rPr>
      </w:pPr>
      <w:r w:rsidRPr="00491C42">
        <w:rPr>
          <w:szCs w:val="22"/>
        </w:rPr>
        <w:t>FOLINAR 10 mg filmom obalené tablety: červené, okrúhle, bikonvexné filmom obalené tablety s priemerom 8 mm.</w:t>
      </w:r>
    </w:p>
    <w:p w:rsidR="00C64463" w:rsidRPr="00491C42" w:rsidRDefault="00C64463" w:rsidP="00726C19">
      <w:pPr>
        <w:pStyle w:val="Normlndobloku"/>
        <w:rPr>
          <w:szCs w:val="22"/>
        </w:rPr>
      </w:pPr>
    </w:p>
    <w:p w:rsidR="00656A0E" w:rsidRPr="00491C42" w:rsidRDefault="00A41A27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Tablety sú </w:t>
      </w:r>
      <w:r w:rsidR="0074635D" w:rsidRPr="00491C42">
        <w:rPr>
          <w:szCs w:val="22"/>
        </w:rPr>
        <w:t>balené</w:t>
      </w:r>
      <w:r w:rsidR="00C83171" w:rsidRPr="00491C42">
        <w:rPr>
          <w:szCs w:val="22"/>
        </w:rPr>
        <w:t xml:space="preserve"> </w:t>
      </w:r>
      <w:r w:rsidRPr="00491C42">
        <w:rPr>
          <w:szCs w:val="22"/>
        </w:rPr>
        <w:t>v</w:t>
      </w:r>
      <w:r w:rsidR="00C83171" w:rsidRPr="00491C42">
        <w:rPr>
          <w:szCs w:val="22"/>
        </w:rPr>
        <w:t xml:space="preserve"> priehľadných </w:t>
      </w:r>
      <w:r w:rsidRPr="00491C42">
        <w:rPr>
          <w:szCs w:val="22"/>
        </w:rPr>
        <w:t>PVC/</w:t>
      </w:r>
      <w:proofErr w:type="spellStart"/>
      <w:r w:rsidRPr="00491C42">
        <w:rPr>
          <w:szCs w:val="22"/>
        </w:rPr>
        <w:t>PVDC-</w:t>
      </w:r>
      <w:r w:rsidR="0074635D" w:rsidRPr="00491C42">
        <w:rPr>
          <w:szCs w:val="22"/>
        </w:rPr>
        <w:t>Al</w:t>
      </w:r>
      <w:proofErr w:type="spellEnd"/>
      <w:r w:rsidR="00C83171" w:rsidRPr="00491C42">
        <w:rPr>
          <w:szCs w:val="22"/>
        </w:rPr>
        <w:t xml:space="preserve"> </w:t>
      </w:r>
      <w:proofErr w:type="spellStart"/>
      <w:r w:rsidRPr="00491C42">
        <w:rPr>
          <w:szCs w:val="22"/>
        </w:rPr>
        <w:t>blistroch</w:t>
      </w:r>
      <w:proofErr w:type="spellEnd"/>
      <w:r w:rsidR="00C83171" w:rsidRPr="00491C42">
        <w:rPr>
          <w:szCs w:val="22"/>
        </w:rPr>
        <w:t xml:space="preserve"> </w:t>
      </w:r>
      <w:r w:rsidR="0074635D" w:rsidRPr="00491C42">
        <w:rPr>
          <w:szCs w:val="22"/>
        </w:rPr>
        <w:t xml:space="preserve">a v za studena </w:t>
      </w:r>
      <w:r w:rsidRPr="00491C42">
        <w:rPr>
          <w:szCs w:val="22"/>
        </w:rPr>
        <w:t xml:space="preserve">tvarovaných </w:t>
      </w:r>
      <w:proofErr w:type="spellStart"/>
      <w:r w:rsidR="0074635D" w:rsidRPr="00491C42">
        <w:rPr>
          <w:szCs w:val="22"/>
        </w:rPr>
        <w:t>Al</w:t>
      </w:r>
      <w:proofErr w:type="spellEnd"/>
      <w:r w:rsidR="0074635D" w:rsidRPr="00491C42">
        <w:rPr>
          <w:szCs w:val="22"/>
        </w:rPr>
        <w:t>/</w:t>
      </w:r>
      <w:proofErr w:type="spellStart"/>
      <w:r w:rsidR="0074635D" w:rsidRPr="00491C42">
        <w:rPr>
          <w:szCs w:val="22"/>
        </w:rPr>
        <w:t>Al</w:t>
      </w:r>
      <w:proofErr w:type="spellEnd"/>
      <w:r w:rsidR="00C83171" w:rsidRPr="00491C42">
        <w:rPr>
          <w:szCs w:val="22"/>
        </w:rPr>
        <w:t xml:space="preserve"> </w:t>
      </w:r>
      <w:proofErr w:type="spellStart"/>
      <w:r w:rsidRPr="00491C42">
        <w:rPr>
          <w:szCs w:val="22"/>
        </w:rPr>
        <w:t>blistr</w:t>
      </w:r>
      <w:r w:rsidR="0074635D" w:rsidRPr="00491C42">
        <w:rPr>
          <w:szCs w:val="22"/>
        </w:rPr>
        <w:t>och</w:t>
      </w:r>
      <w:proofErr w:type="spellEnd"/>
      <w:r w:rsidR="0074635D" w:rsidRPr="00491C42">
        <w:rPr>
          <w:szCs w:val="22"/>
        </w:rPr>
        <w:t xml:space="preserve">. K dispozícii sú balenia </w:t>
      </w:r>
      <w:r w:rsidRPr="00491C42">
        <w:rPr>
          <w:szCs w:val="22"/>
        </w:rPr>
        <w:t>po 10, 20, 30, 50, 60, 90</w:t>
      </w:r>
      <w:r w:rsidR="003E10BF" w:rsidRPr="00491C42">
        <w:rPr>
          <w:szCs w:val="22"/>
        </w:rPr>
        <w:t xml:space="preserve"> a</w:t>
      </w:r>
      <w:r w:rsidRPr="00491C42">
        <w:rPr>
          <w:szCs w:val="22"/>
        </w:rPr>
        <w:t xml:space="preserve"> 100 tabletách.</w:t>
      </w: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>Na trh nemusia byť uvedené všetky veľkosti balenia.</w:t>
      </w:r>
    </w:p>
    <w:p w:rsidR="00C83171" w:rsidRPr="00491C42" w:rsidRDefault="00C83171" w:rsidP="00726C19">
      <w:pPr>
        <w:pStyle w:val="Normlndobloku"/>
        <w:rPr>
          <w:szCs w:val="22"/>
        </w:rPr>
      </w:pPr>
    </w:p>
    <w:p w:rsidR="004D3D07" w:rsidRPr="00491C42" w:rsidRDefault="00C64463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Držiteľ rozhodnutia o</w:t>
      </w:r>
      <w:r w:rsidR="004D3D07" w:rsidRPr="00491C42">
        <w:rPr>
          <w:szCs w:val="22"/>
        </w:rPr>
        <w:t> </w:t>
      </w:r>
      <w:r w:rsidRPr="00491C42">
        <w:rPr>
          <w:szCs w:val="22"/>
        </w:rPr>
        <w:t>registrácii</w:t>
      </w: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>MEDOCHEMIE Ltd., 1-10 Constantinoupoleos Street, 3011 Limassol, Cyprus</w:t>
      </w:r>
    </w:p>
    <w:p w:rsidR="005C5C03" w:rsidRPr="00491C42" w:rsidRDefault="005C5C03" w:rsidP="00726C19">
      <w:pPr>
        <w:pStyle w:val="Normlndobloku"/>
        <w:rPr>
          <w:szCs w:val="22"/>
        </w:rPr>
      </w:pPr>
    </w:p>
    <w:p w:rsidR="004D3D07" w:rsidRPr="00491C42" w:rsidRDefault="00C64463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Výrobca</w:t>
      </w:r>
    </w:p>
    <w:p w:rsidR="00625A4D" w:rsidRPr="00491C42" w:rsidRDefault="00625A4D" w:rsidP="00726C19">
      <w:pPr>
        <w:pStyle w:val="Normlndobloku"/>
        <w:rPr>
          <w:szCs w:val="22"/>
        </w:rPr>
      </w:pPr>
      <w:r w:rsidRPr="00491C42">
        <w:rPr>
          <w:szCs w:val="22"/>
        </w:rPr>
        <w:t xml:space="preserve">MEDOCHEMIE </w:t>
      </w:r>
      <w:proofErr w:type="spellStart"/>
      <w:r w:rsidRPr="00491C42">
        <w:rPr>
          <w:szCs w:val="22"/>
        </w:rPr>
        <w:t>Ltd</w:t>
      </w:r>
      <w:proofErr w:type="spellEnd"/>
      <w:r w:rsidRPr="00491C42">
        <w:rPr>
          <w:szCs w:val="22"/>
        </w:rPr>
        <w:t>.</w:t>
      </w:r>
      <w:r w:rsidR="00305B4B" w:rsidRPr="00491C42">
        <w:rPr>
          <w:szCs w:val="22"/>
        </w:rPr>
        <w:t>,</w:t>
      </w:r>
      <w:r w:rsidRPr="00491C42">
        <w:rPr>
          <w:szCs w:val="22"/>
        </w:rPr>
        <w:t xml:space="preserve"> </w:t>
      </w:r>
      <w:proofErr w:type="spellStart"/>
      <w:r w:rsidRPr="00491C42">
        <w:rPr>
          <w:szCs w:val="22"/>
        </w:rPr>
        <w:t>Central</w:t>
      </w:r>
      <w:proofErr w:type="spellEnd"/>
      <w:r w:rsidRPr="00491C42">
        <w:rPr>
          <w:szCs w:val="22"/>
        </w:rPr>
        <w:t xml:space="preserve"> </w:t>
      </w:r>
      <w:proofErr w:type="spellStart"/>
      <w:r w:rsidRPr="00491C42">
        <w:rPr>
          <w:szCs w:val="22"/>
        </w:rPr>
        <w:t>Factory</w:t>
      </w:r>
      <w:proofErr w:type="spellEnd"/>
      <w:r w:rsidR="00031D70" w:rsidRPr="00491C42">
        <w:rPr>
          <w:szCs w:val="22"/>
        </w:rPr>
        <w:t>:</w:t>
      </w:r>
      <w:r w:rsidRPr="00491C42">
        <w:rPr>
          <w:szCs w:val="22"/>
        </w:rPr>
        <w:t xml:space="preserve"> 1-10 </w:t>
      </w:r>
      <w:proofErr w:type="spellStart"/>
      <w:r w:rsidRPr="00491C42">
        <w:rPr>
          <w:szCs w:val="22"/>
        </w:rPr>
        <w:t>Constantinoupoleos</w:t>
      </w:r>
      <w:proofErr w:type="spellEnd"/>
      <w:r w:rsidRPr="00491C42">
        <w:rPr>
          <w:szCs w:val="22"/>
        </w:rPr>
        <w:t xml:space="preserve"> Street, 301</w:t>
      </w:r>
      <w:bookmarkStart w:id="6" w:name="_GoBack"/>
      <w:bookmarkEnd w:id="6"/>
      <w:r w:rsidRPr="00491C42">
        <w:rPr>
          <w:szCs w:val="22"/>
        </w:rPr>
        <w:t>1 Limassol, Cyprus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C64463" w:rsidRPr="00491C42" w:rsidRDefault="00C64463" w:rsidP="008D5942">
      <w:pPr>
        <w:pStyle w:val="Styl2-2"/>
        <w:spacing w:before="0" w:after="0"/>
        <w:rPr>
          <w:szCs w:val="22"/>
        </w:rPr>
      </w:pPr>
      <w:r w:rsidRPr="00491C42">
        <w:rPr>
          <w:szCs w:val="22"/>
        </w:rPr>
        <w:t>Liek je schválený v členských štátoch Európskeho hospodárskeho priestoru (EHP) pod</w:t>
      </w:r>
      <w:r w:rsidR="005C5C03" w:rsidRPr="00491C42">
        <w:rPr>
          <w:szCs w:val="22"/>
        </w:rPr>
        <w:t> </w:t>
      </w:r>
      <w:r w:rsidRPr="00491C42">
        <w:rPr>
          <w:szCs w:val="22"/>
        </w:rPr>
        <w:t>nasledovnými názvami</w:t>
      </w:r>
      <w:r w:rsidR="005C5C03" w:rsidRPr="00491C42">
        <w:rPr>
          <w:szCs w:val="22"/>
        </w:rPr>
        <w:t>:</w:t>
      </w:r>
    </w:p>
    <w:p w:rsidR="00220B2D" w:rsidRPr="00491C42" w:rsidRDefault="00220B2D" w:rsidP="00726C19">
      <w:pPr>
        <w:pStyle w:val="Normlndobloku"/>
        <w:rPr>
          <w:szCs w:val="22"/>
        </w:rPr>
      </w:pPr>
      <w:r w:rsidRPr="00491C42">
        <w:rPr>
          <w:szCs w:val="22"/>
        </w:rPr>
        <w:t>Grécko: VILAND</w:t>
      </w:r>
    </w:p>
    <w:p w:rsidR="008D4101" w:rsidRPr="00491C42" w:rsidRDefault="008D4101" w:rsidP="00726C19">
      <w:pPr>
        <w:pStyle w:val="Normlndobloku"/>
        <w:rPr>
          <w:szCs w:val="22"/>
        </w:rPr>
      </w:pPr>
      <w:r w:rsidRPr="00491C42">
        <w:rPr>
          <w:szCs w:val="22"/>
        </w:rPr>
        <w:t>Estónsko, Litva: TAMISTEN</w:t>
      </w:r>
    </w:p>
    <w:p w:rsidR="005C5C03" w:rsidRPr="00491C42" w:rsidRDefault="00220B2D" w:rsidP="00726C19">
      <w:pPr>
        <w:pStyle w:val="Normlndobloku"/>
        <w:rPr>
          <w:szCs w:val="22"/>
        </w:rPr>
      </w:pPr>
      <w:r w:rsidRPr="00491C42">
        <w:rPr>
          <w:szCs w:val="22"/>
        </w:rPr>
        <w:t>Bulharsko</w:t>
      </w:r>
      <w:r w:rsidR="005C5C03" w:rsidRPr="00491C42">
        <w:rPr>
          <w:szCs w:val="22"/>
        </w:rPr>
        <w:t>: VESIMED</w:t>
      </w:r>
    </w:p>
    <w:p w:rsidR="00220B2D" w:rsidRPr="00491C42" w:rsidRDefault="00220B2D" w:rsidP="00726C19">
      <w:pPr>
        <w:pStyle w:val="Normlndobloku"/>
        <w:rPr>
          <w:szCs w:val="22"/>
        </w:rPr>
      </w:pPr>
      <w:r w:rsidRPr="00491C42">
        <w:rPr>
          <w:szCs w:val="22"/>
        </w:rPr>
        <w:t>Cyprus, Malta, Rumunsko: VE</w:t>
      </w:r>
      <w:r w:rsidR="005C5C03" w:rsidRPr="00491C42">
        <w:rPr>
          <w:szCs w:val="22"/>
        </w:rPr>
        <w:t>Z</w:t>
      </w:r>
      <w:r w:rsidRPr="00491C42">
        <w:rPr>
          <w:szCs w:val="22"/>
        </w:rPr>
        <w:t>IMED</w:t>
      </w:r>
    </w:p>
    <w:p w:rsidR="00220B2D" w:rsidRPr="00491C42" w:rsidRDefault="00220B2D" w:rsidP="00726C19">
      <w:pPr>
        <w:pStyle w:val="Normlndobloku"/>
        <w:rPr>
          <w:szCs w:val="22"/>
        </w:rPr>
      </w:pPr>
      <w:r w:rsidRPr="00491C42">
        <w:rPr>
          <w:szCs w:val="22"/>
        </w:rPr>
        <w:t>Chorvátsko, Česká republika, Slovenská republika: FOLINAR</w:t>
      </w:r>
    </w:p>
    <w:p w:rsidR="000206E0" w:rsidRPr="00491C42" w:rsidRDefault="000206E0" w:rsidP="00726C19">
      <w:pPr>
        <w:pStyle w:val="Normlndobloku"/>
        <w:rPr>
          <w:szCs w:val="22"/>
        </w:rPr>
      </w:pPr>
    </w:p>
    <w:p w:rsidR="005E11AC" w:rsidRPr="00491C42" w:rsidRDefault="00625A4D" w:rsidP="008D5942">
      <w:pPr>
        <w:pStyle w:val="Styl2"/>
        <w:spacing w:before="0" w:after="0"/>
        <w:rPr>
          <w:szCs w:val="22"/>
        </w:rPr>
      </w:pPr>
      <w:r w:rsidRPr="00491C42">
        <w:rPr>
          <w:szCs w:val="22"/>
        </w:rPr>
        <w:t>Táto písomná informácia bola naposledy aktualizovaná v</w:t>
      </w:r>
      <w:r w:rsidR="00C83171" w:rsidRPr="00491C42">
        <w:rPr>
          <w:szCs w:val="22"/>
        </w:rPr>
        <w:t> </w:t>
      </w:r>
      <w:r w:rsidR="00F51BB6" w:rsidRPr="00491C42">
        <w:rPr>
          <w:szCs w:val="22"/>
        </w:rPr>
        <w:t>júli</w:t>
      </w:r>
      <w:r w:rsidR="00C83171" w:rsidRPr="00491C42">
        <w:rPr>
          <w:szCs w:val="22"/>
        </w:rPr>
        <w:t xml:space="preserve"> 2017.</w:t>
      </w:r>
    </w:p>
    <w:sectPr w:rsidR="005E11AC" w:rsidRPr="00491C42" w:rsidSect="008D5942"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6F" w:rsidRDefault="00281E6F">
      <w:r>
        <w:separator/>
      </w:r>
    </w:p>
  </w:endnote>
  <w:endnote w:type="continuationSeparator" w:id="0">
    <w:p w:rsidR="00281E6F" w:rsidRDefault="0028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245" w:rsidRPr="008D5942" w:rsidRDefault="003314F7" w:rsidP="00C22245">
    <w:pPr>
      <w:pStyle w:val="Pta"/>
      <w:jc w:val="center"/>
      <w:rPr>
        <w:sz w:val="18"/>
        <w:szCs w:val="18"/>
      </w:rPr>
    </w:pPr>
    <w:r w:rsidRPr="008D5942">
      <w:rPr>
        <w:sz w:val="18"/>
        <w:szCs w:val="18"/>
      </w:rPr>
      <w:fldChar w:fldCharType="begin"/>
    </w:r>
    <w:r w:rsidR="00770291" w:rsidRPr="008D5942">
      <w:rPr>
        <w:sz w:val="18"/>
        <w:szCs w:val="18"/>
      </w:rPr>
      <w:instrText>PAGE</w:instrText>
    </w:r>
    <w:r w:rsidRPr="008D5942">
      <w:rPr>
        <w:sz w:val="18"/>
        <w:szCs w:val="18"/>
      </w:rPr>
      <w:fldChar w:fldCharType="separate"/>
    </w:r>
    <w:r w:rsidR="00E42D71">
      <w:rPr>
        <w:noProof/>
        <w:sz w:val="18"/>
        <w:szCs w:val="18"/>
      </w:rPr>
      <w:t>5</w:t>
    </w:r>
    <w:r w:rsidRPr="008D5942">
      <w:rPr>
        <w:sz w:val="18"/>
        <w:szCs w:val="18"/>
      </w:rPr>
      <w:fldChar w:fldCharType="end"/>
    </w:r>
    <w:r w:rsidR="00770291" w:rsidRPr="008D5942">
      <w:rPr>
        <w:sz w:val="18"/>
        <w:szCs w:val="18"/>
      </w:rPr>
      <w:t>/</w:t>
    </w:r>
    <w:r w:rsidRPr="008D5942">
      <w:rPr>
        <w:sz w:val="18"/>
        <w:szCs w:val="18"/>
      </w:rPr>
      <w:fldChar w:fldCharType="begin"/>
    </w:r>
    <w:r w:rsidR="00770291" w:rsidRPr="008D5942">
      <w:rPr>
        <w:sz w:val="18"/>
        <w:szCs w:val="18"/>
      </w:rPr>
      <w:instrText>NUMPAGES</w:instrText>
    </w:r>
    <w:r w:rsidRPr="008D5942">
      <w:rPr>
        <w:sz w:val="18"/>
        <w:szCs w:val="18"/>
      </w:rPr>
      <w:fldChar w:fldCharType="separate"/>
    </w:r>
    <w:r w:rsidR="00E42D71">
      <w:rPr>
        <w:noProof/>
        <w:sz w:val="18"/>
        <w:szCs w:val="18"/>
      </w:rPr>
      <w:t>5</w:t>
    </w:r>
    <w:r w:rsidRPr="008D594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245" w:rsidRPr="008D5942" w:rsidRDefault="003314F7" w:rsidP="00C22245">
    <w:pPr>
      <w:pStyle w:val="Pta"/>
      <w:jc w:val="center"/>
      <w:rPr>
        <w:sz w:val="18"/>
        <w:szCs w:val="18"/>
      </w:rPr>
    </w:pPr>
    <w:r w:rsidRPr="008D5942">
      <w:rPr>
        <w:sz w:val="18"/>
        <w:szCs w:val="18"/>
      </w:rPr>
      <w:fldChar w:fldCharType="begin"/>
    </w:r>
    <w:r w:rsidR="00770291" w:rsidRPr="008D5942">
      <w:rPr>
        <w:sz w:val="18"/>
        <w:szCs w:val="18"/>
      </w:rPr>
      <w:instrText>PAGE</w:instrText>
    </w:r>
    <w:r w:rsidRPr="008D5942">
      <w:rPr>
        <w:sz w:val="18"/>
        <w:szCs w:val="18"/>
      </w:rPr>
      <w:fldChar w:fldCharType="separate"/>
    </w:r>
    <w:r w:rsidR="00E42D71">
      <w:rPr>
        <w:noProof/>
        <w:sz w:val="18"/>
        <w:szCs w:val="18"/>
      </w:rPr>
      <w:t>1</w:t>
    </w:r>
    <w:r w:rsidRPr="008D5942">
      <w:rPr>
        <w:sz w:val="18"/>
        <w:szCs w:val="18"/>
      </w:rPr>
      <w:fldChar w:fldCharType="end"/>
    </w:r>
    <w:r w:rsidR="00770291" w:rsidRPr="008D5942">
      <w:rPr>
        <w:sz w:val="18"/>
        <w:szCs w:val="18"/>
      </w:rPr>
      <w:t>/</w:t>
    </w:r>
    <w:r w:rsidRPr="008D5942">
      <w:rPr>
        <w:sz w:val="18"/>
        <w:szCs w:val="18"/>
      </w:rPr>
      <w:fldChar w:fldCharType="begin"/>
    </w:r>
    <w:r w:rsidR="00770291" w:rsidRPr="008D5942">
      <w:rPr>
        <w:sz w:val="18"/>
        <w:szCs w:val="18"/>
      </w:rPr>
      <w:instrText>NUMPAGES</w:instrText>
    </w:r>
    <w:r w:rsidRPr="008D5942">
      <w:rPr>
        <w:sz w:val="18"/>
        <w:szCs w:val="18"/>
      </w:rPr>
      <w:fldChar w:fldCharType="separate"/>
    </w:r>
    <w:r w:rsidR="00E42D71">
      <w:rPr>
        <w:noProof/>
        <w:sz w:val="18"/>
        <w:szCs w:val="18"/>
      </w:rPr>
      <w:t>5</w:t>
    </w:r>
    <w:r w:rsidRPr="008D594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6F" w:rsidRDefault="00281E6F">
      <w:r>
        <w:separator/>
      </w:r>
    </w:p>
  </w:footnote>
  <w:footnote w:type="continuationSeparator" w:id="0">
    <w:p w:rsidR="00281E6F" w:rsidRDefault="00281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01" w:rsidRDefault="008D4101" w:rsidP="00D52AC5">
    <w:pPr>
      <w:outlineLvl w:val="0"/>
      <w:rPr>
        <w:sz w:val="18"/>
        <w:szCs w:val="18"/>
      </w:rPr>
    </w:pPr>
    <w:r>
      <w:rPr>
        <w:sz w:val="18"/>
        <w:szCs w:val="18"/>
      </w:rPr>
      <w:t>Príloha č. 1 k notifikácii o zmene, ev. č.:</w:t>
    </w:r>
    <w:r w:rsidR="009739DF">
      <w:rPr>
        <w:sz w:val="18"/>
        <w:szCs w:val="18"/>
      </w:rPr>
      <w:t xml:space="preserve"> 2017/01870-ZIB</w:t>
    </w:r>
  </w:p>
  <w:p w:rsidR="008D4101" w:rsidRPr="00D52AC5" w:rsidRDefault="008D4101" w:rsidP="00D52AC5">
    <w:pPr>
      <w:outlineLvl w:val="0"/>
      <w:rPr>
        <w:noProof/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4C7DB5"/>
    <w:multiLevelType w:val="hybridMultilevel"/>
    <w:tmpl w:val="9A6CC522"/>
    <w:lvl w:ilvl="0" w:tplc="468E312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D4AA7"/>
    <w:multiLevelType w:val="multilevel"/>
    <w:tmpl w:val="78C49AC8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3"/>
    <w:rsid w:val="00007B94"/>
    <w:rsid w:val="000206E0"/>
    <w:rsid w:val="00031D70"/>
    <w:rsid w:val="00052FAA"/>
    <w:rsid w:val="00063E2E"/>
    <w:rsid w:val="0007008F"/>
    <w:rsid w:val="00076F36"/>
    <w:rsid w:val="000D41F8"/>
    <w:rsid w:val="000F7F17"/>
    <w:rsid w:val="001335CC"/>
    <w:rsid w:val="001709E3"/>
    <w:rsid w:val="0018507C"/>
    <w:rsid w:val="00190E2D"/>
    <w:rsid w:val="001A28FF"/>
    <w:rsid w:val="001A72F2"/>
    <w:rsid w:val="001C38D9"/>
    <w:rsid w:val="001E0F44"/>
    <w:rsid w:val="001F29FB"/>
    <w:rsid w:val="00220B2D"/>
    <w:rsid w:val="00227D4B"/>
    <w:rsid w:val="00241A54"/>
    <w:rsid w:val="002426EB"/>
    <w:rsid w:val="002566F5"/>
    <w:rsid w:val="00272495"/>
    <w:rsid w:val="00281E6F"/>
    <w:rsid w:val="00287B18"/>
    <w:rsid w:val="00293F53"/>
    <w:rsid w:val="002A212B"/>
    <w:rsid w:val="002B0C26"/>
    <w:rsid w:val="002C3C7C"/>
    <w:rsid w:val="002F501C"/>
    <w:rsid w:val="00305B4B"/>
    <w:rsid w:val="003223DF"/>
    <w:rsid w:val="003314F7"/>
    <w:rsid w:val="003354DC"/>
    <w:rsid w:val="00340991"/>
    <w:rsid w:val="00342111"/>
    <w:rsid w:val="00350C8C"/>
    <w:rsid w:val="0035389A"/>
    <w:rsid w:val="003606AA"/>
    <w:rsid w:val="00387125"/>
    <w:rsid w:val="003D478F"/>
    <w:rsid w:val="003E10BF"/>
    <w:rsid w:val="003E1B86"/>
    <w:rsid w:val="00402958"/>
    <w:rsid w:val="00407A39"/>
    <w:rsid w:val="00417083"/>
    <w:rsid w:val="00427D90"/>
    <w:rsid w:val="00436F9C"/>
    <w:rsid w:val="00440605"/>
    <w:rsid w:val="0044097B"/>
    <w:rsid w:val="00454162"/>
    <w:rsid w:val="004567F8"/>
    <w:rsid w:val="0046151C"/>
    <w:rsid w:val="0048141D"/>
    <w:rsid w:val="00491C42"/>
    <w:rsid w:val="00496240"/>
    <w:rsid w:val="004C06EB"/>
    <w:rsid w:val="004C1947"/>
    <w:rsid w:val="004C2502"/>
    <w:rsid w:val="004C4D29"/>
    <w:rsid w:val="004D1D3B"/>
    <w:rsid w:val="004D3D07"/>
    <w:rsid w:val="004E7AE7"/>
    <w:rsid w:val="00511F2D"/>
    <w:rsid w:val="0052017D"/>
    <w:rsid w:val="005264C5"/>
    <w:rsid w:val="0053570C"/>
    <w:rsid w:val="005540A5"/>
    <w:rsid w:val="0056673E"/>
    <w:rsid w:val="00585F29"/>
    <w:rsid w:val="0059221C"/>
    <w:rsid w:val="005C18A6"/>
    <w:rsid w:val="005C5C03"/>
    <w:rsid w:val="005C6163"/>
    <w:rsid w:val="005D2BA3"/>
    <w:rsid w:val="005E16A2"/>
    <w:rsid w:val="005F398D"/>
    <w:rsid w:val="005F50B7"/>
    <w:rsid w:val="0061553C"/>
    <w:rsid w:val="00625A4D"/>
    <w:rsid w:val="0063086A"/>
    <w:rsid w:val="00634F7C"/>
    <w:rsid w:val="00637F45"/>
    <w:rsid w:val="00656A0E"/>
    <w:rsid w:val="00662477"/>
    <w:rsid w:val="00666163"/>
    <w:rsid w:val="00676DE1"/>
    <w:rsid w:val="006A4E1C"/>
    <w:rsid w:val="006C22D0"/>
    <w:rsid w:val="006C7025"/>
    <w:rsid w:val="006D7F1C"/>
    <w:rsid w:val="006F1380"/>
    <w:rsid w:val="00701590"/>
    <w:rsid w:val="007123ED"/>
    <w:rsid w:val="00726C19"/>
    <w:rsid w:val="0074635D"/>
    <w:rsid w:val="00764E0E"/>
    <w:rsid w:val="00770291"/>
    <w:rsid w:val="007A0ADF"/>
    <w:rsid w:val="007A7834"/>
    <w:rsid w:val="007E3FBC"/>
    <w:rsid w:val="007E5913"/>
    <w:rsid w:val="00803F03"/>
    <w:rsid w:val="0081266F"/>
    <w:rsid w:val="00821234"/>
    <w:rsid w:val="008403A6"/>
    <w:rsid w:val="00884588"/>
    <w:rsid w:val="00893671"/>
    <w:rsid w:val="008B66A4"/>
    <w:rsid w:val="008D0EE7"/>
    <w:rsid w:val="008D4101"/>
    <w:rsid w:val="008D5942"/>
    <w:rsid w:val="008E79CC"/>
    <w:rsid w:val="00901AF7"/>
    <w:rsid w:val="00911598"/>
    <w:rsid w:val="0093641B"/>
    <w:rsid w:val="009533C8"/>
    <w:rsid w:val="00961B84"/>
    <w:rsid w:val="00961E73"/>
    <w:rsid w:val="009739DF"/>
    <w:rsid w:val="009A35AB"/>
    <w:rsid w:val="00A17839"/>
    <w:rsid w:val="00A41A27"/>
    <w:rsid w:val="00A553AF"/>
    <w:rsid w:val="00A64045"/>
    <w:rsid w:val="00AA575E"/>
    <w:rsid w:val="00AA6E0E"/>
    <w:rsid w:val="00AE3551"/>
    <w:rsid w:val="00AF4424"/>
    <w:rsid w:val="00BD4E61"/>
    <w:rsid w:val="00BE5409"/>
    <w:rsid w:val="00BE546D"/>
    <w:rsid w:val="00BF2AA0"/>
    <w:rsid w:val="00C53D1D"/>
    <w:rsid w:val="00C64463"/>
    <w:rsid w:val="00C83171"/>
    <w:rsid w:val="00D030C8"/>
    <w:rsid w:val="00D12A83"/>
    <w:rsid w:val="00D24A1E"/>
    <w:rsid w:val="00D46143"/>
    <w:rsid w:val="00D529E3"/>
    <w:rsid w:val="00D52AC5"/>
    <w:rsid w:val="00D6362D"/>
    <w:rsid w:val="00DA650B"/>
    <w:rsid w:val="00DB3E0D"/>
    <w:rsid w:val="00DB72EA"/>
    <w:rsid w:val="00DC1096"/>
    <w:rsid w:val="00DF7023"/>
    <w:rsid w:val="00E31311"/>
    <w:rsid w:val="00E42D71"/>
    <w:rsid w:val="00E65499"/>
    <w:rsid w:val="00E94585"/>
    <w:rsid w:val="00EA21E1"/>
    <w:rsid w:val="00EB4E24"/>
    <w:rsid w:val="00EF1B6A"/>
    <w:rsid w:val="00F17A61"/>
    <w:rsid w:val="00F260DB"/>
    <w:rsid w:val="00F51BB6"/>
    <w:rsid w:val="00F7048A"/>
    <w:rsid w:val="00F73D2C"/>
    <w:rsid w:val="00F9173B"/>
    <w:rsid w:val="00FB28C3"/>
    <w:rsid w:val="00FD3627"/>
    <w:rsid w:val="00FE1E97"/>
    <w:rsid w:val="00FF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1A28FF"/>
    <w:pPr>
      <w:keepNext/>
      <w:numPr>
        <w:numId w:val="1"/>
      </w:numPr>
      <w:tabs>
        <w:tab w:val="clear" w:pos="360"/>
        <w:tab w:val="num" w:pos="567"/>
      </w:tabs>
      <w:ind w:left="567" w:hanging="567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4C4D29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0D41F8"/>
    <w:pPr>
      <w:tabs>
        <w:tab w:val="left" w:pos="567"/>
      </w:tabs>
      <w:suppressAutoHyphens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0D41F8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4C4D29"/>
    <w:pPr>
      <w:numPr>
        <w:numId w:val="3"/>
      </w:numPr>
      <w:ind w:left="502"/>
    </w:p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1A28FF"/>
    <w:rPr>
      <w:rFonts w:ascii="Times New Roman" w:eastAsia="Times New Roman" w:hAnsi="Times New Roman" w:cs="Times New Roman"/>
      <w:b/>
      <w:bCs/>
      <w:cap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4C4D29"/>
    <w:rPr>
      <w:rFonts w:ascii="Times New Roman" w:eastAsia="Calibri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5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1A28FF"/>
    <w:pPr>
      <w:keepNext/>
      <w:numPr>
        <w:numId w:val="1"/>
      </w:numPr>
      <w:tabs>
        <w:tab w:val="clear" w:pos="360"/>
        <w:tab w:val="num" w:pos="567"/>
      </w:tabs>
      <w:ind w:left="567" w:hanging="567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4C4D29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0D41F8"/>
    <w:pPr>
      <w:tabs>
        <w:tab w:val="left" w:pos="567"/>
      </w:tabs>
      <w:suppressAutoHyphens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0D41F8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4C4D29"/>
    <w:pPr>
      <w:numPr>
        <w:numId w:val="3"/>
      </w:numPr>
      <w:ind w:left="502"/>
    </w:p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1A28FF"/>
    <w:rPr>
      <w:rFonts w:ascii="Times New Roman" w:eastAsia="Times New Roman" w:hAnsi="Times New Roman" w:cs="Times New Roman"/>
      <w:b/>
      <w:bCs/>
      <w:cap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4C4D29"/>
    <w:rPr>
      <w:rFonts w:ascii="Times New Roman" w:eastAsia="Calibri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5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AAAE-89BA-4742-9E68-0DEAE053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1747</Words>
  <Characters>9961</Characters>
  <Application>Microsoft Office Word</Application>
  <DocSecurity>0</DocSecurity>
  <Lines>83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Medochemie, Ltd.</Company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Ševčeková Lucia</cp:lastModifiedBy>
  <cp:revision>3</cp:revision>
  <dcterms:created xsi:type="dcterms:W3CDTF">2017-07-03T10:45:00Z</dcterms:created>
  <dcterms:modified xsi:type="dcterms:W3CDTF">2017-07-03T10:46:00Z</dcterms:modified>
</cp:coreProperties>
</file>