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CCB11" w14:textId="77777777" w:rsidR="00654187" w:rsidRDefault="00654187" w:rsidP="00F50AFB">
      <w:pPr>
        <w:pStyle w:val="SPCnadpis"/>
        <w:spacing w:before="0" w:after="0"/>
        <w:rPr>
          <w:szCs w:val="22"/>
          <w:lang w:val="sk-SK"/>
        </w:rPr>
      </w:pPr>
    </w:p>
    <w:p w14:paraId="0A0B3F73" w14:textId="77777777" w:rsidR="00625A4D" w:rsidRPr="000C1A6A" w:rsidRDefault="00625A4D" w:rsidP="00F50AFB">
      <w:pPr>
        <w:pStyle w:val="SPCnadpis"/>
        <w:spacing w:before="0" w:after="0"/>
        <w:rPr>
          <w:szCs w:val="22"/>
          <w:lang w:val="sk-SK"/>
        </w:rPr>
      </w:pPr>
      <w:r w:rsidRPr="00654187">
        <w:rPr>
          <w:szCs w:val="22"/>
          <w:lang w:val="sk-SK"/>
        </w:rPr>
        <w:t>Písomná informácia pre používateľa</w:t>
      </w:r>
    </w:p>
    <w:p w14:paraId="77A754D1" w14:textId="77777777" w:rsidR="00654187" w:rsidRDefault="00654187" w:rsidP="00F50AFB">
      <w:pPr>
        <w:pStyle w:val="SPCnadpis"/>
        <w:spacing w:before="0" w:after="0"/>
        <w:rPr>
          <w:bCs w:val="0"/>
          <w:szCs w:val="22"/>
          <w:lang w:val="sk-SK" w:eastAsia="en-US"/>
        </w:rPr>
      </w:pPr>
    </w:p>
    <w:p w14:paraId="1577B3EE" w14:textId="2B8EBFBE" w:rsidR="00AF4424" w:rsidRPr="000C1A6A" w:rsidRDefault="00F42CCB" w:rsidP="00F50AFB">
      <w:pPr>
        <w:pStyle w:val="SPCnadpis"/>
        <w:spacing w:before="0" w:after="0"/>
        <w:rPr>
          <w:bCs w:val="0"/>
          <w:szCs w:val="22"/>
          <w:lang w:val="sk-SK" w:eastAsia="en-US"/>
        </w:rPr>
      </w:pPr>
      <w:proofErr w:type="spellStart"/>
      <w:r w:rsidRPr="000C1A6A">
        <w:rPr>
          <w:bCs w:val="0"/>
          <w:szCs w:val="22"/>
          <w:lang w:val="sk-SK" w:eastAsia="en-US"/>
        </w:rPr>
        <w:t>Dinarex</w:t>
      </w:r>
      <w:proofErr w:type="spellEnd"/>
      <w:r w:rsidRPr="000C1A6A">
        <w:rPr>
          <w:bCs w:val="0"/>
          <w:szCs w:val="22"/>
          <w:lang w:val="sk-SK" w:eastAsia="en-US"/>
        </w:rPr>
        <w:t xml:space="preserve"> 1,5 mg/ml</w:t>
      </w:r>
      <w:r w:rsidR="00884305" w:rsidRPr="000C1A6A">
        <w:rPr>
          <w:bCs w:val="0"/>
          <w:szCs w:val="22"/>
          <w:lang w:val="sk-SK" w:eastAsia="en-US"/>
        </w:rPr>
        <w:t xml:space="preserve"> sirup</w:t>
      </w:r>
      <w:bookmarkStart w:id="0" w:name="_GoBack"/>
      <w:bookmarkEnd w:id="0"/>
    </w:p>
    <w:p w14:paraId="696DC9B0" w14:textId="77777777" w:rsidR="00654187" w:rsidRDefault="00654187">
      <w:pPr>
        <w:pStyle w:val="SPCnadpis"/>
        <w:spacing w:before="0" w:after="0"/>
        <w:rPr>
          <w:b w:val="0"/>
          <w:szCs w:val="22"/>
          <w:lang w:val="sk-SK" w:eastAsia="sk-SK"/>
        </w:rPr>
      </w:pPr>
    </w:p>
    <w:p w14:paraId="2C3E696F" w14:textId="1FCDC04F" w:rsidR="00625A4D" w:rsidRPr="000C1A6A" w:rsidRDefault="00641DDA">
      <w:pPr>
        <w:pStyle w:val="SPCnadpis"/>
        <w:spacing w:before="0" w:after="0"/>
        <w:rPr>
          <w:b w:val="0"/>
          <w:szCs w:val="22"/>
          <w:lang w:val="sk-SK" w:eastAsia="sk-SK"/>
        </w:rPr>
      </w:pPr>
      <w:proofErr w:type="spellStart"/>
      <w:r w:rsidRPr="000C1A6A">
        <w:rPr>
          <w:b w:val="0"/>
          <w:szCs w:val="22"/>
          <w:lang w:val="sk-SK" w:eastAsia="sk-SK"/>
        </w:rPr>
        <w:t>dextrometorfániumbromid</w:t>
      </w:r>
      <w:proofErr w:type="spellEnd"/>
    </w:p>
    <w:p w14:paraId="06D3D62E" w14:textId="77777777" w:rsidR="00672E82" w:rsidRPr="00654187" w:rsidRDefault="00672E82">
      <w:pPr>
        <w:pStyle w:val="SPCnadpis"/>
        <w:spacing w:before="0" w:after="0"/>
        <w:rPr>
          <w:rFonts w:eastAsia="Calibri"/>
          <w:b w:val="0"/>
          <w:bCs w:val="0"/>
          <w:szCs w:val="22"/>
          <w:lang w:val="sk-SK" w:eastAsia="en-US"/>
        </w:rPr>
      </w:pPr>
    </w:p>
    <w:p w14:paraId="715F9519" w14:textId="33575378" w:rsidR="00625A4D" w:rsidRPr="000C1A6A" w:rsidRDefault="00625A4D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>Pozorne si prečítajte celú písomnú informáciu predtým, ako začnete užívať tento liek, pretože obsahuje pre vás dôležité informácie.</w:t>
      </w:r>
    </w:p>
    <w:p w14:paraId="74A707D8" w14:textId="3829E1FC" w:rsidR="00672E82" w:rsidRPr="000C1A6A" w:rsidRDefault="00672E82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0C1A6A">
        <w:t>Vždy užívajte tento liek presne tak, ako je to uvedené v</w:t>
      </w:r>
      <w:r w:rsidR="005F2F1E" w:rsidRPr="000C1A6A">
        <w:t> </w:t>
      </w:r>
      <w:r w:rsidRPr="000C1A6A">
        <w:t>tejto písomnej informácii, alebo ako vám povedal váš lekár alebo lekárnik.</w:t>
      </w:r>
    </w:p>
    <w:p w14:paraId="7AE7CEBF" w14:textId="77777777" w:rsidR="00625A4D" w:rsidRPr="00654187" w:rsidRDefault="00625A4D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Túto písomnú informáciu si uschovajte. Možno bude potrebné, aby ste si ju znovu prečítali.</w:t>
      </w:r>
    </w:p>
    <w:p w14:paraId="29F38088" w14:textId="39CF4DA6" w:rsidR="00625A4D" w:rsidRPr="00654187" w:rsidRDefault="007A4DBB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Ak </w:t>
      </w:r>
      <w:r w:rsidR="00BB75DA" w:rsidRPr="00654187">
        <w:t>potrebujete</w:t>
      </w:r>
      <w:r w:rsidRPr="00654187">
        <w:t xml:space="preserve"> ďalšie informácie alebo radu, obráťte sa na svojho lekárnika.</w:t>
      </w:r>
    </w:p>
    <w:p w14:paraId="16A09F58" w14:textId="583A829B" w:rsidR="00625A4D" w:rsidRPr="00654187" w:rsidRDefault="00625A4D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Ak sa u vás vyskytne akýkoľvek vedľajší účinok, ob</w:t>
      </w:r>
      <w:r w:rsidR="00C23A49" w:rsidRPr="00654187">
        <w:t>ráťte sa na svojho lekára</w:t>
      </w:r>
      <w:r w:rsidR="00672E82" w:rsidRPr="00654187">
        <w:t xml:space="preserve"> alebo</w:t>
      </w:r>
      <w:r w:rsidR="003F0B49" w:rsidRPr="00654187">
        <w:t xml:space="preserve"> </w:t>
      </w:r>
      <w:r w:rsidRPr="00654187">
        <w:t>lekárnika</w:t>
      </w:r>
      <w:r w:rsidR="00672E82" w:rsidRPr="00654187">
        <w:t>.</w:t>
      </w:r>
      <w:r w:rsidR="00C23A49" w:rsidRPr="00654187">
        <w:t xml:space="preserve"> </w:t>
      </w:r>
      <w:r w:rsidRPr="00654187">
        <w:t>To sa týka aj akýchkoľvek vedľajších účinkov, ktoré nie sú uvedené v tejto písomnej informácii. Pozri časť 4.</w:t>
      </w:r>
    </w:p>
    <w:p w14:paraId="00F09A76" w14:textId="1F0BE9F2" w:rsidR="007A4DBB" w:rsidRDefault="007A4DBB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Ak sa do 3 – 5 dní nebudete cítiť lepšie, alebo sa budete cítiť horšie, musíte sa obrátiť na lekára.</w:t>
      </w:r>
    </w:p>
    <w:p w14:paraId="33DF5734" w14:textId="77777777" w:rsidR="00654187" w:rsidRPr="000C1A6A" w:rsidRDefault="00654187" w:rsidP="00F50AFB">
      <w:pPr>
        <w:pStyle w:val="Normlndobloku"/>
      </w:pPr>
    </w:p>
    <w:p w14:paraId="2B0DA70C" w14:textId="77777777" w:rsidR="00625A4D" w:rsidRPr="000C1A6A" w:rsidRDefault="00625A4D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>V tejto písomnej informácii sa dozviete:</w:t>
      </w:r>
    </w:p>
    <w:p w14:paraId="45CE340D" w14:textId="7C7210F2" w:rsidR="00625A4D" w:rsidRPr="00654187" w:rsidRDefault="00625A4D" w:rsidP="00F50AFB">
      <w:pPr>
        <w:pStyle w:val="Normlndobloku"/>
        <w:spacing w:after="0"/>
        <w:jc w:val="left"/>
      </w:pPr>
      <w:r w:rsidRPr="00654187">
        <w:t xml:space="preserve">1. Čo je </w:t>
      </w:r>
      <w:r w:rsidR="00F42CCB" w:rsidRPr="00654187">
        <w:t>Dinarex</w:t>
      </w:r>
      <w:r w:rsidR="00FB7B57" w:rsidRPr="00654187">
        <w:t xml:space="preserve"> </w:t>
      </w:r>
      <w:r w:rsidRPr="00654187">
        <w:t>a na čo sa používa</w:t>
      </w:r>
    </w:p>
    <w:p w14:paraId="12AFB583" w14:textId="28002DFA" w:rsidR="00625A4D" w:rsidRPr="00654187" w:rsidRDefault="00625A4D" w:rsidP="00F50AFB">
      <w:pPr>
        <w:pStyle w:val="Normlndobloku"/>
        <w:spacing w:after="0"/>
        <w:jc w:val="left"/>
      </w:pPr>
      <w:r w:rsidRPr="00654187">
        <w:t xml:space="preserve">2. Čo potrebujete vedieť predtým, ako užijete </w:t>
      </w:r>
      <w:r w:rsidR="00F42CCB" w:rsidRPr="00654187">
        <w:t>Dinarex</w:t>
      </w:r>
    </w:p>
    <w:p w14:paraId="79D30D72" w14:textId="0DD80A88" w:rsidR="00625A4D" w:rsidRPr="00654187" w:rsidRDefault="00625A4D" w:rsidP="00F50AFB">
      <w:pPr>
        <w:pStyle w:val="Normlndobloku"/>
        <w:spacing w:after="0"/>
        <w:jc w:val="left"/>
      </w:pPr>
      <w:r w:rsidRPr="00654187">
        <w:t xml:space="preserve">3. Ako užívať </w:t>
      </w:r>
      <w:r w:rsidR="00F42CCB" w:rsidRPr="00654187">
        <w:t>Dinarex</w:t>
      </w:r>
    </w:p>
    <w:p w14:paraId="30B7CAB9" w14:textId="77777777" w:rsidR="00625A4D" w:rsidRPr="00654187" w:rsidRDefault="00625A4D" w:rsidP="00F50AFB">
      <w:pPr>
        <w:pStyle w:val="Normlndobloku"/>
        <w:spacing w:after="0"/>
        <w:jc w:val="left"/>
      </w:pPr>
      <w:r w:rsidRPr="00654187">
        <w:t>4. Možné vedľajšie účinky</w:t>
      </w:r>
    </w:p>
    <w:p w14:paraId="15E8DBDF" w14:textId="32E4F102" w:rsidR="00625A4D" w:rsidRPr="00654187" w:rsidRDefault="00625A4D" w:rsidP="00F50AFB">
      <w:pPr>
        <w:pStyle w:val="Normlndobloku"/>
        <w:spacing w:after="0"/>
        <w:jc w:val="left"/>
      </w:pPr>
      <w:r w:rsidRPr="00654187">
        <w:t xml:space="preserve">5. Ako uchovávať </w:t>
      </w:r>
      <w:r w:rsidR="00F42CCB" w:rsidRPr="00654187">
        <w:t>Dinarex</w:t>
      </w:r>
    </w:p>
    <w:p w14:paraId="2147CA7D" w14:textId="77777777" w:rsidR="00625A4D" w:rsidRDefault="00625A4D" w:rsidP="00F50AFB">
      <w:pPr>
        <w:pStyle w:val="Normlndobloku"/>
        <w:spacing w:after="0"/>
        <w:jc w:val="left"/>
      </w:pPr>
      <w:r w:rsidRPr="00654187">
        <w:t>6. Obsah balenia a ďalšie informácie</w:t>
      </w:r>
    </w:p>
    <w:p w14:paraId="1A213FCF" w14:textId="77777777" w:rsidR="00654187" w:rsidRDefault="00654187" w:rsidP="00F50AFB">
      <w:pPr>
        <w:pStyle w:val="Normlndobloku"/>
        <w:spacing w:after="0"/>
        <w:jc w:val="left"/>
      </w:pPr>
    </w:p>
    <w:p w14:paraId="08999A7B" w14:textId="77777777" w:rsidR="00654187" w:rsidRPr="00654187" w:rsidRDefault="00654187" w:rsidP="00F50AFB">
      <w:pPr>
        <w:pStyle w:val="Normlndobloku"/>
        <w:spacing w:after="0"/>
        <w:jc w:val="left"/>
      </w:pPr>
    </w:p>
    <w:p w14:paraId="6D9080B4" w14:textId="77777777" w:rsidR="00CC7823" w:rsidRPr="000C1A6A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1" w:name="_Toc443314743"/>
      <w:r w:rsidRPr="000C1A6A">
        <w:rPr>
          <w:caps w:val="0"/>
          <w:szCs w:val="22"/>
        </w:rPr>
        <w:t xml:space="preserve">Čo je </w:t>
      </w:r>
      <w:proofErr w:type="spellStart"/>
      <w:r w:rsidR="00F42CCB" w:rsidRPr="000C1A6A">
        <w:rPr>
          <w:szCs w:val="22"/>
        </w:rPr>
        <w:t>D</w:t>
      </w:r>
      <w:r w:rsidR="00F42CCB" w:rsidRPr="000C1A6A">
        <w:rPr>
          <w:caps w:val="0"/>
          <w:szCs w:val="22"/>
        </w:rPr>
        <w:t>inarex</w:t>
      </w:r>
      <w:proofErr w:type="spellEnd"/>
      <w:r w:rsidRPr="000C1A6A">
        <w:rPr>
          <w:szCs w:val="22"/>
        </w:rPr>
        <w:t xml:space="preserve"> </w:t>
      </w:r>
      <w:r w:rsidRPr="000C1A6A">
        <w:rPr>
          <w:caps w:val="0"/>
          <w:szCs w:val="22"/>
        </w:rPr>
        <w:t>a</w:t>
      </w:r>
      <w:r w:rsidRPr="000C1A6A">
        <w:rPr>
          <w:szCs w:val="22"/>
        </w:rPr>
        <w:t> </w:t>
      </w:r>
      <w:r w:rsidRPr="000C1A6A">
        <w:rPr>
          <w:caps w:val="0"/>
          <w:szCs w:val="22"/>
        </w:rPr>
        <w:t>na čo sa používa</w:t>
      </w:r>
      <w:bookmarkEnd w:id="1"/>
    </w:p>
    <w:p w14:paraId="7E564775" w14:textId="77777777" w:rsidR="00654187" w:rsidRDefault="00654187" w:rsidP="00F50AFB">
      <w:pPr>
        <w:pStyle w:val="Normlndobloku"/>
        <w:spacing w:after="0"/>
        <w:jc w:val="left"/>
        <w:rPr>
          <w:noProof/>
        </w:rPr>
      </w:pPr>
    </w:p>
    <w:p w14:paraId="2972F38D" w14:textId="4353BBB5" w:rsidR="00C23A49" w:rsidRDefault="00F42CCB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Dinarex</w:t>
      </w:r>
      <w:r w:rsidR="008D173B" w:rsidRPr="00654187">
        <w:rPr>
          <w:noProof/>
        </w:rPr>
        <w:t xml:space="preserve"> je liek, ktorý sa používa na </w:t>
      </w:r>
      <w:r w:rsidR="00600EED" w:rsidRPr="00654187">
        <w:rPr>
          <w:noProof/>
        </w:rPr>
        <w:t xml:space="preserve">úľavu </w:t>
      </w:r>
      <w:r w:rsidR="008D173B" w:rsidRPr="00654187">
        <w:rPr>
          <w:noProof/>
        </w:rPr>
        <w:t xml:space="preserve">od suchého, dráždivého kašľa. </w:t>
      </w:r>
      <w:r w:rsidR="005F2F1E" w:rsidRPr="00654187">
        <w:rPr>
          <w:noProof/>
        </w:rPr>
        <w:t>Sirup</w:t>
      </w:r>
      <w:r w:rsidR="008D173B" w:rsidRPr="00654187">
        <w:rPr>
          <w:noProof/>
        </w:rPr>
        <w:t xml:space="preserve"> obsahuje liečivo dextrometorfániumbromid, čo je antitusikum pomáhajúce utlmiť kašeľ.</w:t>
      </w:r>
    </w:p>
    <w:p w14:paraId="6B9D81A6" w14:textId="77777777" w:rsidR="00BA4313" w:rsidRPr="00654187" w:rsidRDefault="00BA4313" w:rsidP="00F50AFB">
      <w:pPr>
        <w:pStyle w:val="Normlndobloku"/>
        <w:spacing w:after="0"/>
        <w:jc w:val="left"/>
        <w:rPr>
          <w:noProof/>
        </w:rPr>
      </w:pPr>
    </w:p>
    <w:p w14:paraId="2ACD3CA1" w14:textId="26657E02" w:rsidR="00D57FB9" w:rsidRDefault="00D57FB9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Liek je určený dospelým a deťom vo veku 12 rokov a starším.</w:t>
      </w:r>
    </w:p>
    <w:p w14:paraId="1483ADDA" w14:textId="77777777" w:rsidR="00BA4313" w:rsidRPr="00654187" w:rsidRDefault="00BA4313" w:rsidP="00F50AFB">
      <w:pPr>
        <w:pStyle w:val="Normlndobloku"/>
        <w:spacing w:after="0"/>
        <w:jc w:val="left"/>
        <w:rPr>
          <w:noProof/>
        </w:rPr>
      </w:pPr>
    </w:p>
    <w:p w14:paraId="1E9FCAED" w14:textId="7E54E6A4" w:rsidR="00D57FB9" w:rsidRDefault="00672E82" w:rsidP="00F50AFB">
      <w:pPr>
        <w:pStyle w:val="Normlndobloku"/>
        <w:spacing w:after="0"/>
        <w:jc w:val="left"/>
      </w:pPr>
      <w:r w:rsidRPr="00654187">
        <w:rPr>
          <w:noProof/>
        </w:rPr>
        <w:t xml:space="preserve">Ak </w:t>
      </w:r>
      <w:r w:rsidR="00D57FB9" w:rsidRPr="00654187">
        <w:rPr>
          <w:noProof/>
        </w:rPr>
        <w:t xml:space="preserve">sa </w:t>
      </w:r>
      <w:r w:rsidR="00D57FB9" w:rsidRPr="00654187">
        <w:t>do 3 – 5 dní nebudete cítiť lepšie, alebo sa budete cítiť horšie, musíte sa obrátiť na lekára.</w:t>
      </w:r>
    </w:p>
    <w:p w14:paraId="4F00488B" w14:textId="77777777" w:rsidR="00654187" w:rsidRDefault="00654187" w:rsidP="00F50AFB">
      <w:pPr>
        <w:pStyle w:val="Normlndobloku"/>
        <w:spacing w:after="0"/>
        <w:jc w:val="left"/>
      </w:pPr>
    </w:p>
    <w:p w14:paraId="0DE56BB5" w14:textId="77777777" w:rsidR="00654187" w:rsidRPr="00654187" w:rsidRDefault="00654187" w:rsidP="00F50AFB">
      <w:pPr>
        <w:pStyle w:val="Normlndobloku"/>
        <w:spacing w:after="0"/>
        <w:jc w:val="left"/>
      </w:pPr>
    </w:p>
    <w:p w14:paraId="31122204" w14:textId="0EE1E8BE" w:rsidR="00625A4D" w:rsidRPr="000C1A6A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2" w:name="_Toc443314744"/>
      <w:r w:rsidRPr="000C1A6A">
        <w:rPr>
          <w:caps w:val="0"/>
          <w:szCs w:val="22"/>
        </w:rPr>
        <w:t>Čo potrebuj</w:t>
      </w:r>
      <w:r w:rsidR="0035389A" w:rsidRPr="000C1A6A">
        <w:rPr>
          <w:caps w:val="0"/>
          <w:szCs w:val="22"/>
        </w:rPr>
        <w:t>ete vedieť predtým, ako užijet</w:t>
      </w:r>
      <w:r w:rsidR="00DF62B7" w:rsidRPr="000C1A6A">
        <w:rPr>
          <w:caps w:val="0"/>
          <w:szCs w:val="22"/>
        </w:rPr>
        <w:t xml:space="preserve">e </w:t>
      </w:r>
      <w:r w:rsidR="00F42CCB" w:rsidRPr="000C1A6A">
        <w:rPr>
          <w:caps w:val="0"/>
          <w:szCs w:val="22"/>
        </w:rPr>
        <w:t>Dinarex</w:t>
      </w:r>
      <w:bookmarkEnd w:id="2"/>
    </w:p>
    <w:p w14:paraId="3561BEE5" w14:textId="77777777" w:rsidR="00654187" w:rsidRDefault="00654187" w:rsidP="00F50AFB">
      <w:pPr>
        <w:pStyle w:val="Styl2"/>
        <w:spacing w:before="0" w:after="0"/>
        <w:rPr>
          <w:szCs w:val="22"/>
        </w:rPr>
      </w:pPr>
    </w:p>
    <w:p w14:paraId="1FAFBA7D" w14:textId="44455688" w:rsidR="00625A4D" w:rsidRPr="000C1A6A" w:rsidRDefault="00D57FB9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 xml:space="preserve">Neužívajte </w:t>
      </w:r>
      <w:proofErr w:type="spellStart"/>
      <w:r w:rsidR="00F42CCB" w:rsidRPr="000C1A6A">
        <w:rPr>
          <w:szCs w:val="22"/>
        </w:rPr>
        <w:t>Dinarex</w:t>
      </w:r>
      <w:proofErr w:type="spellEnd"/>
      <w:r w:rsidR="00672E82" w:rsidRPr="000C1A6A">
        <w:rPr>
          <w:szCs w:val="22"/>
        </w:rPr>
        <w:t>:</w:t>
      </w:r>
    </w:p>
    <w:p w14:paraId="6D6CCF02" w14:textId="3C2F68AF" w:rsidR="00C23A49" w:rsidRPr="00654187" w:rsidRDefault="002426EB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ak </w:t>
      </w:r>
      <w:r w:rsidR="00600EED" w:rsidRPr="00654187">
        <w:t xml:space="preserve">ste </w:t>
      </w:r>
      <w:r w:rsidR="00D57FB9" w:rsidRPr="00654187">
        <w:t>alergick</w:t>
      </w:r>
      <w:r w:rsidR="00600EED" w:rsidRPr="00654187">
        <w:t>ý</w:t>
      </w:r>
      <w:r w:rsidR="00D57FB9" w:rsidRPr="00654187">
        <w:t xml:space="preserve"> na dextrometorfániumbromid</w:t>
      </w:r>
      <w:r w:rsidR="00625A4D" w:rsidRPr="00654187">
        <w:t xml:space="preserve"> alebo na ktorúkoľvek z ďalších zložiek tohto lieku (uvedených v časti 6)</w:t>
      </w:r>
    </w:p>
    <w:p w14:paraId="48D7813A" w14:textId="01CFD353" w:rsidR="00C23A49" w:rsidRPr="00654187" w:rsidRDefault="00D57FB9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ak </w:t>
      </w:r>
      <w:r w:rsidR="00672E82" w:rsidRPr="00654187">
        <w:t xml:space="preserve">máte </w:t>
      </w:r>
      <w:r w:rsidRPr="00654187">
        <w:t>závažn</w:t>
      </w:r>
      <w:r w:rsidR="00672E82" w:rsidRPr="00654187">
        <w:t>é</w:t>
      </w:r>
      <w:r w:rsidRPr="00654187">
        <w:t xml:space="preserve"> ochoren</w:t>
      </w:r>
      <w:r w:rsidR="00672E82" w:rsidRPr="00654187">
        <w:t>ie</w:t>
      </w:r>
      <w:r w:rsidRPr="00654187">
        <w:t xml:space="preserve"> pľúc</w:t>
      </w:r>
    </w:p>
    <w:p w14:paraId="0E855E79" w14:textId="1CEAD126" w:rsidR="00C23A49" w:rsidRPr="00654187" w:rsidRDefault="00C23A49" w:rsidP="00F50AFB">
      <w:pPr>
        <w:pStyle w:val="Normlndoblokusodrkami"/>
        <w:numPr>
          <w:ilvl w:val="0"/>
          <w:numId w:val="14"/>
        </w:numPr>
        <w:spacing w:after="0"/>
        <w:jc w:val="left"/>
        <w:rPr>
          <w:lang w:eastAsia="en-GB"/>
        </w:rPr>
      </w:pPr>
      <w:r w:rsidRPr="00654187">
        <w:t>ak</w:t>
      </w:r>
      <w:r w:rsidR="00D57FB9" w:rsidRPr="00654187">
        <w:t xml:space="preserve"> </w:t>
      </w:r>
      <w:r w:rsidR="00D57FB9" w:rsidRPr="00654187">
        <w:rPr>
          <w:lang w:eastAsia="en-GB"/>
        </w:rPr>
        <w:t>užívate</w:t>
      </w:r>
      <w:r w:rsidR="00672E82" w:rsidRPr="00654187">
        <w:rPr>
          <w:lang w:eastAsia="en-GB"/>
        </w:rPr>
        <w:t>,</w:t>
      </w:r>
      <w:r w:rsidR="00D57FB9" w:rsidRPr="00654187">
        <w:rPr>
          <w:lang w:eastAsia="en-GB"/>
        </w:rPr>
        <w:t xml:space="preserve"> alebo ste počas predchádzajúcich 2 týždňov užívali lieky na liečbu depresie nazývané inhibítory monoaminooxidázy (IMAO)</w:t>
      </w:r>
    </w:p>
    <w:p w14:paraId="755EC1D0" w14:textId="01C05F6B" w:rsidR="00D57FB9" w:rsidRPr="00654187" w:rsidRDefault="00D57FB9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ak užívate selektívne inhibítory spätného vychytávania s</w:t>
      </w:r>
      <w:r w:rsidR="00672E82" w:rsidRPr="00654187">
        <w:t>é</w:t>
      </w:r>
      <w:r w:rsidRPr="00654187">
        <w:t xml:space="preserve">rotonínu (používajú sa </w:t>
      </w:r>
      <w:r w:rsidR="00672E82" w:rsidRPr="00654187">
        <w:t>na</w:t>
      </w:r>
      <w:r w:rsidRPr="00654187">
        <w:t> liečb</w:t>
      </w:r>
      <w:r w:rsidR="00672E82" w:rsidRPr="00654187">
        <w:t>u</w:t>
      </w:r>
      <w:r w:rsidRPr="00654187">
        <w:t xml:space="preserve"> depresie a</w:t>
      </w:r>
      <w:r w:rsidR="00600EED" w:rsidRPr="00654187">
        <w:t> </w:t>
      </w:r>
      <w:r w:rsidRPr="00654187">
        <w:t>úzkosti</w:t>
      </w:r>
      <w:r w:rsidR="00600EED" w:rsidRPr="00654187">
        <w:t>, napr.</w:t>
      </w:r>
      <w:r w:rsidR="00757084" w:rsidRPr="00654187">
        <w:t> </w:t>
      </w:r>
      <w:r w:rsidRPr="00654187">
        <w:t>fluoxetín, paroxetín a sertralín)</w:t>
      </w:r>
      <w:r w:rsidR="00672E82" w:rsidRPr="00654187">
        <w:t>.</w:t>
      </w:r>
    </w:p>
    <w:p w14:paraId="01E51D41" w14:textId="77777777" w:rsidR="00654187" w:rsidRDefault="00654187" w:rsidP="00F50AFB">
      <w:pPr>
        <w:pStyle w:val="Normlndobloku"/>
        <w:spacing w:after="0"/>
        <w:jc w:val="left"/>
        <w:rPr>
          <w:b/>
          <w:noProof/>
        </w:rPr>
      </w:pPr>
    </w:p>
    <w:p w14:paraId="11435973" w14:textId="76AFA9E0" w:rsidR="00D57FB9" w:rsidRPr="00654187" w:rsidRDefault="00F42CCB" w:rsidP="00F50AFB">
      <w:pPr>
        <w:pStyle w:val="Normlndobloku"/>
        <w:spacing w:after="0"/>
        <w:jc w:val="left"/>
        <w:rPr>
          <w:b/>
          <w:noProof/>
        </w:rPr>
      </w:pPr>
      <w:r w:rsidRPr="00654187">
        <w:rPr>
          <w:b/>
          <w:noProof/>
        </w:rPr>
        <w:t>Dinarex</w:t>
      </w:r>
      <w:r w:rsidR="00672E82" w:rsidRPr="00654187">
        <w:rPr>
          <w:b/>
          <w:noProof/>
        </w:rPr>
        <w:t xml:space="preserve"> nepodávajte</w:t>
      </w:r>
      <w:r w:rsidR="00D57FB9" w:rsidRPr="00654187">
        <w:rPr>
          <w:b/>
          <w:noProof/>
        </w:rPr>
        <w:t xml:space="preserve"> de</w:t>
      </w:r>
      <w:r w:rsidR="00672E82" w:rsidRPr="00654187">
        <w:rPr>
          <w:b/>
          <w:noProof/>
        </w:rPr>
        <w:t>ťom</w:t>
      </w:r>
      <w:r w:rsidR="00D57FB9" w:rsidRPr="00654187">
        <w:rPr>
          <w:b/>
          <w:noProof/>
        </w:rPr>
        <w:t xml:space="preserve"> mladší</w:t>
      </w:r>
      <w:r w:rsidR="00672E82" w:rsidRPr="00654187">
        <w:rPr>
          <w:b/>
          <w:noProof/>
        </w:rPr>
        <w:t>m</w:t>
      </w:r>
      <w:r w:rsidR="00D57FB9" w:rsidRPr="00654187">
        <w:rPr>
          <w:b/>
          <w:noProof/>
        </w:rPr>
        <w:t xml:space="preserve"> ako 12 rokov (pozri časť 3).</w:t>
      </w:r>
    </w:p>
    <w:p w14:paraId="4D9FF3B8" w14:textId="77777777" w:rsidR="00654187" w:rsidRDefault="00654187" w:rsidP="00F50AFB">
      <w:pPr>
        <w:pStyle w:val="Styl2"/>
        <w:spacing w:before="0" w:after="0"/>
        <w:rPr>
          <w:szCs w:val="22"/>
        </w:rPr>
      </w:pPr>
    </w:p>
    <w:p w14:paraId="781D1122" w14:textId="77777777" w:rsidR="00625A4D" w:rsidRPr="000C1A6A" w:rsidRDefault="00625A4D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>Upozornenia a opatrenia</w:t>
      </w:r>
    </w:p>
    <w:p w14:paraId="0E273A05" w14:textId="4ECCFAA3" w:rsidR="00A553AF" w:rsidRPr="00654187" w:rsidRDefault="00A553AF" w:rsidP="00F50AFB">
      <w:pPr>
        <w:pStyle w:val="Normlndobloku"/>
        <w:spacing w:after="0"/>
        <w:jc w:val="left"/>
      </w:pPr>
      <w:r w:rsidRPr="00654187">
        <w:t xml:space="preserve">Predtým, ako začnete užívať </w:t>
      </w:r>
      <w:r w:rsidR="00F42CCB" w:rsidRPr="00654187">
        <w:t>Dinarex</w:t>
      </w:r>
      <w:r w:rsidRPr="00654187">
        <w:t>, obráťte sa n</w:t>
      </w:r>
      <w:r w:rsidR="00A96B46" w:rsidRPr="00654187">
        <w:t>a svojho lekára</w:t>
      </w:r>
      <w:r w:rsidR="00672E82" w:rsidRPr="00654187">
        <w:t xml:space="preserve"> alebo</w:t>
      </w:r>
      <w:r w:rsidR="00FA4025" w:rsidRPr="00654187">
        <w:t xml:space="preserve"> </w:t>
      </w:r>
      <w:r w:rsidR="00387125" w:rsidRPr="00654187">
        <w:t>lekárnika:</w:t>
      </w:r>
    </w:p>
    <w:p w14:paraId="3ED79866" w14:textId="776668E8" w:rsidR="007933AC" w:rsidRPr="00654187" w:rsidRDefault="00672E82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ak </w:t>
      </w:r>
      <w:r w:rsidR="00A47F33" w:rsidRPr="00654187">
        <w:t>máte problémy s pečeňou alebo obličkami</w:t>
      </w:r>
    </w:p>
    <w:p w14:paraId="29D3DEE0" w14:textId="2ED395C7" w:rsidR="007933AC" w:rsidRPr="00654187" w:rsidRDefault="00672E82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ak </w:t>
      </w:r>
      <w:r w:rsidR="00A47F33" w:rsidRPr="00654187">
        <w:t xml:space="preserve">máte </w:t>
      </w:r>
      <w:r w:rsidRPr="00654187">
        <w:t xml:space="preserve">dlhodobý </w:t>
      </w:r>
      <w:r w:rsidR="00A47F33" w:rsidRPr="00654187">
        <w:t>alebo pretrvávajúci kašeľ, aký sa vyskytuje napr. </w:t>
      </w:r>
      <w:r w:rsidRPr="00654187">
        <w:t>pri</w:t>
      </w:r>
      <w:r w:rsidR="005F2F1E" w:rsidRPr="00654187">
        <w:t xml:space="preserve"> </w:t>
      </w:r>
      <w:r w:rsidR="00A47F33" w:rsidRPr="00654187">
        <w:t>astm</w:t>
      </w:r>
      <w:r w:rsidRPr="00654187">
        <w:t>e</w:t>
      </w:r>
      <w:r w:rsidR="00A47F33" w:rsidRPr="00654187">
        <w:t xml:space="preserve">, alebo kašeľ </w:t>
      </w:r>
      <w:r w:rsidRPr="00654187">
        <w:t>s</w:t>
      </w:r>
      <w:r w:rsidR="005F2F1E" w:rsidRPr="00654187">
        <w:t> </w:t>
      </w:r>
      <w:r w:rsidRPr="00654187">
        <w:t>tvorbou</w:t>
      </w:r>
      <w:r w:rsidR="00A47F33" w:rsidRPr="00654187">
        <w:t xml:space="preserve"> veľké</w:t>
      </w:r>
      <w:r w:rsidRPr="00654187">
        <w:t>ho</w:t>
      </w:r>
      <w:r w:rsidR="00A47F33" w:rsidRPr="00654187">
        <w:t xml:space="preserve"> množstv</w:t>
      </w:r>
      <w:r w:rsidRPr="00654187">
        <w:t>a</w:t>
      </w:r>
      <w:r w:rsidR="00A47F33" w:rsidRPr="00654187">
        <w:t xml:space="preserve"> hlienu</w:t>
      </w:r>
    </w:p>
    <w:p w14:paraId="11E97E41" w14:textId="0625B2C3" w:rsidR="00A96B46" w:rsidRPr="00654187" w:rsidRDefault="00672E82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lastRenderedPageBreak/>
        <w:t xml:space="preserve">ak </w:t>
      </w:r>
      <w:r w:rsidR="00A47F33" w:rsidRPr="00654187">
        <w:t>ste závislí od alkoholu</w:t>
      </w:r>
    </w:p>
    <w:p w14:paraId="0ED910B3" w14:textId="6F47908B" w:rsidR="00A47F33" w:rsidRPr="00654187" w:rsidRDefault="00672E82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ak </w:t>
      </w:r>
      <w:r w:rsidR="00B71097" w:rsidRPr="00654187">
        <w:t xml:space="preserve">máte </w:t>
      </w:r>
      <w:r w:rsidR="00A47F33" w:rsidRPr="00654187">
        <w:t xml:space="preserve">neznášanlivosť </w:t>
      </w:r>
      <w:r w:rsidR="00D63CA4" w:rsidRPr="00654187">
        <w:t>niektorých cukrov</w:t>
      </w:r>
    </w:p>
    <w:p w14:paraId="15217EB2" w14:textId="27811D0F" w:rsidR="00D63CA4" w:rsidRPr="00654187" w:rsidRDefault="00D63CA4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užívate akýkoľvek iný liek proti kašľu alebo nachladnutiu, ktorý obsahuje dextrometorfán</w:t>
      </w:r>
    </w:p>
    <w:p w14:paraId="3F266728" w14:textId="1F4485F8" w:rsidR="00D63CA4" w:rsidRPr="00654187" w:rsidRDefault="00794BD7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ak </w:t>
      </w:r>
      <w:r w:rsidR="00D63CA4" w:rsidRPr="00654187">
        <w:t>je vaše dieťa náchylné na rozvoj určitých alergických reakcií (napr. atopické reakcie)</w:t>
      </w:r>
    </w:p>
    <w:p w14:paraId="05F5FC86" w14:textId="22D43371" w:rsidR="00D63CA4" w:rsidRPr="00654187" w:rsidRDefault="00794BD7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ak ste v</w:t>
      </w:r>
      <w:r w:rsidR="005F2F1E" w:rsidRPr="00654187">
        <w:t> </w:t>
      </w:r>
      <w:r w:rsidRPr="00654187">
        <w:t>minulosti</w:t>
      </w:r>
      <w:r w:rsidR="00D63CA4" w:rsidRPr="00654187">
        <w:t xml:space="preserve"> zneužíva</w:t>
      </w:r>
      <w:r w:rsidRPr="00654187">
        <w:t>li</w:t>
      </w:r>
      <w:r w:rsidR="00D63CA4" w:rsidRPr="00654187">
        <w:t xml:space="preserve"> liek</w:t>
      </w:r>
      <w:r w:rsidRPr="00654187">
        <w:t>y</w:t>
      </w:r>
    </w:p>
    <w:p w14:paraId="283D14E9" w14:textId="151FCE44" w:rsidR="00D63CA4" w:rsidRPr="00654187" w:rsidRDefault="00794BD7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ak </w:t>
      </w:r>
      <w:r w:rsidR="00D63CA4" w:rsidRPr="00654187">
        <w:t xml:space="preserve">vám váš lekár povedal, že </w:t>
      </w:r>
      <w:r w:rsidRPr="00654187">
        <w:t>vaše telo premieňa látky pomaly prostredníctvom určitej bielkoviny zvanej</w:t>
      </w:r>
      <w:r w:rsidR="00F553FF" w:rsidRPr="00654187">
        <w:t xml:space="preserve"> </w:t>
      </w:r>
      <w:r w:rsidR="00D63CA4" w:rsidRPr="00654187">
        <w:t>CYP2D6.</w:t>
      </w:r>
    </w:p>
    <w:p w14:paraId="7A4EF785" w14:textId="5F78902C" w:rsidR="007933AC" w:rsidRPr="00654187" w:rsidRDefault="00D63CA4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V prípade, že kašeľ pretrváva dlhšie ako 1 týždeň</w:t>
      </w:r>
      <w:r w:rsidR="00794BD7" w:rsidRPr="00654187">
        <w:rPr>
          <w:noProof/>
        </w:rPr>
        <w:t>,</w:t>
      </w:r>
      <w:r w:rsidRPr="00654187">
        <w:rPr>
          <w:noProof/>
        </w:rPr>
        <w:t xml:space="preserve"> alebo je sprevádzaný vysokou horúčkou, vyrážkou alebo pretvávajúcimi bolesťami hlavy, vyhľadajte lekársku pomoc.</w:t>
      </w:r>
    </w:p>
    <w:p w14:paraId="0C55C107" w14:textId="77777777" w:rsidR="00654187" w:rsidRDefault="00654187" w:rsidP="00F50AFB">
      <w:pPr>
        <w:pStyle w:val="Styl2"/>
        <w:spacing w:before="0" w:after="0"/>
        <w:rPr>
          <w:szCs w:val="22"/>
        </w:rPr>
      </w:pPr>
    </w:p>
    <w:p w14:paraId="4281A8DE" w14:textId="6E6C4DFB" w:rsidR="007933AC" w:rsidRPr="000C1A6A" w:rsidRDefault="00D63CA4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>Iné lieky a </w:t>
      </w:r>
      <w:proofErr w:type="spellStart"/>
      <w:r w:rsidR="00F42CCB" w:rsidRPr="000C1A6A">
        <w:rPr>
          <w:szCs w:val="22"/>
        </w:rPr>
        <w:t>Dinarex</w:t>
      </w:r>
      <w:proofErr w:type="spellEnd"/>
    </w:p>
    <w:p w14:paraId="1B1B273E" w14:textId="363C53D4" w:rsidR="007933AC" w:rsidRPr="00654187" w:rsidRDefault="001460D0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Ak teraz užívate</w:t>
      </w:r>
      <w:r w:rsidR="00794BD7" w:rsidRPr="00654187">
        <w:rPr>
          <w:noProof/>
        </w:rPr>
        <w:t>,</w:t>
      </w:r>
      <w:r w:rsidR="007933AC" w:rsidRPr="00654187">
        <w:rPr>
          <w:noProof/>
        </w:rPr>
        <w:t xml:space="preserve"> alebo </w:t>
      </w:r>
      <w:r w:rsidRPr="00654187">
        <w:rPr>
          <w:noProof/>
        </w:rPr>
        <w:t>ste v poslednom čase užívali</w:t>
      </w:r>
      <w:r w:rsidR="007933AC" w:rsidRPr="00654187">
        <w:rPr>
          <w:noProof/>
        </w:rPr>
        <w:t>, či práve bude</w:t>
      </w:r>
      <w:r w:rsidR="00BB75DA" w:rsidRPr="00654187">
        <w:rPr>
          <w:noProof/>
        </w:rPr>
        <w:t>te</w:t>
      </w:r>
      <w:r w:rsidR="007933AC" w:rsidRPr="00654187">
        <w:rPr>
          <w:noProof/>
        </w:rPr>
        <w:t xml:space="preserve"> užívať</w:t>
      </w:r>
      <w:r w:rsidR="007933AC" w:rsidRPr="00654187">
        <w:rPr>
          <w:i/>
          <w:noProof/>
        </w:rPr>
        <w:t xml:space="preserve"> </w:t>
      </w:r>
      <w:r w:rsidR="007933AC" w:rsidRPr="00654187">
        <w:rPr>
          <w:noProof/>
        </w:rPr>
        <w:t xml:space="preserve">ďalšie lieky, povedzte to </w:t>
      </w:r>
      <w:r w:rsidR="00BB75DA" w:rsidRPr="00654187">
        <w:rPr>
          <w:noProof/>
        </w:rPr>
        <w:t>svojmu</w:t>
      </w:r>
      <w:r w:rsidR="007933AC" w:rsidRPr="00654187">
        <w:rPr>
          <w:noProof/>
        </w:rPr>
        <w:t xml:space="preserve"> </w:t>
      </w:r>
      <w:r w:rsidRPr="00654187">
        <w:rPr>
          <w:noProof/>
        </w:rPr>
        <w:t>lekárovi alebo lekárnikovi, vrátane:</w:t>
      </w:r>
    </w:p>
    <w:p w14:paraId="7540399B" w14:textId="6D9DCA66" w:rsidR="001460D0" w:rsidRPr="00654187" w:rsidRDefault="001460D0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určitých liekov na liečbu depresie, ako sú inhibítory spätného vychytávania </w:t>
      </w:r>
      <w:r w:rsidR="00794BD7" w:rsidRPr="00654187">
        <w:t>noradrenalínu-</w:t>
      </w:r>
      <w:r w:rsidRPr="00654187">
        <w:t>dopamínu (NDRI) vrátane bupropiónu</w:t>
      </w:r>
    </w:p>
    <w:p w14:paraId="10008046" w14:textId="596A91A1" w:rsidR="001460D0" w:rsidRPr="00654187" w:rsidRDefault="001460D0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antipsychotík (lieky používané na liečbu porúch nálad, ako je haloperidol, tioridazín, perfenazín)</w:t>
      </w:r>
    </w:p>
    <w:p w14:paraId="7E45BC97" w14:textId="6861C0F3" w:rsidR="001460D0" w:rsidRPr="00654187" w:rsidRDefault="001460D0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antiarytmík (lieky používané na liečbu nepravidelného srdcového rytmu, ako je amiodarón, propafenón, ch</w:t>
      </w:r>
      <w:r w:rsidR="00794BD7" w:rsidRPr="00654187">
        <w:t>i</w:t>
      </w:r>
      <w:r w:rsidRPr="00654187">
        <w:t>nidín a flekainid)</w:t>
      </w:r>
    </w:p>
    <w:p w14:paraId="7F131254" w14:textId="093426F6" w:rsidR="001460D0" w:rsidRPr="00654187" w:rsidRDefault="001460D0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kalcimimetík (lieky používané na liečbu </w:t>
      </w:r>
      <w:r w:rsidR="00794BD7" w:rsidRPr="00654187">
        <w:t>druhotne spôsobenej zvýšenej tvorby parathormónu (</w:t>
      </w:r>
      <w:r w:rsidRPr="00654187">
        <w:t>hyperparat</w:t>
      </w:r>
      <w:r w:rsidR="00794BD7" w:rsidRPr="00654187">
        <w:t>yreoidizmus)</w:t>
      </w:r>
      <w:r w:rsidRPr="00654187">
        <w:t>, zvýšených hladín parathormónu, ako je cinakalcet)</w:t>
      </w:r>
    </w:p>
    <w:p w14:paraId="4848B36E" w14:textId="30C7686F" w:rsidR="001460D0" w:rsidRPr="00654187" w:rsidRDefault="00E21DC6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liekov proti plesniam </w:t>
      </w:r>
      <w:r w:rsidR="001460D0" w:rsidRPr="00654187">
        <w:t>(terbinafín)</w:t>
      </w:r>
    </w:p>
    <w:p w14:paraId="49A176A9" w14:textId="6CFE4596" w:rsidR="001460D0" w:rsidRPr="00654187" w:rsidRDefault="00E21DC6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liekov na silnú bolesť- </w:t>
      </w:r>
      <w:r w:rsidR="001460D0" w:rsidRPr="00654187">
        <w:t>opioidov (metad</w:t>
      </w:r>
      <w:r w:rsidRPr="00654187">
        <w:t>ó</w:t>
      </w:r>
      <w:r w:rsidR="001460D0" w:rsidRPr="00654187">
        <w:t>n)</w:t>
      </w:r>
    </w:p>
    <w:p w14:paraId="32ECF2CB" w14:textId="220675D9" w:rsidR="001460D0" w:rsidRPr="00654187" w:rsidRDefault="001460D0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antihistaminík (lieky používané na liečbu príznakov alergick</w:t>
      </w:r>
      <w:r w:rsidR="00E21DC6" w:rsidRPr="00654187">
        <w:t>ých</w:t>
      </w:r>
      <w:r w:rsidRPr="00654187">
        <w:t xml:space="preserve"> reakci</w:t>
      </w:r>
      <w:r w:rsidR="00E21DC6" w:rsidRPr="00654187">
        <w:t>í</w:t>
      </w:r>
      <w:r w:rsidRPr="00654187">
        <w:t>)</w:t>
      </w:r>
      <w:r w:rsidR="005F2F1E" w:rsidRPr="00654187">
        <w:t>.</w:t>
      </w:r>
    </w:p>
    <w:p w14:paraId="75BFED1C" w14:textId="77777777" w:rsidR="00654187" w:rsidRDefault="00654187" w:rsidP="00F50AFB">
      <w:pPr>
        <w:pStyle w:val="Normlndobloku"/>
        <w:spacing w:after="0"/>
        <w:jc w:val="left"/>
        <w:rPr>
          <w:noProof/>
        </w:rPr>
      </w:pPr>
    </w:p>
    <w:p w14:paraId="1D06E2DD" w14:textId="589C1241" w:rsidR="001460D0" w:rsidRPr="00654187" w:rsidRDefault="00344C79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 xml:space="preserve">Ak </w:t>
      </w:r>
      <w:r w:rsidR="001460D0" w:rsidRPr="00654187">
        <w:rPr>
          <w:noProof/>
        </w:rPr>
        <w:t>si</w:t>
      </w:r>
      <w:r w:rsidRPr="00654187">
        <w:rPr>
          <w:noProof/>
        </w:rPr>
        <w:t xml:space="preserve"> nie ste istý, aké lieky užívate,</w:t>
      </w:r>
      <w:r w:rsidR="001460D0" w:rsidRPr="00654187">
        <w:rPr>
          <w:noProof/>
        </w:rPr>
        <w:t xml:space="preserve"> uká</w:t>
      </w:r>
      <w:r w:rsidR="00B84AA9" w:rsidRPr="00654187">
        <w:rPr>
          <w:noProof/>
        </w:rPr>
        <w:t>žte fľaš</w:t>
      </w:r>
      <w:r w:rsidRPr="00654187">
        <w:rPr>
          <w:noProof/>
        </w:rPr>
        <w:t>ku</w:t>
      </w:r>
      <w:r w:rsidR="00B84AA9" w:rsidRPr="00654187">
        <w:rPr>
          <w:noProof/>
        </w:rPr>
        <w:t xml:space="preserve"> alebo balenie</w:t>
      </w:r>
      <w:r w:rsidRPr="00654187">
        <w:rPr>
          <w:noProof/>
        </w:rPr>
        <w:t xml:space="preserve"> lieku</w:t>
      </w:r>
      <w:r w:rsidR="00B84AA9" w:rsidRPr="00654187">
        <w:rPr>
          <w:noProof/>
        </w:rPr>
        <w:t xml:space="preserve"> svoj</w:t>
      </w:r>
      <w:r w:rsidR="001460D0" w:rsidRPr="00654187">
        <w:rPr>
          <w:noProof/>
        </w:rPr>
        <w:t>mu lekár</w:t>
      </w:r>
      <w:r w:rsidR="00600EED" w:rsidRPr="00654187">
        <w:rPr>
          <w:noProof/>
        </w:rPr>
        <w:t>nikovi</w:t>
      </w:r>
      <w:r w:rsidR="001460D0" w:rsidRPr="00654187">
        <w:rPr>
          <w:noProof/>
        </w:rPr>
        <w:t>.</w:t>
      </w:r>
    </w:p>
    <w:p w14:paraId="687B8228" w14:textId="482427DB" w:rsidR="001460D0" w:rsidRPr="00654187" w:rsidRDefault="001460D0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 xml:space="preserve">Ak sa vás </w:t>
      </w:r>
      <w:r w:rsidR="00344C79" w:rsidRPr="00654187">
        <w:rPr>
          <w:noProof/>
        </w:rPr>
        <w:t xml:space="preserve">teraz alebo v minulosti </w:t>
      </w:r>
      <w:r w:rsidRPr="00654187">
        <w:rPr>
          <w:noProof/>
        </w:rPr>
        <w:t>týka</w:t>
      </w:r>
      <w:r w:rsidR="00344C79" w:rsidRPr="00654187">
        <w:rPr>
          <w:noProof/>
        </w:rPr>
        <w:t>la niektorá vyššie uvedená situácia,</w:t>
      </w:r>
      <w:r w:rsidR="00A146F6" w:rsidRPr="00654187">
        <w:rPr>
          <w:noProof/>
        </w:rPr>
        <w:t xml:space="preserve"> </w:t>
      </w:r>
      <w:r w:rsidRPr="00654187">
        <w:rPr>
          <w:noProof/>
        </w:rPr>
        <w:t xml:space="preserve">poraďte sa </w:t>
      </w:r>
      <w:r w:rsidR="00B71097" w:rsidRPr="00654187">
        <w:rPr>
          <w:noProof/>
        </w:rPr>
        <w:t xml:space="preserve">s </w:t>
      </w:r>
      <w:r w:rsidR="0056728C" w:rsidRPr="00654187">
        <w:rPr>
          <w:noProof/>
        </w:rPr>
        <w:t>l</w:t>
      </w:r>
      <w:r w:rsidRPr="00654187">
        <w:rPr>
          <w:noProof/>
        </w:rPr>
        <w:t>ekárom alebo lekárnikom.</w:t>
      </w:r>
    </w:p>
    <w:p w14:paraId="2136E67E" w14:textId="3239BC81" w:rsidR="001460D0" w:rsidRPr="00654187" w:rsidRDefault="001460D0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 xml:space="preserve">Konzumácia alkoholu počas liečby </w:t>
      </w:r>
      <w:r w:rsidR="00F42CCB" w:rsidRPr="00654187">
        <w:rPr>
          <w:noProof/>
        </w:rPr>
        <w:t>Dinarex</w:t>
      </w:r>
      <w:r w:rsidR="00344C79" w:rsidRPr="00654187">
        <w:rPr>
          <w:noProof/>
        </w:rPr>
        <w:t>om</w:t>
      </w:r>
      <w:r w:rsidR="00B84AA9" w:rsidRPr="00654187">
        <w:rPr>
          <w:noProof/>
        </w:rPr>
        <w:t xml:space="preserve"> môže zvýšiť výskyt </w:t>
      </w:r>
      <w:r w:rsidR="00344C79" w:rsidRPr="00654187">
        <w:rPr>
          <w:noProof/>
        </w:rPr>
        <w:t xml:space="preserve">vedľajších </w:t>
      </w:r>
      <w:r w:rsidRPr="00654187">
        <w:rPr>
          <w:noProof/>
        </w:rPr>
        <w:t>účinkov</w:t>
      </w:r>
      <w:r w:rsidR="00B84AA9" w:rsidRPr="00654187">
        <w:rPr>
          <w:noProof/>
        </w:rPr>
        <w:t xml:space="preserve">. </w:t>
      </w:r>
      <w:r w:rsidR="00344C79" w:rsidRPr="00654187">
        <w:rPr>
          <w:noProof/>
        </w:rPr>
        <w:t>P</w:t>
      </w:r>
      <w:r w:rsidR="00B84AA9" w:rsidRPr="00654187">
        <w:rPr>
          <w:noProof/>
        </w:rPr>
        <w:t xml:space="preserve">očas liečby </w:t>
      </w:r>
      <w:r w:rsidR="00344C79" w:rsidRPr="00654187">
        <w:rPr>
          <w:noProof/>
        </w:rPr>
        <w:t xml:space="preserve">je potrebné </w:t>
      </w:r>
      <w:r w:rsidR="00B84AA9" w:rsidRPr="00654187">
        <w:rPr>
          <w:noProof/>
        </w:rPr>
        <w:t>vyhnúť</w:t>
      </w:r>
      <w:r w:rsidR="00344C79" w:rsidRPr="00654187">
        <w:rPr>
          <w:noProof/>
        </w:rPr>
        <w:t xml:space="preserve"> sa</w:t>
      </w:r>
      <w:r w:rsidR="00B84AA9" w:rsidRPr="00654187">
        <w:rPr>
          <w:noProof/>
        </w:rPr>
        <w:t xml:space="preserve"> konzumácii alkoholu.</w:t>
      </w:r>
    </w:p>
    <w:p w14:paraId="50DAD23A" w14:textId="77777777" w:rsidR="00654187" w:rsidRDefault="00654187" w:rsidP="00F50AFB">
      <w:pPr>
        <w:pStyle w:val="Styl2"/>
        <w:spacing w:before="0" w:after="0"/>
        <w:rPr>
          <w:szCs w:val="22"/>
        </w:rPr>
      </w:pPr>
    </w:p>
    <w:p w14:paraId="5FF95992" w14:textId="7CBC36E7" w:rsidR="007933AC" w:rsidRPr="000C1A6A" w:rsidRDefault="007933AC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>Tehotenstvo</w:t>
      </w:r>
      <w:r w:rsidR="00344C79" w:rsidRPr="000C1A6A">
        <w:rPr>
          <w:szCs w:val="22"/>
        </w:rPr>
        <w:t xml:space="preserve"> a</w:t>
      </w:r>
      <w:r w:rsidR="005F2F1E" w:rsidRPr="000C1A6A">
        <w:rPr>
          <w:szCs w:val="22"/>
        </w:rPr>
        <w:t> </w:t>
      </w:r>
      <w:r w:rsidR="00625A4D" w:rsidRPr="000C1A6A">
        <w:rPr>
          <w:szCs w:val="22"/>
        </w:rPr>
        <w:t>dojčenie</w:t>
      </w:r>
    </w:p>
    <w:p w14:paraId="7BEE2FA5" w14:textId="1E3C890E" w:rsidR="007933AC" w:rsidRPr="00654187" w:rsidRDefault="007933AC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 xml:space="preserve">Ak </w:t>
      </w:r>
      <w:r w:rsidR="00B84AA9" w:rsidRPr="00654187">
        <w:rPr>
          <w:noProof/>
        </w:rPr>
        <w:t>ste tehotná alebo dojčíte, ak si myslíte, že ste tehotná</w:t>
      </w:r>
      <w:r w:rsidR="00344C79" w:rsidRPr="00654187">
        <w:rPr>
          <w:noProof/>
        </w:rPr>
        <w:t>,</w:t>
      </w:r>
      <w:r w:rsidR="00B84AA9" w:rsidRPr="00654187">
        <w:rPr>
          <w:noProof/>
        </w:rPr>
        <w:t xml:space="preserve"> alebo ak plánujete otehotnieť, poraďte sa so svojím</w:t>
      </w:r>
      <w:r w:rsidRPr="00654187">
        <w:rPr>
          <w:noProof/>
        </w:rPr>
        <w:t xml:space="preserve"> lekárom alebo lekárnikom predtým, ako začne</w:t>
      </w:r>
      <w:r w:rsidR="00344C79" w:rsidRPr="00654187">
        <w:rPr>
          <w:noProof/>
        </w:rPr>
        <w:t>te</w:t>
      </w:r>
      <w:r w:rsidRPr="00654187">
        <w:rPr>
          <w:noProof/>
        </w:rPr>
        <w:t xml:space="preserve"> užívať tento liek.</w:t>
      </w:r>
    </w:p>
    <w:p w14:paraId="5EF8368B" w14:textId="77777777" w:rsidR="00654187" w:rsidRDefault="00654187" w:rsidP="00F50AFB">
      <w:pPr>
        <w:pStyle w:val="Styl2"/>
        <w:spacing w:before="0" w:after="0"/>
        <w:rPr>
          <w:szCs w:val="22"/>
        </w:rPr>
      </w:pPr>
    </w:p>
    <w:p w14:paraId="151A60B8" w14:textId="270D78A7" w:rsidR="007933AC" w:rsidRPr="000C1A6A" w:rsidRDefault="00625A4D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>Vedenie vozidiel a obsluha strojov</w:t>
      </w:r>
    </w:p>
    <w:p w14:paraId="66469E39" w14:textId="5B932D0F" w:rsidR="008D17F9" w:rsidRPr="00654187" w:rsidRDefault="008D17F9" w:rsidP="00F50AFB">
      <w:pPr>
        <w:pStyle w:val="Normlndobloku"/>
        <w:spacing w:after="0"/>
        <w:jc w:val="left"/>
      </w:pPr>
      <w:r w:rsidRPr="00654187">
        <w:t>Tento liek môže ovplyvniť vašu schopnosť viesť vozidl</w:t>
      </w:r>
      <w:r w:rsidR="00CD348C" w:rsidRPr="00654187">
        <w:t>á</w:t>
      </w:r>
      <w:r w:rsidRPr="00654187">
        <w:t>.</w:t>
      </w:r>
    </w:p>
    <w:p w14:paraId="1A541745" w14:textId="6E347B3A" w:rsidR="007933AC" w:rsidRPr="00654187" w:rsidRDefault="008D17F9" w:rsidP="00F50AFB">
      <w:pPr>
        <w:pStyle w:val="Normlndobloku"/>
        <w:spacing w:after="0"/>
        <w:jc w:val="left"/>
      </w:pPr>
      <w:r w:rsidRPr="00654187">
        <w:t>Počas užívania tohto lieku neveďte vozidl</w:t>
      </w:r>
      <w:r w:rsidR="00CD348C" w:rsidRPr="00654187">
        <w:t>á</w:t>
      </w:r>
      <w:r w:rsidRPr="00654187">
        <w:t xml:space="preserve">, </w:t>
      </w:r>
      <w:r w:rsidR="00CD348C" w:rsidRPr="00654187">
        <w:t xml:space="preserve">kým </w:t>
      </w:r>
      <w:r w:rsidRPr="00654187">
        <w:t xml:space="preserve">nebudete vedieť, ako na vás tento liek </w:t>
      </w:r>
      <w:r w:rsidR="00CD348C" w:rsidRPr="00654187">
        <w:t>pôsobí</w:t>
      </w:r>
      <w:r w:rsidR="007933AC" w:rsidRPr="00654187">
        <w:t>.</w:t>
      </w:r>
    </w:p>
    <w:p w14:paraId="23686C43" w14:textId="77777777" w:rsidR="00654187" w:rsidRDefault="00654187" w:rsidP="00F50AFB">
      <w:pPr>
        <w:pStyle w:val="Styl2"/>
        <w:spacing w:before="0" w:after="0"/>
        <w:rPr>
          <w:szCs w:val="22"/>
        </w:rPr>
      </w:pPr>
    </w:p>
    <w:p w14:paraId="54AA10ED" w14:textId="1FBEBB72" w:rsidR="00303481" w:rsidRPr="000C1A6A" w:rsidRDefault="00F42CCB" w:rsidP="00F50AFB">
      <w:pPr>
        <w:pStyle w:val="Styl2"/>
        <w:spacing w:before="0" w:after="0"/>
        <w:rPr>
          <w:szCs w:val="22"/>
        </w:rPr>
      </w:pPr>
      <w:proofErr w:type="spellStart"/>
      <w:r w:rsidRPr="000C1A6A">
        <w:rPr>
          <w:szCs w:val="22"/>
        </w:rPr>
        <w:t>Dinarex</w:t>
      </w:r>
      <w:proofErr w:type="spellEnd"/>
      <w:r w:rsidR="007933AC" w:rsidRPr="000C1A6A">
        <w:rPr>
          <w:szCs w:val="22"/>
        </w:rPr>
        <w:t xml:space="preserve"> obsahuje sacharózu</w:t>
      </w:r>
      <w:r w:rsidR="008D17F9" w:rsidRPr="000C1A6A">
        <w:rPr>
          <w:szCs w:val="22"/>
        </w:rPr>
        <w:t xml:space="preserve">, </w:t>
      </w:r>
      <w:proofErr w:type="spellStart"/>
      <w:r w:rsidR="008D17F9" w:rsidRPr="000C1A6A">
        <w:rPr>
          <w:szCs w:val="22"/>
        </w:rPr>
        <w:t>sorbitol</w:t>
      </w:r>
      <w:proofErr w:type="spellEnd"/>
      <w:r w:rsidR="008D17F9" w:rsidRPr="000C1A6A">
        <w:rPr>
          <w:szCs w:val="22"/>
        </w:rPr>
        <w:t>, glukózu, etanol a sodík</w:t>
      </w:r>
    </w:p>
    <w:p w14:paraId="1B584727" w14:textId="22D0F3E2" w:rsidR="00303481" w:rsidRPr="00654187" w:rsidRDefault="00F42CCB" w:rsidP="00F50AFB">
      <w:pPr>
        <w:pStyle w:val="Normlndobloku"/>
        <w:spacing w:after="0"/>
        <w:jc w:val="left"/>
      </w:pPr>
      <w:proofErr w:type="spellStart"/>
      <w:r w:rsidRPr="00654187">
        <w:t>Dinarex</w:t>
      </w:r>
      <w:proofErr w:type="spellEnd"/>
      <w:r w:rsidR="008D17F9" w:rsidRPr="00654187">
        <w:t xml:space="preserve"> obsahuje 3,25 g sacharózy, 3,95 g glukózy a 0,65 g sorbitolu v jednej dávke. </w:t>
      </w:r>
      <w:r w:rsidR="00303481" w:rsidRPr="00654187">
        <w:t>Ak vám váš lekár povedal, že neznášate niektoré cukry, kontaktujte svojho le</w:t>
      </w:r>
      <w:r w:rsidR="007933AC" w:rsidRPr="00654187">
        <w:t>kára ešte pred užitím tohto lieku</w:t>
      </w:r>
      <w:r w:rsidR="00303481" w:rsidRPr="00654187">
        <w:t>.</w:t>
      </w:r>
    </w:p>
    <w:p w14:paraId="06B701F7" w14:textId="35DA8840" w:rsidR="008D17F9" w:rsidRPr="00654187" w:rsidRDefault="008D17F9" w:rsidP="00F50AFB">
      <w:pPr>
        <w:pStyle w:val="Normlndobloku"/>
        <w:spacing w:after="0"/>
        <w:jc w:val="left"/>
      </w:pPr>
      <w:r w:rsidRPr="00654187">
        <w:t xml:space="preserve">Sacharóza a glukóza môžu </w:t>
      </w:r>
      <w:r w:rsidR="00CD348C" w:rsidRPr="00654187">
        <w:t>škodiť</w:t>
      </w:r>
      <w:r w:rsidRPr="00654187">
        <w:t xml:space="preserve"> zub</w:t>
      </w:r>
      <w:r w:rsidR="00CD348C" w:rsidRPr="00654187">
        <w:t>om</w:t>
      </w:r>
      <w:r w:rsidRPr="00654187">
        <w:t>.</w:t>
      </w:r>
    </w:p>
    <w:p w14:paraId="37348CCE" w14:textId="252BB892" w:rsidR="00096EE6" w:rsidRPr="00654187" w:rsidRDefault="008D17F9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Tento liek obsahuje 5,03 obj</w:t>
      </w:r>
      <w:r w:rsidR="005F2F1E" w:rsidRPr="00654187">
        <w:rPr>
          <w:noProof/>
        </w:rPr>
        <w:t>.</w:t>
      </w:r>
      <w:r w:rsidRPr="00654187">
        <w:rPr>
          <w:noProof/>
        </w:rPr>
        <w:t> % etanolu (alkohol), t.j. </w:t>
      </w:r>
      <w:r w:rsidR="00CD348C" w:rsidRPr="00654187">
        <w:rPr>
          <w:noProof/>
        </w:rPr>
        <w:t xml:space="preserve">až </w:t>
      </w:r>
      <w:r w:rsidRPr="00654187">
        <w:rPr>
          <w:noProof/>
        </w:rPr>
        <w:t xml:space="preserve">do 503 mg </w:t>
      </w:r>
      <w:r w:rsidR="00CD348C" w:rsidRPr="00654187">
        <w:rPr>
          <w:noProof/>
        </w:rPr>
        <w:t>na</w:t>
      </w:r>
      <w:r w:rsidR="005F2F1E" w:rsidRPr="00654187">
        <w:rPr>
          <w:noProof/>
        </w:rPr>
        <w:t xml:space="preserve"> </w:t>
      </w:r>
      <w:r w:rsidRPr="00654187">
        <w:rPr>
          <w:noProof/>
        </w:rPr>
        <w:t>dávk</w:t>
      </w:r>
      <w:r w:rsidR="00CD348C" w:rsidRPr="00654187">
        <w:rPr>
          <w:noProof/>
        </w:rPr>
        <w:t>u</w:t>
      </w:r>
      <w:r w:rsidRPr="00654187">
        <w:rPr>
          <w:noProof/>
        </w:rPr>
        <w:t xml:space="preserve">, čo zodpovedá 10 ml piva </w:t>
      </w:r>
      <w:r w:rsidR="00757084" w:rsidRPr="00654187">
        <w:rPr>
          <w:noProof/>
        </w:rPr>
        <w:t>al</w:t>
      </w:r>
      <w:r w:rsidR="00600EED" w:rsidRPr="00654187">
        <w:rPr>
          <w:noProof/>
        </w:rPr>
        <w:t>ebo</w:t>
      </w:r>
      <w:r w:rsidRPr="00654187">
        <w:rPr>
          <w:noProof/>
        </w:rPr>
        <w:t xml:space="preserve"> 4,2 ml vína </w:t>
      </w:r>
      <w:r w:rsidR="00CD348C" w:rsidRPr="00654187">
        <w:rPr>
          <w:noProof/>
        </w:rPr>
        <w:t>na</w:t>
      </w:r>
      <w:r w:rsidR="005F2F1E" w:rsidRPr="00654187">
        <w:rPr>
          <w:noProof/>
        </w:rPr>
        <w:t xml:space="preserve"> </w:t>
      </w:r>
      <w:r w:rsidRPr="00654187">
        <w:rPr>
          <w:noProof/>
        </w:rPr>
        <w:t>10</w:t>
      </w:r>
      <w:r w:rsidR="00CD348C" w:rsidRPr="00654187">
        <w:rPr>
          <w:noProof/>
        </w:rPr>
        <w:t xml:space="preserve"> </w:t>
      </w:r>
      <w:r w:rsidRPr="00654187">
        <w:rPr>
          <w:noProof/>
        </w:rPr>
        <w:t>ml dávk</w:t>
      </w:r>
      <w:r w:rsidR="00CD348C" w:rsidRPr="00654187">
        <w:rPr>
          <w:noProof/>
        </w:rPr>
        <w:t>u.</w:t>
      </w:r>
      <w:r w:rsidR="00E048A4" w:rsidRPr="00654187">
        <w:rPr>
          <w:noProof/>
        </w:rPr>
        <w:t xml:space="preserve"> Škodlivé pre tých, ktorí trpia alkoholizmom, pre dojčiace a</w:t>
      </w:r>
      <w:r w:rsidR="005F2F1E" w:rsidRPr="00654187">
        <w:rPr>
          <w:noProof/>
        </w:rPr>
        <w:t> </w:t>
      </w:r>
      <w:r w:rsidR="00E048A4" w:rsidRPr="00654187">
        <w:rPr>
          <w:noProof/>
        </w:rPr>
        <w:t>tehotné ženy, deti a</w:t>
      </w:r>
      <w:r w:rsidR="005F2F1E" w:rsidRPr="00654187">
        <w:rPr>
          <w:noProof/>
        </w:rPr>
        <w:t> </w:t>
      </w:r>
      <w:r w:rsidR="00E048A4" w:rsidRPr="00654187">
        <w:rPr>
          <w:noProof/>
        </w:rPr>
        <w:t>vysoko rizikové skupiny ako sú pacienti s</w:t>
      </w:r>
      <w:r w:rsidR="005F2F1E" w:rsidRPr="00654187">
        <w:rPr>
          <w:noProof/>
        </w:rPr>
        <w:t> </w:t>
      </w:r>
      <w:r w:rsidR="00E048A4" w:rsidRPr="00654187">
        <w:rPr>
          <w:noProof/>
        </w:rPr>
        <w:t>poruchou funkcie pečene alebo epilepsiou.</w:t>
      </w:r>
      <w:r w:rsidR="00096EE6" w:rsidRPr="00654187">
        <w:rPr>
          <w:noProof/>
        </w:rPr>
        <w:t xml:space="preserve"> </w:t>
      </w:r>
    </w:p>
    <w:p w14:paraId="0E3990A4" w14:textId="0F20E903" w:rsidR="008D17F9" w:rsidRDefault="00096EE6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Tento liek obsahuje menej ako 1 mmol sodíka (23 mg) v dávke, t.j. </w:t>
      </w:r>
      <w:r w:rsidR="00E048A4" w:rsidRPr="00654187">
        <w:rPr>
          <w:noProof/>
        </w:rPr>
        <w:t>v podstate zanedbateľné množstvo sodíka.</w:t>
      </w:r>
    </w:p>
    <w:p w14:paraId="780DFCA9" w14:textId="77777777" w:rsidR="00654187" w:rsidRDefault="00654187" w:rsidP="00F50AFB">
      <w:pPr>
        <w:pStyle w:val="Normlndobloku"/>
        <w:spacing w:after="0"/>
        <w:jc w:val="left"/>
        <w:rPr>
          <w:noProof/>
        </w:rPr>
      </w:pPr>
    </w:p>
    <w:p w14:paraId="4A354C63" w14:textId="77777777" w:rsidR="00654187" w:rsidRPr="00654187" w:rsidRDefault="00654187" w:rsidP="00F50AFB">
      <w:pPr>
        <w:pStyle w:val="Normlndobloku"/>
        <w:spacing w:after="0"/>
        <w:jc w:val="left"/>
        <w:rPr>
          <w:noProof/>
        </w:rPr>
      </w:pPr>
    </w:p>
    <w:p w14:paraId="24AE6661" w14:textId="75017162" w:rsidR="00303481" w:rsidRPr="000C1A6A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3" w:name="_Toc443314745"/>
      <w:r w:rsidRPr="000C1A6A">
        <w:rPr>
          <w:caps w:val="0"/>
          <w:szCs w:val="22"/>
        </w:rPr>
        <w:t xml:space="preserve">Ako užívať </w:t>
      </w:r>
      <w:r w:rsidR="00F42CCB" w:rsidRPr="000C1A6A">
        <w:rPr>
          <w:szCs w:val="22"/>
        </w:rPr>
        <w:t>D</w:t>
      </w:r>
      <w:r w:rsidR="00F42CCB" w:rsidRPr="000C1A6A">
        <w:rPr>
          <w:caps w:val="0"/>
          <w:szCs w:val="22"/>
        </w:rPr>
        <w:t>inarex</w:t>
      </w:r>
      <w:bookmarkEnd w:id="3"/>
    </w:p>
    <w:p w14:paraId="79C05158" w14:textId="77777777" w:rsidR="00654187" w:rsidRDefault="00654187" w:rsidP="00F50AFB">
      <w:pPr>
        <w:pStyle w:val="Normlndobloku"/>
        <w:spacing w:after="0"/>
        <w:jc w:val="left"/>
        <w:rPr>
          <w:noProof/>
        </w:rPr>
      </w:pPr>
    </w:p>
    <w:p w14:paraId="519A6E74" w14:textId="2F58031D" w:rsidR="00303481" w:rsidRDefault="00303481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Vždy užívajte tento liek presne tak, ako vám povedal váš lekár</w:t>
      </w:r>
      <w:r w:rsidR="00096EE6" w:rsidRPr="00654187">
        <w:rPr>
          <w:noProof/>
        </w:rPr>
        <w:t xml:space="preserve"> alebo lekárnik</w:t>
      </w:r>
      <w:r w:rsidRPr="00654187">
        <w:rPr>
          <w:noProof/>
        </w:rPr>
        <w:t>. Ak si nie ste niečím istý, overte si to u svojho lekára alebo lekárnika.</w:t>
      </w:r>
    </w:p>
    <w:p w14:paraId="61FDA5F0" w14:textId="77777777" w:rsidR="00654187" w:rsidRPr="00654187" w:rsidRDefault="00654187" w:rsidP="00F50AFB">
      <w:pPr>
        <w:pStyle w:val="Normlndobloku"/>
        <w:spacing w:after="0"/>
        <w:jc w:val="left"/>
        <w:rPr>
          <w:noProof/>
        </w:rPr>
      </w:pPr>
    </w:p>
    <w:p w14:paraId="524011B6" w14:textId="4D536330" w:rsidR="00C45AE1" w:rsidRPr="00654187" w:rsidRDefault="00096EE6" w:rsidP="00F50AFB">
      <w:pPr>
        <w:pStyle w:val="Normlndobloku"/>
        <w:spacing w:after="0"/>
        <w:jc w:val="left"/>
        <w:rPr>
          <w:b/>
          <w:noProof/>
        </w:rPr>
      </w:pPr>
      <w:r w:rsidRPr="00654187">
        <w:rPr>
          <w:b/>
          <w:noProof/>
        </w:rPr>
        <w:lastRenderedPageBreak/>
        <w:t>Nižšie je uvedené, koľko lieku máte užívať.</w:t>
      </w:r>
    </w:p>
    <w:p w14:paraId="13111217" w14:textId="63C982D8" w:rsidR="00096EE6" w:rsidRPr="00654187" w:rsidRDefault="00096EE6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Iba na </w:t>
      </w:r>
      <w:r w:rsidR="006F42C3" w:rsidRPr="00654187">
        <w:t>vnútorné použitie.</w:t>
      </w:r>
    </w:p>
    <w:p w14:paraId="0F5351C6" w14:textId="03537AD1" w:rsidR="00096EE6" w:rsidRPr="00654187" w:rsidRDefault="00096EE6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Neužívajte viac ako sú určené dávky podľa pokynov uvedených nižšie.</w:t>
      </w:r>
    </w:p>
    <w:p w14:paraId="10EFB42E" w14:textId="2D7A5CB1" w:rsidR="00096EE6" w:rsidRPr="00654187" w:rsidRDefault="00096EE6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Neužívajte viac ako 4 dávky počas 24 hodín.</w:t>
      </w:r>
    </w:p>
    <w:p w14:paraId="423D21A8" w14:textId="2DA1BD01" w:rsidR="00096EE6" w:rsidRPr="00654187" w:rsidRDefault="00096EE6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Maximálna dĺžka liečby bez lekárskeho odporúčania je 1 týždeň.</w:t>
      </w:r>
    </w:p>
    <w:p w14:paraId="79092015" w14:textId="513B91E6" w:rsidR="00096EE6" w:rsidRPr="00654187" w:rsidRDefault="006F42C3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 xml:space="preserve">Ak </w:t>
      </w:r>
      <w:r w:rsidR="00096EE6" w:rsidRPr="00654187">
        <w:t>príznaky pretrvávajú alebo sa po 3 – 5 dňoch zhorš</w:t>
      </w:r>
      <w:r w:rsidRPr="00654187">
        <w:t>ia</w:t>
      </w:r>
      <w:r w:rsidR="00096EE6" w:rsidRPr="00654187">
        <w:t>, poraďte sa so svojím lekárom alebo lekárnikom.</w:t>
      </w:r>
    </w:p>
    <w:p w14:paraId="0DA0C1CC" w14:textId="77777777" w:rsidR="00654187" w:rsidRDefault="00654187" w:rsidP="00F50AFB">
      <w:pPr>
        <w:pStyle w:val="Normlndobloku"/>
        <w:spacing w:after="0"/>
        <w:jc w:val="left"/>
        <w:rPr>
          <w:noProof/>
        </w:rPr>
      </w:pPr>
    </w:p>
    <w:p w14:paraId="56E0088C" w14:textId="3AD612E9" w:rsidR="00096EE6" w:rsidRPr="00654187" w:rsidRDefault="00096EE6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Odporúčané dávky sú:</w:t>
      </w:r>
    </w:p>
    <w:p w14:paraId="00105530" w14:textId="77777777" w:rsidR="00654187" w:rsidRDefault="00654187" w:rsidP="00F50AFB">
      <w:pPr>
        <w:pStyle w:val="Normlndobloku"/>
        <w:spacing w:after="0"/>
        <w:jc w:val="left"/>
        <w:rPr>
          <w:b/>
          <w:noProof/>
        </w:rPr>
      </w:pPr>
    </w:p>
    <w:p w14:paraId="47708E9F" w14:textId="77777777" w:rsidR="00096EE6" w:rsidRPr="00654187" w:rsidRDefault="00096EE6" w:rsidP="00F50AFB">
      <w:pPr>
        <w:pStyle w:val="Normlndobloku"/>
        <w:spacing w:after="0"/>
        <w:jc w:val="left"/>
        <w:rPr>
          <w:b/>
          <w:noProof/>
        </w:rPr>
      </w:pPr>
      <w:r w:rsidRPr="00654187">
        <w:rPr>
          <w:b/>
          <w:noProof/>
        </w:rPr>
        <w:t>Dospelí</w:t>
      </w:r>
    </w:p>
    <w:p w14:paraId="0CBBCCB7" w14:textId="43CDF5C0" w:rsidR="00096EE6" w:rsidRPr="00654187" w:rsidRDefault="00096EE6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10 ml sirupu (15 mg dextrometorfánu) 4-krát denne</w:t>
      </w:r>
      <w:r w:rsidR="006F42C3" w:rsidRPr="00654187">
        <w:rPr>
          <w:noProof/>
        </w:rPr>
        <w:t>.</w:t>
      </w:r>
    </w:p>
    <w:p w14:paraId="0F98AD69" w14:textId="77777777" w:rsidR="006F42C3" w:rsidRPr="00654187" w:rsidRDefault="006F42C3" w:rsidP="00F50AFB">
      <w:pPr>
        <w:pStyle w:val="Normlndobloku"/>
        <w:spacing w:after="0"/>
        <w:jc w:val="left"/>
        <w:rPr>
          <w:noProof/>
        </w:rPr>
      </w:pPr>
    </w:p>
    <w:p w14:paraId="4523668C" w14:textId="1AA0C670" w:rsidR="00096EE6" w:rsidRPr="00654187" w:rsidRDefault="00096EE6" w:rsidP="00F50AFB">
      <w:pPr>
        <w:pStyle w:val="Normlndobloku"/>
        <w:spacing w:after="0"/>
        <w:jc w:val="left"/>
        <w:rPr>
          <w:b/>
          <w:noProof/>
        </w:rPr>
      </w:pPr>
      <w:r w:rsidRPr="00654187">
        <w:rPr>
          <w:b/>
          <w:noProof/>
        </w:rPr>
        <w:t>Použitie u detí a dospievajúcich</w:t>
      </w:r>
    </w:p>
    <w:p w14:paraId="64CEA9C9" w14:textId="75591804" w:rsidR="00096EE6" w:rsidRPr="00654187" w:rsidRDefault="00096EE6" w:rsidP="00F50AFB">
      <w:pPr>
        <w:pStyle w:val="Normlndobloku"/>
        <w:spacing w:after="0"/>
        <w:jc w:val="left"/>
      </w:pPr>
      <w:r w:rsidRPr="00654187">
        <w:rPr>
          <w:noProof/>
        </w:rPr>
        <w:t xml:space="preserve">Deti vo veku 12 rokov a staršie: </w:t>
      </w:r>
      <w:r w:rsidRPr="00654187">
        <w:t xml:space="preserve">dávkovanie ako </w:t>
      </w:r>
      <w:r w:rsidR="006F42C3" w:rsidRPr="00654187">
        <w:t>pre </w:t>
      </w:r>
      <w:r w:rsidRPr="00654187">
        <w:t>dospelých</w:t>
      </w:r>
      <w:r w:rsidR="006F42C3" w:rsidRPr="00654187">
        <w:t>.</w:t>
      </w:r>
    </w:p>
    <w:p w14:paraId="3FCFADC9" w14:textId="712170F9" w:rsidR="00096EE6" w:rsidRPr="00654187" w:rsidRDefault="00096EE6" w:rsidP="00F50AFB">
      <w:pPr>
        <w:pStyle w:val="Normlndobloku"/>
        <w:spacing w:after="0"/>
        <w:jc w:val="left"/>
      </w:pPr>
      <w:r w:rsidRPr="00654187">
        <w:t xml:space="preserve">Deti mladšie ako 12 rokov: </w:t>
      </w:r>
      <w:r w:rsidR="00F42CCB" w:rsidRPr="00654187">
        <w:t>Dinarex</w:t>
      </w:r>
      <w:r w:rsidRPr="00654187">
        <w:t xml:space="preserve"> nie je určený pre deti mladšie</w:t>
      </w:r>
      <w:r w:rsidR="00F42CCB" w:rsidRPr="00654187">
        <w:t xml:space="preserve"> ako 12 rokov.</w:t>
      </w:r>
    </w:p>
    <w:p w14:paraId="444469B9" w14:textId="77777777" w:rsidR="006F42C3" w:rsidRPr="00654187" w:rsidRDefault="006F42C3" w:rsidP="00F50AFB">
      <w:pPr>
        <w:pStyle w:val="Normlndobloku"/>
        <w:spacing w:after="0"/>
        <w:jc w:val="left"/>
      </w:pPr>
    </w:p>
    <w:p w14:paraId="11C8D3FA" w14:textId="71B77D7D" w:rsidR="00F42CCB" w:rsidRPr="00654187" w:rsidRDefault="00F42CCB" w:rsidP="00F50AFB">
      <w:pPr>
        <w:pStyle w:val="Normlndobloku"/>
        <w:spacing w:after="0"/>
        <w:jc w:val="left"/>
        <w:rPr>
          <w:b/>
          <w:noProof/>
        </w:rPr>
      </w:pPr>
      <w:r w:rsidRPr="00654187">
        <w:rPr>
          <w:b/>
          <w:noProof/>
        </w:rPr>
        <w:t>Starší pacienti (65 rokov a viac)</w:t>
      </w:r>
    </w:p>
    <w:p w14:paraId="27560CC9" w14:textId="44F151C8" w:rsidR="00F42CCB" w:rsidRPr="00654187" w:rsidRDefault="00F42CCB" w:rsidP="00F50AFB">
      <w:pPr>
        <w:pStyle w:val="Normlndobloku"/>
        <w:spacing w:after="0"/>
        <w:jc w:val="left"/>
      </w:pPr>
      <w:r w:rsidRPr="00654187">
        <w:t xml:space="preserve">Dávkovanie ako </w:t>
      </w:r>
      <w:r w:rsidR="00B35C22" w:rsidRPr="00654187">
        <w:t>pre</w:t>
      </w:r>
      <w:r w:rsidR="006F42C3" w:rsidRPr="00654187">
        <w:t> </w:t>
      </w:r>
      <w:r w:rsidRPr="00654187">
        <w:t>dospelých</w:t>
      </w:r>
      <w:r w:rsidR="006F42C3" w:rsidRPr="00654187">
        <w:t>.</w:t>
      </w:r>
    </w:p>
    <w:p w14:paraId="1C9CBE7C" w14:textId="77777777" w:rsidR="006F42C3" w:rsidRPr="00654187" w:rsidRDefault="006F42C3" w:rsidP="00F50AFB">
      <w:pPr>
        <w:pStyle w:val="Normlndobloku"/>
        <w:spacing w:after="0"/>
        <w:jc w:val="left"/>
      </w:pPr>
    </w:p>
    <w:p w14:paraId="54E9508A" w14:textId="3082E9F4" w:rsidR="00C45AE1" w:rsidRPr="000C1A6A" w:rsidRDefault="002E42DD" w:rsidP="00F50AFB">
      <w:pPr>
        <w:pStyle w:val="Styl2-2"/>
        <w:spacing w:before="0" w:after="0"/>
        <w:jc w:val="left"/>
        <w:rPr>
          <w:rFonts w:eastAsia="TimesNewRoman,Bold"/>
          <w:szCs w:val="22"/>
        </w:rPr>
      </w:pPr>
      <w:r w:rsidRPr="000C1A6A">
        <w:rPr>
          <w:rFonts w:eastAsia="TimesNewRoman,Bold"/>
          <w:szCs w:val="22"/>
        </w:rPr>
        <w:t xml:space="preserve">Ak užijete viac lieku </w:t>
      </w:r>
      <w:r w:rsidR="00F42CCB" w:rsidRPr="000C1A6A">
        <w:rPr>
          <w:rFonts w:eastAsia="TimesNewRoman,Bold"/>
          <w:szCs w:val="22"/>
        </w:rPr>
        <w:t>Dinarex</w:t>
      </w:r>
      <w:r w:rsidR="00303481" w:rsidRPr="000C1A6A">
        <w:rPr>
          <w:rFonts w:eastAsia="TimesNewRoman,Bold"/>
          <w:szCs w:val="22"/>
        </w:rPr>
        <w:t>, ako máte</w:t>
      </w:r>
    </w:p>
    <w:p w14:paraId="15C39308" w14:textId="0E593A3A" w:rsidR="00C45AE1" w:rsidRPr="00654187" w:rsidRDefault="00F42CCB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 xml:space="preserve">Ak užijete príliš veľa lieku Dinarex, obráťte sa na svojho lekára alebo navštívte najbližšiu </w:t>
      </w:r>
      <w:r w:rsidR="006F42C3" w:rsidRPr="00654187">
        <w:rPr>
          <w:noProof/>
        </w:rPr>
        <w:t xml:space="preserve">pohotovosť </w:t>
      </w:r>
      <w:r w:rsidRPr="00654187">
        <w:rPr>
          <w:noProof/>
        </w:rPr>
        <w:t>a vezmite si túto písomnú informáciu a </w:t>
      </w:r>
      <w:r w:rsidR="006F42C3" w:rsidRPr="00654187">
        <w:rPr>
          <w:noProof/>
        </w:rPr>
        <w:t xml:space="preserve">obal </w:t>
      </w:r>
      <w:r w:rsidRPr="00654187">
        <w:rPr>
          <w:noProof/>
        </w:rPr>
        <w:t>so sebou.</w:t>
      </w:r>
    </w:p>
    <w:p w14:paraId="19748E82" w14:textId="77777777" w:rsidR="00654187" w:rsidRDefault="00654187" w:rsidP="00F50AFB">
      <w:pPr>
        <w:pStyle w:val="Styl2-2"/>
        <w:spacing w:before="0" w:after="0"/>
        <w:jc w:val="left"/>
        <w:rPr>
          <w:rFonts w:eastAsia="TimesNewRoman,Bold"/>
          <w:szCs w:val="22"/>
        </w:rPr>
      </w:pPr>
    </w:p>
    <w:p w14:paraId="5904F7E9" w14:textId="1D854CBA" w:rsidR="0024144C" w:rsidRPr="000C1A6A" w:rsidRDefault="00303481" w:rsidP="00F50AFB">
      <w:pPr>
        <w:pStyle w:val="Styl2-2"/>
        <w:spacing w:before="0" w:after="0"/>
        <w:jc w:val="left"/>
        <w:rPr>
          <w:rFonts w:eastAsia="TimesNewRoman,Bold"/>
          <w:szCs w:val="22"/>
        </w:rPr>
      </w:pPr>
      <w:r w:rsidRPr="000C1A6A">
        <w:rPr>
          <w:rFonts w:eastAsia="TimesNewRoman,Bold"/>
          <w:szCs w:val="22"/>
        </w:rPr>
        <w:t>Ak zabudnete užiť</w:t>
      </w:r>
      <w:r w:rsidR="002E42DD" w:rsidRPr="000C1A6A">
        <w:rPr>
          <w:rFonts w:eastAsia="TimesNewRoman,Bold"/>
          <w:szCs w:val="22"/>
        </w:rPr>
        <w:t xml:space="preserve"> </w:t>
      </w:r>
      <w:proofErr w:type="spellStart"/>
      <w:r w:rsidR="00F42CCB" w:rsidRPr="000C1A6A">
        <w:rPr>
          <w:rFonts w:eastAsia="TimesNewRoman,Bold"/>
          <w:szCs w:val="22"/>
        </w:rPr>
        <w:t>Dinarex</w:t>
      </w:r>
      <w:proofErr w:type="spellEnd"/>
    </w:p>
    <w:p w14:paraId="6FA8C477" w14:textId="58DEDC1D" w:rsidR="00F42CCB" w:rsidRPr="00654187" w:rsidRDefault="00F42CCB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 xml:space="preserve">Užívajte tento liek presne podľa uvedených pokynov </w:t>
      </w:r>
      <w:r w:rsidR="006F42C3" w:rsidRPr="00654187">
        <w:rPr>
          <w:noProof/>
        </w:rPr>
        <w:t>na</w:t>
      </w:r>
      <w:r w:rsidRPr="00654187">
        <w:rPr>
          <w:noProof/>
        </w:rPr>
        <w:t xml:space="preserve"> dávkovanie. </w:t>
      </w:r>
      <w:r w:rsidR="006F42C3" w:rsidRPr="00654187">
        <w:rPr>
          <w:noProof/>
        </w:rPr>
        <w:t xml:space="preserve">Ak </w:t>
      </w:r>
      <w:r w:rsidRPr="00654187">
        <w:rPr>
          <w:noProof/>
        </w:rPr>
        <w:t xml:space="preserve">zabudnete užiť dávku, ďalšiu dávku </w:t>
      </w:r>
      <w:r w:rsidR="006F42C3" w:rsidRPr="00654187">
        <w:rPr>
          <w:noProof/>
        </w:rPr>
        <w:t>užite podľa potreby.</w:t>
      </w:r>
    </w:p>
    <w:p w14:paraId="426156DF" w14:textId="6CA42192" w:rsidR="0024144C" w:rsidRPr="00654187" w:rsidRDefault="00F42CCB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Neužívajte dvojnásobnú dávku, aby ste nahradili vynechanú dávku.</w:t>
      </w:r>
    </w:p>
    <w:p w14:paraId="43D42CB0" w14:textId="3F134FB6" w:rsidR="0024144C" w:rsidRDefault="0024144C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 xml:space="preserve">Ak máte akékoľvek </w:t>
      </w:r>
      <w:r w:rsidR="006F42C3" w:rsidRPr="00654187">
        <w:rPr>
          <w:noProof/>
        </w:rPr>
        <w:t xml:space="preserve">ďalšie </w:t>
      </w:r>
      <w:r w:rsidRPr="00654187">
        <w:rPr>
          <w:noProof/>
        </w:rPr>
        <w:t xml:space="preserve">otázky týkajúce sa použitia tohto lieku, opýtajte sa </w:t>
      </w:r>
      <w:r w:rsidR="006F42C3" w:rsidRPr="00654187">
        <w:rPr>
          <w:noProof/>
        </w:rPr>
        <w:t xml:space="preserve">svojho </w:t>
      </w:r>
      <w:r w:rsidRPr="00654187">
        <w:rPr>
          <w:noProof/>
        </w:rPr>
        <w:t>lekára</w:t>
      </w:r>
      <w:r w:rsidR="006F42C3" w:rsidRPr="00654187">
        <w:rPr>
          <w:noProof/>
        </w:rPr>
        <w:t xml:space="preserve"> alebo</w:t>
      </w:r>
      <w:r w:rsidR="005F2F1E" w:rsidRPr="00654187">
        <w:rPr>
          <w:noProof/>
        </w:rPr>
        <w:t xml:space="preserve"> </w:t>
      </w:r>
      <w:r w:rsidRPr="00654187">
        <w:rPr>
          <w:noProof/>
        </w:rPr>
        <w:t>lekárnika</w:t>
      </w:r>
      <w:r w:rsidR="006F42C3" w:rsidRPr="00654187">
        <w:rPr>
          <w:noProof/>
        </w:rPr>
        <w:t>.</w:t>
      </w:r>
    </w:p>
    <w:p w14:paraId="278BCDEC" w14:textId="77777777" w:rsidR="00654187" w:rsidRDefault="00654187" w:rsidP="00F50AFB">
      <w:pPr>
        <w:pStyle w:val="Normlndobloku"/>
        <w:spacing w:after="0"/>
        <w:jc w:val="left"/>
        <w:rPr>
          <w:noProof/>
        </w:rPr>
      </w:pPr>
    </w:p>
    <w:p w14:paraId="39678F28" w14:textId="77777777" w:rsidR="00654187" w:rsidRPr="00654187" w:rsidRDefault="00654187" w:rsidP="00F50AFB">
      <w:pPr>
        <w:pStyle w:val="Normlndobloku"/>
        <w:spacing w:after="0"/>
        <w:jc w:val="left"/>
        <w:rPr>
          <w:noProof/>
        </w:rPr>
      </w:pPr>
    </w:p>
    <w:p w14:paraId="06B02C89" w14:textId="77777777" w:rsidR="00042F95" w:rsidRPr="000C1A6A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4" w:name="_Toc443314746"/>
      <w:r w:rsidRPr="000C1A6A">
        <w:rPr>
          <w:caps w:val="0"/>
          <w:szCs w:val="22"/>
        </w:rPr>
        <w:t>Možné vedľajšie účinky</w:t>
      </w:r>
      <w:bookmarkEnd w:id="4"/>
    </w:p>
    <w:p w14:paraId="50C12DC7" w14:textId="77777777" w:rsidR="00654187" w:rsidRDefault="00654187" w:rsidP="00F50AFB">
      <w:pPr>
        <w:pStyle w:val="Normlndobloku"/>
        <w:spacing w:after="0"/>
        <w:jc w:val="left"/>
        <w:rPr>
          <w:noProof/>
        </w:rPr>
      </w:pPr>
    </w:p>
    <w:p w14:paraId="3B5C4144" w14:textId="5D40909D" w:rsidR="006442DF" w:rsidRPr="00654187" w:rsidRDefault="00011424" w:rsidP="00F50AFB">
      <w:pPr>
        <w:pStyle w:val="Normlndobloku"/>
        <w:spacing w:after="0"/>
        <w:jc w:val="left"/>
        <w:rPr>
          <w:noProof/>
        </w:rPr>
      </w:pPr>
      <w:r w:rsidRPr="00654187">
        <w:rPr>
          <w:noProof/>
        </w:rPr>
        <w:t>Tak ako všetky lieky, aj tento liek môže spôsobovať vedľajšie účinky, hoci sa neprejavia u každého.</w:t>
      </w:r>
    </w:p>
    <w:p w14:paraId="1E061E3C" w14:textId="77777777" w:rsidR="00654187" w:rsidRDefault="00654187" w:rsidP="00F50AFB">
      <w:pPr>
        <w:pStyle w:val="Normlndobloku"/>
        <w:spacing w:after="0"/>
        <w:jc w:val="left"/>
        <w:rPr>
          <w:b/>
          <w:noProof/>
        </w:rPr>
      </w:pPr>
    </w:p>
    <w:p w14:paraId="073DD8E3" w14:textId="5B6BA08C" w:rsidR="008A1188" w:rsidRPr="00654187" w:rsidRDefault="006442DF" w:rsidP="00F50AFB">
      <w:pPr>
        <w:pStyle w:val="Normlndobloku"/>
        <w:spacing w:after="0"/>
        <w:jc w:val="left"/>
        <w:rPr>
          <w:rStyle w:val="DeltaViewMoveSource"/>
          <w:b/>
          <w:strike w:val="0"/>
          <w:color w:val="000000"/>
        </w:rPr>
      </w:pPr>
      <w:r w:rsidRPr="00F50AFB">
        <w:rPr>
          <w:b/>
          <w:noProof/>
        </w:rPr>
        <w:t>Ak sa u </w:t>
      </w:r>
      <w:r w:rsidR="008A1188" w:rsidRPr="00654187">
        <w:rPr>
          <w:b/>
          <w:noProof/>
        </w:rPr>
        <w:t>v</w:t>
      </w:r>
      <w:r w:rsidRPr="00654187">
        <w:rPr>
          <w:b/>
          <w:noProof/>
        </w:rPr>
        <w:t>ás</w:t>
      </w:r>
      <w:r w:rsidR="00041A41" w:rsidRPr="00654187">
        <w:rPr>
          <w:b/>
          <w:noProof/>
        </w:rPr>
        <w:t xml:space="preserve"> prejaví ktorýkoľvek z </w:t>
      </w:r>
      <w:r w:rsidRPr="00654187">
        <w:rPr>
          <w:b/>
          <w:noProof/>
        </w:rPr>
        <w:t>nasledovných</w:t>
      </w:r>
      <w:r w:rsidR="008A1188" w:rsidRPr="00654187">
        <w:rPr>
          <w:b/>
          <w:noProof/>
        </w:rPr>
        <w:t xml:space="preserve"> príznakov, </w:t>
      </w:r>
      <w:r w:rsidRPr="00654187">
        <w:rPr>
          <w:b/>
          <w:noProof/>
        </w:rPr>
        <w:t>prerušte užívanie lieku a </w:t>
      </w:r>
      <w:r w:rsidRPr="00654187">
        <w:rPr>
          <w:rStyle w:val="DeltaViewMoveSource"/>
          <w:b/>
          <w:strike w:val="0"/>
          <w:color w:val="000000"/>
        </w:rPr>
        <w:t>ihneď vyhľadajte lekársku pomoc:</w:t>
      </w:r>
    </w:p>
    <w:p w14:paraId="0A08836C" w14:textId="71C06E78" w:rsidR="006442DF" w:rsidRPr="00654187" w:rsidRDefault="006442DF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opuch tváre, pier, úst, jazyka alebo hrdla, ktorý môže spôsobiť problémy pri prehĺtaní alebo dýchaní</w:t>
      </w:r>
    </w:p>
    <w:p w14:paraId="2658EA86" w14:textId="7E5AEFD8" w:rsidR="006442DF" w:rsidRPr="00654187" w:rsidRDefault="006F42C3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z</w:t>
      </w:r>
      <w:r w:rsidR="006442DF" w:rsidRPr="00654187">
        <w:t>áchvaty</w:t>
      </w:r>
    </w:p>
    <w:p w14:paraId="6BC2AFB2" w14:textId="77777777" w:rsidR="00654187" w:rsidRDefault="00654187" w:rsidP="00F50AFB">
      <w:pPr>
        <w:pStyle w:val="Normlndobloku"/>
        <w:spacing w:after="0"/>
        <w:jc w:val="left"/>
        <w:rPr>
          <w:rStyle w:val="DeltaViewDeletion"/>
          <w:b/>
          <w:strike w:val="0"/>
          <w:noProof/>
          <w:color w:val="auto"/>
        </w:rPr>
      </w:pPr>
    </w:p>
    <w:p w14:paraId="18140460" w14:textId="3F23DA19" w:rsidR="008A1188" w:rsidRPr="00654187" w:rsidRDefault="006442DF" w:rsidP="00F50AFB">
      <w:pPr>
        <w:pStyle w:val="Normlndobloku"/>
        <w:spacing w:after="0"/>
        <w:jc w:val="left"/>
        <w:rPr>
          <w:b/>
          <w:color w:val="000000"/>
        </w:rPr>
      </w:pPr>
      <w:r w:rsidRPr="00654187">
        <w:rPr>
          <w:rStyle w:val="DeltaViewDeletion"/>
          <w:b/>
          <w:strike w:val="0"/>
          <w:color w:val="auto"/>
        </w:rPr>
        <w:t xml:space="preserve">Ak sa </w:t>
      </w:r>
      <w:r w:rsidR="006F42C3" w:rsidRPr="00654187">
        <w:rPr>
          <w:rStyle w:val="DeltaViewDeletion"/>
          <w:b/>
          <w:strike w:val="0"/>
          <w:color w:val="auto"/>
        </w:rPr>
        <w:t xml:space="preserve">u vás prejavia </w:t>
      </w:r>
      <w:r w:rsidRPr="00654187">
        <w:rPr>
          <w:rStyle w:val="DeltaViewDeletion"/>
          <w:b/>
          <w:strike w:val="0"/>
          <w:color w:val="auto"/>
        </w:rPr>
        <w:t>niektor</w:t>
      </w:r>
      <w:r w:rsidR="006F42C3" w:rsidRPr="00654187">
        <w:rPr>
          <w:rStyle w:val="DeltaViewDeletion"/>
          <w:b/>
          <w:strike w:val="0"/>
          <w:color w:val="auto"/>
        </w:rPr>
        <w:t>é</w:t>
      </w:r>
      <w:r w:rsidRPr="00654187">
        <w:rPr>
          <w:rStyle w:val="DeltaViewDeletion"/>
          <w:b/>
          <w:strike w:val="0"/>
          <w:color w:val="auto"/>
        </w:rPr>
        <w:t xml:space="preserve"> z </w:t>
      </w:r>
      <w:r w:rsidRPr="00654187">
        <w:rPr>
          <w:b/>
          <w:noProof/>
        </w:rPr>
        <w:t>nasledovných príznakov, prerušte užívanie lieku a </w:t>
      </w:r>
      <w:r w:rsidRPr="00654187">
        <w:rPr>
          <w:rStyle w:val="DeltaViewMoveSource"/>
          <w:b/>
          <w:strike w:val="0"/>
          <w:color w:val="000000"/>
        </w:rPr>
        <w:t>ihneď vyhľadajte lekársku pomoc:</w:t>
      </w:r>
    </w:p>
    <w:p w14:paraId="52F89C2F" w14:textId="01B03439" w:rsidR="008A1188" w:rsidRPr="00654187" w:rsidRDefault="006442DF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svrbenie, vyrážka, žihľavka</w:t>
      </w:r>
    </w:p>
    <w:p w14:paraId="26DB3FF1" w14:textId="77777777" w:rsidR="00654187" w:rsidRDefault="00654187" w:rsidP="00F50AFB">
      <w:pPr>
        <w:pStyle w:val="Normlndobloku"/>
        <w:spacing w:after="0"/>
        <w:jc w:val="left"/>
        <w:rPr>
          <w:rStyle w:val="DeltaViewDeletion"/>
          <w:b/>
          <w:strike w:val="0"/>
          <w:noProof/>
          <w:color w:val="auto"/>
        </w:rPr>
      </w:pPr>
    </w:p>
    <w:p w14:paraId="28E15A40" w14:textId="5BB05E7E" w:rsidR="008A1188" w:rsidRPr="00654187" w:rsidRDefault="006442DF" w:rsidP="00F50AFB">
      <w:pPr>
        <w:pStyle w:val="Normlndobloku"/>
        <w:spacing w:after="0"/>
        <w:jc w:val="left"/>
        <w:rPr>
          <w:b/>
        </w:rPr>
      </w:pPr>
      <w:r w:rsidRPr="00654187">
        <w:rPr>
          <w:rStyle w:val="DeltaViewDeletion"/>
          <w:b/>
          <w:strike w:val="0"/>
          <w:color w:val="auto"/>
        </w:rPr>
        <w:t>Ďalšie nežiaduce účinky, ktoré sa môžu vyskytnúť</w:t>
      </w:r>
    </w:p>
    <w:p w14:paraId="68501500" w14:textId="5FD020D5" w:rsidR="008A1188" w:rsidRPr="00654187" w:rsidRDefault="006442DF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závraty, ospalosť</w:t>
      </w:r>
    </w:p>
    <w:p w14:paraId="63429357" w14:textId="4E887913" w:rsidR="008A1188" w:rsidRPr="00654187" w:rsidRDefault="006442DF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nevoľnosť, vracanie, hnačka</w:t>
      </w:r>
    </w:p>
    <w:p w14:paraId="0F11FCEF" w14:textId="2382F7DD" w:rsidR="008A1188" w:rsidRPr="00654187" w:rsidRDefault="006442DF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rPr>
          <w:bCs w:val="0"/>
        </w:rPr>
        <w:t>žalúdočná nevoľnosť alebo bolesť žalúdka</w:t>
      </w:r>
      <w:r w:rsidRPr="00654187">
        <w:t>ťažkosti so spánkom alebo pocit nepokoja alebo zmätenosť</w:t>
      </w:r>
    </w:p>
    <w:p w14:paraId="40210C1B" w14:textId="726B9872" w:rsidR="008A1188" w:rsidRPr="00654187" w:rsidRDefault="006442DF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plytké dýchanie</w:t>
      </w:r>
    </w:p>
    <w:p w14:paraId="7AB19989" w14:textId="77777777" w:rsidR="00654187" w:rsidRDefault="00654187" w:rsidP="00F50AFB">
      <w:pPr>
        <w:pStyle w:val="Styl2"/>
        <w:spacing w:before="0" w:after="0"/>
        <w:rPr>
          <w:szCs w:val="22"/>
        </w:rPr>
      </w:pPr>
    </w:p>
    <w:p w14:paraId="42C7A527" w14:textId="77777777" w:rsidR="00625A4D" w:rsidRPr="000C1A6A" w:rsidRDefault="00625A4D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>Hlásenie vedľajších účinkov</w:t>
      </w:r>
    </w:p>
    <w:p w14:paraId="001793E0" w14:textId="77777777" w:rsidR="00625A4D" w:rsidRDefault="00625A4D" w:rsidP="00F50AFB">
      <w:pPr>
        <w:pStyle w:val="Normlndobloku"/>
        <w:spacing w:after="0"/>
        <w:jc w:val="left"/>
      </w:pPr>
      <w:r w:rsidRPr="00654187">
        <w:t xml:space="preserve">Ak sa u vás vyskytne akýkoľvek vedľajší účinok, obráťte sa na svojho lekára alebo lekárnika. To sa týka aj akýchkoľvek vedľajších účinkov, ktoré nie sú uvedené v tejto písomnej informácii. Vedľajšie </w:t>
      </w:r>
      <w:r w:rsidRPr="00654187">
        <w:lastRenderedPageBreak/>
        <w:t>účinky môžete h</w:t>
      </w:r>
      <w:r w:rsidR="00656A0E" w:rsidRPr="00654187">
        <w:t xml:space="preserve">lásiť aj priamo na </w:t>
      </w:r>
      <w:r w:rsidR="00656A0E" w:rsidRPr="00654187">
        <w:rPr>
          <w:highlight w:val="lightGray"/>
        </w:rPr>
        <w:t>národné</w:t>
      </w:r>
      <w:r w:rsidRPr="00654187">
        <w:rPr>
          <w:highlight w:val="lightGray"/>
        </w:rPr>
        <w:t xml:space="preserve"> </w:t>
      </w:r>
      <w:r w:rsidR="00656A0E" w:rsidRPr="00654187">
        <w:rPr>
          <w:highlight w:val="lightGray"/>
        </w:rPr>
        <w:t>centrum hlásenia uvedené</w:t>
      </w:r>
      <w:r w:rsidRPr="00654187">
        <w:rPr>
          <w:highlight w:val="lightGray"/>
        </w:rPr>
        <w:t xml:space="preserve"> v </w:t>
      </w:r>
      <w:hyperlink r:id="rId7" w:history="1">
        <w:r w:rsidRPr="00654187">
          <w:rPr>
            <w:rStyle w:val="Hypertextovprepojenie"/>
            <w:highlight w:val="lightGray"/>
          </w:rPr>
          <w:t>Prílohe V</w:t>
        </w:r>
      </w:hyperlink>
      <w:r w:rsidRPr="00654187">
        <w:rPr>
          <w:highlight w:val="lightGray"/>
        </w:rPr>
        <w:t>.</w:t>
      </w:r>
      <w:r w:rsidRPr="00654187">
        <w:t xml:space="preserve"> Hlásením vedľajších účinkov môžete prispieť k získaniu ďalších informácií o bezpečnosti tohto lieku.</w:t>
      </w:r>
    </w:p>
    <w:p w14:paraId="0A5C24D8" w14:textId="77777777" w:rsidR="00654187" w:rsidRDefault="00654187" w:rsidP="00F50AFB">
      <w:pPr>
        <w:pStyle w:val="Normlndobloku"/>
        <w:spacing w:after="0"/>
        <w:jc w:val="left"/>
      </w:pPr>
    </w:p>
    <w:p w14:paraId="682439C0" w14:textId="77777777" w:rsidR="00654187" w:rsidRPr="00654187" w:rsidRDefault="00654187" w:rsidP="00F50AFB">
      <w:pPr>
        <w:pStyle w:val="Normlndobloku"/>
        <w:spacing w:after="0"/>
        <w:jc w:val="left"/>
      </w:pPr>
    </w:p>
    <w:p w14:paraId="2390AF86" w14:textId="21365F9E" w:rsidR="00625A4D" w:rsidRPr="000C1A6A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5" w:name="_Toc443314747"/>
      <w:r w:rsidRPr="000C1A6A">
        <w:rPr>
          <w:caps w:val="0"/>
          <w:szCs w:val="22"/>
        </w:rPr>
        <w:t xml:space="preserve">Ako uchovávať </w:t>
      </w:r>
      <w:r w:rsidR="00F42CCB" w:rsidRPr="000C1A6A">
        <w:rPr>
          <w:szCs w:val="22"/>
        </w:rPr>
        <w:t>D</w:t>
      </w:r>
      <w:r w:rsidR="00A92E6F" w:rsidRPr="000C1A6A">
        <w:rPr>
          <w:caps w:val="0"/>
          <w:szCs w:val="22"/>
        </w:rPr>
        <w:t>inarex</w:t>
      </w:r>
      <w:bookmarkEnd w:id="5"/>
    </w:p>
    <w:p w14:paraId="50C87ABA" w14:textId="77777777" w:rsidR="00654187" w:rsidRDefault="00654187" w:rsidP="00F50AFB">
      <w:pPr>
        <w:pStyle w:val="Normlndobloku"/>
        <w:spacing w:after="0"/>
        <w:jc w:val="left"/>
      </w:pPr>
    </w:p>
    <w:p w14:paraId="00AA7589" w14:textId="77777777" w:rsidR="00625A4D" w:rsidRPr="00654187" w:rsidRDefault="00625A4D" w:rsidP="00F50AFB">
      <w:pPr>
        <w:pStyle w:val="Normlndobloku"/>
        <w:spacing w:after="0"/>
        <w:jc w:val="left"/>
      </w:pPr>
      <w:r w:rsidRPr="00654187">
        <w:t>Tento liek uchovávajte mimo dohľadu a dosahu detí.</w:t>
      </w:r>
    </w:p>
    <w:p w14:paraId="090EB39F" w14:textId="77777777" w:rsidR="00A92E6F" w:rsidRPr="00654187" w:rsidRDefault="00A92E6F" w:rsidP="00F50AFB">
      <w:pPr>
        <w:pStyle w:val="Normlndobloku"/>
        <w:spacing w:after="0"/>
        <w:jc w:val="left"/>
        <w:rPr>
          <w:lang w:eastAsia="en-GB"/>
        </w:rPr>
      </w:pPr>
      <w:r w:rsidRPr="00654187">
        <w:rPr>
          <w:noProof/>
        </w:rPr>
        <w:t>Tento liek nevyžaduje žiadne zvláštne podmienky na uchovávanie.</w:t>
      </w:r>
    </w:p>
    <w:p w14:paraId="266BBF52" w14:textId="7F36D2B8" w:rsidR="00F9173B" w:rsidRPr="00654187" w:rsidRDefault="00625A4D" w:rsidP="00F50AFB">
      <w:pPr>
        <w:pStyle w:val="Normlndobloku"/>
        <w:spacing w:after="0"/>
        <w:jc w:val="left"/>
      </w:pPr>
      <w:r w:rsidRPr="00654187">
        <w:t>Nepoužívajte tento liek po dátume exspirác</w:t>
      </w:r>
      <w:r w:rsidR="00A92E6F" w:rsidRPr="00654187">
        <w:t>ie, ktorý je uvedený na fľaš</w:t>
      </w:r>
      <w:r w:rsidR="006F42C3" w:rsidRPr="00654187">
        <w:t>ke</w:t>
      </w:r>
      <w:r w:rsidRPr="00654187">
        <w:t xml:space="preserve"> po EXP. </w:t>
      </w:r>
      <w:r w:rsidR="00F9173B" w:rsidRPr="00654187">
        <w:t>Dátum ex</w:t>
      </w:r>
      <w:r w:rsidR="009A35AB" w:rsidRPr="00654187">
        <w:t>s</w:t>
      </w:r>
      <w:r w:rsidR="00F9173B" w:rsidRPr="00654187">
        <w:t>pirácie sa vzťahuje na posledný deň v danom mesiaci.</w:t>
      </w:r>
    </w:p>
    <w:p w14:paraId="61ADDE5B" w14:textId="67BB6C83" w:rsidR="00625A4D" w:rsidRDefault="00625A4D" w:rsidP="00F50AFB">
      <w:pPr>
        <w:pStyle w:val="Normlndobloku"/>
        <w:spacing w:after="0"/>
        <w:jc w:val="left"/>
      </w:pPr>
      <w:r w:rsidRPr="00654187">
        <w:t xml:space="preserve">Nelikvidujte lieky odpadovou vodou alebo domovým odpadom. </w:t>
      </w:r>
      <w:r w:rsidR="00A92E6F" w:rsidRPr="00654187">
        <w:t xml:space="preserve">Spýtajte sa svojho lekárnika, ako zlikvidovať lieky, ktoré už nepoužívate. </w:t>
      </w:r>
      <w:r w:rsidRPr="00654187">
        <w:t>Tieto opatrenia pomôžu chrániť životné prostredie.</w:t>
      </w:r>
    </w:p>
    <w:p w14:paraId="361914B4" w14:textId="77777777" w:rsidR="00654187" w:rsidRDefault="00654187" w:rsidP="00F50AFB">
      <w:pPr>
        <w:pStyle w:val="Normlndobloku"/>
        <w:spacing w:after="0"/>
        <w:jc w:val="left"/>
      </w:pPr>
    </w:p>
    <w:p w14:paraId="621655DE" w14:textId="77777777" w:rsidR="00654187" w:rsidRPr="00654187" w:rsidRDefault="00654187" w:rsidP="00F50AFB">
      <w:pPr>
        <w:pStyle w:val="Normlndobloku"/>
        <w:spacing w:after="0"/>
        <w:jc w:val="left"/>
      </w:pPr>
    </w:p>
    <w:p w14:paraId="6638354A" w14:textId="77777777" w:rsidR="00625A4D" w:rsidRPr="000C1A6A" w:rsidRDefault="003606AA" w:rsidP="00F50AFB">
      <w:pPr>
        <w:pStyle w:val="Styl1"/>
        <w:numPr>
          <w:ilvl w:val="0"/>
          <w:numId w:val="1"/>
        </w:numPr>
        <w:spacing w:before="0" w:after="0"/>
        <w:rPr>
          <w:szCs w:val="22"/>
        </w:rPr>
      </w:pPr>
      <w:bookmarkStart w:id="6" w:name="_Toc443314748"/>
      <w:r w:rsidRPr="000C1A6A">
        <w:rPr>
          <w:caps w:val="0"/>
          <w:szCs w:val="22"/>
        </w:rPr>
        <w:t>Obsah balenia a ďalšie informácie</w:t>
      </w:r>
      <w:bookmarkEnd w:id="6"/>
    </w:p>
    <w:p w14:paraId="0DE9100D" w14:textId="77777777" w:rsidR="00654187" w:rsidRDefault="00654187" w:rsidP="00F50AFB">
      <w:pPr>
        <w:pStyle w:val="Styl2"/>
        <w:spacing w:before="0" w:after="0"/>
        <w:rPr>
          <w:szCs w:val="22"/>
        </w:rPr>
      </w:pPr>
    </w:p>
    <w:p w14:paraId="15615384" w14:textId="4978A839" w:rsidR="00625A4D" w:rsidRDefault="00625A4D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 xml:space="preserve">Čo </w:t>
      </w:r>
      <w:proofErr w:type="spellStart"/>
      <w:r w:rsidR="00F42CCB" w:rsidRPr="000C1A6A">
        <w:rPr>
          <w:szCs w:val="22"/>
        </w:rPr>
        <w:t>Dinarex</w:t>
      </w:r>
      <w:proofErr w:type="spellEnd"/>
      <w:r w:rsidRPr="000C1A6A">
        <w:rPr>
          <w:szCs w:val="22"/>
        </w:rPr>
        <w:t xml:space="preserve"> obsahuje</w:t>
      </w:r>
    </w:p>
    <w:p w14:paraId="0870D8DC" w14:textId="77777777" w:rsidR="00654187" w:rsidRPr="000C1A6A" w:rsidRDefault="00654187" w:rsidP="00F50AFB">
      <w:pPr>
        <w:pStyle w:val="Styl2"/>
        <w:spacing w:before="0" w:after="0"/>
        <w:rPr>
          <w:szCs w:val="22"/>
        </w:rPr>
      </w:pPr>
    </w:p>
    <w:p w14:paraId="4CB30B78" w14:textId="7386B5FB" w:rsidR="00EA670B" w:rsidRPr="00654187" w:rsidRDefault="00656A0E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L</w:t>
      </w:r>
      <w:r w:rsidR="00A92E6F" w:rsidRPr="00654187">
        <w:t xml:space="preserve">iečivo je dextrometorfániumbromid. </w:t>
      </w:r>
      <w:r w:rsidR="005F2F1E" w:rsidRPr="00654187">
        <w:t>Jeden</w:t>
      </w:r>
      <w:r w:rsidR="000B5DBD" w:rsidRPr="00654187">
        <w:t> </w:t>
      </w:r>
      <w:r w:rsidR="00622A0A" w:rsidRPr="00654187">
        <w:t>ml sirupu obsahuje 1,5 mg dextrometorfániumbromidu.</w:t>
      </w:r>
    </w:p>
    <w:p w14:paraId="332D327D" w14:textId="24C45257" w:rsidR="0070271F" w:rsidRPr="00654187" w:rsidRDefault="00622A0A" w:rsidP="00F50AFB">
      <w:pPr>
        <w:pStyle w:val="Normlndoblokusodrkami"/>
        <w:numPr>
          <w:ilvl w:val="0"/>
          <w:numId w:val="14"/>
        </w:numPr>
        <w:spacing w:after="0"/>
        <w:jc w:val="left"/>
      </w:pPr>
      <w:r w:rsidRPr="00654187">
        <w:t>Ďalšie zložky sú: sacharín, sodná soľ (E 954)</w:t>
      </w:r>
      <w:r w:rsidR="00DE4812" w:rsidRPr="00654187">
        <w:t>,</w:t>
      </w:r>
      <w:r w:rsidRPr="00654187">
        <w:t xml:space="preserve"> </w:t>
      </w:r>
      <w:r w:rsidR="00266F00" w:rsidRPr="00654187">
        <w:t>benzoan sodný</w:t>
      </w:r>
      <w:r w:rsidRPr="00654187">
        <w:t xml:space="preserve"> (E 211), sacharóza, </w:t>
      </w:r>
      <w:r w:rsidR="00266F00" w:rsidRPr="00654187">
        <w:t xml:space="preserve">roztok </w:t>
      </w:r>
      <w:r w:rsidRPr="00654187">
        <w:t>glukóz</w:t>
      </w:r>
      <w:r w:rsidR="00266F00" w:rsidRPr="00654187">
        <w:t>y</w:t>
      </w:r>
      <w:r w:rsidR="00BA41A2" w:rsidRPr="00654187">
        <w:t>,</w:t>
      </w:r>
      <w:r w:rsidRPr="00654187">
        <w:t xml:space="preserve"> disperzne sušený</w:t>
      </w:r>
      <w:r w:rsidR="00266F00" w:rsidRPr="00654187">
        <w:t>;</w:t>
      </w:r>
      <w:r w:rsidRPr="00654187">
        <w:t xml:space="preserve"> sorbitol (E 420, nekryštalizujúci roztok), glycerol, etanol bezvodý, levomentol, kyselina citrónová, karamelová príchuť (obsahuje propylénglykol, benzyalkohol), broskyňová príchuť (obsahuje propylénglykol, </w:t>
      </w:r>
      <w:r w:rsidR="00266F00" w:rsidRPr="00654187">
        <w:t>citronan sodný</w:t>
      </w:r>
      <w:r w:rsidRPr="00654187">
        <w:t>, benzyalkohol, limonén), čistená voda (pozri časť 2).</w:t>
      </w:r>
    </w:p>
    <w:p w14:paraId="41197380" w14:textId="77777777" w:rsidR="00654187" w:rsidRDefault="00654187" w:rsidP="00F50AFB">
      <w:pPr>
        <w:pStyle w:val="Styl2"/>
        <w:spacing w:before="0" w:after="0"/>
        <w:rPr>
          <w:szCs w:val="22"/>
        </w:rPr>
      </w:pPr>
    </w:p>
    <w:p w14:paraId="26D807AA" w14:textId="3B3DE020" w:rsidR="00625A4D" w:rsidRDefault="00625A4D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 xml:space="preserve">Ako vyzerá </w:t>
      </w:r>
      <w:proofErr w:type="spellStart"/>
      <w:r w:rsidR="00F42CCB" w:rsidRPr="000C1A6A">
        <w:rPr>
          <w:szCs w:val="22"/>
        </w:rPr>
        <w:t>Dinarex</w:t>
      </w:r>
      <w:proofErr w:type="spellEnd"/>
      <w:r w:rsidRPr="000C1A6A">
        <w:rPr>
          <w:szCs w:val="22"/>
        </w:rPr>
        <w:t xml:space="preserve"> a obsah balenia</w:t>
      </w:r>
    </w:p>
    <w:p w14:paraId="3DEE0A0D" w14:textId="77777777" w:rsidR="00654187" w:rsidRPr="000C1A6A" w:rsidRDefault="00654187" w:rsidP="00F50AFB">
      <w:pPr>
        <w:pStyle w:val="Styl2"/>
        <w:spacing w:before="0" w:after="0"/>
        <w:rPr>
          <w:szCs w:val="22"/>
        </w:rPr>
      </w:pPr>
    </w:p>
    <w:p w14:paraId="6EFB00E3" w14:textId="7EAD2C4C" w:rsidR="00622A0A" w:rsidRDefault="000B5DBD" w:rsidP="00F50AFB">
      <w:pPr>
        <w:pStyle w:val="Normlndobloku"/>
        <w:spacing w:after="0"/>
        <w:jc w:val="left"/>
      </w:pPr>
      <w:r w:rsidRPr="00654187">
        <w:t xml:space="preserve">Mierne </w:t>
      </w:r>
      <w:r w:rsidR="00266F00" w:rsidRPr="00654187">
        <w:t xml:space="preserve">žltkastý, </w:t>
      </w:r>
      <w:r w:rsidR="00622A0A" w:rsidRPr="00654187">
        <w:t xml:space="preserve">číry </w:t>
      </w:r>
      <w:r w:rsidRPr="00654187">
        <w:t>sirup</w:t>
      </w:r>
      <w:r w:rsidR="00622A0A" w:rsidRPr="00654187">
        <w:t xml:space="preserve"> s broskyňovou príchuťou</w:t>
      </w:r>
      <w:r w:rsidR="00266F00" w:rsidRPr="00654187">
        <w:t>.</w:t>
      </w:r>
    </w:p>
    <w:p w14:paraId="01EBB50D" w14:textId="77777777" w:rsidR="00BA4313" w:rsidRPr="00654187" w:rsidRDefault="00BA4313" w:rsidP="00F50AFB">
      <w:pPr>
        <w:pStyle w:val="Normlndobloku"/>
        <w:spacing w:after="0"/>
        <w:jc w:val="left"/>
      </w:pPr>
    </w:p>
    <w:p w14:paraId="43D584E1" w14:textId="54896B0D" w:rsidR="00622A0A" w:rsidRPr="00654187" w:rsidRDefault="00622A0A" w:rsidP="00F50AFB">
      <w:pPr>
        <w:pStyle w:val="Normlndobloku"/>
        <w:spacing w:after="0"/>
        <w:jc w:val="left"/>
      </w:pPr>
      <w:r w:rsidRPr="00654187">
        <w:t>150 ml alebo 200 ml hnedé sklenené fľaš</w:t>
      </w:r>
      <w:r w:rsidR="00266F00" w:rsidRPr="00654187">
        <w:t>e</w:t>
      </w:r>
      <w:r w:rsidRPr="00654187">
        <w:t xml:space="preserve"> typu III (Ph.Eur) s jedným z týchto uzáverov:</w:t>
      </w:r>
    </w:p>
    <w:p w14:paraId="7157849A" w14:textId="36DCACE9" w:rsidR="00622A0A" w:rsidRPr="00654187" w:rsidRDefault="00622A0A" w:rsidP="00F50AFB">
      <w:pPr>
        <w:pStyle w:val="Normlndoblokusodrkami"/>
        <w:numPr>
          <w:ilvl w:val="0"/>
          <w:numId w:val="3"/>
        </w:numPr>
        <w:tabs>
          <w:tab w:val="num" w:pos="360"/>
        </w:tabs>
        <w:spacing w:after="0"/>
        <w:ind w:left="357" w:hanging="357"/>
        <w:jc w:val="left"/>
      </w:pPr>
      <w:r w:rsidRPr="00654187">
        <w:t>Hliníkové viečko. Súčasťou balenia je plastová lyžička s diel</w:t>
      </w:r>
      <w:r w:rsidR="00266F00" w:rsidRPr="00654187">
        <w:t>mi</w:t>
      </w:r>
      <w:r w:rsidRPr="00654187">
        <w:t xml:space="preserve"> </w:t>
      </w:r>
      <w:r w:rsidR="00266F00" w:rsidRPr="00654187">
        <w:t xml:space="preserve">po </w:t>
      </w:r>
      <w:r w:rsidRPr="00654187">
        <w:t>2,5 ml a 5 ml.</w:t>
      </w:r>
    </w:p>
    <w:p w14:paraId="4586F21E" w14:textId="3192B910" w:rsidR="00622A0A" w:rsidRPr="00654187" w:rsidRDefault="00622A0A" w:rsidP="00F50AFB">
      <w:pPr>
        <w:pStyle w:val="Normlndoblokusodrkami"/>
        <w:numPr>
          <w:ilvl w:val="0"/>
          <w:numId w:val="3"/>
        </w:numPr>
        <w:tabs>
          <w:tab w:val="num" w:pos="360"/>
        </w:tabs>
        <w:spacing w:after="0"/>
        <w:ind w:left="357" w:hanging="357"/>
        <w:jc w:val="left"/>
      </w:pPr>
      <w:r w:rsidRPr="00654187">
        <w:t xml:space="preserve">Plastové </w:t>
      </w:r>
      <w:r w:rsidR="00F362EE" w:rsidRPr="00654187">
        <w:t>poistné viečko</w:t>
      </w:r>
      <w:r w:rsidRPr="00654187">
        <w:t>. Súčasťou balenia je plastová odmerka s</w:t>
      </w:r>
      <w:r w:rsidR="001B5CDC" w:rsidRPr="00654187">
        <w:t> </w:t>
      </w:r>
      <w:r w:rsidRPr="00654187">
        <w:t>diel</w:t>
      </w:r>
      <w:r w:rsidR="001B5CDC" w:rsidRPr="00654187">
        <w:t>mi po</w:t>
      </w:r>
      <w:r w:rsidRPr="00654187">
        <w:t xml:space="preserve"> 5 ml, 10 ml, 15 ml a 20 ml.</w:t>
      </w:r>
    </w:p>
    <w:p w14:paraId="65035192" w14:textId="78B53DA1" w:rsidR="00622A0A" w:rsidRDefault="00622A0A" w:rsidP="00F50AFB">
      <w:pPr>
        <w:pStyle w:val="Normlndoblokusodrkami"/>
        <w:numPr>
          <w:ilvl w:val="0"/>
          <w:numId w:val="3"/>
        </w:numPr>
        <w:tabs>
          <w:tab w:val="num" w:pos="360"/>
        </w:tabs>
        <w:spacing w:after="0"/>
        <w:ind w:left="357" w:hanging="357"/>
        <w:jc w:val="left"/>
        <w:rPr>
          <w:noProof w:val="0"/>
        </w:rPr>
      </w:pPr>
      <w:r w:rsidRPr="00654187">
        <w:t>Plastové viečko s</w:t>
      </w:r>
      <w:r w:rsidR="00F362EE" w:rsidRPr="00654187">
        <w:t> detskou</w:t>
      </w:r>
      <w:r w:rsidRPr="00654187">
        <w:t> poistkou. Súčasťou balenia je plastová odmerka s</w:t>
      </w:r>
      <w:r w:rsidR="001B5CDC" w:rsidRPr="00654187">
        <w:t> </w:t>
      </w:r>
      <w:r w:rsidRPr="00654187">
        <w:t>diel</w:t>
      </w:r>
      <w:r w:rsidR="001B5CDC" w:rsidRPr="00654187">
        <w:t>mi po</w:t>
      </w:r>
      <w:r w:rsidRPr="00654187">
        <w:t xml:space="preserve"> </w:t>
      </w:r>
      <w:r w:rsidRPr="00654187">
        <w:rPr>
          <w:noProof w:val="0"/>
        </w:rPr>
        <w:t>2 ml, 2,5 ml, 3 ml, 4 ml, 5 ml, 6 ml, 7 ml, 7,5 ml, 8 ml, 9 ml, 10 ml, 11 ml, 12 ml, 12,5 ml a 15 ml.</w:t>
      </w:r>
    </w:p>
    <w:p w14:paraId="70046D96" w14:textId="77777777" w:rsidR="00654187" w:rsidRPr="00654187" w:rsidRDefault="00654187" w:rsidP="00F50AFB">
      <w:pPr>
        <w:pStyle w:val="Normlndobloku"/>
      </w:pPr>
    </w:p>
    <w:p w14:paraId="4B5D44BA" w14:textId="77777777" w:rsidR="00622A0A" w:rsidRDefault="00622A0A" w:rsidP="00F50AFB">
      <w:pPr>
        <w:pStyle w:val="Normlndobloku"/>
        <w:spacing w:after="0"/>
        <w:jc w:val="left"/>
      </w:pPr>
      <w:r w:rsidRPr="00654187">
        <w:t>Na trh nemusia byť uvedené všetky veľkosti balenia.</w:t>
      </w:r>
    </w:p>
    <w:p w14:paraId="0E8CDC3A" w14:textId="77777777" w:rsidR="00654187" w:rsidRPr="00654187" w:rsidRDefault="00654187" w:rsidP="00F50AFB">
      <w:pPr>
        <w:pStyle w:val="Normlndobloku"/>
        <w:spacing w:after="0"/>
        <w:jc w:val="left"/>
      </w:pPr>
    </w:p>
    <w:p w14:paraId="7E18F897" w14:textId="1A979013" w:rsidR="004D3D07" w:rsidRDefault="00C64463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>Držiteľ rozhodnutia o</w:t>
      </w:r>
      <w:r w:rsidR="000E1BA3" w:rsidRPr="000C1A6A">
        <w:rPr>
          <w:szCs w:val="22"/>
        </w:rPr>
        <w:t> </w:t>
      </w:r>
      <w:r w:rsidRPr="000C1A6A">
        <w:rPr>
          <w:szCs w:val="22"/>
        </w:rPr>
        <w:t>registrácii</w:t>
      </w:r>
      <w:r w:rsidR="000E1BA3" w:rsidRPr="000C1A6A">
        <w:rPr>
          <w:szCs w:val="22"/>
        </w:rPr>
        <w:t xml:space="preserve"> a</w:t>
      </w:r>
      <w:r w:rsidR="00654187">
        <w:rPr>
          <w:szCs w:val="22"/>
        </w:rPr>
        <w:t> </w:t>
      </w:r>
      <w:r w:rsidR="000E1BA3" w:rsidRPr="000C1A6A">
        <w:rPr>
          <w:szCs w:val="22"/>
        </w:rPr>
        <w:t>výrobca</w:t>
      </w:r>
    </w:p>
    <w:p w14:paraId="74ECFDAA" w14:textId="77777777" w:rsidR="00654187" w:rsidRPr="000C1A6A" w:rsidRDefault="00654187" w:rsidP="00F50AFB">
      <w:pPr>
        <w:pStyle w:val="Styl2"/>
        <w:spacing w:before="0" w:after="0"/>
        <w:rPr>
          <w:szCs w:val="22"/>
        </w:rPr>
      </w:pPr>
    </w:p>
    <w:p w14:paraId="7873E062" w14:textId="5A235A38" w:rsidR="003F0B49" w:rsidRDefault="003F0B49" w:rsidP="00F50AFB">
      <w:pPr>
        <w:pStyle w:val="Normlndobloku"/>
        <w:spacing w:after="0"/>
        <w:jc w:val="left"/>
      </w:pPr>
      <w:r w:rsidRPr="00654187">
        <w:t xml:space="preserve">MEDOCHEMIE </w:t>
      </w:r>
      <w:proofErr w:type="spellStart"/>
      <w:r w:rsidRPr="00654187">
        <w:t>Ltd</w:t>
      </w:r>
      <w:proofErr w:type="spellEnd"/>
      <w:r w:rsidRPr="00654187">
        <w:t xml:space="preserve">., 1-10 </w:t>
      </w:r>
      <w:proofErr w:type="spellStart"/>
      <w:r w:rsidRPr="00654187">
        <w:t>Constatinoupoleos</w:t>
      </w:r>
      <w:proofErr w:type="spellEnd"/>
      <w:r w:rsidRPr="00654187">
        <w:t xml:space="preserve"> </w:t>
      </w:r>
      <w:proofErr w:type="spellStart"/>
      <w:r w:rsidRPr="00654187">
        <w:t>Street</w:t>
      </w:r>
      <w:proofErr w:type="spellEnd"/>
      <w:r w:rsidRPr="00654187">
        <w:t xml:space="preserve">, 3011 </w:t>
      </w:r>
      <w:proofErr w:type="spellStart"/>
      <w:r w:rsidRPr="00654187">
        <w:t>Limassol</w:t>
      </w:r>
      <w:proofErr w:type="spellEnd"/>
      <w:r w:rsidRPr="00654187">
        <w:t>, Cyprus</w:t>
      </w:r>
    </w:p>
    <w:p w14:paraId="30C639E0" w14:textId="6E29285E" w:rsidR="00654187" w:rsidRPr="00654187" w:rsidRDefault="00654187" w:rsidP="00F50AFB">
      <w:pPr>
        <w:pStyle w:val="Normlndobloku"/>
        <w:spacing w:after="0"/>
        <w:jc w:val="left"/>
      </w:pPr>
    </w:p>
    <w:p w14:paraId="3F2C7DFE" w14:textId="19167621" w:rsidR="00C64463" w:rsidRDefault="00C64463" w:rsidP="00F50AFB">
      <w:pPr>
        <w:pStyle w:val="Styl2-2"/>
        <w:spacing w:before="0" w:after="0"/>
        <w:jc w:val="left"/>
        <w:rPr>
          <w:szCs w:val="22"/>
        </w:rPr>
      </w:pPr>
      <w:r w:rsidRPr="000C1A6A">
        <w:rPr>
          <w:szCs w:val="22"/>
        </w:rPr>
        <w:t>Liek je schválený v členských štátoch Európskeho hospodárskeho priestoru (EHP) pod nasledovnými názvami</w:t>
      </w:r>
      <w:r w:rsidR="00BB75DA" w:rsidRPr="000C1A6A">
        <w:rPr>
          <w:szCs w:val="22"/>
        </w:rPr>
        <w:t>:</w:t>
      </w:r>
    </w:p>
    <w:p w14:paraId="3FA7017E" w14:textId="77777777" w:rsidR="00654187" w:rsidRPr="000C1A6A" w:rsidRDefault="00654187" w:rsidP="00F50AFB"/>
    <w:p w14:paraId="33880491" w14:textId="2FAB846A" w:rsidR="002E2243" w:rsidRDefault="00622A0A" w:rsidP="00F50AFB">
      <w:pPr>
        <w:pStyle w:val="Normlndobloku"/>
        <w:spacing w:after="0"/>
        <w:jc w:val="left"/>
      </w:pPr>
      <w:r w:rsidRPr="00654187">
        <w:t>Bulharsko, Česká republika</w:t>
      </w:r>
      <w:r w:rsidR="00610CD2" w:rsidRPr="00654187">
        <w:t xml:space="preserve">, Estónsko, Rumunsko, Slovenská republika: </w:t>
      </w:r>
      <w:proofErr w:type="spellStart"/>
      <w:r w:rsidR="00610CD2" w:rsidRPr="00654187">
        <w:t>Dinarex</w:t>
      </w:r>
      <w:proofErr w:type="spellEnd"/>
    </w:p>
    <w:p w14:paraId="04F124AE" w14:textId="77777777" w:rsidR="00654187" w:rsidRPr="00654187" w:rsidRDefault="00654187" w:rsidP="00F50AFB">
      <w:pPr>
        <w:pStyle w:val="Normlndobloku"/>
        <w:spacing w:after="0"/>
        <w:jc w:val="left"/>
      </w:pPr>
    </w:p>
    <w:p w14:paraId="3F756F7A" w14:textId="70727632" w:rsidR="00FF299A" w:rsidRPr="000C1A6A" w:rsidRDefault="00625A4D" w:rsidP="00F50AFB">
      <w:pPr>
        <w:pStyle w:val="Styl2"/>
        <w:spacing w:before="0" w:after="0"/>
        <w:rPr>
          <w:szCs w:val="22"/>
        </w:rPr>
      </w:pPr>
      <w:r w:rsidRPr="000C1A6A">
        <w:rPr>
          <w:szCs w:val="22"/>
        </w:rPr>
        <w:t>Táto písomná informácia bola naposledy aktualizovaná v</w:t>
      </w:r>
      <w:r w:rsidR="0016436C" w:rsidRPr="000C1A6A">
        <w:rPr>
          <w:szCs w:val="22"/>
        </w:rPr>
        <w:t> </w:t>
      </w:r>
      <w:r w:rsidR="003F0B49" w:rsidRPr="000C1A6A">
        <w:rPr>
          <w:szCs w:val="22"/>
        </w:rPr>
        <w:t>jú</w:t>
      </w:r>
      <w:r w:rsidR="00BA4313">
        <w:rPr>
          <w:szCs w:val="22"/>
        </w:rPr>
        <w:t>l</w:t>
      </w:r>
      <w:r w:rsidR="003F0B49" w:rsidRPr="000C1A6A">
        <w:rPr>
          <w:szCs w:val="22"/>
        </w:rPr>
        <w:t>i</w:t>
      </w:r>
      <w:r w:rsidR="00BA4313">
        <w:rPr>
          <w:szCs w:val="22"/>
        </w:rPr>
        <w:t xml:space="preserve"> </w:t>
      </w:r>
      <w:r w:rsidR="0016436C" w:rsidRPr="000C1A6A">
        <w:rPr>
          <w:szCs w:val="22"/>
        </w:rPr>
        <w:t>2017.</w:t>
      </w:r>
    </w:p>
    <w:sectPr w:rsidR="00FF299A" w:rsidRPr="000C1A6A" w:rsidSect="00F50AFB"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73694" w14:textId="77777777" w:rsidR="005C7B92" w:rsidRDefault="005C7B92">
      <w:r>
        <w:separator/>
      </w:r>
    </w:p>
  </w:endnote>
  <w:endnote w:type="continuationSeparator" w:id="0">
    <w:p w14:paraId="45CDF9D2" w14:textId="77777777" w:rsidR="005C7B92" w:rsidRDefault="005C7B92">
      <w:r>
        <w:continuationSeparator/>
      </w:r>
    </w:p>
  </w:endnote>
  <w:endnote w:type="continuationNotice" w:id="1">
    <w:p w14:paraId="3491B269" w14:textId="77777777" w:rsidR="005C7B92" w:rsidRDefault="005C7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7265A" w14:textId="517C910D" w:rsidR="00E82869" w:rsidRPr="00F50AFB" w:rsidRDefault="00E82869" w:rsidP="00991FFA">
    <w:pPr>
      <w:pStyle w:val="Pta"/>
      <w:jc w:val="center"/>
      <w:rPr>
        <w:sz w:val="18"/>
        <w:szCs w:val="22"/>
      </w:rPr>
    </w:pPr>
    <w:r w:rsidRPr="00F50AFB">
      <w:rPr>
        <w:sz w:val="18"/>
        <w:szCs w:val="22"/>
      </w:rPr>
      <w:fldChar w:fldCharType="begin"/>
    </w:r>
    <w:r w:rsidRPr="00F50AFB">
      <w:rPr>
        <w:sz w:val="18"/>
        <w:szCs w:val="22"/>
      </w:rPr>
      <w:instrText>PAGE</w:instrText>
    </w:r>
    <w:r w:rsidRPr="00F50AFB">
      <w:rPr>
        <w:sz w:val="18"/>
        <w:szCs w:val="22"/>
      </w:rPr>
      <w:fldChar w:fldCharType="separate"/>
    </w:r>
    <w:r w:rsidR="00F50AFB">
      <w:rPr>
        <w:noProof/>
        <w:sz w:val="18"/>
        <w:szCs w:val="22"/>
      </w:rPr>
      <w:t>4</w:t>
    </w:r>
    <w:r w:rsidRPr="00F50AFB">
      <w:rPr>
        <w:sz w:val="18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E4178" w14:textId="49CA678B" w:rsidR="00E82869" w:rsidRPr="00F50AFB" w:rsidRDefault="00E82869" w:rsidP="00991FFA">
    <w:pPr>
      <w:pStyle w:val="Pta"/>
      <w:jc w:val="center"/>
      <w:rPr>
        <w:sz w:val="18"/>
        <w:szCs w:val="22"/>
      </w:rPr>
    </w:pPr>
    <w:r w:rsidRPr="00F50AFB">
      <w:rPr>
        <w:sz w:val="18"/>
        <w:szCs w:val="22"/>
      </w:rPr>
      <w:fldChar w:fldCharType="begin"/>
    </w:r>
    <w:r w:rsidRPr="00F50AFB">
      <w:rPr>
        <w:sz w:val="18"/>
        <w:szCs w:val="22"/>
      </w:rPr>
      <w:instrText>PAGE</w:instrText>
    </w:r>
    <w:r w:rsidRPr="00F50AFB">
      <w:rPr>
        <w:sz w:val="18"/>
        <w:szCs w:val="22"/>
      </w:rPr>
      <w:fldChar w:fldCharType="separate"/>
    </w:r>
    <w:r w:rsidR="00F50AFB">
      <w:rPr>
        <w:noProof/>
        <w:sz w:val="18"/>
        <w:szCs w:val="22"/>
      </w:rPr>
      <w:t>1</w:t>
    </w:r>
    <w:r w:rsidRPr="00F50AFB">
      <w:rPr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DDB4C" w14:textId="77777777" w:rsidR="005C7B92" w:rsidRDefault="005C7B92">
      <w:r>
        <w:separator/>
      </w:r>
    </w:p>
  </w:footnote>
  <w:footnote w:type="continuationSeparator" w:id="0">
    <w:p w14:paraId="7AB8722B" w14:textId="77777777" w:rsidR="005C7B92" w:rsidRDefault="005C7B92">
      <w:r>
        <w:continuationSeparator/>
      </w:r>
    </w:p>
  </w:footnote>
  <w:footnote w:type="continuationNotice" w:id="1">
    <w:p w14:paraId="6A1A92AB" w14:textId="77777777" w:rsidR="005C7B92" w:rsidRDefault="005C7B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B8CAC" w14:textId="418BA7A9" w:rsidR="00E82869" w:rsidRPr="00FA36E7" w:rsidRDefault="00E82869" w:rsidP="0073714D">
    <w:pPr>
      <w:outlineLvl w:val="0"/>
      <w:rPr>
        <w:noProof/>
        <w:sz w:val="18"/>
        <w:szCs w:val="18"/>
        <w:lang w:eastAsia="en-GB"/>
      </w:rPr>
    </w:pPr>
    <w:r w:rsidRPr="00FA36E7">
      <w:rPr>
        <w:noProof/>
        <w:sz w:val="18"/>
        <w:szCs w:val="18"/>
        <w:lang w:eastAsia="en-GB"/>
      </w:rPr>
      <w:t>Schválený text</w:t>
    </w:r>
    <w:r w:rsidRPr="00FA36E7">
      <w:rPr>
        <w:sz w:val="18"/>
        <w:szCs w:val="18"/>
      </w:rPr>
      <w:t xml:space="preserve"> k</w:t>
    </w:r>
    <w:r w:rsidRPr="00FA36E7">
      <w:rPr>
        <w:noProof/>
        <w:sz w:val="18"/>
        <w:szCs w:val="18"/>
        <w:lang w:eastAsia="en-GB"/>
      </w:rPr>
      <w:t> r</w:t>
    </w:r>
    <w:r w:rsidRPr="00FA36E7">
      <w:rPr>
        <w:sz w:val="18"/>
        <w:szCs w:val="18"/>
      </w:rPr>
      <w:t>ozhodnutiu o </w:t>
    </w:r>
    <w:r w:rsidR="003F0B49" w:rsidRPr="00FA36E7">
      <w:rPr>
        <w:noProof/>
        <w:sz w:val="18"/>
        <w:szCs w:val="18"/>
        <w:lang w:eastAsia="en-GB"/>
      </w:rPr>
      <w:t>prevode</w:t>
    </w:r>
    <w:r w:rsidRPr="00FA36E7">
      <w:rPr>
        <w:sz w:val="18"/>
        <w:szCs w:val="18"/>
      </w:rPr>
      <w:t>, ev. č.:</w:t>
    </w:r>
    <w:r w:rsidRPr="00F50AFB">
      <w:rPr>
        <w:sz w:val="18"/>
        <w:szCs w:val="18"/>
      </w:rPr>
      <w:t xml:space="preserve"> </w:t>
    </w:r>
    <w:r w:rsidR="00FA36E7" w:rsidRPr="00FA36E7">
      <w:rPr>
        <w:sz w:val="18"/>
        <w:szCs w:val="18"/>
      </w:rPr>
      <w:t>2017/03004-TR</w:t>
    </w:r>
  </w:p>
  <w:p w14:paraId="5940518A" w14:textId="77777777" w:rsidR="00E82869" w:rsidRPr="00FA36E7" w:rsidRDefault="00E82869" w:rsidP="00D52AC5">
    <w:pPr>
      <w:outlineLvl w:val="0"/>
      <w:rPr>
        <w:noProof/>
        <w:sz w:val="18"/>
        <w:szCs w:val="18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4C7DB5"/>
    <w:multiLevelType w:val="hybridMultilevel"/>
    <w:tmpl w:val="9A6CC522"/>
    <w:lvl w:ilvl="0" w:tplc="468E3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6679"/>
    <w:multiLevelType w:val="singleLevel"/>
    <w:tmpl w:val="DE4EF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EBA460D"/>
    <w:multiLevelType w:val="hybridMultilevel"/>
    <w:tmpl w:val="61904DD0"/>
    <w:lvl w:ilvl="0" w:tplc="4E9ADB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9C76E9"/>
    <w:multiLevelType w:val="hybridMultilevel"/>
    <w:tmpl w:val="36EEC15A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61D737A4"/>
    <w:multiLevelType w:val="hybridMultilevel"/>
    <w:tmpl w:val="2CAC2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851AE"/>
    <w:multiLevelType w:val="hybridMultilevel"/>
    <w:tmpl w:val="7A941DCC"/>
    <w:lvl w:ilvl="0" w:tplc="7AE2A6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763D4FC1"/>
    <w:multiLevelType w:val="hybridMultilevel"/>
    <w:tmpl w:val="B1DE2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11277"/>
    <w:multiLevelType w:val="multilevel"/>
    <w:tmpl w:val="AA0E75B2"/>
    <w:lvl w:ilvl="0">
      <w:start w:val="1"/>
      <w:numFmt w:val="bullet"/>
      <w:pStyle w:val="EMEA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"/>
  </w:num>
  <w:num w:numId="13">
    <w:abstractNumId w:val="4"/>
  </w:num>
  <w:num w:numId="14">
    <w:abstractNumId w:val="9"/>
  </w:num>
  <w:num w:numId="15">
    <w:abstractNumId w:val="5"/>
  </w:num>
  <w:num w:numId="16">
    <w:abstractNumId w:val="2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3"/>
    <w:rsid w:val="00007B94"/>
    <w:rsid w:val="00011424"/>
    <w:rsid w:val="00013EEA"/>
    <w:rsid w:val="00014B99"/>
    <w:rsid w:val="00041A41"/>
    <w:rsid w:val="00042F95"/>
    <w:rsid w:val="00043146"/>
    <w:rsid w:val="0007008F"/>
    <w:rsid w:val="00076F36"/>
    <w:rsid w:val="00096EE6"/>
    <w:rsid w:val="000B5DBD"/>
    <w:rsid w:val="000C1A6A"/>
    <w:rsid w:val="000C5B34"/>
    <w:rsid w:val="000E1BA3"/>
    <w:rsid w:val="000F3A5C"/>
    <w:rsid w:val="000F766B"/>
    <w:rsid w:val="000F7F17"/>
    <w:rsid w:val="00117102"/>
    <w:rsid w:val="00135048"/>
    <w:rsid w:val="001460D0"/>
    <w:rsid w:val="00162B04"/>
    <w:rsid w:val="0016436C"/>
    <w:rsid w:val="001709E3"/>
    <w:rsid w:val="0018507C"/>
    <w:rsid w:val="00190E2D"/>
    <w:rsid w:val="00192DC4"/>
    <w:rsid w:val="001B5CDC"/>
    <w:rsid w:val="001C38D9"/>
    <w:rsid w:val="001D1276"/>
    <w:rsid w:val="001F29FB"/>
    <w:rsid w:val="002046A8"/>
    <w:rsid w:val="00215594"/>
    <w:rsid w:val="00220B2D"/>
    <w:rsid w:val="0022263C"/>
    <w:rsid w:val="00227D4B"/>
    <w:rsid w:val="002340CE"/>
    <w:rsid w:val="0024144C"/>
    <w:rsid w:val="00241A54"/>
    <w:rsid w:val="002426EB"/>
    <w:rsid w:val="002547D4"/>
    <w:rsid w:val="002566F5"/>
    <w:rsid w:val="00256999"/>
    <w:rsid w:val="00266F00"/>
    <w:rsid w:val="00272495"/>
    <w:rsid w:val="00287B18"/>
    <w:rsid w:val="00293F53"/>
    <w:rsid w:val="002A007E"/>
    <w:rsid w:val="002B0C26"/>
    <w:rsid w:val="002B1627"/>
    <w:rsid w:val="002C3C7C"/>
    <w:rsid w:val="002E2243"/>
    <w:rsid w:val="002E260D"/>
    <w:rsid w:val="002E42DD"/>
    <w:rsid w:val="002F59AC"/>
    <w:rsid w:val="00303481"/>
    <w:rsid w:val="003223DF"/>
    <w:rsid w:val="003354DC"/>
    <w:rsid w:val="00342111"/>
    <w:rsid w:val="00344C79"/>
    <w:rsid w:val="00350C8C"/>
    <w:rsid w:val="0035389A"/>
    <w:rsid w:val="003606AA"/>
    <w:rsid w:val="003732F4"/>
    <w:rsid w:val="00387125"/>
    <w:rsid w:val="003920CF"/>
    <w:rsid w:val="003B2FEC"/>
    <w:rsid w:val="003D2D58"/>
    <w:rsid w:val="003D478F"/>
    <w:rsid w:val="003E10BF"/>
    <w:rsid w:val="003E6BEE"/>
    <w:rsid w:val="003F0B49"/>
    <w:rsid w:val="00407A39"/>
    <w:rsid w:val="00417083"/>
    <w:rsid w:val="0043493B"/>
    <w:rsid w:val="00436F9C"/>
    <w:rsid w:val="0044097B"/>
    <w:rsid w:val="004449C5"/>
    <w:rsid w:val="00452158"/>
    <w:rsid w:val="00454162"/>
    <w:rsid w:val="004567F8"/>
    <w:rsid w:val="0046151C"/>
    <w:rsid w:val="0048141D"/>
    <w:rsid w:val="00494C9B"/>
    <w:rsid w:val="00496240"/>
    <w:rsid w:val="004A5E49"/>
    <w:rsid w:val="004C4D29"/>
    <w:rsid w:val="004D1D3B"/>
    <w:rsid w:val="004D2104"/>
    <w:rsid w:val="004D3D07"/>
    <w:rsid w:val="004E7AE7"/>
    <w:rsid w:val="00503E66"/>
    <w:rsid w:val="00511F2D"/>
    <w:rsid w:val="00517B66"/>
    <w:rsid w:val="0052017D"/>
    <w:rsid w:val="00526015"/>
    <w:rsid w:val="005264C5"/>
    <w:rsid w:val="00526E45"/>
    <w:rsid w:val="0053570C"/>
    <w:rsid w:val="00541E8A"/>
    <w:rsid w:val="00552AAB"/>
    <w:rsid w:val="005540A5"/>
    <w:rsid w:val="0056673E"/>
    <w:rsid w:val="0056728C"/>
    <w:rsid w:val="005857D1"/>
    <w:rsid w:val="00585F29"/>
    <w:rsid w:val="0059221C"/>
    <w:rsid w:val="005A3625"/>
    <w:rsid w:val="005C0EFB"/>
    <w:rsid w:val="005C18A6"/>
    <w:rsid w:val="005C7B92"/>
    <w:rsid w:val="005E16A2"/>
    <w:rsid w:val="005F2F1E"/>
    <w:rsid w:val="005F398D"/>
    <w:rsid w:val="005F50B7"/>
    <w:rsid w:val="00600EED"/>
    <w:rsid w:val="00610CD2"/>
    <w:rsid w:val="00614559"/>
    <w:rsid w:val="0061553C"/>
    <w:rsid w:val="00622A0A"/>
    <w:rsid w:val="00625A4D"/>
    <w:rsid w:val="0063086A"/>
    <w:rsid w:val="00634F7C"/>
    <w:rsid w:val="00637F45"/>
    <w:rsid w:val="006416F1"/>
    <w:rsid w:val="00641DDA"/>
    <w:rsid w:val="006442DF"/>
    <w:rsid w:val="00652C62"/>
    <w:rsid w:val="00654187"/>
    <w:rsid w:val="00656A0E"/>
    <w:rsid w:val="00666163"/>
    <w:rsid w:val="00667F7F"/>
    <w:rsid w:val="00672E82"/>
    <w:rsid w:val="00676DE1"/>
    <w:rsid w:val="006A4E1C"/>
    <w:rsid w:val="006C7025"/>
    <w:rsid w:val="006D7F1C"/>
    <w:rsid w:val="006E7014"/>
    <w:rsid w:val="006F1380"/>
    <w:rsid w:val="006F42C3"/>
    <w:rsid w:val="00701590"/>
    <w:rsid w:val="0070271F"/>
    <w:rsid w:val="007123ED"/>
    <w:rsid w:val="00725BA5"/>
    <w:rsid w:val="0073714D"/>
    <w:rsid w:val="0074635D"/>
    <w:rsid w:val="007538DB"/>
    <w:rsid w:val="00757084"/>
    <w:rsid w:val="00763502"/>
    <w:rsid w:val="00764E0E"/>
    <w:rsid w:val="00765928"/>
    <w:rsid w:val="00770291"/>
    <w:rsid w:val="007933AC"/>
    <w:rsid w:val="00794BD7"/>
    <w:rsid w:val="00796692"/>
    <w:rsid w:val="007A0ADF"/>
    <w:rsid w:val="007A4DBB"/>
    <w:rsid w:val="007B77C4"/>
    <w:rsid w:val="007E34D0"/>
    <w:rsid w:val="007E3FBC"/>
    <w:rsid w:val="008043B3"/>
    <w:rsid w:val="00806C52"/>
    <w:rsid w:val="0081266F"/>
    <w:rsid w:val="00821234"/>
    <w:rsid w:val="008403A6"/>
    <w:rsid w:val="00856CE3"/>
    <w:rsid w:val="00871255"/>
    <w:rsid w:val="00884305"/>
    <w:rsid w:val="00884588"/>
    <w:rsid w:val="00893671"/>
    <w:rsid w:val="008A1188"/>
    <w:rsid w:val="008D173B"/>
    <w:rsid w:val="008D17F9"/>
    <w:rsid w:val="008E7F82"/>
    <w:rsid w:val="00901AF7"/>
    <w:rsid w:val="00907C5E"/>
    <w:rsid w:val="00911598"/>
    <w:rsid w:val="009414DE"/>
    <w:rsid w:val="009533C8"/>
    <w:rsid w:val="009560B1"/>
    <w:rsid w:val="00961B84"/>
    <w:rsid w:val="00961E73"/>
    <w:rsid w:val="0096754B"/>
    <w:rsid w:val="00991FFA"/>
    <w:rsid w:val="00995D88"/>
    <w:rsid w:val="009A35AB"/>
    <w:rsid w:val="009C1D88"/>
    <w:rsid w:val="009D71B0"/>
    <w:rsid w:val="009F191F"/>
    <w:rsid w:val="00A146F6"/>
    <w:rsid w:val="00A17839"/>
    <w:rsid w:val="00A41A27"/>
    <w:rsid w:val="00A45071"/>
    <w:rsid w:val="00A47F33"/>
    <w:rsid w:val="00A553AF"/>
    <w:rsid w:val="00A57E75"/>
    <w:rsid w:val="00A61503"/>
    <w:rsid w:val="00A64045"/>
    <w:rsid w:val="00A92E6F"/>
    <w:rsid w:val="00A96B46"/>
    <w:rsid w:val="00AA575E"/>
    <w:rsid w:val="00AA669A"/>
    <w:rsid w:val="00AA6E0E"/>
    <w:rsid w:val="00AB260F"/>
    <w:rsid w:val="00AD5506"/>
    <w:rsid w:val="00AE3551"/>
    <w:rsid w:val="00AF290C"/>
    <w:rsid w:val="00AF4424"/>
    <w:rsid w:val="00B13C19"/>
    <w:rsid w:val="00B34C34"/>
    <w:rsid w:val="00B35C22"/>
    <w:rsid w:val="00B5245F"/>
    <w:rsid w:val="00B52B73"/>
    <w:rsid w:val="00B56609"/>
    <w:rsid w:val="00B614D6"/>
    <w:rsid w:val="00B71097"/>
    <w:rsid w:val="00B84113"/>
    <w:rsid w:val="00B84AA9"/>
    <w:rsid w:val="00B872C5"/>
    <w:rsid w:val="00B93D25"/>
    <w:rsid w:val="00BA41A2"/>
    <w:rsid w:val="00BA4313"/>
    <w:rsid w:val="00BB1535"/>
    <w:rsid w:val="00BB75DA"/>
    <w:rsid w:val="00BC7BE6"/>
    <w:rsid w:val="00BD2D62"/>
    <w:rsid w:val="00BD4E61"/>
    <w:rsid w:val="00BE4C57"/>
    <w:rsid w:val="00BE5409"/>
    <w:rsid w:val="00BE546D"/>
    <w:rsid w:val="00BF2AA0"/>
    <w:rsid w:val="00C02A26"/>
    <w:rsid w:val="00C20E6B"/>
    <w:rsid w:val="00C23A49"/>
    <w:rsid w:val="00C44E1E"/>
    <w:rsid w:val="00C45AE1"/>
    <w:rsid w:val="00C46F55"/>
    <w:rsid w:val="00C51BAF"/>
    <w:rsid w:val="00C53D1D"/>
    <w:rsid w:val="00C64463"/>
    <w:rsid w:val="00C825CD"/>
    <w:rsid w:val="00CB0514"/>
    <w:rsid w:val="00CC7823"/>
    <w:rsid w:val="00CD348C"/>
    <w:rsid w:val="00CD3691"/>
    <w:rsid w:val="00CE1975"/>
    <w:rsid w:val="00CE731B"/>
    <w:rsid w:val="00D030C8"/>
    <w:rsid w:val="00D03F59"/>
    <w:rsid w:val="00D108D9"/>
    <w:rsid w:val="00D12A83"/>
    <w:rsid w:val="00D24A1E"/>
    <w:rsid w:val="00D42EB6"/>
    <w:rsid w:val="00D46143"/>
    <w:rsid w:val="00D529E3"/>
    <w:rsid w:val="00D52AC5"/>
    <w:rsid w:val="00D57FB9"/>
    <w:rsid w:val="00D6362D"/>
    <w:rsid w:val="00D63CA4"/>
    <w:rsid w:val="00D705D6"/>
    <w:rsid w:val="00D82CB6"/>
    <w:rsid w:val="00D97FCF"/>
    <w:rsid w:val="00DA650B"/>
    <w:rsid w:val="00DB72EA"/>
    <w:rsid w:val="00DC1096"/>
    <w:rsid w:val="00DE4812"/>
    <w:rsid w:val="00DF62B7"/>
    <w:rsid w:val="00DF7023"/>
    <w:rsid w:val="00E048A4"/>
    <w:rsid w:val="00E21DC6"/>
    <w:rsid w:val="00E25CED"/>
    <w:rsid w:val="00E31311"/>
    <w:rsid w:val="00E65499"/>
    <w:rsid w:val="00E82869"/>
    <w:rsid w:val="00E9261F"/>
    <w:rsid w:val="00E94585"/>
    <w:rsid w:val="00E961B0"/>
    <w:rsid w:val="00EA670B"/>
    <w:rsid w:val="00EB3E8D"/>
    <w:rsid w:val="00EB4E24"/>
    <w:rsid w:val="00EC0113"/>
    <w:rsid w:val="00ED0231"/>
    <w:rsid w:val="00ED0CAA"/>
    <w:rsid w:val="00EE2E51"/>
    <w:rsid w:val="00EF1B6A"/>
    <w:rsid w:val="00F03744"/>
    <w:rsid w:val="00F07163"/>
    <w:rsid w:val="00F17A61"/>
    <w:rsid w:val="00F31045"/>
    <w:rsid w:val="00F362EE"/>
    <w:rsid w:val="00F42CCB"/>
    <w:rsid w:val="00F50AFB"/>
    <w:rsid w:val="00F50B27"/>
    <w:rsid w:val="00F553FF"/>
    <w:rsid w:val="00F7048A"/>
    <w:rsid w:val="00F73D2C"/>
    <w:rsid w:val="00F87D5D"/>
    <w:rsid w:val="00F9173B"/>
    <w:rsid w:val="00F945D2"/>
    <w:rsid w:val="00FA0447"/>
    <w:rsid w:val="00FA36E7"/>
    <w:rsid w:val="00FA4025"/>
    <w:rsid w:val="00FB28C3"/>
    <w:rsid w:val="00FB7B57"/>
    <w:rsid w:val="00FD3627"/>
    <w:rsid w:val="00FE0F27"/>
    <w:rsid w:val="00FE1E97"/>
    <w:rsid w:val="00FF1CC8"/>
    <w:rsid w:val="00FF299A"/>
    <w:rsid w:val="00FF6CD7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67DED"/>
  <w15:docId w15:val="{3C15D0A1-3385-44A4-A590-4600F520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6B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4C4D29"/>
    <w:pPr>
      <w:keepNext/>
      <w:numPr>
        <w:numId w:val="2"/>
      </w:numPr>
      <w:spacing w:before="360" w:after="120"/>
    </w:pPr>
    <w:rPr>
      <w:b/>
      <w:bCs/>
      <w:caps/>
      <w:sz w:val="22"/>
    </w:rPr>
  </w:style>
  <w:style w:type="paragraph" w:customStyle="1" w:styleId="Styl2">
    <w:name w:val="Styl2"/>
    <w:basedOn w:val="Normlny"/>
    <w:autoRedefine/>
    <w:rsid w:val="00672E82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2E2243"/>
    <w:pPr>
      <w:jc w:val="both"/>
    </w:pPr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041A41"/>
    <w:pPr>
      <w:suppressAutoHyphens/>
      <w:spacing w:after="120"/>
      <w:jc w:val="both"/>
    </w:pPr>
    <w:rPr>
      <w:rFonts w:eastAsia="SimSun"/>
      <w:bCs/>
      <w:sz w:val="22"/>
      <w:szCs w:val="22"/>
    </w:rPr>
  </w:style>
  <w:style w:type="character" w:customStyle="1" w:styleId="NormlndoblokuChar">
    <w:name w:val="Normální do bloku Char"/>
    <w:link w:val="Normlndobloku"/>
    <w:rsid w:val="00041A41"/>
    <w:rPr>
      <w:rFonts w:ascii="Times New Roman" w:eastAsia="SimSun" w:hAnsi="Times New Roman" w:cs="Times New Roman"/>
      <w:bCs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7A4DBB"/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4C4D29"/>
    <w:rPr>
      <w:rFonts w:ascii="Times New Roman" w:eastAsia="Times New Roman" w:hAnsi="Times New Roman" w:cs="Times New Roman"/>
      <w:b/>
      <w:bCs/>
      <w:cap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7A4DBB"/>
    <w:rPr>
      <w:rFonts w:ascii="Times New Roman" w:eastAsia="SimSun" w:hAnsi="Times New Roman" w:cs="Times New Roman"/>
      <w:bCs/>
      <w:noProof/>
      <w:lang w:val="sk-SK" w:eastAsia="sk-SK"/>
    </w:rPr>
  </w:style>
  <w:style w:type="paragraph" w:styleId="Pta">
    <w:name w:val="footer"/>
    <w:basedOn w:val="Normlny"/>
    <w:link w:val="PtaChar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Revzia">
    <w:name w:val="Revision"/>
    <w:hidden/>
    <w:uiPriority w:val="99"/>
    <w:semiHidden/>
    <w:rsid w:val="005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6B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 w:eastAsia="sk-SK"/>
    </w:rPr>
  </w:style>
  <w:style w:type="paragraph" w:styleId="Odsekzoznamu">
    <w:name w:val="List Paragraph"/>
    <w:basedOn w:val="Normlny"/>
    <w:uiPriority w:val="34"/>
    <w:qFormat/>
    <w:rsid w:val="00AA669A"/>
    <w:pPr>
      <w:ind w:left="720"/>
      <w:contextualSpacing/>
    </w:pPr>
  </w:style>
  <w:style w:type="character" w:customStyle="1" w:styleId="DeltaViewDeletion">
    <w:name w:val="DeltaView Deletion"/>
    <w:rsid w:val="008A1188"/>
    <w:rPr>
      <w:strike/>
      <w:color w:val="FF0000"/>
      <w:spacing w:val="0"/>
    </w:rPr>
  </w:style>
  <w:style w:type="character" w:customStyle="1" w:styleId="DeltaViewMoveSource">
    <w:name w:val="DeltaView Move Source"/>
    <w:rsid w:val="008A1188"/>
    <w:rPr>
      <w:strike/>
      <w:color w:val="00C000"/>
      <w:spacing w:val="0"/>
    </w:rPr>
  </w:style>
  <w:style w:type="table" w:styleId="Mriekatabuky">
    <w:name w:val="Table Grid"/>
    <w:basedOn w:val="Normlnatabuka"/>
    <w:uiPriority w:val="59"/>
    <w:rsid w:val="009C1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82869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42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1444</Words>
  <Characters>8236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Kytková, Adriana</cp:lastModifiedBy>
  <cp:revision>3</cp:revision>
  <cp:lastPrinted>2017-06-05T11:33:00Z</cp:lastPrinted>
  <dcterms:created xsi:type="dcterms:W3CDTF">2017-07-04T08:16:00Z</dcterms:created>
  <dcterms:modified xsi:type="dcterms:W3CDTF">2017-07-04T08:16:00Z</dcterms:modified>
</cp:coreProperties>
</file>