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FE" w:rsidRPr="00E42905" w:rsidRDefault="00DE4BFE" w:rsidP="002B49B1">
      <w:pPr>
        <w:jc w:val="center"/>
        <w:outlineLvl w:val="0"/>
        <w:rPr>
          <w:noProof/>
          <w:szCs w:val="22"/>
        </w:rPr>
      </w:pPr>
      <w:bookmarkStart w:id="0" w:name="_GoBack"/>
      <w:bookmarkEnd w:id="0"/>
    </w:p>
    <w:p w:rsidR="00DE4BFE" w:rsidRPr="00E42905" w:rsidRDefault="00DE4BFE" w:rsidP="002B49B1">
      <w:pPr>
        <w:jc w:val="center"/>
        <w:outlineLvl w:val="0"/>
        <w:rPr>
          <w:noProof/>
          <w:szCs w:val="22"/>
        </w:rPr>
      </w:pPr>
    </w:p>
    <w:p w:rsidR="00780926" w:rsidRPr="0028779D" w:rsidRDefault="006A0574" w:rsidP="002B49B1">
      <w:pPr>
        <w:jc w:val="center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Písomná informácia pre používateľ</w:t>
      </w:r>
      <w:r w:rsidR="002B49B1" w:rsidRPr="0028779D">
        <w:rPr>
          <w:b/>
          <w:noProof/>
          <w:szCs w:val="22"/>
        </w:rPr>
        <w:t>a</w:t>
      </w:r>
    </w:p>
    <w:p w:rsidR="00780926" w:rsidRPr="0028779D" w:rsidRDefault="00780926" w:rsidP="002B49B1">
      <w:pPr>
        <w:jc w:val="center"/>
        <w:rPr>
          <w:noProof/>
          <w:szCs w:val="22"/>
        </w:rPr>
      </w:pPr>
    </w:p>
    <w:p w:rsidR="002B49B1" w:rsidRPr="0028779D" w:rsidRDefault="002B49B1" w:rsidP="002B49B1">
      <w:pPr>
        <w:jc w:val="center"/>
        <w:rPr>
          <w:b/>
          <w:noProof/>
          <w:szCs w:val="22"/>
        </w:rPr>
      </w:pPr>
      <w:r w:rsidRPr="0028779D">
        <w:rPr>
          <w:b/>
          <w:noProof/>
          <w:szCs w:val="22"/>
        </w:rPr>
        <w:t>Ranitidine Accord 150</w:t>
      </w:r>
      <w:r w:rsidR="00DA1347" w:rsidRPr="0028779D">
        <w:rPr>
          <w:b/>
          <w:noProof/>
          <w:szCs w:val="22"/>
        </w:rPr>
        <w:t xml:space="preserve"> </w:t>
      </w:r>
      <w:r w:rsidRPr="0028779D">
        <w:rPr>
          <w:b/>
          <w:noProof/>
          <w:szCs w:val="22"/>
        </w:rPr>
        <w:t>mg filmom obalené tablety</w:t>
      </w:r>
    </w:p>
    <w:p w:rsidR="002B49B1" w:rsidRPr="0028779D" w:rsidRDefault="002B49B1" w:rsidP="002B49B1">
      <w:pPr>
        <w:jc w:val="center"/>
        <w:rPr>
          <w:b/>
          <w:noProof/>
          <w:szCs w:val="22"/>
        </w:rPr>
      </w:pPr>
      <w:r w:rsidRPr="0028779D">
        <w:rPr>
          <w:b/>
          <w:noProof/>
          <w:szCs w:val="22"/>
        </w:rPr>
        <w:t>Ranitidine Accord 300 mg filmom obalené tablety</w:t>
      </w:r>
    </w:p>
    <w:p w:rsidR="002B49B1" w:rsidRPr="0028779D" w:rsidRDefault="002B49B1" w:rsidP="002B49B1">
      <w:pPr>
        <w:rPr>
          <w:noProof/>
          <w:szCs w:val="22"/>
        </w:rPr>
      </w:pPr>
    </w:p>
    <w:p w:rsidR="00780926" w:rsidRPr="0028779D" w:rsidRDefault="00526741" w:rsidP="002B49B1">
      <w:pPr>
        <w:numPr>
          <w:ilvl w:val="12"/>
          <w:numId w:val="0"/>
        </w:numPr>
        <w:jc w:val="center"/>
        <w:rPr>
          <w:noProof/>
          <w:szCs w:val="22"/>
        </w:rPr>
      </w:pPr>
      <w:r w:rsidRPr="0028779D">
        <w:rPr>
          <w:noProof/>
          <w:szCs w:val="22"/>
        </w:rPr>
        <w:t>ranitidín</w:t>
      </w:r>
    </w:p>
    <w:p w:rsidR="00780926" w:rsidRPr="0028779D" w:rsidRDefault="00780926" w:rsidP="00E757C6">
      <w:pPr>
        <w:rPr>
          <w:noProof/>
          <w:szCs w:val="22"/>
        </w:rPr>
      </w:pPr>
    </w:p>
    <w:p w:rsidR="00780926" w:rsidRPr="0028779D" w:rsidRDefault="00780926" w:rsidP="002F6A6A">
      <w:pPr>
        <w:ind w:left="0" w:right="-2" w:firstLine="0"/>
        <w:rPr>
          <w:noProof/>
          <w:szCs w:val="22"/>
        </w:rPr>
      </w:pPr>
      <w:r w:rsidRPr="0028779D">
        <w:rPr>
          <w:b/>
          <w:noProof/>
          <w:szCs w:val="22"/>
        </w:rPr>
        <w:t xml:space="preserve">Pozorne si prečítajte celú písomnú informáciu </w:t>
      </w:r>
      <w:r w:rsidR="00B04CE0" w:rsidRPr="0028779D">
        <w:rPr>
          <w:b/>
          <w:noProof/>
          <w:szCs w:val="22"/>
        </w:rPr>
        <w:t xml:space="preserve">predtým, </w:t>
      </w:r>
      <w:r w:rsidR="00EA405A" w:rsidRPr="0028779D">
        <w:rPr>
          <w:b/>
          <w:noProof/>
          <w:szCs w:val="22"/>
        </w:rPr>
        <w:t>ako</w:t>
      </w:r>
      <w:r w:rsidRPr="0028779D">
        <w:rPr>
          <w:b/>
          <w:noProof/>
          <w:szCs w:val="22"/>
        </w:rPr>
        <w:t xml:space="preserve"> začnete užívať</w:t>
      </w:r>
      <w:r w:rsidRPr="0028779D">
        <w:rPr>
          <w:noProof/>
          <w:szCs w:val="22"/>
        </w:rPr>
        <w:t xml:space="preserve"> </w:t>
      </w:r>
      <w:r w:rsidR="00B04CE0" w:rsidRPr="0028779D">
        <w:rPr>
          <w:b/>
          <w:noProof/>
          <w:szCs w:val="22"/>
        </w:rPr>
        <w:t xml:space="preserve">tento </w:t>
      </w:r>
      <w:r w:rsidRPr="0028779D">
        <w:rPr>
          <w:b/>
          <w:noProof/>
          <w:szCs w:val="22"/>
        </w:rPr>
        <w:t>liek</w:t>
      </w:r>
      <w:r w:rsidR="00B04CE0" w:rsidRPr="0028779D">
        <w:rPr>
          <w:b/>
          <w:noProof/>
          <w:szCs w:val="22"/>
        </w:rPr>
        <w:t>, pretože obsahuje pre vás dôležité informácie</w:t>
      </w:r>
      <w:r w:rsidRPr="0028779D">
        <w:rPr>
          <w:b/>
          <w:noProof/>
          <w:szCs w:val="22"/>
        </w:rPr>
        <w:t>.</w:t>
      </w:r>
    </w:p>
    <w:p w:rsidR="00780926" w:rsidRPr="0028779D" w:rsidRDefault="00780926" w:rsidP="00E757C6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8779D">
        <w:rPr>
          <w:noProof/>
          <w:szCs w:val="22"/>
        </w:rPr>
        <w:t>Túto písomnú informáciu si uschovajte. Možno bude potrebné, aby ste si ju znovu prečítali.</w:t>
      </w:r>
    </w:p>
    <w:p w:rsidR="00780926" w:rsidRPr="0028779D" w:rsidRDefault="00780926" w:rsidP="00E757C6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28779D">
        <w:rPr>
          <w:noProof/>
          <w:szCs w:val="22"/>
        </w:rPr>
        <w:t>Ak máte akékoľvek ďalšie otázky, obráťte sa na svojho lekára</w:t>
      </w:r>
      <w:r w:rsidR="009E5E5F">
        <w:rPr>
          <w:noProof/>
          <w:szCs w:val="22"/>
        </w:rPr>
        <w:t>,</w:t>
      </w:r>
      <w:r w:rsidR="002B49B1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lekárnika</w:t>
      </w:r>
      <w:r w:rsidR="009E5E5F">
        <w:rPr>
          <w:noProof/>
          <w:szCs w:val="22"/>
        </w:rPr>
        <w:t xml:space="preserve"> alebo z</w:t>
      </w:r>
      <w:r w:rsidR="009E5E5F">
        <w:rPr>
          <w:noProof/>
          <w:szCs w:val="22"/>
          <w:lang w:val="cs-CZ"/>
        </w:rPr>
        <w:t>dravotnú sestru</w:t>
      </w:r>
      <w:r w:rsidRPr="0028779D">
        <w:rPr>
          <w:noProof/>
          <w:szCs w:val="22"/>
        </w:rPr>
        <w:t>.</w:t>
      </w:r>
    </w:p>
    <w:p w:rsidR="00780926" w:rsidRPr="0028779D" w:rsidRDefault="00780926" w:rsidP="00E757C6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28779D">
        <w:rPr>
          <w:noProof/>
          <w:szCs w:val="22"/>
        </w:rPr>
        <w:t xml:space="preserve">Tento liek bol predpísaný </w:t>
      </w:r>
      <w:r w:rsidR="006B1053" w:rsidRPr="0028779D">
        <w:rPr>
          <w:noProof/>
          <w:szCs w:val="22"/>
        </w:rPr>
        <w:t>iba vám</w:t>
      </w:r>
      <w:r w:rsidRPr="0028779D">
        <w:rPr>
          <w:noProof/>
          <w:szCs w:val="22"/>
        </w:rPr>
        <w:t>. Nedávajte ho nikomu inému. Môže mu uškodiť, dokonca aj vtedy, ak má rovnaké pr</w:t>
      </w:r>
      <w:r w:rsidR="0099384F">
        <w:rPr>
          <w:noProof/>
          <w:szCs w:val="22"/>
        </w:rPr>
        <w:t>ejav</w:t>
      </w:r>
      <w:r w:rsidRPr="0028779D">
        <w:rPr>
          <w:noProof/>
          <w:szCs w:val="22"/>
        </w:rPr>
        <w:t xml:space="preserve">y </w:t>
      </w:r>
      <w:r w:rsidR="006B1053" w:rsidRPr="0028779D">
        <w:rPr>
          <w:noProof/>
          <w:szCs w:val="22"/>
        </w:rPr>
        <w:t xml:space="preserve">ochorenia </w:t>
      </w:r>
      <w:r w:rsidRPr="0028779D">
        <w:rPr>
          <w:noProof/>
          <w:szCs w:val="22"/>
        </w:rPr>
        <w:t xml:space="preserve">ako </w:t>
      </w:r>
      <w:r w:rsidR="006B1053" w:rsidRPr="0028779D">
        <w:rPr>
          <w:noProof/>
          <w:szCs w:val="22"/>
        </w:rPr>
        <w:t>vy</w:t>
      </w:r>
      <w:r w:rsidR="0080607E" w:rsidRPr="0028779D">
        <w:rPr>
          <w:noProof/>
          <w:szCs w:val="22"/>
        </w:rPr>
        <w:t>.</w:t>
      </w:r>
    </w:p>
    <w:p w:rsidR="00780926" w:rsidRPr="0028779D" w:rsidRDefault="00780926" w:rsidP="00E757C6">
      <w:pPr>
        <w:rPr>
          <w:noProof/>
          <w:szCs w:val="22"/>
        </w:rPr>
      </w:pPr>
      <w:r w:rsidRPr="0028779D">
        <w:rPr>
          <w:noProof/>
          <w:szCs w:val="22"/>
        </w:rPr>
        <w:t>-</w:t>
      </w:r>
      <w:r w:rsidRPr="0028779D">
        <w:rPr>
          <w:noProof/>
          <w:szCs w:val="22"/>
        </w:rPr>
        <w:tab/>
        <w:t xml:space="preserve">Ak </w:t>
      </w:r>
      <w:r w:rsidR="006B1053" w:rsidRPr="0028779D">
        <w:rPr>
          <w:noProof/>
          <w:szCs w:val="22"/>
        </w:rPr>
        <w:t>sa u vás vyskytne</w:t>
      </w:r>
      <w:r w:rsidRPr="0028779D">
        <w:rPr>
          <w:noProof/>
          <w:szCs w:val="22"/>
        </w:rPr>
        <w:t xml:space="preserve"> akýkoľvek vedľajší</w:t>
      </w:r>
      <w:r w:rsidR="00077CF6" w:rsidRPr="0028779D">
        <w:rPr>
          <w:noProof/>
          <w:szCs w:val="22"/>
        </w:rPr>
        <w:t xml:space="preserve"> účinok</w:t>
      </w:r>
      <w:r w:rsidR="006B1053" w:rsidRPr="0028779D">
        <w:rPr>
          <w:noProof/>
          <w:szCs w:val="22"/>
        </w:rPr>
        <w:t>, obráťte sa na svojho lekára</w:t>
      </w:r>
      <w:r w:rsidR="009E5E5F">
        <w:rPr>
          <w:noProof/>
          <w:szCs w:val="22"/>
        </w:rPr>
        <w:t>,</w:t>
      </w:r>
      <w:r w:rsidR="0080607E" w:rsidRPr="0028779D">
        <w:rPr>
          <w:noProof/>
          <w:szCs w:val="22"/>
        </w:rPr>
        <w:t xml:space="preserve"> </w:t>
      </w:r>
      <w:r w:rsidR="006B1053" w:rsidRPr="0028779D">
        <w:rPr>
          <w:noProof/>
          <w:szCs w:val="22"/>
        </w:rPr>
        <w:t>lekárnika</w:t>
      </w:r>
      <w:r w:rsidR="009E5E5F">
        <w:rPr>
          <w:noProof/>
          <w:szCs w:val="22"/>
        </w:rPr>
        <w:t xml:space="preserve"> alebo zdravotnú sestru</w:t>
      </w:r>
      <w:r w:rsidR="006B1053" w:rsidRPr="0028779D">
        <w:rPr>
          <w:noProof/>
          <w:szCs w:val="22"/>
        </w:rPr>
        <w:t>. To sa týka aj akýchkoľvek vedľajších účinkov</w:t>
      </w:r>
      <w:r w:rsidRPr="0028779D">
        <w:rPr>
          <w:noProof/>
          <w:szCs w:val="22"/>
        </w:rPr>
        <w:t>, ktoré nie sú uvedené v tejto písomnej informácii</w:t>
      </w:r>
      <w:r w:rsidR="006B1053" w:rsidRPr="0028779D">
        <w:rPr>
          <w:noProof/>
          <w:szCs w:val="22"/>
        </w:rPr>
        <w:t>.</w:t>
      </w:r>
      <w:r w:rsidR="009E5E5F">
        <w:rPr>
          <w:noProof/>
          <w:szCs w:val="22"/>
        </w:rPr>
        <w:t xml:space="preserve"> </w:t>
      </w:r>
      <w:r w:rsidR="009E5E5F" w:rsidRPr="00A9232E">
        <w:rPr>
          <w:noProof/>
          <w:szCs w:val="22"/>
        </w:rPr>
        <w:t>Pozri časť 4</w:t>
      </w:r>
      <w:r w:rsidR="009E5E5F">
        <w:rPr>
          <w:noProof/>
          <w:szCs w:val="22"/>
        </w:rPr>
        <w:t>.</w:t>
      </w:r>
    </w:p>
    <w:p w:rsidR="00780926" w:rsidRPr="0028779D" w:rsidRDefault="00780926" w:rsidP="002F6A6A">
      <w:pPr>
        <w:ind w:left="0" w:firstLine="0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V tejto písomnej informácii sa dozviete</w:t>
      </w:r>
      <w:r w:rsidRPr="0028779D">
        <w:rPr>
          <w:noProof/>
          <w:szCs w:val="22"/>
        </w:rPr>
        <w:t>: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1.</w:t>
      </w:r>
      <w:r w:rsidRPr="0028779D">
        <w:rPr>
          <w:noProof/>
          <w:szCs w:val="22"/>
        </w:rPr>
        <w:tab/>
        <w:t xml:space="preserve">Čo je </w:t>
      </w:r>
      <w:r w:rsidR="0080607E" w:rsidRPr="0028779D">
        <w:rPr>
          <w:lang w:eastAsia="en-IN"/>
        </w:rPr>
        <w:t>Ranitidine Accord</w:t>
      </w:r>
      <w:r w:rsidRPr="0028779D">
        <w:rPr>
          <w:noProof/>
          <w:szCs w:val="22"/>
        </w:rPr>
        <w:t xml:space="preserve"> a</w:t>
      </w:r>
      <w:r w:rsidR="006F7180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na čo sa používa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2.</w:t>
      </w:r>
      <w:r w:rsidRPr="0028779D">
        <w:rPr>
          <w:noProof/>
          <w:szCs w:val="22"/>
        </w:rPr>
        <w:tab/>
      </w:r>
      <w:r w:rsidR="002C428B" w:rsidRPr="0028779D">
        <w:rPr>
          <w:noProof/>
          <w:szCs w:val="22"/>
        </w:rPr>
        <w:t xml:space="preserve">Čo potrebujete vedieť </w:t>
      </w:r>
      <w:r w:rsidR="00B65E75">
        <w:rPr>
          <w:noProof/>
          <w:szCs w:val="22"/>
        </w:rPr>
        <w:t>predtým</w:t>
      </w:r>
      <w:r w:rsidR="002C428B" w:rsidRPr="0028779D">
        <w:rPr>
          <w:noProof/>
          <w:szCs w:val="22"/>
        </w:rPr>
        <w:t>,</w:t>
      </w:r>
      <w:r w:rsidR="0080607E" w:rsidRPr="0028779D">
        <w:rPr>
          <w:noProof/>
          <w:szCs w:val="22"/>
        </w:rPr>
        <w:t xml:space="preserve"> ako </w:t>
      </w:r>
      <w:r w:rsidRPr="0028779D">
        <w:rPr>
          <w:noProof/>
          <w:szCs w:val="22"/>
        </w:rPr>
        <w:t xml:space="preserve">užijete </w:t>
      </w:r>
      <w:r w:rsidR="0080607E" w:rsidRPr="0028779D">
        <w:rPr>
          <w:lang w:eastAsia="en-IN"/>
        </w:rPr>
        <w:t>Ranitidine Accord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3.</w:t>
      </w:r>
      <w:r w:rsidRPr="0028779D">
        <w:rPr>
          <w:noProof/>
          <w:szCs w:val="22"/>
        </w:rPr>
        <w:tab/>
        <w:t>Ako užívať</w:t>
      </w:r>
      <w:r w:rsidR="0080607E" w:rsidRPr="0028779D">
        <w:rPr>
          <w:noProof/>
          <w:szCs w:val="22"/>
        </w:rPr>
        <w:t xml:space="preserve"> </w:t>
      </w:r>
      <w:r w:rsidR="0080607E" w:rsidRPr="0028779D">
        <w:rPr>
          <w:lang w:eastAsia="en-IN"/>
        </w:rPr>
        <w:t>Ranitidine Accord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4.</w:t>
      </w:r>
      <w:r w:rsidRPr="0028779D">
        <w:rPr>
          <w:noProof/>
          <w:szCs w:val="22"/>
        </w:rPr>
        <w:tab/>
        <w:t>Možné vedľajšie účinky</w:t>
      </w:r>
    </w:p>
    <w:p w:rsidR="0080607E" w:rsidRPr="0028779D" w:rsidRDefault="00780926" w:rsidP="00E757C6">
      <w:pPr>
        <w:ind w:right="-29"/>
        <w:rPr>
          <w:lang w:eastAsia="en-IN"/>
        </w:rPr>
      </w:pPr>
      <w:r w:rsidRPr="0028779D">
        <w:rPr>
          <w:noProof/>
          <w:szCs w:val="22"/>
        </w:rPr>
        <w:t>5.</w:t>
      </w:r>
      <w:r w:rsidRPr="0028779D">
        <w:rPr>
          <w:noProof/>
          <w:szCs w:val="22"/>
        </w:rPr>
        <w:tab/>
        <w:t xml:space="preserve">Ako uchovávať </w:t>
      </w:r>
      <w:r w:rsidR="0080607E" w:rsidRPr="0028779D">
        <w:rPr>
          <w:lang w:eastAsia="en-IN"/>
        </w:rPr>
        <w:t xml:space="preserve">Ranitidine Accord </w:t>
      </w:r>
    </w:p>
    <w:p w:rsidR="00780926" w:rsidRPr="0028779D" w:rsidRDefault="00780926" w:rsidP="00E757C6">
      <w:pPr>
        <w:ind w:right="-29"/>
        <w:rPr>
          <w:noProof/>
          <w:szCs w:val="22"/>
        </w:rPr>
      </w:pPr>
      <w:r w:rsidRPr="0028779D">
        <w:rPr>
          <w:noProof/>
          <w:szCs w:val="22"/>
        </w:rPr>
        <w:t>6.</w:t>
      </w:r>
      <w:r w:rsidRPr="0028779D">
        <w:rPr>
          <w:noProof/>
          <w:szCs w:val="22"/>
        </w:rPr>
        <w:tab/>
      </w:r>
      <w:r w:rsidR="0015367B" w:rsidRPr="0028779D">
        <w:rPr>
          <w:noProof/>
          <w:szCs w:val="22"/>
        </w:rPr>
        <w:t>Obsah balenia a ďalšie</w:t>
      </w:r>
      <w:r w:rsidRPr="0028779D">
        <w:rPr>
          <w:noProof/>
          <w:szCs w:val="22"/>
        </w:rPr>
        <w:t xml:space="preserve"> informácie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1.</w:t>
      </w:r>
      <w:r w:rsidRPr="0028779D">
        <w:rPr>
          <w:b/>
          <w:noProof/>
          <w:szCs w:val="22"/>
        </w:rPr>
        <w:tab/>
      </w:r>
      <w:r w:rsidR="00486C3D" w:rsidRPr="0028779D">
        <w:rPr>
          <w:b/>
          <w:noProof/>
          <w:szCs w:val="22"/>
        </w:rPr>
        <w:t xml:space="preserve">Čo je </w:t>
      </w:r>
      <w:r w:rsidR="0080607E" w:rsidRPr="0028779D">
        <w:rPr>
          <w:b/>
          <w:lang w:eastAsia="en-IN"/>
        </w:rPr>
        <w:t>Ranitidine Accord</w:t>
      </w:r>
      <w:r w:rsidR="00486C3D" w:rsidRPr="0028779D">
        <w:rPr>
          <w:b/>
          <w:noProof/>
          <w:szCs w:val="22"/>
        </w:rPr>
        <w:t xml:space="preserve"> a</w:t>
      </w:r>
      <w:r w:rsidR="006F7180" w:rsidRPr="0028779D">
        <w:rPr>
          <w:b/>
          <w:noProof/>
          <w:szCs w:val="22"/>
        </w:rPr>
        <w:t xml:space="preserve"> </w:t>
      </w:r>
      <w:r w:rsidR="00486C3D" w:rsidRPr="0028779D">
        <w:rPr>
          <w:b/>
          <w:noProof/>
          <w:szCs w:val="22"/>
        </w:rPr>
        <w:t>na čo sa používa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B49B1" w:rsidRPr="0028779D" w:rsidRDefault="0080607E" w:rsidP="002B49B1">
      <w:pPr>
        <w:numPr>
          <w:ilvl w:val="12"/>
          <w:numId w:val="0"/>
        </w:numPr>
        <w:ind w:right="-2"/>
        <w:rPr>
          <w:szCs w:val="22"/>
        </w:rPr>
      </w:pPr>
      <w:r w:rsidRPr="0028779D">
        <w:rPr>
          <w:lang w:eastAsia="en-IN"/>
        </w:rPr>
        <w:t xml:space="preserve">Ranitidine Accord filmom obalené tablety </w:t>
      </w:r>
      <w:r w:rsidR="00A978B9" w:rsidRPr="0028779D">
        <w:rPr>
          <w:lang w:eastAsia="en-IN"/>
        </w:rPr>
        <w:t>je gastrointestinálny lie</w:t>
      </w:r>
      <w:r w:rsidR="00142693" w:rsidRPr="0028779D">
        <w:rPr>
          <w:lang w:eastAsia="en-IN"/>
        </w:rPr>
        <w:t>k</w:t>
      </w:r>
      <w:r w:rsidR="00BD5049" w:rsidRPr="0028779D">
        <w:rPr>
          <w:lang w:eastAsia="en-IN"/>
        </w:rPr>
        <w:t xml:space="preserve"> (li</w:t>
      </w:r>
      <w:r w:rsidR="00A978B9" w:rsidRPr="0028779D">
        <w:rPr>
          <w:lang w:eastAsia="en-IN"/>
        </w:rPr>
        <w:t>e</w:t>
      </w:r>
      <w:r w:rsidR="00BD5049" w:rsidRPr="0028779D">
        <w:rPr>
          <w:lang w:eastAsia="en-IN"/>
        </w:rPr>
        <w:t>k</w:t>
      </w:r>
      <w:r w:rsidR="00A978B9" w:rsidRPr="0028779D">
        <w:rPr>
          <w:lang w:eastAsia="en-IN"/>
        </w:rPr>
        <w:t xml:space="preserve"> na liečbu ochorení tráviaceho traktu) s obsahom ranitidínu. P</w:t>
      </w:r>
      <w:r w:rsidR="002B49B1" w:rsidRPr="0028779D">
        <w:rPr>
          <w:szCs w:val="22"/>
        </w:rPr>
        <w:t>at</w:t>
      </w:r>
      <w:r w:rsidR="00142693" w:rsidRPr="0028779D">
        <w:rPr>
          <w:szCs w:val="22"/>
        </w:rPr>
        <w:t>rí</w:t>
      </w:r>
      <w:r w:rsidR="002B49B1" w:rsidRPr="0028779D">
        <w:rPr>
          <w:szCs w:val="22"/>
        </w:rPr>
        <w:t xml:space="preserve"> do skupiny </w:t>
      </w:r>
      <w:r w:rsidR="00142693" w:rsidRPr="0028779D">
        <w:rPr>
          <w:szCs w:val="22"/>
        </w:rPr>
        <w:t>známej ako</w:t>
      </w:r>
      <w:r w:rsidR="002B49B1" w:rsidRPr="0028779D">
        <w:rPr>
          <w:szCs w:val="22"/>
        </w:rPr>
        <w:t xml:space="preserve"> </w:t>
      </w:r>
      <w:r w:rsidR="00142693" w:rsidRPr="0028779D">
        <w:rPr>
          <w:bCs/>
          <w:noProof/>
          <w:szCs w:val="22"/>
        </w:rPr>
        <w:t>histamínov</w:t>
      </w:r>
      <w:r w:rsidR="0018754C">
        <w:rPr>
          <w:bCs/>
          <w:noProof/>
          <w:szCs w:val="22"/>
        </w:rPr>
        <w:t>é</w:t>
      </w:r>
      <w:r w:rsidR="00142693" w:rsidRPr="0028779D">
        <w:rPr>
          <w:bCs/>
          <w:noProof/>
          <w:szCs w:val="22"/>
        </w:rPr>
        <w:t xml:space="preserve"> </w:t>
      </w:r>
      <w:r w:rsidR="002B49B1" w:rsidRPr="0028779D">
        <w:rPr>
          <w:szCs w:val="22"/>
        </w:rPr>
        <w:t>antagonisty H</w:t>
      </w:r>
      <w:r w:rsidR="00D548D9">
        <w:rPr>
          <w:szCs w:val="22"/>
        </w:rPr>
        <w:t>2</w:t>
      </w:r>
      <w:r w:rsidR="002B49B1" w:rsidRPr="0028779D">
        <w:rPr>
          <w:szCs w:val="22"/>
        </w:rPr>
        <w:t>-</w:t>
      </w:r>
      <w:r w:rsidR="006F7180" w:rsidRPr="0028779D">
        <w:rPr>
          <w:szCs w:val="22"/>
        </w:rPr>
        <w:t>receptorov, ktoré</w:t>
      </w:r>
      <w:r w:rsidR="00142693" w:rsidRPr="0028779D">
        <w:rPr>
          <w:szCs w:val="22"/>
        </w:rPr>
        <w:t xml:space="preserve"> </w:t>
      </w:r>
      <w:r w:rsidR="002B49B1" w:rsidRPr="0028779D">
        <w:rPr>
          <w:szCs w:val="22"/>
        </w:rPr>
        <w:t>potláča</w:t>
      </w:r>
      <w:r w:rsidR="006F7180" w:rsidRPr="0028779D">
        <w:rPr>
          <w:szCs w:val="22"/>
        </w:rPr>
        <w:t>jú tvorbu</w:t>
      </w:r>
      <w:r w:rsidR="002B49B1" w:rsidRPr="0028779D">
        <w:rPr>
          <w:szCs w:val="22"/>
        </w:rPr>
        <w:t xml:space="preserve"> žalúd</w:t>
      </w:r>
      <w:r w:rsidR="00142693" w:rsidRPr="0028779D">
        <w:rPr>
          <w:szCs w:val="22"/>
        </w:rPr>
        <w:t>očnej</w:t>
      </w:r>
      <w:r w:rsidR="002B49B1" w:rsidRPr="0028779D">
        <w:rPr>
          <w:szCs w:val="22"/>
        </w:rPr>
        <w:t xml:space="preserve"> kyseliny.</w:t>
      </w:r>
    </w:p>
    <w:p w:rsidR="002B49B1" w:rsidRPr="0028779D" w:rsidRDefault="002B49B1" w:rsidP="002B49B1">
      <w:pPr>
        <w:numPr>
          <w:ilvl w:val="12"/>
          <w:numId w:val="0"/>
        </w:numPr>
        <w:ind w:right="-2"/>
        <w:rPr>
          <w:szCs w:val="22"/>
        </w:rPr>
      </w:pPr>
    </w:p>
    <w:p w:rsidR="002B49B1" w:rsidRPr="0028779D" w:rsidRDefault="00142693" w:rsidP="002B49B1">
      <w:pPr>
        <w:jc w:val="both"/>
        <w:rPr>
          <w:szCs w:val="22"/>
        </w:rPr>
      </w:pPr>
      <w:r w:rsidRPr="0028779D">
        <w:rPr>
          <w:lang w:eastAsia="en-IN"/>
        </w:rPr>
        <w:t xml:space="preserve">Ranitidine Accord filmom obalené tablety </w:t>
      </w:r>
      <w:r w:rsidR="00526741" w:rsidRPr="0028779D">
        <w:rPr>
          <w:szCs w:val="22"/>
        </w:rPr>
        <w:t xml:space="preserve">sa </w:t>
      </w:r>
      <w:r w:rsidR="002B49B1" w:rsidRPr="0028779D">
        <w:rPr>
          <w:szCs w:val="22"/>
        </w:rPr>
        <w:t>používa na</w:t>
      </w:r>
      <w:r w:rsidRPr="0028779D">
        <w:rPr>
          <w:szCs w:val="22"/>
        </w:rPr>
        <w:t xml:space="preserve"> liečbu ochorení žalúdka a dvanástnika,</w:t>
      </w:r>
      <w:r w:rsidR="006F7180" w:rsidRPr="0028779D">
        <w:rPr>
          <w:szCs w:val="22"/>
        </w:rPr>
        <w:t xml:space="preserve"> pri</w:t>
      </w:r>
      <w:r w:rsidR="002E0C26">
        <w:rPr>
          <w:szCs w:val="22"/>
        </w:rPr>
        <w:t> </w:t>
      </w:r>
      <w:r w:rsidR="006F7180" w:rsidRPr="0028779D">
        <w:rPr>
          <w:szCs w:val="22"/>
        </w:rPr>
        <w:t xml:space="preserve">ktorých je potrebné znížiť </w:t>
      </w:r>
      <w:r w:rsidRPr="0028779D">
        <w:rPr>
          <w:szCs w:val="22"/>
        </w:rPr>
        <w:t>tvorb</w:t>
      </w:r>
      <w:r w:rsidR="006F7180" w:rsidRPr="0028779D">
        <w:rPr>
          <w:szCs w:val="22"/>
        </w:rPr>
        <w:t>u</w:t>
      </w:r>
      <w:r w:rsidRPr="0028779D">
        <w:rPr>
          <w:szCs w:val="22"/>
        </w:rPr>
        <w:t xml:space="preserve"> žalúdočnej kyseliny</w:t>
      </w:r>
      <w:r w:rsidR="002B49B1" w:rsidRPr="0028779D">
        <w:rPr>
          <w:szCs w:val="22"/>
        </w:rPr>
        <w:t>:</w:t>
      </w:r>
    </w:p>
    <w:p w:rsidR="002B49B1" w:rsidRPr="0028779D" w:rsidRDefault="00142693" w:rsidP="002B49B1">
      <w:pPr>
        <w:numPr>
          <w:ilvl w:val="0"/>
          <w:numId w:val="13"/>
        </w:numPr>
        <w:tabs>
          <w:tab w:val="clear" w:pos="720"/>
          <w:tab w:val="num" w:pos="540"/>
        </w:tabs>
        <w:ind w:hanging="720"/>
        <w:jc w:val="both"/>
        <w:rPr>
          <w:szCs w:val="22"/>
        </w:rPr>
      </w:pPr>
      <w:r w:rsidRPr="0028779D">
        <w:rPr>
          <w:szCs w:val="22"/>
        </w:rPr>
        <w:t>D</w:t>
      </w:r>
      <w:r w:rsidR="002B49B1" w:rsidRPr="0028779D">
        <w:rPr>
          <w:szCs w:val="22"/>
        </w:rPr>
        <w:t>vanástnikový vred</w:t>
      </w:r>
      <w:r w:rsidRPr="0028779D">
        <w:rPr>
          <w:szCs w:val="22"/>
        </w:rPr>
        <w:t>.</w:t>
      </w:r>
    </w:p>
    <w:p w:rsidR="002B49B1" w:rsidRPr="0028779D" w:rsidRDefault="00142693" w:rsidP="002B49B1">
      <w:pPr>
        <w:numPr>
          <w:ilvl w:val="0"/>
          <w:numId w:val="13"/>
        </w:numPr>
        <w:tabs>
          <w:tab w:val="clear" w:pos="720"/>
          <w:tab w:val="num" w:pos="540"/>
        </w:tabs>
        <w:ind w:hanging="720"/>
        <w:jc w:val="both"/>
        <w:rPr>
          <w:szCs w:val="22"/>
        </w:rPr>
      </w:pPr>
      <w:r w:rsidRPr="0028779D">
        <w:rPr>
          <w:szCs w:val="22"/>
        </w:rPr>
        <w:t>N</w:t>
      </w:r>
      <w:r w:rsidR="002B49B1" w:rsidRPr="0028779D">
        <w:rPr>
          <w:szCs w:val="22"/>
        </w:rPr>
        <w:t xml:space="preserve">ezhubný </w:t>
      </w:r>
      <w:r w:rsidRPr="0028779D">
        <w:rPr>
          <w:szCs w:val="22"/>
        </w:rPr>
        <w:t xml:space="preserve">(benígny) </w:t>
      </w:r>
      <w:r w:rsidR="002B49B1" w:rsidRPr="0028779D">
        <w:rPr>
          <w:szCs w:val="22"/>
        </w:rPr>
        <w:t>žalúd</w:t>
      </w:r>
      <w:r w:rsidRPr="0028779D">
        <w:rPr>
          <w:szCs w:val="22"/>
        </w:rPr>
        <w:t>očný vred.</w:t>
      </w:r>
    </w:p>
    <w:p w:rsidR="002B49B1" w:rsidRPr="0028779D" w:rsidRDefault="00142693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Dlhodobá liečba dvanástnikových vredov (len 150 mg).</w:t>
      </w:r>
    </w:p>
    <w:p w:rsidR="002B49B1" w:rsidRPr="0028779D" w:rsidRDefault="00BD5049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Reflexná</w:t>
      </w:r>
      <w:r w:rsidR="00142693" w:rsidRPr="0028779D">
        <w:rPr>
          <w:szCs w:val="22"/>
        </w:rPr>
        <w:t xml:space="preserve"> ezofagitída (zápal pažeráka</w:t>
      </w:r>
      <w:r w:rsidR="00FE7E40" w:rsidRPr="0028779D">
        <w:rPr>
          <w:szCs w:val="22"/>
        </w:rPr>
        <w:t xml:space="preserve"> ako dô</w:t>
      </w:r>
      <w:r w:rsidR="00142693" w:rsidRPr="0028779D">
        <w:rPr>
          <w:szCs w:val="22"/>
        </w:rPr>
        <w:t>sledok</w:t>
      </w:r>
      <w:r w:rsidR="00FE7E40" w:rsidRPr="0028779D">
        <w:rPr>
          <w:szCs w:val="22"/>
        </w:rPr>
        <w:t xml:space="preserve"> </w:t>
      </w:r>
      <w:r w:rsidR="00136B00">
        <w:rPr>
          <w:szCs w:val="22"/>
        </w:rPr>
        <w:t>návratu</w:t>
      </w:r>
      <w:r w:rsidR="00FE7E40" w:rsidRPr="0028779D">
        <w:rPr>
          <w:szCs w:val="22"/>
        </w:rPr>
        <w:t xml:space="preserve"> obsahu žalúdka).</w:t>
      </w:r>
    </w:p>
    <w:p w:rsidR="00FE7E40" w:rsidRPr="0028779D" w:rsidRDefault="00FE7E40" w:rsidP="00FE7E40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Zollingerov-Ellisonov syndróm (ochorenie, pri ktorom žalúdok tvorí priveľa kyseliny).</w:t>
      </w:r>
    </w:p>
    <w:p w:rsidR="00FE7E40" w:rsidRPr="0028779D" w:rsidRDefault="00FE7E40" w:rsidP="00FE7E40">
      <w:pPr>
        <w:ind w:left="0" w:firstLine="0"/>
        <w:jc w:val="both"/>
        <w:rPr>
          <w:szCs w:val="22"/>
        </w:rPr>
      </w:pPr>
    </w:p>
    <w:p w:rsidR="00FE7E40" w:rsidRPr="0028779D" w:rsidRDefault="00FE7E40" w:rsidP="00FE7E40">
      <w:pPr>
        <w:ind w:left="0" w:firstLine="0"/>
        <w:jc w:val="both"/>
        <w:rPr>
          <w:szCs w:val="22"/>
        </w:rPr>
      </w:pPr>
      <w:r w:rsidRPr="0028779D">
        <w:rPr>
          <w:lang w:eastAsia="en-IN"/>
        </w:rPr>
        <w:t xml:space="preserve">Ranitidine Accord filmom obalené tablety </w:t>
      </w:r>
      <w:r w:rsidRPr="0028779D">
        <w:rPr>
          <w:szCs w:val="22"/>
        </w:rPr>
        <w:t>sa používa u detí vo veku od 3 do 18 rokov</w:t>
      </w:r>
    </w:p>
    <w:p w:rsidR="002B49B1" w:rsidRPr="0028779D" w:rsidRDefault="002E0C26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 w:rsidRPr="0028779D">
        <w:rPr>
          <w:szCs w:val="22"/>
        </w:rPr>
        <w:t>N</w:t>
      </w:r>
      <w:r w:rsidR="00FE7E40" w:rsidRPr="0028779D">
        <w:rPr>
          <w:szCs w:val="22"/>
        </w:rPr>
        <w:t>a krátkodobú liečbu peptických vredov</w:t>
      </w:r>
    </w:p>
    <w:p w:rsidR="00FE7E40" w:rsidRPr="0028779D" w:rsidRDefault="002E0C26" w:rsidP="002B49B1">
      <w:pPr>
        <w:numPr>
          <w:ilvl w:val="0"/>
          <w:numId w:val="13"/>
        </w:numPr>
        <w:tabs>
          <w:tab w:val="clear" w:pos="720"/>
          <w:tab w:val="num" w:pos="540"/>
        </w:tabs>
        <w:ind w:left="540" w:hanging="540"/>
        <w:jc w:val="both"/>
        <w:rPr>
          <w:szCs w:val="22"/>
        </w:rPr>
      </w:pPr>
      <w:r>
        <w:rPr>
          <w:szCs w:val="22"/>
        </w:rPr>
        <w:t>N</w:t>
      </w:r>
      <w:r w:rsidR="00136B00">
        <w:rPr>
          <w:szCs w:val="22"/>
        </w:rPr>
        <w:t xml:space="preserve">a </w:t>
      </w:r>
      <w:r w:rsidR="00FE7E40" w:rsidRPr="0028779D">
        <w:rPr>
          <w:szCs w:val="22"/>
        </w:rPr>
        <w:t xml:space="preserve">liečbu gastroezofageálneho refluxu </w:t>
      </w:r>
      <w:r w:rsidR="00136B00" w:rsidRPr="002E0C26">
        <w:rPr>
          <w:szCs w:val="22"/>
        </w:rPr>
        <w:t>(</w:t>
      </w:r>
      <w:r w:rsidR="00136B00" w:rsidRPr="00E42905">
        <w:rPr>
          <w:shd w:val="clear" w:color="auto" w:fill="FFFFFF"/>
        </w:rPr>
        <w:t>porucha v oblasti prechodu pažeráka do žalúdka</w:t>
      </w:r>
      <w:r>
        <w:rPr>
          <w:shd w:val="clear" w:color="auto" w:fill="FFFFFF"/>
        </w:rPr>
        <w:t>,</w:t>
      </w:r>
      <w:r w:rsidR="00136B00" w:rsidRPr="00E42905">
        <w:rPr>
          <w:shd w:val="clear" w:color="auto" w:fill="FFFFFF"/>
        </w:rPr>
        <w:t xml:space="preserve"> ktorá spôsobuje návrat obsahu žalúdka do pažeráka)</w:t>
      </w:r>
      <w:r w:rsidR="00136B00" w:rsidRPr="00E42905">
        <w:rPr>
          <w:rFonts w:ascii="Arial" w:hAnsi="Arial" w:cs="Arial"/>
          <w:shd w:val="clear" w:color="auto" w:fill="FFFFFF"/>
        </w:rPr>
        <w:t xml:space="preserve"> </w:t>
      </w:r>
      <w:r w:rsidR="00FE7E40" w:rsidRPr="0028779D">
        <w:rPr>
          <w:szCs w:val="22"/>
        </w:rPr>
        <w:t xml:space="preserve">vrátane refluxnej ezofagitídy a na </w:t>
      </w:r>
      <w:r w:rsidR="005505AD" w:rsidRPr="0028779D">
        <w:rPr>
          <w:szCs w:val="22"/>
        </w:rPr>
        <w:t>zmiernenie</w:t>
      </w:r>
      <w:r w:rsidR="00FE7E40" w:rsidRPr="0028779D">
        <w:rPr>
          <w:szCs w:val="22"/>
        </w:rPr>
        <w:t xml:space="preserve"> príznakov</w:t>
      </w:r>
      <w:r w:rsidR="005505AD" w:rsidRPr="0028779D">
        <w:rPr>
          <w:szCs w:val="22"/>
        </w:rPr>
        <w:t xml:space="preserve"> gastroezofageálnej refluxnej c</w:t>
      </w:r>
      <w:r w:rsidR="00FE7E40" w:rsidRPr="0028779D">
        <w:rPr>
          <w:szCs w:val="22"/>
        </w:rPr>
        <w:t>horoby.</w:t>
      </w:r>
    </w:p>
    <w:p w:rsidR="002B49B1" w:rsidRPr="0028779D" w:rsidRDefault="002B49B1" w:rsidP="002B49B1">
      <w:pPr>
        <w:numPr>
          <w:ilvl w:val="12"/>
          <w:numId w:val="0"/>
        </w:numPr>
        <w:ind w:right="-2"/>
        <w:rPr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2.</w:t>
      </w:r>
      <w:r w:rsidRPr="0028779D">
        <w:rPr>
          <w:b/>
          <w:noProof/>
          <w:szCs w:val="22"/>
        </w:rPr>
        <w:tab/>
      </w:r>
      <w:r w:rsidR="00E13A3E" w:rsidRPr="0028779D">
        <w:rPr>
          <w:b/>
          <w:noProof/>
          <w:szCs w:val="22"/>
        </w:rPr>
        <w:t xml:space="preserve">Čo potrebuje vedieť </w:t>
      </w:r>
      <w:r w:rsidR="004E2EF4">
        <w:rPr>
          <w:b/>
          <w:noProof/>
          <w:szCs w:val="22"/>
        </w:rPr>
        <w:t>predtým</w:t>
      </w:r>
      <w:r w:rsidR="00E13A3E" w:rsidRPr="0028779D">
        <w:rPr>
          <w:b/>
          <w:noProof/>
          <w:szCs w:val="22"/>
        </w:rPr>
        <w:t>, ako užijete</w:t>
      </w:r>
      <w:r w:rsidR="00FE7E40" w:rsidRPr="0028779D">
        <w:rPr>
          <w:b/>
          <w:noProof/>
          <w:szCs w:val="22"/>
        </w:rPr>
        <w:t xml:space="preserve"> </w:t>
      </w:r>
      <w:r w:rsidR="00FE7E40" w:rsidRPr="0028779D">
        <w:rPr>
          <w:b/>
          <w:lang w:eastAsia="en-IN"/>
        </w:rPr>
        <w:t>Ranitidine Accord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Neužívajte</w:t>
      </w:r>
      <w:r w:rsidR="00FE7E40" w:rsidRPr="0028779D">
        <w:rPr>
          <w:b/>
          <w:lang w:eastAsia="en-IN"/>
        </w:rPr>
        <w:t xml:space="preserve"> Ranitidine Accord</w:t>
      </w:r>
    </w:p>
    <w:p w:rsidR="00780926" w:rsidRPr="0028779D" w:rsidRDefault="00780926" w:rsidP="002F6A6A">
      <w:pPr>
        <w:numPr>
          <w:ilvl w:val="12"/>
          <w:numId w:val="0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-</w:t>
      </w:r>
      <w:r w:rsidRPr="0028779D">
        <w:rPr>
          <w:noProof/>
          <w:szCs w:val="22"/>
        </w:rPr>
        <w:tab/>
      </w:r>
      <w:r w:rsidR="00E13A3E" w:rsidRPr="0028779D">
        <w:rPr>
          <w:noProof/>
          <w:szCs w:val="22"/>
        </w:rPr>
        <w:t xml:space="preserve">ak </w:t>
      </w:r>
      <w:r w:rsidRPr="0028779D">
        <w:rPr>
          <w:noProof/>
          <w:szCs w:val="22"/>
        </w:rPr>
        <w:t xml:space="preserve">ste alergický </w:t>
      </w:r>
      <w:r w:rsidR="00FE7E40" w:rsidRPr="0028779D">
        <w:rPr>
          <w:noProof/>
          <w:szCs w:val="22"/>
        </w:rPr>
        <w:t xml:space="preserve">(precitlivený) </w:t>
      </w:r>
      <w:r w:rsidRPr="0028779D">
        <w:rPr>
          <w:noProof/>
          <w:szCs w:val="22"/>
        </w:rPr>
        <w:t xml:space="preserve">na </w:t>
      </w:r>
      <w:r w:rsidR="00FE7E40" w:rsidRPr="0028779D">
        <w:rPr>
          <w:noProof/>
          <w:szCs w:val="22"/>
        </w:rPr>
        <w:t>ranitidín</w:t>
      </w:r>
      <w:r w:rsidRPr="0028779D">
        <w:rPr>
          <w:noProof/>
          <w:szCs w:val="22"/>
        </w:rPr>
        <w:t xml:space="preserve"> alebo na ktorúkoľvek z ďalších zložiek </w:t>
      </w:r>
      <w:r w:rsidR="00F00D87" w:rsidRPr="0028779D">
        <w:rPr>
          <w:noProof/>
          <w:szCs w:val="22"/>
        </w:rPr>
        <w:t>tohto lieku (uvedených v časti 6)</w:t>
      </w:r>
      <w:r w:rsidR="00FE7E40" w:rsidRPr="0028779D">
        <w:rPr>
          <w:noProof/>
          <w:szCs w:val="22"/>
        </w:rPr>
        <w:t>.</w:t>
      </w:r>
    </w:p>
    <w:p w:rsidR="00780926" w:rsidRPr="0028779D" w:rsidRDefault="00780926" w:rsidP="00FF15F0">
      <w:pPr>
        <w:numPr>
          <w:ilvl w:val="12"/>
          <w:numId w:val="0"/>
        </w:numPr>
        <w:rPr>
          <w:noProof/>
          <w:szCs w:val="22"/>
        </w:rPr>
      </w:pPr>
    </w:p>
    <w:p w:rsidR="002E0C26" w:rsidRPr="002E0C26" w:rsidRDefault="00F00D87" w:rsidP="00E42905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Upozornenia a</w:t>
      </w:r>
      <w:r w:rsidR="002E0C26">
        <w:rPr>
          <w:b/>
          <w:noProof/>
          <w:szCs w:val="22"/>
        </w:rPr>
        <w:t> </w:t>
      </w:r>
      <w:r w:rsidRPr="0028779D">
        <w:rPr>
          <w:b/>
          <w:noProof/>
          <w:szCs w:val="22"/>
        </w:rPr>
        <w:t>opatrenia</w:t>
      </w:r>
    </w:p>
    <w:p w:rsidR="00494525" w:rsidRPr="0028779D" w:rsidRDefault="00FE7E40" w:rsidP="00FE7E40">
      <w:pPr>
        <w:numPr>
          <w:ilvl w:val="0"/>
          <w:numId w:val="14"/>
        </w:numPr>
        <w:rPr>
          <w:szCs w:val="22"/>
        </w:rPr>
      </w:pPr>
      <w:r w:rsidRPr="0028779D">
        <w:rPr>
          <w:szCs w:val="22"/>
        </w:rPr>
        <w:t xml:space="preserve">ak máte </w:t>
      </w:r>
      <w:r w:rsidR="00161827">
        <w:rPr>
          <w:szCs w:val="22"/>
        </w:rPr>
        <w:t>poruchu</w:t>
      </w:r>
      <w:r w:rsidR="00161827" w:rsidRPr="0028779D">
        <w:rPr>
          <w:szCs w:val="22"/>
        </w:rPr>
        <w:t xml:space="preserve"> </w:t>
      </w:r>
      <w:r w:rsidRPr="0028779D">
        <w:rPr>
          <w:szCs w:val="22"/>
        </w:rPr>
        <w:t>funkci</w:t>
      </w:r>
      <w:r w:rsidR="00161827">
        <w:rPr>
          <w:szCs w:val="22"/>
        </w:rPr>
        <w:t>e</w:t>
      </w:r>
      <w:r w:rsidRPr="0028779D">
        <w:rPr>
          <w:szCs w:val="22"/>
        </w:rPr>
        <w:t xml:space="preserve"> </w:t>
      </w:r>
      <w:r w:rsidR="00F67593" w:rsidRPr="0028779D">
        <w:rPr>
          <w:szCs w:val="22"/>
        </w:rPr>
        <w:t>obličiek, môže byť potrebná nižšia dávka (pozri časť 3</w:t>
      </w:r>
      <w:r w:rsidR="005505AD" w:rsidRPr="002E0C26">
        <w:rPr>
          <w:szCs w:val="22"/>
        </w:rPr>
        <w:t>,</w:t>
      </w:r>
      <w:r w:rsidR="005505AD" w:rsidRPr="00E42905">
        <w:rPr>
          <w:noProof/>
          <w:szCs w:val="22"/>
        </w:rPr>
        <w:t xml:space="preserve"> "</w:t>
      </w:r>
      <w:r w:rsidR="005505AD" w:rsidRPr="0028779D">
        <w:rPr>
          <w:noProof/>
          <w:szCs w:val="22"/>
        </w:rPr>
        <w:t xml:space="preserve">Ako užívať </w:t>
      </w:r>
    </w:p>
    <w:p w:rsidR="00F67593" w:rsidRPr="0028779D" w:rsidRDefault="00494525" w:rsidP="002F6A6A">
      <w:pPr>
        <w:ind w:left="0" w:firstLine="360"/>
        <w:rPr>
          <w:szCs w:val="22"/>
        </w:rPr>
      </w:pPr>
      <w:r w:rsidRPr="0028779D">
        <w:rPr>
          <w:iCs/>
        </w:rPr>
        <w:lastRenderedPageBreak/>
        <w:t xml:space="preserve"> </w:t>
      </w:r>
      <w:r w:rsidR="005505AD" w:rsidRPr="0028779D">
        <w:rPr>
          <w:iCs/>
        </w:rPr>
        <w:t>Ranitidine Accord")</w:t>
      </w:r>
      <w:r w:rsidR="002E0C26">
        <w:rPr>
          <w:iCs/>
        </w:rPr>
        <w:t>.</w:t>
      </w:r>
    </w:p>
    <w:p w:rsidR="00FE7E40" w:rsidRPr="0028779D" w:rsidRDefault="00F67593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 xml:space="preserve">ak máte </w:t>
      </w:r>
      <w:r w:rsidR="0080704F">
        <w:rPr>
          <w:szCs w:val="22"/>
        </w:rPr>
        <w:t>závažnú poruchu</w:t>
      </w:r>
      <w:r w:rsidRPr="0028779D">
        <w:rPr>
          <w:szCs w:val="22"/>
        </w:rPr>
        <w:t xml:space="preserve"> funkci</w:t>
      </w:r>
      <w:r w:rsidR="0080704F">
        <w:rPr>
          <w:szCs w:val="22"/>
        </w:rPr>
        <w:t>e</w:t>
      </w:r>
      <w:r w:rsidRPr="0028779D">
        <w:rPr>
          <w:szCs w:val="22"/>
        </w:rPr>
        <w:t xml:space="preserve"> </w:t>
      </w:r>
      <w:r w:rsidR="00FE7E40" w:rsidRPr="0028779D">
        <w:rPr>
          <w:szCs w:val="22"/>
        </w:rPr>
        <w:t>pečene</w:t>
      </w:r>
      <w:r w:rsidR="002E0C26">
        <w:rPr>
          <w:szCs w:val="22"/>
        </w:rPr>
        <w:t>.</w:t>
      </w:r>
    </w:p>
    <w:p w:rsidR="00F67593" w:rsidRPr="0028779D" w:rsidRDefault="00F67593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 xml:space="preserve">žalúdočné a dvanástnikové vredy môžu byť </w:t>
      </w:r>
      <w:r w:rsidR="005505AD" w:rsidRPr="0028779D">
        <w:rPr>
          <w:szCs w:val="22"/>
        </w:rPr>
        <w:t>spôsobené</w:t>
      </w:r>
      <w:r w:rsidRPr="0028779D">
        <w:rPr>
          <w:szCs w:val="22"/>
        </w:rPr>
        <w:t xml:space="preserve"> určitou baktériou nazývanou </w:t>
      </w:r>
      <w:r w:rsidRPr="00E42905">
        <w:rPr>
          <w:i/>
        </w:rPr>
        <w:t>Helicobacter</w:t>
      </w:r>
      <w:r w:rsidR="00494525" w:rsidRPr="00E42905">
        <w:rPr>
          <w:i/>
        </w:rPr>
        <w:t xml:space="preserve"> </w:t>
      </w:r>
      <w:r w:rsidRPr="00E42905">
        <w:rPr>
          <w:i/>
        </w:rPr>
        <w:t>pylori</w:t>
      </w:r>
      <w:r w:rsidRPr="0028779D">
        <w:t xml:space="preserve">. Váš lekár </w:t>
      </w:r>
      <w:r w:rsidR="005505AD" w:rsidRPr="0028779D">
        <w:t xml:space="preserve">vám </w:t>
      </w:r>
      <w:r w:rsidRPr="0028779D">
        <w:t>preto môže predpísať ďalšie lieky, ktoré ničia t</w:t>
      </w:r>
      <w:r w:rsidR="00BF6C37">
        <w:t>úto</w:t>
      </w:r>
      <w:r w:rsidRPr="0028779D">
        <w:t xml:space="preserve"> baktéri</w:t>
      </w:r>
      <w:r w:rsidR="00BF6C37">
        <w:t>u</w:t>
      </w:r>
      <w:r w:rsidRPr="0028779D">
        <w:t xml:space="preserve"> (antibiotiká).</w:t>
      </w:r>
    </w:p>
    <w:p w:rsidR="00F67593" w:rsidRPr="0028779D" w:rsidRDefault="00F67593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t xml:space="preserve">ak ste </w:t>
      </w:r>
      <w:r w:rsidR="005505AD" w:rsidRPr="0028779D">
        <w:t xml:space="preserve">niekedy mali </w:t>
      </w:r>
      <w:r w:rsidRPr="0028779D">
        <w:t xml:space="preserve">záchvaty </w:t>
      </w:r>
      <w:r w:rsidR="003506A1">
        <w:t xml:space="preserve"> </w:t>
      </w:r>
      <w:r w:rsidRPr="0028779D">
        <w:t>ochoren</w:t>
      </w:r>
      <w:r w:rsidR="00C14C59">
        <w:t>ia</w:t>
      </w:r>
      <w:r w:rsidRPr="0028779D">
        <w:t xml:space="preserve">, </w:t>
      </w:r>
      <w:r w:rsidR="00F618A0">
        <w:t>pri ktorom dochádza k poruche</w:t>
      </w:r>
      <w:r w:rsidRPr="0028779D">
        <w:t xml:space="preserve"> tvorb</w:t>
      </w:r>
      <w:r w:rsidR="00F618A0">
        <w:t>y</w:t>
      </w:r>
      <w:r w:rsidRPr="0028779D">
        <w:t xml:space="preserve"> červených krviniek (porfýria, </w:t>
      </w:r>
      <w:r w:rsidR="000C226C">
        <w:t>zá</w:t>
      </w:r>
      <w:r w:rsidR="005505AD" w:rsidRPr="0028779D">
        <w:t>v</w:t>
      </w:r>
      <w:r w:rsidR="000C226C">
        <w:t>a</w:t>
      </w:r>
      <w:r w:rsidRPr="0028779D">
        <w:t>žn</w:t>
      </w:r>
      <w:r w:rsidR="000C226C">
        <w:t>é</w:t>
      </w:r>
      <w:r w:rsidRPr="0028779D">
        <w:t xml:space="preserve"> ochorenie s </w:t>
      </w:r>
      <w:r w:rsidR="005505AD" w:rsidRPr="0028779D">
        <w:t xml:space="preserve">nasledovnými </w:t>
      </w:r>
      <w:r w:rsidRPr="0028779D">
        <w:t>príznakmi: precitlivenosť na svetlo, paralýz</w:t>
      </w:r>
      <w:r w:rsidR="00706824">
        <w:t>a</w:t>
      </w:r>
      <w:r w:rsidRPr="0028779D">
        <w:t xml:space="preserve"> a siln</w:t>
      </w:r>
      <w:r w:rsidR="00706824">
        <w:t>á</w:t>
      </w:r>
      <w:r w:rsidR="005505AD" w:rsidRPr="0028779D">
        <w:t xml:space="preserve"> bolesť </w:t>
      </w:r>
      <w:r w:rsidRPr="0028779D">
        <w:t>brucha), keďže ranitidín môže veľmi zriedkavo vyvolať záchvat porfýrie.</w:t>
      </w:r>
    </w:p>
    <w:p w:rsidR="00F67593" w:rsidRPr="0028779D" w:rsidRDefault="00DD06EA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>ak došlo k neplánovanému úbytku na váhe v dôsledku dyspepsie (tráviac</w:t>
      </w:r>
      <w:r w:rsidR="005505AD" w:rsidRPr="0028779D">
        <w:rPr>
          <w:szCs w:val="22"/>
        </w:rPr>
        <w:t>ich ťažkostí</w:t>
      </w:r>
      <w:r w:rsidRPr="0028779D">
        <w:rPr>
          <w:szCs w:val="22"/>
        </w:rPr>
        <w:t>)</w:t>
      </w:r>
      <w:r w:rsidR="00C14C59">
        <w:rPr>
          <w:szCs w:val="22"/>
        </w:rPr>
        <w:t>.</w:t>
      </w:r>
    </w:p>
    <w:p w:rsidR="00F67593" w:rsidRPr="0028779D" w:rsidRDefault="00DD06EA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>ak ste pacient v strednom veku alebo starší pacient</w:t>
      </w:r>
      <w:r w:rsidR="005505AD" w:rsidRPr="0028779D">
        <w:rPr>
          <w:szCs w:val="22"/>
        </w:rPr>
        <w:t xml:space="preserve"> a máte </w:t>
      </w:r>
      <w:r w:rsidRPr="0028779D">
        <w:rPr>
          <w:szCs w:val="22"/>
        </w:rPr>
        <w:t xml:space="preserve">príznaky </w:t>
      </w:r>
      <w:r w:rsidR="005505AD" w:rsidRPr="0028779D">
        <w:rPr>
          <w:szCs w:val="22"/>
        </w:rPr>
        <w:t xml:space="preserve">dyspepsie </w:t>
      </w:r>
      <w:r w:rsidRPr="0028779D">
        <w:rPr>
          <w:szCs w:val="22"/>
        </w:rPr>
        <w:t>prvýkrát alebo ak sa príznaky v poslednej dobe zmenili, obráťte sa na svojho lekára alebo lekárnika.</w:t>
      </w:r>
    </w:p>
    <w:p w:rsidR="00F67593" w:rsidRPr="0028779D" w:rsidRDefault="00DD06EA" w:rsidP="002F6A6A">
      <w:pPr>
        <w:numPr>
          <w:ilvl w:val="0"/>
          <w:numId w:val="14"/>
        </w:numPr>
        <w:ind w:left="426" w:hanging="426"/>
        <w:rPr>
          <w:szCs w:val="22"/>
        </w:rPr>
      </w:pPr>
      <w:r w:rsidRPr="0028779D">
        <w:rPr>
          <w:szCs w:val="22"/>
        </w:rPr>
        <w:t xml:space="preserve">ak máte ochorenie pľúc, cukrovku alebo zlyhanie srdca alebo ak máte </w:t>
      </w:r>
      <w:r w:rsidR="005505AD" w:rsidRPr="0028779D">
        <w:rPr>
          <w:szCs w:val="22"/>
        </w:rPr>
        <w:t>imunitnú nedostatočnosť</w:t>
      </w:r>
      <w:r w:rsidR="003C7198">
        <w:rPr>
          <w:szCs w:val="22"/>
        </w:rPr>
        <w:t xml:space="preserve"> (porucha imunitného systému)</w:t>
      </w:r>
      <w:r w:rsidR="005505AD" w:rsidRPr="0028779D">
        <w:rPr>
          <w:szCs w:val="22"/>
        </w:rPr>
        <w:t>.</w:t>
      </w:r>
      <w:r w:rsidRPr="0028779D">
        <w:rPr>
          <w:szCs w:val="22"/>
        </w:rPr>
        <w:t xml:space="preserve"> V jednej štúdii sa preukázalo zvýšené riziko zápalu pľúc u</w:t>
      </w:r>
      <w:r w:rsidR="003C7198">
        <w:rPr>
          <w:szCs w:val="22"/>
        </w:rPr>
        <w:t> pacientov dostávajúcich</w:t>
      </w:r>
      <w:r w:rsidRPr="0028779D">
        <w:rPr>
          <w:szCs w:val="22"/>
        </w:rPr>
        <w:t xml:space="preserve"> antagonist</w:t>
      </w:r>
      <w:r w:rsidR="00425BD4">
        <w:rPr>
          <w:szCs w:val="22"/>
        </w:rPr>
        <w:t>y</w:t>
      </w:r>
      <w:r w:rsidRPr="0028779D">
        <w:rPr>
          <w:szCs w:val="22"/>
        </w:rPr>
        <w:t xml:space="preserve"> H2</w:t>
      </w:r>
      <w:r w:rsidR="00425BD4">
        <w:rPr>
          <w:szCs w:val="22"/>
        </w:rPr>
        <w:t>-</w:t>
      </w:r>
      <w:r w:rsidRPr="0028779D">
        <w:rPr>
          <w:szCs w:val="22"/>
        </w:rPr>
        <w:t>receptorov.</w:t>
      </w:r>
    </w:p>
    <w:p w:rsidR="00DD06EA" w:rsidRPr="0028779D" w:rsidRDefault="00DD06EA" w:rsidP="00DD06EA">
      <w:pPr>
        <w:ind w:left="0" w:firstLine="0"/>
        <w:rPr>
          <w:szCs w:val="22"/>
        </w:rPr>
      </w:pPr>
    </w:p>
    <w:p w:rsidR="00CB1FA6" w:rsidRPr="0028779D" w:rsidRDefault="00DD06EA" w:rsidP="00CB1FA6">
      <w:pPr>
        <w:pStyle w:val="Zkladntext3"/>
        <w:ind w:left="0" w:firstLine="0"/>
        <w:rPr>
          <w:sz w:val="22"/>
          <w:szCs w:val="22"/>
        </w:rPr>
      </w:pPr>
      <w:r w:rsidRPr="0028779D">
        <w:rPr>
          <w:sz w:val="22"/>
          <w:szCs w:val="22"/>
        </w:rPr>
        <w:t xml:space="preserve">Obráťte sa na svojho lekára, ak </w:t>
      </w:r>
      <w:r w:rsidR="00CB1FA6" w:rsidRPr="0028779D">
        <w:rPr>
          <w:sz w:val="22"/>
          <w:szCs w:val="22"/>
        </w:rPr>
        <w:t>sa vás týka ktorékoľvek z vyššie uvedených upozornení alebo sa vás týkalo v minulosti.</w:t>
      </w:r>
    </w:p>
    <w:p w:rsidR="00CB1FA6" w:rsidRPr="0028779D" w:rsidRDefault="00CB1FA6" w:rsidP="00C929A1">
      <w:pPr>
        <w:pStyle w:val="Zkladntext3"/>
        <w:spacing w:after="0"/>
        <w:rPr>
          <w:sz w:val="22"/>
          <w:szCs w:val="22"/>
        </w:rPr>
      </w:pPr>
    </w:p>
    <w:p w:rsidR="00F00D87" w:rsidRPr="0028779D" w:rsidRDefault="00F00D87" w:rsidP="00C929A1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b/>
          <w:noProof/>
          <w:szCs w:val="22"/>
        </w:rPr>
        <w:t xml:space="preserve">Iné lieky a </w:t>
      </w:r>
      <w:r w:rsidR="00DD06EA" w:rsidRPr="0028779D">
        <w:rPr>
          <w:b/>
          <w:noProof/>
        </w:rPr>
        <w:t>Ranitidine Accord</w:t>
      </w:r>
    </w:p>
    <w:p w:rsidR="00457415" w:rsidRDefault="00457415" w:rsidP="00457415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Ak </w:t>
      </w:r>
      <w:r w:rsidR="00C14C59">
        <w:rPr>
          <w:noProof/>
          <w:szCs w:val="22"/>
        </w:rPr>
        <w:t xml:space="preserve">teraz </w:t>
      </w:r>
      <w:r>
        <w:rPr>
          <w:noProof/>
          <w:szCs w:val="22"/>
        </w:rPr>
        <w:t>užívate a</w:t>
      </w:r>
      <w:r w:rsidR="00C14C59">
        <w:rPr>
          <w:noProof/>
          <w:szCs w:val="22"/>
        </w:rPr>
        <w:t>lebo</w:t>
      </w:r>
      <w:r>
        <w:rPr>
          <w:noProof/>
          <w:szCs w:val="22"/>
        </w:rPr>
        <w:t xml:space="preserve"> ste v poslednom čase užívali</w:t>
      </w:r>
      <w:r w:rsidR="00C14C59">
        <w:rPr>
          <w:noProof/>
          <w:szCs w:val="22"/>
        </w:rPr>
        <w:t>,</w:t>
      </w:r>
      <w:r>
        <w:rPr>
          <w:noProof/>
          <w:szCs w:val="22"/>
        </w:rPr>
        <w:t xml:space="preserve"> </w:t>
      </w:r>
      <w:r w:rsidR="00C14C59">
        <w:rPr>
          <w:noProof/>
          <w:szCs w:val="22"/>
        </w:rPr>
        <w:t>či práve</w:t>
      </w:r>
      <w:r>
        <w:rPr>
          <w:noProof/>
          <w:szCs w:val="22"/>
        </w:rPr>
        <w:t xml:space="preserve"> budete užívať ďalšie lieky, povedzte to svojmu lekárovi alebo lekárnikovi. T</w:t>
      </w:r>
      <w:r w:rsidR="00C14C59">
        <w:rPr>
          <w:noProof/>
          <w:szCs w:val="22"/>
        </w:rPr>
        <w:t>ýka sa to</w:t>
      </w:r>
      <w:r>
        <w:rPr>
          <w:noProof/>
          <w:szCs w:val="22"/>
        </w:rPr>
        <w:t xml:space="preserve"> liek</w:t>
      </w:r>
      <w:r w:rsidR="00C14C59">
        <w:rPr>
          <w:noProof/>
          <w:szCs w:val="22"/>
        </w:rPr>
        <w:t>ov</w:t>
      </w:r>
      <w:r>
        <w:rPr>
          <w:noProof/>
          <w:szCs w:val="22"/>
        </w:rPr>
        <w:t>, ktorých výdaj nie je viazaný na lekársky predpis a rastlinné prípravky. Dôvodom je to, že tablety Ranitidine môžu ovplyniť spôsob účin</w:t>
      </w:r>
      <w:r w:rsidR="00C14C59">
        <w:rPr>
          <w:noProof/>
          <w:szCs w:val="22"/>
        </w:rPr>
        <w:t>ku</w:t>
      </w:r>
      <w:r>
        <w:rPr>
          <w:noProof/>
          <w:szCs w:val="22"/>
        </w:rPr>
        <w:t xml:space="preserve"> iných liekov. T</w:t>
      </w:r>
      <w:r w:rsidR="00C14C59">
        <w:rPr>
          <w:noProof/>
          <w:szCs w:val="22"/>
        </w:rPr>
        <w:t>akt</w:t>
      </w:r>
      <w:r>
        <w:rPr>
          <w:noProof/>
          <w:szCs w:val="22"/>
        </w:rPr>
        <w:t>iež iné lieky môžu ovplyvňovať spôsob účin</w:t>
      </w:r>
      <w:r w:rsidR="00C14C59">
        <w:rPr>
          <w:noProof/>
          <w:szCs w:val="22"/>
        </w:rPr>
        <w:t>ku</w:t>
      </w:r>
      <w:r>
        <w:rPr>
          <w:noProof/>
          <w:szCs w:val="22"/>
        </w:rPr>
        <w:t xml:space="preserve"> tabliet Ranitidine.</w:t>
      </w:r>
    </w:p>
    <w:p w:rsidR="009660AB" w:rsidRPr="0028779D" w:rsidRDefault="009660AB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660AB" w:rsidRPr="0028779D" w:rsidRDefault="009660AB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  <w:noProof/>
          <w:szCs w:val="22"/>
        </w:rPr>
        <w:t>Neužívajte tieto tablety v rovnakom čase ako nasledovné lieky:</w:t>
      </w:r>
    </w:p>
    <w:p w:rsidR="009660AB" w:rsidRPr="0028779D" w:rsidRDefault="00CB1FA6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szCs w:val="22"/>
        </w:rPr>
        <w:t>A</w:t>
      </w:r>
      <w:r w:rsidR="009660AB" w:rsidRPr="0028779D">
        <w:rPr>
          <w:szCs w:val="22"/>
        </w:rPr>
        <w:t>k sa počas liečby ranitidínom zvažuje použitie erlotinibu, podávanie sa musí rozvrhnúť, napr. erlotinib sa musí užívať najmenej 2 hodiny pred alebo 10 hodín po užití ranitidínu. Je možné, že po dlhodobom podávaní ranitidínu bude vstrebávanie kyanokobalamínu zníže</w:t>
      </w:r>
      <w:r w:rsidR="002F7664" w:rsidRPr="0028779D">
        <w:rPr>
          <w:szCs w:val="22"/>
        </w:rPr>
        <w:t>né, čo vyústi do</w:t>
      </w:r>
      <w:r w:rsidR="003D19E6">
        <w:rPr>
          <w:szCs w:val="22"/>
        </w:rPr>
        <w:t> </w:t>
      </w:r>
      <w:r w:rsidR="002F7664" w:rsidRPr="0028779D">
        <w:rPr>
          <w:szCs w:val="22"/>
        </w:rPr>
        <w:t>nedostatku vita</w:t>
      </w:r>
      <w:r w:rsidR="009660AB" w:rsidRPr="0028779D">
        <w:rPr>
          <w:szCs w:val="22"/>
        </w:rPr>
        <w:t>mínu B</w:t>
      </w:r>
      <w:r w:rsidR="009660AB" w:rsidRPr="002F6A6A">
        <w:rPr>
          <w:szCs w:val="22"/>
          <w:vertAlign w:val="subscript"/>
        </w:rPr>
        <w:t>12</w:t>
      </w:r>
      <w:r w:rsidR="009660AB" w:rsidRPr="0028779D">
        <w:rPr>
          <w:szCs w:val="22"/>
        </w:rPr>
        <w:t>.</w:t>
      </w:r>
    </w:p>
    <w:p w:rsidR="009660AB" w:rsidRPr="0028779D" w:rsidRDefault="00CB1FA6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A</w:t>
      </w:r>
      <w:r w:rsidR="002F7664" w:rsidRPr="0028779D">
        <w:rPr>
          <w:noProof/>
          <w:szCs w:val="22"/>
        </w:rPr>
        <w:t xml:space="preserve">k </w:t>
      </w:r>
      <w:r w:rsidRPr="0028779D">
        <w:rPr>
          <w:noProof/>
          <w:szCs w:val="22"/>
        </w:rPr>
        <w:t>u</w:t>
      </w:r>
      <w:r w:rsidR="002F7664" w:rsidRPr="0028779D">
        <w:rPr>
          <w:noProof/>
          <w:szCs w:val="22"/>
        </w:rPr>
        <w:t>žívate tento liek v rovnakom čase ako teofylín (liek proti astme), môže byť potrebná úprava dávky teofylínu.</w:t>
      </w:r>
    </w:p>
    <w:p w:rsidR="002F7664" w:rsidRPr="0028779D" w:rsidRDefault="00CB1FA6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O</w:t>
      </w:r>
      <w:r w:rsidR="002F7664" w:rsidRPr="0028779D">
        <w:rPr>
          <w:noProof/>
          <w:szCs w:val="22"/>
        </w:rPr>
        <w:t>patrnosť sa vyžaduje pri sú</w:t>
      </w:r>
      <w:r w:rsidR="00022B9F">
        <w:rPr>
          <w:noProof/>
          <w:szCs w:val="22"/>
        </w:rPr>
        <w:t>bež</w:t>
      </w:r>
      <w:r w:rsidR="002F7664" w:rsidRPr="0028779D">
        <w:rPr>
          <w:noProof/>
          <w:szCs w:val="22"/>
        </w:rPr>
        <w:t>nom pod</w:t>
      </w:r>
      <w:r w:rsidR="00DD5133">
        <w:rPr>
          <w:noProof/>
          <w:szCs w:val="22"/>
        </w:rPr>
        <w:t>áva</w:t>
      </w:r>
      <w:r w:rsidR="002F7664" w:rsidRPr="0028779D">
        <w:rPr>
          <w:noProof/>
          <w:szCs w:val="22"/>
        </w:rPr>
        <w:t>ní atazanaviru alebo delaviridínu pri liečbe HIV infekcie alebo gefitinibu pri liečbe rakoviny pľúc.</w:t>
      </w:r>
    </w:p>
    <w:p w:rsidR="002F7664" w:rsidRPr="0028779D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L</w:t>
      </w:r>
      <w:r w:rsidR="002F7664" w:rsidRPr="0028779D">
        <w:rPr>
          <w:noProof/>
          <w:szCs w:val="22"/>
        </w:rPr>
        <w:t>idokaín, lokálne anestetikum</w:t>
      </w:r>
      <w:r w:rsidR="00C14C59">
        <w:rPr>
          <w:noProof/>
          <w:szCs w:val="22"/>
        </w:rPr>
        <w:t>.</w:t>
      </w:r>
    </w:p>
    <w:p w:rsidR="002F7664" w:rsidRPr="0028779D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P</w:t>
      </w:r>
      <w:r w:rsidR="002F7664" w:rsidRPr="0028779D">
        <w:rPr>
          <w:noProof/>
          <w:szCs w:val="22"/>
        </w:rPr>
        <w:t>ropranol</w:t>
      </w:r>
      <w:r w:rsidR="001F38D5">
        <w:rPr>
          <w:noProof/>
          <w:szCs w:val="22"/>
        </w:rPr>
        <w:t>ol</w:t>
      </w:r>
      <w:r w:rsidR="002F7664" w:rsidRPr="0028779D">
        <w:rPr>
          <w:noProof/>
          <w:szCs w:val="22"/>
        </w:rPr>
        <w:t>, prokaínamid alebo n-acetylprokaínamid, pri ochoreniach srdca</w:t>
      </w:r>
      <w:r w:rsidR="00C14C59">
        <w:rPr>
          <w:noProof/>
          <w:szCs w:val="22"/>
        </w:rPr>
        <w:t>.</w:t>
      </w:r>
    </w:p>
    <w:p w:rsidR="002F7664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D</w:t>
      </w:r>
      <w:r w:rsidR="002F7664" w:rsidRPr="0028779D">
        <w:rPr>
          <w:noProof/>
          <w:szCs w:val="22"/>
        </w:rPr>
        <w:t>iazepam, pri stavoch nepokoja a</w:t>
      </w:r>
      <w:r w:rsidR="00C14C59">
        <w:rPr>
          <w:noProof/>
          <w:szCs w:val="22"/>
        </w:rPr>
        <w:t> </w:t>
      </w:r>
      <w:r w:rsidR="002F7664" w:rsidRPr="0028779D">
        <w:rPr>
          <w:noProof/>
          <w:szCs w:val="22"/>
        </w:rPr>
        <w:t>úzkosti</w:t>
      </w:r>
      <w:r w:rsidR="00C14C59">
        <w:rPr>
          <w:noProof/>
          <w:szCs w:val="22"/>
        </w:rPr>
        <w:t>.</w:t>
      </w:r>
    </w:p>
    <w:p w:rsidR="001F38D5" w:rsidRDefault="001F38D5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>
        <w:rPr>
          <w:noProof/>
          <w:szCs w:val="22"/>
        </w:rPr>
        <w:t>Fenytoín, na epilepsiu.</w:t>
      </w:r>
    </w:p>
    <w:p w:rsidR="001F38D5" w:rsidRPr="0028779D" w:rsidRDefault="001F38D5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>
        <w:rPr>
          <w:noProof/>
          <w:szCs w:val="22"/>
        </w:rPr>
        <w:t>Warfarín, na riedenie krvi.</w:t>
      </w:r>
    </w:p>
    <w:p w:rsidR="002F7664" w:rsidRPr="0028779D" w:rsidRDefault="005231B4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A</w:t>
      </w:r>
      <w:r w:rsidR="00CF5A6C" w:rsidRPr="0028779D">
        <w:rPr>
          <w:noProof/>
          <w:szCs w:val="22"/>
        </w:rPr>
        <w:t xml:space="preserve">ntacidá a sukralfát (ďalší liek na liečbu ochorení ako sú žalúdočné a dvanástnikové vredy), </w:t>
      </w:r>
    </w:p>
    <w:p w:rsidR="00CF5A6C" w:rsidRPr="0028779D" w:rsidRDefault="00CF5A6C" w:rsidP="002F6A6A">
      <w:pPr>
        <w:ind w:left="426" w:firstLine="0"/>
        <w:rPr>
          <w:noProof/>
          <w:szCs w:val="22"/>
        </w:rPr>
      </w:pPr>
      <w:r w:rsidRPr="0028779D">
        <w:rPr>
          <w:noProof/>
          <w:szCs w:val="22"/>
        </w:rPr>
        <w:t>sú</w:t>
      </w:r>
      <w:r w:rsidR="00335674">
        <w:rPr>
          <w:noProof/>
          <w:szCs w:val="22"/>
        </w:rPr>
        <w:t>bež</w:t>
      </w:r>
      <w:r w:rsidRPr="0028779D">
        <w:rPr>
          <w:noProof/>
          <w:szCs w:val="22"/>
        </w:rPr>
        <w:t>né užitie môže znížiť vstreb</w:t>
      </w:r>
      <w:r w:rsidR="001B7F74">
        <w:rPr>
          <w:noProof/>
          <w:szCs w:val="22"/>
        </w:rPr>
        <w:t>áva</w:t>
      </w:r>
      <w:r w:rsidRPr="0028779D">
        <w:rPr>
          <w:noProof/>
          <w:szCs w:val="22"/>
        </w:rPr>
        <w:t>nie ranitidínu do krvného obehu (v</w:t>
      </w:r>
      <w:r w:rsidR="00D90EDE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dôsledku čoho bude menej účinný). Z tohto dôvodu sa preto musia tieto lieky užívať asi 2 hodiny po užití ranitidínu.</w:t>
      </w:r>
    </w:p>
    <w:p w:rsidR="00CF5A6C" w:rsidRPr="0028779D" w:rsidRDefault="00D90EDE" w:rsidP="00C929A1">
      <w:pPr>
        <w:numPr>
          <w:ilvl w:val="0"/>
          <w:numId w:val="14"/>
        </w:num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A</w:t>
      </w:r>
      <w:r w:rsidR="00CF5A6C" w:rsidRPr="0028779D">
        <w:rPr>
          <w:noProof/>
          <w:szCs w:val="22"/>
        </w:rPr>
        <w:t>k užívate nesteroidné protizápalové lieky proti bolesti (NSAID, ako je aspirín).</w:t>
      </w:r>
    </w:p>
    <w:p w:rsidR="00CF5A6C" w:rsidRPr="0028779D" w:rsidRDefault="00D90EDE" w:rsidP="002F6A6A">
      <w:pPr>
        <w:numPr>
          <w:ilvl w:val="0"/>
          <w:numId w:val="14"/>
        </w:numPr>
        <w:ind w:left="426" w:hanging="426"/>
        <w:rPr>
          <w:noProof/>
          <w:szCs w:val="22"/>
        </w:rPr>
      </w:pPr>
      <w:r w:rsidRPr="0028779D">
        <w:rPr>
          <w:noProof/>
          <w:szCs w:val="22"/>
        </w:rPr>
        <w:t>L</w:t>
      </w:r>
      <w:r w:rsidR="00CF5A6C" w:rsidRPr="0028779D">
        <w:rPr>
          <w:noProof/>
          <w:szCs w:val="22"/>
        </w:rPr>
        <w:t>ieky, ktorých vstreb</w:t>
      </w:r>
      <w:r w:rsidR="00081E2F">
        <w:rPr>
          <w:noProof/>
          <w:szCs w:val="22"/>
        </w:rPr>
        <w:t>áva</w:t>
      </w:r>
      <w:r w:rsidR="00CF5A6C" w:rsidRPr="0028779D">
        <w:rPr>
          <w:noProof/>
          <w:szCs w:val="22"/>
        </w:rPr>
        <w:t xml:space="preserve">nie </w:t>
      </w:r>
      <w:r w:rsidR="004A59F2" w:rsidRPr="0028779D">
        <w:rPr>
          <w:noProof/>
          <w:szCs w:val="22"/>
        </w:rPr>
        <w:t xml:space="preserve">je </w:t>
      </w:r>
      <w:r w:rsidR="00CF5A6C" w:rsidRPr="0028779D">
        <w:rPr>
          <w:noProof/>
          <w:szCs w:val="22"/>
        </w:rPr>
        <w:t>závislé od množstva kyseliny v žalúdku</w:t>
      </w:r>
      <w:r w:rsidR="004A59F2" w:rsidRPr="0028779D">
        <w:rPr>
          <w:noProof/>
          <w:szCs w:val="22"/>
        </w:rPr>
        <w:t xml:space="preserve"> môžu</w:t>
      </w:r>
      <w:r w:rsidR="00CF5A6C" w:rsidRPr="0028779D">
        <w:rPr>
          <w:noProof/>
          <w:szCs w:val="22"/>
        </w:rPr>
        <w:t xml:space="preserve"> byť ovplyvnené, keďže ranitidín ovplyvňuje kyslosť žalúdka, môžu </w:t>
      </w:r>
      <w:r w:rsidR="00471186" w:rsidRPr="0028779D">
        <w:rPr>
          <w:noProof/>
          <w:szCs w:val="22"/>
        </w:rPr>
        <w:t xml:space="preserve">to </w:t>
      </w:r>
      <w:r w:rsidR="00CF5A6C" w:rsidRPr="0028779D">
        <w:rPr>
          <w:noProof/>
          <w:szCs w:val="22"/>
        </w:rPr>
        <w:t>by</w:t>
      </w:r>
      <w:r w:rsidR="004A59F2" w:rsidRPr="0028779D">
        <w:rPr>
          <w:noProof/>
          <w:szCs w:val="22"/>
        </w:rPr>
        <w:t>ť</w:t>
      </w:r>
      <w:r w:rsidR="00CF5A6C" w:rsidRPr="0028779D">
        <w:rPr>
          <w:noProof/>
          <w:szCs w:val="22"/>
        </w:rPr>
        <w:t xml:space="preserve"> zmeny vo vstreb</w:t>
      </w:r>
      <w:r w:rsidR="00081E2F">
        <w:rPr>
          <w:noProof/>
          <w:szCs w:val="22"/>
        </w:rPr>
        <w:t>áva</w:t>
      </w:r>
      <w:r w:rsidR="00CF5A6C" w:rsidRPr="0028779D">
        <w:rPr>
          <w:noProof/>
          <w:szCs w:val="22"/>
        </w:rPr>
        <w:t xml:space="preserve">ní </w:t>
      </w:r>
      <w:r w:rsidR="004A59F2" w:rsidRPr="0028779D">
        <w:rPr>
          <w:noProof/>
          <w:szCs w:val="22"/>
        </w:rPr>
        <w:t xml:space="preserve">tohto </w:t>
      </w:r>
      <w:r w:rsidR="00BB0B95">
        <w:rPr>
          <w:noProof/>
          <w:szCs w:val="22"/>
        </w:rPr>
        <w:t>typu liečiv</w:t>
      </w:r>
      <w:r w:rsidR="004A59F2" w:rsidRPr="0028779D">
        <w:rPr>
          <w:noProof/>
          <w:szCs w:val="22"/>
        </w:rPr>
        <w:t xml:space="preserve"> do krvi s následnými zmenami v ich účinku. To má za následok buď väčšie vstreb</w:t>
      </w:r>
      <w:r w:rsidR="001A62C7">
        <w:rPr>
          <w:noProof/>
          <w:szCs w:val="22"/>
        </w:rPr>
        <w:t>áva</w:t>
      </w:r>
      <w:r w:rsidR="004A59F2" w:rsidRPr="0028779D">
        <w:rPr>
          <w:noProof/>
          <w:szCs w:val="22"/>
        </w:rPr>
        <w:t xml:space="preserve">nie, napr. triazolam, midazolam (používané, aby vám pomohli zaspať a/alebo </w:t>
      </w:r>
      <w:r w:rsidRPr="0028779D">
        <w:rPr>
          <w:noProof/>
          <w:szCs w:val="22"/>
        </w:rPr>
        <w:t>na zmiernenie</w:t>
      </w:r>
      <w:r w:rsidR="004A59F2" w:rsidRPr="0028779D">
        <w:rPr>
          <w:noProof/>
          <w:szCs w:val="22"/>
        </w:rPr>
        <w:t xml:space="preserve"> úzkosti) alebo glipizid (liečivo používané na zníženie hladiny cukru v krvi), alebo menšie vstreb</w:t>
      </w:r>
      <w:r w:rsidR="00FB5E51">
        <w:rPr>
          <w:noProof/>
          <w:szCs w:val="22"/>
        </w:rPr>
        <w:t>áva</w:t>
      </w:r>
      <w:r w:rsidR="004A59F2" w:rsidRPr="0028779D">
        <w:rPr>
          <w:noProof/>
          <w:szCs w:val="22"/>
        </w:rPr>
        <w:t xml:space="preserve">nie, napr. ketokonazol, itrakonazol a posakonazol </w:t>
      </w:r>
      <w:r w:rsidRPr="0028779D">
        <w:rPr>
          <w:noProof/>
          <w:szCs w:val="22"/>
        </w:rPr>
        <w:t>(lieky používané na liečbu plesň</w:t>
      </w:r>
      <w:r w:rsidR="004A59F2" w:rsidRPr="0028779D">
        <w:rPr>
          <w:noProof/>
          <w:szCs w:val="22"/>
        </w:rPr>
        <w:t>ových infekcií).</w:t>
      </w:r>
    </w:p>
    <w:p w:rsidR="00CF5A6C" w:rsidRPr="0028779D" w:rsidRDefault="00CF5A6C" w:rsidP="00CF5A6C">
      <w:pPr>
        <w:rPr>
          <w:noProof/>
          <w:szCs w:val="22"/>
        </w:rPr>
      </w:pPr>
    </w:p>
    <w:p w:rsidR="0025422C" w:rsidRPr="0028779D" w:rsidRDefault="0047118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</w:rPr>
        <w:t>Ranitidine Accord</w:t>
      </w:r>
      <w:r w:rsidR="0025422C" w:rsidRPr="0028779D">
        <w:rPr>
          <w:b/>
          <w:noProof/>
          <w:szCs w:val="22"/>
        </w:rPr>
        <w:t xml:space="preserve"> a jedlo</w:t>
      </w:r>
      <w:r w:rsidRPr="0028779D">
        <w:rPr>
          <w:b/>
          <w:noProof/>
          <w:szCs w:val="22"/>
        </w:rPr>
        <w:t>,</w:t>
      </w:r>
      <w:r w:rsidR="00C929A1" w:rsidRPr="0028779D">
        <w:rPr>
          <w:b/>
          <w:noProof/>
          <w:szCs w:val="22"/>
        </w:rPr>
        <w:t xml:space="preserve"> </w:t>
      </w:r>
      <w:r w:rsidR="0025422C" w:rsidRPr="0028779D">
        <w:rPr>
          <w:b/>
          <w:noProof/>
          <w:szCs w:val="22"/>
        </w:rPr>
        <w:t>nápoje</w:t>
      </w:r>
      <w:r w:rsidRPr="0028779D">
        <w:rPr>
          <w:b/>
          <w:noProof/>
          <w:szCs w:val="22"/>
        </w:rPr>
        <w:t xml:space="preserve"> </w:t>
      </w:r>
      <w:r w:rsidR="0025422C" w:rsidRPr="0028779D">
        <w:rPr>
          <w:b/>
          <w:noProof/>
          <w:szCs w:val="22"/>
        </w:rPr>
        <w:t>a</w:t>
      </w:r>
      <w:r w:rsidRPr="0028779D">
        <w:rPr>
          <w:b/>
          <w:noProof/>
          <w:szCs w:val="22"/>
        </w:rPr>
        <w:t xml:space="preserve"> </w:t>
      </w:r>
      <w:r w:rsidR="0025422C" w:rsidRPr="0028779D">
        <w:rPr>
          <w:b/>
          <w:noProof/>
          <w:szCs w:val="22"/>
        </w:rPr>
        <w:t>alkohol</w:t>
      </w:r>
    </w:p>
    <w:p w:rsidR="00471186" w:rsidRPr="0028779D" w:rsidRDefault="0047118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Účinok malého množstva alk</w:t>
      </w:r>
      <w:r w:rsidR="00D90EDE" w:rsidRPr="0028779D">
        <w:rPr>
          <w:noProof/>
          <w:szCs w:val="22"/>
        </w:rPr>
        <w:t>oholu môže byť zosilnený, ak uži</w:t>
      </w:r>
      <w:r w:rsidRPr="0028779D">
        <w:rPr>
          <w:noProof/>
          <w:szCs w:val="22"/>
        </w:rPr>
        <w:t>jete ranitidín v rovnakom čase.</w:t>
      </w:r>
    </w:p>
    <w:p w:rsidR="00471186" w:rsidRPr="0028779D" w:rsidRDefault="0047118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Tablety sa môžu užiť s jedlom aj bez jedla.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471186" w:rsidP="00E757C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779D">
        <w:rPr>
          <w:b/>
          <w:noProof/>
          <w:szCs w:val="22"/>
        </w:rPr>
        <w:t xml:space="preserve">Tehotenstvo, </w:t>
      </w:r>
      <w:r w:rsidR="00780926" w:rsidRPr="0028779D">
        <w:rPr>
          <w:b/>
          <w:noProof/>
          <w:szCs w:val="22"/>
        </w:rPr>
        <w:t>dojčenie</w:t>
      </w:r>
      <w:r w:rsidR="0025422C" w:rsidRPr="0028779D">
        <w:rPr>
          <w:b/>
          <w:noProof/>
          <w:szCs w:val="22"/>
        </w:rPr>
        <w:t xml:space="preserve"> </w:t>
      </w:r>
      <w:r w:rsidRPr="0028779D">
        <w:rPr>
          <w:b/>
          <w:noProof/>
          <w:szCs w:val="22"/>
        </w:rPr>
        <w:t>a plodnosť</w:t>
      </w:r>
    </w:p>
    <w:p w:rsidR="00471186" w:rsidRPr="0028779D" w:rsidRDefault="00471186" w:rsidP="00E757C6">
      <w:pPr>
        <w:numPr>
          <w:ilvl w:val="12"/>
          <w:numId w:val="0"/>
        </w:numPr>
        <w:ind w:right="-2"/>
        <w:outlineLvl w:val="0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Tehotenstvo</w:t>
      </w:r>
    </w:p>
    <w:p w:rsidR="00471186" w:rsidRPr="0028779D" w:rsidRDefault="00471186" w:rsidP="00471186">
      <w:pPr>
        <w:numPr>
          <w:ilvl w:val="12"/>
          <w:numId w:val="0"/>
        </w:numPr>
        <w:rPr>
          <w:noProof/>
          <w:szCs w:val="22"/>
        </w:rPr>
      </w:pPr>
      <w:r w:rsidRPr="0028779D">
        <w:rPr>
          <w:noProof/>
          <w:szCs w:val="22"/>
        </w:rPr>
        <w:t>Ak ste tehotná alebo dojčíte</w:t>
      </w:r>
      <w:r w:rsidR="001F38D5">
        <w:rPr>
          <w:noProof/>
          <w:szCs w:val="22"/>
        </w:rPr>
        <w:t>, ak si myslíte, že ste tehotná</w:t>
      </w:r>
      <w:r w:rsidR="004F0CBA">
        <w:rPr>
          <w:noProof/>
          <w:szCs w:val="22"/>
        </w:rPr>
        <w:t xml:space="preserve"> alebo </w:t>
      </w:r>
      <w:r w:rsidR="001F38D5">
        <w:rPr>
          <w:noProof/>
          <w:szCs w:val="22"/>
        </w:rPr>
        <w:t xml:space="preserve">ak </w:t>
      </w:r>
      <w:r w:rsidR="004F0CBA" w:rsidRPr="0028779D">
        <w:rPr>
          <w:noProof/>
          <w:szCs w:val="22"/>
        </w:rPr>
        <w:t>plánujete otehotnieť</w:t>
      </w:r>
      <w:r w:rsidRPr="0028779D">
        <w:rPr>
          <w:noProof/>
          <w:szCs w:val="22"/>
        </w:rPr>
        <w:t xml:space="preserve">, </w:t>
      </w:r>
      <w:r w:rsidR="00650DC8">
        <w:rPr>
          <w:noProof/>
          <w:szCs w:val="22"/>
        </w:rPr>
        <w:t>poraď</w:t>
      </w:r>
      <w:r w:rsidRPr="0028779D">
        <w:rPr>
          <w:noProof/>
          <w:szCs w:val="22"/>
        </w:rPr>
        <w:t xml:space="preserve">te sa </w:t>
      </w:r>
      <w:r w:rsidR="00650DC8">
        <w:rPr>
          <w:noProof/>
          <w:szCs w:val="22"/>
        </w:rPr>
        <w:t>so</w:t>
      </w:r>
      <w:r w:rsidRPr="0028779D">
        <w:rPr>
          <w:noProof/>
          <w:szCs w:val="22"/>
        </w:rPr>
        <w:t xml:space="preserve"> svoj</w:t>
      </w:r>
      <w:r w:rsidR="00650DC8">
        <w:rPr>
          <w:noProof/>
          <w:szCs w:val="22"/>
        </w:rPr>
        <w:t>ím</w:t>
      </w:r>
      <w:r w:rsidRPr="0028779D">
        <w:rPr>
          <w:noProof/>
          <w:szCs w:val="22"/>
        </w:rPr>
        <w:t xml:space="preserve"> lekár</w:t>
      </w:r>
      <w:r w:rsidR="00650DC8">
        <w:rPr>
          <w:noProof/>
          <w:szCs w:val="22"/>
        </w:rPr>
        <w:t>om</w:t>
      </w:r>
      <w:r w:rsidRPr="0028779D">
        <w:rPr>
          <w:noProof/>
          <w:szCs w:val="22"/>
        </w:rPr>
        <w:t xml:space="preserve"> alebo lekárnik</w:t>
      </w:r>
      <w:r w:rsidR="00650DC8">
        <w:rPr>
          <w:noProof/>
          <w:szCs w:val="22"/>
        </w:rPr>
        <w:t>om</w:t>
      </w:r>
      <w:r w:rsidR="001F38D5">
        <w:rPr>
          <w:noProof/>
          <w:szCs w:val="22"/>
        </w:rPr>
        <w:t xml:space="preserve"> predtým, ako začnete užívať tento liek</w:t>
      </w:r>
      <w:r w:rsidRPr="0028779D">
        <w:rPr>
          <w:noProof/>
          <w:szCs w:val="22"/>
        </w:rPr>
        <w:t xml:space="preserve">. Dosiaľ sa nepozorovali žiadne vedľajšie účinky pri použití ranitidínu počas tehotenstva. Poraďte sa so svojím lekárom alebo </w:t>
      </w:r>
      <w:r w:rsidRPr="0028779D">
        <w:rPr>
          <w:noProof/>
          <w:szCs w:val="22"/>
        </w:rPr>
        <w:lastRenderedPageBreak/>
        <w:t>lekárnikom predtým, ako začnete užívať akýkoľvek liek.</w:t>
      </w:r>
      <w:r w:rsidR="00680573" w:rsidRPr="0028779D">
        <w:rPr>
          <w:noProof/>
          <w:szCs w:val="22"/>
        </w:rPr>
        <w:t xml:space="preserve"> Ranitidín sa má uží</w:t>
      </w:r>
      <w:r w:rsidRPr="0028779D">
        <w:rPr>
          <w:noProof/>
          <w:szCs w:val="22"/>
        </w:rPr>
        <w:t>va</w:t>
      </w:r>
      <w:r w:rsidR="00680573" w:rsidRPr="0028779D">
        <w:rPr>
          <w:noProof/>
          <w:szCs w:val="22"/>
        </w:rPr>
        <w:t>ť</w:t>
      </w:r>
      <w:r w:rsidRPr="0028779D">
        <w:rPr>
          <w:noProof/>
          <w:szCs w:val="22"/>
        </w:rPr>
        <w:t xml:space="preserve"> počas tehotenstva, len ak sa </w:t>
      </w:r>
      <w:r w:rsidR="00680573" w:rsidRPr="0028779D">
        <w:rPr>
          <w:noProof/>
          <w:szCs w:val="22"/>
        </w:rPr>
        <w:t>to považuje za nevyhnutné.</w:t>
      </w:r>
    </w:p>
    <w:p w:rsidR="00D90EDE" w:rsidRPr="0028779D" w:rsidRDefault="00D90EDE" w:rsidP="00471186">
      <w:pPr>
        <w:numPr>
          <w:ilvl w:val="12"/>
          <w:numId w:val="0"/>
        </w:numPr>
        <w:rPr>
          <w:noProof/>
          <w:szCs w:val="22"/>
        </w:rPr>
      </w:pPr>
    </w:p>
    <w:p w:rsidR="00471186" w:rsidRPr="0028779D" w:rsidRDefault="00471186" w:rsidP="00E757C6">
      <w:pPr>
        <w:numPr>
          <w:ilvl w:val="12"/>
          <w:numId w:val="0"/>
        </w:numPr>
        <w:ind w:right="-2"/>
        <w:outlineLvl w:val="0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Dojčenie</w:t>
      </w:r>
    </w:p>
    <w:p w:rsidR="00780926" w:rsidRPr="0028779D" w:rsidRDefault="00680573" w:rsidP="0068057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noProof/>
          <w:szCs w:val="22"/>
        </w:rPr>
        <w:t>Ranitidín prechádza do materského mlieka. Nie je známe, či toto má nejaký vplyv na dojča, a preto sa dojčenie neodporúča, ak užívate tento liek. P</w:t>
      </w:r>
      <w:r w:rsidR="00780926" w:rsidRPr="0028779D">
        <w:rPr>
          <w:noProof/>
          <w:szCs w:val="22"/>
        </w:rPr>
        <w:t>oraďte sa so svojím lekárom</w:t>
      </w:r>
      <w:r w:rsidRPr="0028779D">
        <w:rPr>
          <w:noProof/>
          <w:szCs w:val="22"/>
        </w:rPr>
        <w:t xml:space="preserve"> </w:t>
      </w:r>
      <w:r w:rsidR="00780926" w:rsidRPr="0028779D">
        <w:rPr>
          <w:noProof/>
          <w:szCs w:val="22"/>
        </w:rPr>
        <w:t>alebo</w:t>
      </w:r>
      <w:r w:rsidRPr="0028779D">
        <w:rPr>
          <w:noProof/>
          <w:szCs w:val="22"/>
        </w:rPr>
        <w:t xml:space="preserve"> </w:t>
      </w:r>
      <w:r w:rsidR="00780926" w:rsidRPr="0028779D">
        <w:rPr>
          <w:noProof/>
          <w:szCs w:val="22"/>
        </w:rPr>
        <w:t>lekárnikom</w:t>
      </w:r>
      <w:r w:rsidRPr="0028779D">
        <w:rPr>
          <w:noProof/>
          <w:szCs w:val="22"/>
        </w:rPr>
        <w:t>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 xml:space="preserve">Vedenie </w:t>
      </w:r>
      <w:r w:rsidR="00A43F3E" w:rsidRPr="0028779D">
        <w:rPr>
          <w:b/>
          <w:noProof/>
          <w:szCs w:val="22"/>
        </w:rPr>
        <w:t xml:space="preserve">vozidiel </w:t>
      </w:r>
      <w:r w:rsidRPr="0028779D">
        <w:rPr>
          <w:b/>
          <w:noProof/>
          <w:szCs w:val="22"/>
        </w:rPr>
        <w:t>a obsluha strojov</w:t>
      </w:r>
    </w:p>
    <w:p w:rsidR="00780926" w:rsidRPr="0028779D" w:rsidRDefault="00680573" w:rsidP="00E757C6">
      <w:pPr>
        <w:numPr>
          <w:ilvl w:val="12"/>
          <w:numId w:val="0"/>
        </w:numPr>
        <w:ind w:right="-29"/>
        <w:rPr>
          <w:noProof/>
          <w:szCs w:val="22"/>
        </w:rPr>
      </w:pPr>
      <w:r w:rsidRPr="0028779D">
        <w:rPr>
          <w:noProof/>
          <w:szCs w:val="22"/>
        </w:rPr>
        <w:t>Ranitidín nemá žiadny alebo má len zanedbateľný vplyv na schopnosť viesť vozidlá a obsluhovať stroje.</w:t>
      </w:r>
    </w:p>
    <w:p w:rsidR="00680573" w:rsidRPr="0028779D" w:rsidRDefault="00680573" w:rsidP="00E757C6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28779D" w:rsidRDefault="00680573" w:rsidP="00E757C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779D">
        <w:rPr>
          <w:b/>
        </w:rPr>
        <w:t xml:space="preserve">Ranitidine Accord </w:t>
      </w:r>
      <w:r w:rsidR="00A43F3E" w:rsidRPr="0028779D">
        <w:rPr>
          <w:b/>
          <w:noProof/>
          <w:szCs w:val="22"/>
        </w:rPr>
        <w:t xml:space="preserve">obsahuje </w:t>
      </w:r>
      <w:r w:rsidR="009B6065" w:rsidRPr="0028779D">
        <w:rPr>
          <w:b/>
          <w:noProof/>
          <w:szCs w:val="22"/>
        </w:rPr>
        <w:t>ric</w:t>
      </w:r>
      <w:r w:rsidR="009B6065">
        <w:rPr>
          <w:b/>
          <w:noProof/>
          <w:szCs w:val="22"/>
        </w:rPr>
        <w:t>í</w:t>
      </w:r>
      <w:r w:rsidR="009B6065" w:rsidRPr="0028779D">
        <w:rPr>
          <w:b/>
          <w:noProof/>
          <w:szCs w:val="22"/>
        </w:rPr>
        <w:t xml:space="preserve">nový </w:t>
      </w:r>
      <w:r w:rsidRPr="0028779D">
        <w:rPr>
          <w:b/>
          <w:noProof/>
          <w:szCs w:val="22"/>
        </w:rPr>
        <w:t>olej</w:t>
      </w:r>
    </w:p>
    <w:p w:rsidR="00780926" w:rsidRPr="0028779D" w:rsidRDefault="00680573" w:rsidP="00E757C6">
      <w:pPr>
        <w:rPr>
          <w:noProof/>
          <w:szCs w:val="22"/>
        </w:rPr>
      </w:pPr>
      <w:r w:rsidRPr="0028779D">
        <w:rPr>
          <w:noProof/>
          <w:szCs w:val="22"/>
        </w:rPr>
        <w:t xml:space="preserve">Môže </w:t>
      </w:r>
      <w:r w:rsidR="000F39FC">
        <w:rPr>
          <w:noProof/>
          <w:szCs w:val="22"/>
        </w:rPr>
        <w:t xml:space="preserve">vyvolať </w:t>
      </w:r>
      <w:r w:rsidRPr="0028779D">
        <w:rPr>
          <w:noProof/>
          <w:szCs w:val="22"/>
        </w:rPr>
        <w:t>žalúdočn</w:t>
      </w:r>
      <w:r w:rsidR="000F39FC">
        <w:rPr>
          <w:noProof/>
          <w:szCs w:val="22"/>
        </w:rPr>
        <w:t>é ťažkosti</w:t>
      </w:r>
      <w:r w:rsidRPr="0028779D">
        <w:rPr>
          <w:noProof/>
          <w:szCs w:val="22"/>
        </w:rPr>
        <w:t xml:space="preserve"> a hnačku.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3.</w:t>
      </w:r>
      <w:r w:rsidRPr="0028779D">
        <w:rPr>
          <w:b/>
          <w:noProof/>
          <w:szCs w:val="22"/>
        </w:rPr>
        <w:tab/>
      </w:r>
      <w:r w:rsidR="00013C9F" w:rsidRPr="0028779D">
        <w:rPr>
          <w:b/>
          <w:noProof/>
          <w:szCs w:val="22"/>
        </w:rPr>
        <w:t>Ako užívať</w:t>
      </w:r>
      <w:r w:rsidR="00680573" w:rsidRPr="0028779D">
        <w:rPr>
          <w:b/>
          <w:noProof/>
          <w:szCs w:val="22"/>
        </w:rPr>
        <w:t xml:space="preserve"> </w:t>
      </w:r>
      <w:r w:rsidR="00680573" w:rsidRPr="0028779D">
        <w:rPr>
          <w:b/>
          <w:iCs/>
        </w:rPr>
        <w:t>Ranitidine Accord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77A4A" w:rsidRPr="0028779D" w:rsidRDefault="00780926" w:rsidP="00E757C6">
      <w:pPr>
        <w:ind w:left="0" w:firstLine="0"/>
        <w:rPr>
          <w:bCs/>
          <w:noProof/>
          <w:szCs w:val="22"/>
        </w:rPr>
      </w:pPr>
      <w:r w:rsidRPr="0028779D">
        <w:rPr>
          <w:bCs/>
          <w:noProof/>
          <w:szCs w:val="22"/>
        </w:rPr>
        <w:t>Vždy užívajte</w:t>
      </w:r>
      <w:r w:rsidR="00680573" w:rsidRPr="0028779D">
        <w:rPr>
          <w:bCs/>
          <w:noProof/>
          <w:szCs w:val="22"/>
        </w:rPr>
        <w:t xml:space="preserve"> </w:t>
      </w:r>
      <w:r w:rsidR="00177A4A" w:rsidRPr="0028779D">
        <w:rPr>
          <w:noProof/>
          <w:szCs w:val="22"/>
        </w:rPr>
        <w:t>tento liek</w:t>
      </w:r>
      <w:r w:rsidRPr="0028779D">
        <w:rPr>
          <w:bCs/>
          <w:noProof/>
          <w:szCs w:val="22"/>
        </w:rPr>
        <w:t xml:space="preserve"> presne tak, ako </w:t>
      </w:r>
      <w:r w:rsidR="00177A4A" w:rsidRPr="0028779D">
        <w:rPr>
          <w:bCs/>
          <w:noProof/>
          <w:szCs w:val="22"/>
        </w:rPr>
        <w:t xml:space="preserve">vám </w:t>
      </w:r>
      <w:r w:rsidRPr="0028779D">
        <w:rPr>
          <w:bCs/>
          <w:noProof/>
          <w:szCs w:val="22"/>
        </w:rPr>
        <w:t>povedal</w:t>
      </w:r>
      <w:r w:rsidR="00635C39" w:rsidRPr="0028779D">
        <w:rPr>
          <w:bCs/>
          <w:noProof/>
          <w:szCs w:val="22"/>
        </w:rPr>
        <w:t xml:space="preserve"> </w:t>
      </w:r>
      <w:r w:rsidR="00177A4A" w:rsidRPr="0028779D">
        <w:rPr>
          <w:bCs/>
          <w:noProof/>
          <w:szCs w:val="22"/>
        </w:rPr>
        <w:t xml:space="preserve">váš </w:t>
      </w:r>
      <w:r w:rsidRPr="0028779D">
        <w:rPr>
          <w:bCs/>
          <w:noProof/>
          <w:szCs w:val="22"/>
        </w:rPr>
        <w:t>lekár</w:t>
      </w:r>
      <w:r w:rsidR="00457415">
        <w:rPr>
          <w:bCs/>
          <w:noProof/>
          <w:szCs w:val="22"/>
        </w:rPr>
        <w:t xml:space="preserve"> alebo lekárnik</w:t>
      </w:r>
      <w:r w:rsidRPr="0028779D">
        <w:rPr>
          <w:bCs/>
          <w:noProof/>
          <w:szCs w:val="22"/>
        </w:rPr>
        <w:t>. Ak si nie ste niečím istý, overte si to u svojho lekára alebo</w:t>
      </w:r>
      <w:r w:rsidR="007044C3" w:rsidRPr="0028779D">
        <w:rPr>
          <w:bCs/>
          <w:noProof/>
          <w:szCs w:val="22"/>
        </w:rPr>
        <w:t xml:space="preserve"> </w:t>
      </w:r>
      <w:r w:rsidRPr="0028779D">
        <w:rPr>
          <w:bCs/>
          <w:noProof/>
          <w:szCs w:val="22"/>
        </w:rPr>
        <w:t>lekárnika</w:t>
      </w:r>
      <w:r w:rsidR="007044C3" w:rsidRPr="0028779D">
        <w:rPr>
          <w:bCs/>
          <w:noProof/>
          <w:szCs w:val="22"/>
        </w:rPr>
        <w:t>.</w:t>
      </w:r>
    </w:p>
    <w:p w:rsidR="007044C3" w:rsidRPr="0028779D" w:rsidRDefault="007044C3" w:rsidP="00E757C6">
      <w:pPr>
        <w:ind w:left="0" w:firstLine="0"/>
        <w:rPr>
          <w:bCs/>
          <w:noProof/>
          <w:szCs w:val="22"/>
        </w:rPr>
      </w:pPr>
    </w:p>
    <w:p w:rsidR="007044C3" w:rsidRPr="0028779D" w:rsidRDefault="007044C3" w:rsidP="00E757C6">
      <w:pPr>
        <w:ind w:left="0" w:firstLine="0"/>
        <w:rPr>
          <w:b/>
          <w:bCs/>
          <w:noProof/>
          <w:szCs w:val="22"/>
        </w:rPr>
      </w:pPr>
      <w:r w:rsidRPr="0028779D">
        <w:rPr>
          <w:b/>
          <w:bCs/>
          <w:noProof/>
          <w:szCs w:val="22"/>
        </w:rPr>
        <w:t>Dávkovanie a spôsob pod</w:t>
      </w:r>
      <w:r w:rsidR="00A43956">
        <w:rPr>
          <w:b/>
          <w:bCs/>
          <w:noProof/>
          <w:szCs w:val="22"/>
        </w:rPr>
        <w:t>áva</w:t>
      </w:r>
      <w:r w:rsidRPr="0028779D">
        <w:rPr>
          <w:b/>
          <w:bCs/>
          <w:noProof/>
          <w:szCs w:val="22"/>
        </w:rPr>
        <w:t>nia</w:t>
      </w:r>
    </w:p>
    <w:p w:rsidR="007044C3" w:rsidRPr="0028779D" w:rsidRDefault="001D156A" w:rsidP="00E757C6">
      <w:pPr>
        <w:ind w:left="0" w:firstLine="0"/>
        <w:rPr>
          <w:bCs/>
          <w:noProof/>
          <w:szCs w:val="22"/>
        </w:rPr>
      </w:pPr>
      <w:r w:rsidRPr="0028779D">
        <w:rPr>
          <w:bCs/>
          <w:noProof/>
          <w:szCs w:val="22"/>
        </w:rPr>
        <w:t>Tablety môžete preh</w:t>
      </w:r>
      <w:r w:rsidR="00DF696F">
        <w:rPr>
          <w:bCs/>
          <w:noProof/>
          <w:szCs w:val="22"/>
        </w:rPr>
        <w:t>ĺ</w:t>
      </w:r>
      <w:r w:rsidRPr="0028779D">
        <w:rPr>
          <w:bCs/>
          <w:noProof/>
          <w:szCs w:val="22"/>
        </w:rPr>
        <w:t>tnuť s trochou vody</w:t>
      </w:r>
      <w:r w:rsidR="007044C3" w:rsidRPr="0028779D">
        <w:rPr>
          <w:bCs/>
          <w:noProof/>
          <w:szCs w:val="22"/>
        </w:rPr>
        <w:t>. Nie je nutné užívať tablety spolu s jedlom.</w:t>
      </w:r>
    </w:p>
    <w:p w:rsidR="007044C3" w:rsidRPr="0028779D" w:rsidRDefault="007044C3" w:rsidP="00E757C6">
      <w:pPr>
        <w:ind w:left="0" w:firstLine="0"/>
        <w:rPr>
          <w:bCs/>
          <w:noProof/>
          <w:szCs w:val="22"/>
        </w:rPr>
      </w:pPr>
    </w:p>
    <w:p w:rsidR="007044C3" w:rsidRPr="0028779D" w:rsidRDefault="007044C3" w:rsidP="00E757C6">
      <w:pPr>
        <w:ind w:left="0" w:firstLine="0"/>
        <w:rPr>
          <w:bCs/>
          <w:noProof/>
          <w:szCs w:val="22"/>
        </w:rPr>
      </w:pPr>
      <w:r w:rsidRPr="0028779D">
        <w:rPr>
          <w:bCs/>
          <w:noProof/>
          <w:szCs w:val="22"/>
        </w:rPr>
        <w:t>Ak máte užiť dávku ranitidínu raz denne, potom je najlepšie užiť ju večer pred spaním. Pri dávkovaní dvakrát denne musíte užiť ranitidín ráno a večer.</w:t>
      </w:r>
    </w:p>
    <w:p w:rsidR="00177A4A" w:rsidRPr="0028779D" w:rsidRDefault="00177A4A" w:rsidP="00E757C6">
      <w:pPr>
        <w:ind w:left="0" w:firstLine="0"/>
        <w:rPr>
          <w:bCs/>
          <w:noProof/>
          <w:szCs w:val="22"/>
        </w:rPr>
      </w:pPr>
    </w:p>
    <w:p w:rsidR="00780926" w:rsidRPr="0028779D" w:rsidRDefault="00177A4A" w:rsidP="00E757C6">
      <w:pPr>
        <w:ind w:left="0" w:firstLine="0"/>
        <w:rPr>
          <w:bCs/>
          <w:noProof/>
          <w:szCs w:val="22"/>
        </w:rPr>
      </w:pPr>
      <w:r w:rsidRPr="0028779D">
        <w:rPr>
          <w:noProof/>
          <w:szCs w:val="22"/>
        </w:rPr>
        <w:t>Odporúčaná</w:t>
      </w:r>
      <w:r w:rsidR="00780926" w:rsidRPr="0028779D">
        <w:rPr>
          <w:bCs/>
          <w:noProof/>
          <w:szCs w:val="22"/>
        </w:rPr>
        <w:t xml:space="preserve"> dávka je</w:t>
      </w:r>
      <w:r w:rsidR="007044C3" w:rsidRPr="0028779D">
        <w:rPr>
          <w:bCs/>
          <w:noProof/>
          <w:szCs w:val="22"/>
        </w:rPr>
        <w:t>:</w:t>
      </w:r>
    </w:p>
    <w:p w:rsidR="007044C3" w:rsidRPr="0028779D" w:rsidRDefault="007044C3" w:rsidP="00E757C6">
      <w:pPr>
        <w:ind w:left="0" w:firstLine="0"/>
        <w:rPr>
          <w:bCs/>
          <w:i/>
          <w:noProof/>
          <w:szCs w:val="22"/>
        </w:rPr>
      </w:pPr>
      <w:r w:rsidRPr="0028779D">
        <w:rPr>
          <w:bCs/>
          <w:i/>
          <w:noProof/>
          <w:szCs w:val="22"/>
        </w:rPr>
        <w:t>Dospelí (vrátane starších)/dospievajúci (</w:t>
      </w:r>
      <w:r w:rsidR="00726FF4">
        <w:rPr>
          <w:bCs/>
          <w:i/>
          <w:noProof/>
          <w:szCs w:val="22"/>
        </w:rPr>
        <w:t xml:space="preserve">vo veku </w:t>
      </w:r>
      <w:r w:rsidRPr="0028779D">
        <w:rPr>
          <w:bCs/>
          <w:i/>
          <w:noProof/>
          <w:szCs w:val="22"/>
        </w:rPr>
        <w:t>12</w:t>
      </w:r>
      <w:r w:rsidR="001D156A" w:rsidRPr="0028779D">
        <w:rPr>
          <w:bCs/>
          <w:i/>
          <w:noProof/>
          <w:szCs w:val="22"/>
        </w:rPr>
        <w:t xml:space="preserve"> </w:t>
      </w:r>
      <w:r w:rsidRPr="0028779D">
        <w:rPr>
          <w:bCs/>
          <w:i/>
          <w:noProof/>
          <w:szCs w:val="22"/>
        </w:rPr>
        <w:t>ro</w:t>
      </w:r>
      <w:r w:rsidR="00726FF4">
        <w:rPr>
          <w:bCs/>
          <w:i/>
          <w:noProof/>
          <w:szCs w:val="22"/>
        </w:rPr>
        <w:t>kov</w:t>
      </w:r>
      <w:r w:rsidRPr="0028779D">
        <w:rPr>
          <w:bCs/>
          <w:i/>
          <w:noProof/>
          <w:szCs w:val="22"/>
        </w:rPr>
        <w:t xml:space="preserve"> a starší)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044C3" w:rsidRPr="0028779D" w:rsidRDefault="00B34696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Dvanástnikový</w:t>
      </w:r>
      <w:r w:rsidR="007044C3" w:rsidRPr="0028779D">
        <w:rPr>
          <w:noProof/>
          <w:szCs w:val="22"/>
          <w:u w:val="single"/>
        </w:rPr>
        <w:t xml:space="preserve"> a </w:t>
      </w:r>
      <w:r>
        <w:rPr>
          <w:noProof/>
          <w:szCs w:val="22"/>
          <w:u w:val="single"/>
        </w:rPr>
        <w:t>nezhubný</w:t>
      </w:r>
      <w:r w:rsidR="007044C3" w:rsidRPr="0028779D">
        <w:rPr>
          <w:noProof/>
          <w:szCs w:val="22"/>
          <w:u w:val="single"/>
        </w:rPr>
        <w:t xml:space="preserve"> </w:t>
      </w:r>
      <w:r>
        <w:rPr>
          <w:noProof/>
          <w:szCs w:val="22"/>
          <w:u w:val="single"/>
        </w:rPr>
        <w:t>žalúdočný</w:t>
      </w:r>
      <w:r w:rsidR="007044C3" w:rsidRPr="0028779D">
        <w:rPr>
          <w:noProof/>
          <w:szCs w:val="22"/>
          <w:u w:val="single"/>
        </w:rPr>
        <w:t xml:space="preserve"> vred</w:t>
      </w:r>
    </w:p>
    <w:p w:rsidR="007044C3" w:rsidRPr="0028779D" w:rsidRDefault="007044C3" w:rsidP="00E757C6">
      <w:pPr>
        <w:numPr>
          <w:ilvl w:val="12"/>
          <w:numId w:val="0"/>
        </w:numPr>
        <w:ind w:right="-2"/>
      </w:pPr>
      <w:r w:rsidRPr="0028779D">
        <w:rPr>
          <w:noProof/>
          <w:szCs w:val="22"/>
        </w:rPr>
        <w:t>Dve 150 mg tablety ranitidínu</w:t>
      </w:r>
      <w:r w:rsidRPr="0028779D">
        <w:rPr>
          <w:noProof/>
          <w:szCs w:val="22"/>
          <w:u w:val="single"/>
        </w:rPr>
        <w:t xml:space="preserve"> </w:t>
      </w:r>
      <w:r w:rsidRPr="0028779D">
        <w:t>(= 300 mg ranitidínu) za deň (=</w:t>
      </w:r>
      <w:r w:rsidR="00F81B64">
        <w:t xml:space="preserve"> </w:t>
      </w:r>
      <w:r w:rsidRPr="0028779D">
        <w:t>24 ho</w:t>
      </w:r>
      <w:r w:rsidR="0072196E" w:rsidRPr="0028779D">
        <w:t>dín</w:t>
      </w:r>
      <w:r w:rsidRPr="0028779D">
        <w:t>) ako jednorazová dávka po</w:t>
      </w:r>
      <w:r w:rsidR="001342DA">
        <w:t> </w:t>
      </w:r>
      <w:r w:rsidRPr="0028779D">
        <w:t xml:space="preserve">večeri alebo večer pred spaním, alebo dve dávky, t.j. 150 mg ráno a 150 mg večer pred spaním. Liečba trvá 4 týždne, </w:t>
      </w:r>
      <w:r w:rsidR="0072196E" w:rsidRPr="0028779D">
        <w:t>ale môže sa pred</w:t>
      </w:r>
      <w:r w:rsidR="001342DA">
        <w:t>ĺ</w:t>
      </w:r>
      <w:r w:rsidR="0072196E" w:rsidRPr="0028779D">
        <w:t>žiť na 8 týždňov.</w:t>
      </w:r>
    </w:p>
    <w:p w:rsidR="0072196E" w:rsidRPr="0028779D" w:rsidRDefault="0072196E" w:rsidP="00E757C6">
      <w:pPr>
        <w:numPr>
          <w:ilvl w:val="12"/>
          <w:numId w:val="0"/>
        </w:numPr>
        <w:ind w:right="-2"/>
      </w:pP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u w:val="single"/>
        </w:rPr>
      </w:pPr>
      <w:r w:rsidRPr="0028779D">
        <w:rPr>
          <w:u w:val="single"/>
        </w:rPr>
        <w:t>Dlhodobá liečba d</w:t>
      </w:r>
      <w:r w:rsidR="00212D69">
        <w:rPr>
          <w:u w:val="single"/>
        </w:rPr>
        <w:t>vanástni</w:t>
      </w:r>
      <w:r w:rsidR="00013C9F">
        <w:rPr>
          <w:u w:val="single"/>
        </w:rPr>
        <w:t>k</w:t>
      </w:r>
      <w:r w:rsidR="00212D69">
        <w:rPr>
          <w:u w:val="single"/>
        </w:rPr>
        <w:t>ových</w:t>
      </w:r>
      <w:r w:rsidRPr="0028779D">
        <w:rPr>
          <w:u w:val="single"/>
        </w:rPr>
        <w:t xml:space="preserve"> vredov, pacienti s rekurentnými (opätovne vyskytujúcimi sa) vredmi</w:t>
      </w:r>
    </w:p>
    <w:p w:rsidR="007044C3" w:rsidRPr="0028779D" w:rsidRDefault="0072196E" w:rsidP="00E757C6">
      <w:pPr>
        <w:numPr>
          <w:ilvl w:val="12"/>
          <w:numId w:val="0"/>
        </w:numPr>
        <w:ind w:right="-2"/>
      </w:pPr>
      <w:r w:rsidRPr="0028779D">
        <w:rPr>
          <w:noProof/>
          <w:szCs w:val="22"/>
        </w:rPr>
        <w:t xml:space="preserve">Jedna 150 mg tableta ranitidínu za deň </w:t>
      </w:r>
      <w:r w:rsidRPr="0028779D">
        <w:t>(= 24 hodín) večer pred spaním. Liečba trvá 12 mesiacov alebo menej podľa rozhodnutia vášho lekára.</w:t>
      </w:r>
    </w:p>
    <w:p w:rsidR="0072196E" w:rsidRPr="0028779D" w:rsidRDefault="0072196E" w:rsidP="00E757C6">
      <w:pPr>
        <w:numPr>
          <w:ilvl w:val="12"/>
          <w:numId w:val="0"/>
        </w:numPr>
        <w:ind w:right="-2"/>
      </w:pP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szCs w:val="22"/>
          <w:u w:val="single"/>
        </w:rPr>
        <w:t xml:space="preserve">Zápal pažeráka ako dôsledok </w:t>
      </w:r>
      <w:r w:rsidR="00524E4A">
        <w:rPr>
          <w:szCs w:val="22"/>
          <w:u w:val="single"/>
        </w:rPr>
        <w:t>návratu</w:t>
      </w:r>
      <w:r w:rsidRPr="0028779D">
        <w:rPr>
          <w:szCs w:val="22"/>
          <w:u w:val="single"/>
        </w:rPr>
        <w:t xml:space="preserve"> obsahu žalúdka</w:t>
      </w:r>
      <w:r w:rsidRPr="0028779D">
        <w:rPr>
          <w:noProof/>
          <w:szCs w:val="22"/>
          <w:u w:val="single"/>
        </w:rPr>
        <w:t xml:space="preserve"> (refluxná ezofagitída)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noProof/>
          <w:szCs w:val="22"/>
        </w:rPr>
        <w:t>Dve 150 mg tablety ranitidínu</w:t>
      </w:r>
      <w:r w:rsidRPr="0028779D">
        <w:rPr>
          <w:noProof/>
          <w:szCs w:val="22"/>
          <w:u w:val="single"/>
        </w:rPr>
        <w:t xml:space="preserve"> </w:t>
      </w:r>
      <w:r w:rsidRPr="0028779D">
        <w:t>(= 300 mg ranitidínu) za deň (=</w:t>
      </w:r>
      <w:r w:rsidR="00741BA0">
        <w:t xml:space="preserve"> </w:t>
      </w:r>
      <w:r w:rsidRPr="0028779D">
        <w:t>24 hodín) ako jednorazová dávka po</w:t>
      </w:r>
      <w:r w:rsidR="00744624">
        <w:t> </w:t>
      </w:r>
      <w:r w:rsidRPr="0028779D">
        <w:t xml:space="preserve">večeri alebo večer pred spaním. Ak je to nevyhnutné, tablety sa môžu užiť v dvoch dávkach, 150 mg </w:t>
      </w:r>
      <w:r w:rsidR="00E0602C" w:rsidRPr="0028779D">
        <w:t>ráno</w:t>
      </w:r>
      <w:r w:rsidRPr="0028779D">
        <w:t xml:space="preserve"> a 150 mg večer pred spaním. Liečba trvá 8 týždňov.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2196E" w:rsidRPr="0028779D" w:rsidRDefault="0072196E" w:rsidP="0072196E">
      <w:pPr>
        <w:ind w:left="0" w:firstLine="0"/>
        <w:jc w:val="both"/>
        <w:rPr>
          <w:szCs w:val="22"/>
          <w:u w:val="single"/>
        </w:rPr>
      </w:pPr>
      <w:r w:rsidRPr="0028779D">
        <w:rPr>
          <w:szCs w:val="22"/>
          <w:u w:val="single"/>
        </w:rPr>
        <w:t>Zollingerov-Ellisonov syndróm (ochorenie, pri ktorom žalúdok tvorí priveľa kyseliny)</w:t>
      </w:r>
    </w:p>
    <w:p w:rsidR="0072196E" w:rsidRPr="0028779D" w:rsidRDefault="00D522EB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Začiatočná</w:t>
      </w:r>
      <w:r w:rsidR="0072196E" w:rsidRPr="0028779D">
        <w:rPr>
          <w:noProof/>
          <w:szCs w:val="22"/>
        </w:rPr>
        <w:t xml:space="preserve"> dávka: jedna 150 mg tableta ranitidínu </w:t>
      </w:r>
      <w:r w:rsidR="00572823" w:rsidRPr="0028779D">
        <w:rPr>
          <w:noProof/>
          <w:szCs w:val="22"/>
        </w:rPr>
        <w:t xml:space="preserve">trikrát denne </w:t>
      </w:r>
      <w:r w:rsidR="00572823" w:rsidRPr="0028779D">
        <w:t>(=</w:t>
      </w:r>
      <w:r w:rsidR="00741BA0">
        <w:t xml:space="preserve"> </w:t>
      </w:r>
      <w:r w:rsidR="00572823" w:rsidRPr="0028779D">
        <w:t>24 hodín). Ak je to nevyhnutné, dávkovanie sa môže zvýšiť na 600</w:t>
      </w:r>
      <w:r w:rsidR="00D91B1C">
        <w:t xml:space="preserve"> – </w:t>
      </w:r>
      <w:r w:rsidR="00572823" w:rsidRPr="0028779D">
        <w:t>900 mg (4</w:t>
      </w:r>
      <w:r w:rsidR="00D91B1C">
        <w:t xml:space="preserve"> – </w:t>
      </w:r>
      <w:r w:rsidR="00572823" w:rsidRPr="0028779D">
        <w:t>6 tabliet) za deň (=</w:t>
      </w:r>
      <w:r w:rsidR="00741BA0">
        <w:t xml:space="preserve"> </w:t>
      </w:r>
      <w:r w:rsidR="00572823" w:rsidRPr="0028779D">
        <w:t>24 hodín). Dĺžka liečby: podľa pokynov vášho lekára.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2196E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Pacienti s poruchou funkcie obličiek:</w:t>
      </w:r>
    </w:p>
    <w:p w:rsidR="0072196E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Dávkovanie vám zníži váš lekár v závislosti od rozsahu, v akom je funkcia vašich obličiek po</w:t>
      </w:r>
      <w:r w:rsidR="00013C9F">
        <w:rPr>
          <w:noProof/>
          <w:szCs w:val="22"/>
        </w:rPr>
        <w:t>škodená</w:t>
      </w:r>
      <w:r w:rsidRPr="0028779D">
        <w:rPr>
          <w:noProof/>
          <w:szCs w:val="22"/>
        </w:rPr>
        <w:t>.</w:t>
      </w:r>
    </w:p>
    <w:p w:rsidR="0072196E" w:rsidRPr="0028779D" w:rsidRDefault="0072196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2196E" w:rsidRPr="0028779D" w:rsidRDefault="00572823" w:rsidP="00E757C6">
      <w:pPr>
        <w:numPr>
          <w:ilvl w:val="12"/>
          <w:numId w:val="0"/>
        </w:numPr>
        <w:ind w:right="-2"/>
        <w:rPr>
          <w:b/>
          <w:noProof/>
          <w:szCs w:val="22"/>
          <w:u w:val="single"/>
        </w:rPr>
      </w:pPr>
      <w:r w:rsidRPr="0028779D">
        <w:rPr>
          <w:b/>
          <w:noProof/>
          <w:szCs w:val="22"/>
          <w:u w:val="single"/>
        </w:rPr>
        <w:t>Deti vo veku 3 až 11 rokov a s</w:t>
      </w:r>
      <w:r w:rsidR="00FB4DA1">
        <w:rPr>
          <w:b/>
          <w:noProof/>
          <w:szCs w:val="22"/>
          <w:u w:val="single"/>
        </w:rPr>
        <w:t xml:space="preserve"> telesnou </w:t>
      </w:r>
      <w:r w:rsidRPr="0028779D">
        <w:rPr>
          <w:b/>
          <w:noProof/>
          <w:szCs w:val="22"/>
          <w:u w:val="single"/>
        </w:rPr>
        <w:t>hmotnosťou vyššou ako 30 kg</w:t>
      </w: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4832FE">
        <w:rPr>
          <w:noProof/>
          <w:szCs w:val="22"/>
        </w:rPr>
        <w:t xml:space="preserve">Váš lekár vypočíta pre vás správnu dávku na základe </w:t>
      </w:r>
      <w:r w:rsidR="001B3ADE">
        <w:rPr>
          <w:noProof/>
          <w:szCs w:val="22"/>
        </w:rPr>
        <w:t xml:space="preserve">telesnej </w:t>
      </w:r>
      <w:r w:rsidRPr="004832FE">
        <w:rPr>
          <w:noProof/>
          <w:szCs w:val="22"/>
        </w:rPr>
        <w:t>hmotnosti vášho die</w:t>
      </w:r>
      <w:r w:rsidRPr="001B3ADE">
        <w:rPr>
          <w:noProof/>
          <w:szCs w:val="22"/>
        </w:rPr>
        <w:t>ťaťa.</w:t>
      </w: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823" w:rsidRPr="0028779D" w:rsidRDefault="00572823" w:rsidP="00E42905">
      <w:pPr>
        <w:keepNext/>
        <w:numPr>
          <w:ilvl w:val="12"/>
          <w:numId w:val="0"/>
        </w:numPr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lastRenderedPageBreak/>
        <w:t>Liečba žalúdočných a dvanástnikových vredov (vredov v tenkom čreve)</w:t>
      </w:r>
    </w:p>
    <w:p w:rsidR="00572823" w:rsidRDefault="00572823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Zvyčajná dávka je 2 mg na </w:t>
      </w:r>
      <w:r w:rsidR="004B5C11" w:rsidRPr="0028779D">
        <w:rPr>
          <w:noProof/>
          <w:szCs w:val="22"/>
        </w:rPr>
        <w:t xml:space="preserve">každý </w:t>
      </w:r>
      <w:r w:rsidRPr="0028779D">
        <w:rPr>
          <w:noProof/>
          <w:szCs w:val="22"/>
        </w:rPr>
        <w:t xml:space="preserve">kg telesnej hmotnosti, dvakrát denne počas štyroch týždňov. </w:t>
      </w:r>
      <w:r w:rsidR="00D522EB" w:rsidRPr="0028779D">
        <w:rPr>
          <w:noProof/>
          <w:szCs w:val="22"/>
        </w:rPr>
        <w:t>Táto d</w:t>
      </w:r>
      <w:r w:rsidRPr="0028779D">
        <w:rPr>
          <w:noProof/>
          <w:szCs w:val="22"/>
        </w:rPr>
        <w:t xml:space="preserve">ávka sa môže zvýšiť na 4 mg na </w:t>
      </w:r>
      <w:r w:rsidR="004B5C11" w:rsidRPr="0028779D">
        <w:rPr>
          <w:noProof/>
          <w:szCs w:val="22"/>
        </w:rPr>
        <w:t xml:space="preserve">každý </w:t>
      </w:r>
      <w:r w:rsidRPr="0028779D">
        <w:rPr>
          <w:noProof/>
          <w:szCs w:val="22"/>
        </w:rPr>
        <w:t>kg dvakrát denne. Každú dávku užite s odstupom 12 hodín. Dĺžka liečby sa môže predĺžiť na 8 týždňov.</w:t>
      </w:r>
    </w:p>
    <w:p w:rsidR="00B5482A" w:rsidRPr="0028779D" w:rsidRDefault="00B5482A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72823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28779D">
        <w:rPr>
          <w:noProof/>
          <w:szCs w:val="22"/>
          <w:u w:val="single"/>
        </w:rPr>
        <w:t>Liečba pálenia záhy spôsobenej kvôli veľkému množstvu kyseliny</w:t>
      </w:r>
    </w:p>
    <w:p w:rsidR="00572823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Zvyčajná dávka je 2,5 mg na každý kg telesnej hmotnosti dvakrát denne počas dvoch týždňov. Dávka sa môže zvýšiť na 5 mg na každý kg dvakrát denne. Každú dávku užite s ods</w:t>
      </w:r>
      <w:r w:rsidR="00013C9F">
        <w:rPr>
          <w:noProof/>
          <w:szCs w:val="22"/>
        </w:rPr>
        <w:t>t</w:t>
      </w:r>
      <w:r w:rsidRPr="0028779D">
        <w:rPr>
          <w:noProof/>
          <w:szCs w:val="22"/>
        </w:rPr>
        <w:t>upom približne 12 hodín.</w:t>
      </w:r>
    </w:p>
    <w:p w:rsidR="00572823" w:rsidRPr="0028779D" w:rsidRDefault="00572823" w:rsidP="00E757C6">
      <w:pPr>
        <w:numPr>
          <w:ilvl w:val="12"/>
          <w:numId w:val="0"/>
        </w:numPr>
        <w:ind w:right="-2"/>
        <w:rPr>
          <w:b/>
          <w:noProof/>
          <w:szCs w:val="22"/>
          <w:u w:val="single"/>
        </w:rPr>
      </w:pPr>
    </w:p>
    <w:p w:rsidR="00457415" w:rsidRPr="00E42905" w:rsidRDefault="00457415" w:rsidP="00457415">
      <w:pPr>
        <w:numPr>
          <w:ilvl w:val="12"/>
          <w:numId w:val="0"/>
        </w:numPr>
        <w:ind w:right="-2"/>
        <w:rPr>
          <w:b/>
          <w:noProof/>
          <w:szCs w:val="22"/>
          <w:u w:val="single"/>
        </w:rPr>
      </w:pPr>
      <w:r w:rsidRPr="00E42905">
        <w:rPr>
          <w:b/>
          <w:noProof/>
          <w:szCs w:val="22"/>
          <w:u w:val="single"/>
        </w:rPr>
        <w:t>Novorodenci</w:t>
      </w:r>
    </w:p>
    <w:p w:rsidR="00572823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Bezpečnosť a účinnosť u novorodencov nebol</w:t>
      </w:r>
      <w:r w:rsidR="00C64A58">
        <w:rPr>
          <w:noProof/>
          <w:szCs w:val="22"/>
        </w:rPr>
        <w:t>i</w:t>
      </w:r>
      <w:r w:rsidRPr="0028779D">
        <w:rPr>
          <w:noProof/>
          <w:szCs w:val="22"/>
        </w:rPr>
        <w:t xml:space="preserve"> stanoven</w:t>
      </w:r>
      <w:r w:rsidR="00C64A58">
        <w:rPr>
          <w:noProof/>
          <w:szCs w:val="22"/>
        </w:rPr>
        <w:t>é</w:t>
      </w:r>
      <w:r w:rsidRPr="0028779D">
        <w:rPr>
          <w:noProof/>
          <w:szCs w:val="22"/>
        </w:rPr>
        <w:t>.</w:t>
      </w:r>
    </w:p>
    <w:p w:rsidR="009962CE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962CE" w:rsidRPr="0028779D" w:rsidRDefault="009962CE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Ak zbadáte, že účinok tabliet </w:t>
      </w:r>
      <w:r w:rsidR="00D62B2B">
        <w:rPr>
          <w:noProof/>
          <w:szCs w:val="22"/>
        </w:rPr>
        <w:t xml:space="preserve">s obsahom </w:t>
      </w:r>
      <w:r w:rsidRPr="0028779D">
        <w:rPr>
          <w:noProof/>
          <w:szCs w:val="22"/>
        </w:rPr>
        <w:t xml:space="preserve">ranitidínu je príliš silný alebo nie je dostatočne silný, </w:t>
      </w:r>
      <w:r w:rsidR="00481673" w:rsidRPr="0028779D">
        <w:rPr>
          <w:noProof/>
          <w:szCs w:val="22"/>
        </w:rPr>
        <w:t>obráťte sa na svojho</w:t>
      </w:r>
      <w:r w:rsidRPr="0028779D">
        <w:rPr>
          <w:noProof/>
          <w:szCs w:val="22"/>
        </w:rPr>
        <w:t xml:space="preserve"> </w:t>
      </w:r>
      <w:r w:rsidR="00481673" w:rsidRPr="0028779D">
        <w:rPr>
          <w:noProof/>
          <w:szCs w:val="22"/>
        </w:rPr>
        <w:t xml:space="preserve">lekára </w:t>
      </w:r>
      <w:r w:rsidRPr="0028779D">
        <w:rPr>
          <w:noProof/>
          <w:szCs w:val="22"/>
        </w:rPr>
        <w:t xml:space="preserve">alebo </w:t>
      </w:r>
      <w:r w:rsidR="00481673" w:rsidRPr="0028779D">
        <w:rPr>
          <w:noProof/>
          <w:szCs w:val="22"/>
        </w:rPr>
        <w:t>lekárnika</w:t>
      </w:r>
      <w:r w:rsidRPr="0028779D">
        <w:rPr>
          <w:noProof/>
          <w:szCs w:val="22"/>
        </w:rPr>
        <w:t>.</w:t>
      </w:r>
    </w:p>
    <w:p w:rsidR="009962CE" w:rsidRPr="0028779D" w:rsidRDefault="009962CE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Ak užijete</w:t>
      </w:r>
      <w:r w:rsidR="009962CE" w:rsidRPr="0028779D">
        <w:rPr>
          <w:b/>
          <w:noProof/>
          <w:szCs w:val="22"/>
        </w:rPr>
        <w:t xml:space="preserve"> </w:t>
      </w:r>
      <w:r w:rsidRPr="0028779D">
        <w:rPr>
          <w:b/>
          <w:noProof/>
          <w:szCs w:val="22"/>
        </w:rPr>
        <w:t xml:space="preserve">viac </w:t>
      </w:r>
      <w:r w:rsidR="009962CE" w:rsidRPr="0028779D">
        <w:rPr>
          <w:b/>
          <w:iCs/>
        </w:rPr>
        <w:t>Ranitidine Accord</w:t>
      </w:r>
      <w:r w:rsidRPr="0028779D">
        <w:rPr>
          <w:b/>
          <w:noProof/>
          <w:szCs w:val="22"/>
        </w:rPr>
        <w:t>, ako máte</w:t>
      </w:r>
    </w:p>
    <w:p w:rsidR="00780926" w:rsidRPr="0028779D" w:rsidRDefault="0016753D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Ak ste užili viac ako je predpísaná dávka, </w:t>
      </w:r>
      <w:r w:rsidR="0079266E" w:rsidRPr="0028779D">
        <w:rPr>
          <w:noProof/>
          <w:szCs w:val="22"/>
        </w:rPr>
        <w:t>nečakajte dovtedy, kým sa opýtate svojho lekára</w:t>
      </w:r>
      <w:r w:rsidR="00024670">
        <w:rPr>
          <w:noProof/>
          <w:szCs w:val="22"/>
        </w:rPr>
        <w:t>,</w:t>
      </w:r>
      <w:r w:rsidR="00481673" w:rsidRPr="0028779D">
        <w:rPr>
          <w:noProof/>
          <w:szCs w:val="22"/>
        </w:rPr>
        <w:t xml:space="preserve"> čo máte robiť</w:t>
      </w:r>
      <w:r w:rsidR="0079266E" w:rsidRPr="0028779D">
        <w:rPr>
          <w:noProof/>
          <w:szCs w:val="22"/>
        </w:rPr>
        <w:t xml:space="preserve">, ale </w:t>
      </w:r>
      <w:r w:rsidR="00024670">
        <w:rPr>
          <w:noProof/>
          <w:szCs w:val="22"/>
        </w:rPr>
        <w:t>navštív</w:t>
      </w:r>
      <w:r w:rsidR="0079266E" w:rsidRPr="0028779D">
        <w:rPr>
          <w:noProof/>
          <w:szCs w:val="22"/>
        </w:rPr>
        <w:t xml:space="preserve">te pohotovosť </w:t>
      </w:r>
      <w:r w:rsidR="00024670">
        <w:rPr>
          <w:noProof/>
          <w:szCs w:val="22"/>
        </w:rPr>
        <w:t xml:space="preserve">v </w:t>
      </w:r>
      <w:r w:rsidR="0079266E" w:rsidRPr="0028779D">
        <w:rPr>
          <w:noProof/>
          <w:szCs w:val="22"/>
        </w:rPr>
        <w:t>najbližšej nemocnic</w:t>
      </w:r>
      <w:r w:rsidR="00024670">
        <w:rPr>
          <w:noProof/>
          <w:szCs w:val="22"/>
        </w:rPr>
        <w:t>i</w:t>
      </w:r>
      <w:r w:rsidR="0079266E" w:rsidRPr="0028779D">
        <w:rPr>
          <w:noProof/>
          <w:szCs w:val="22"/>
        </w:rPr>
        <w:t>.</w:t>
      </w:r>
    </w:p>
    <w:p w:rsidR="0016753D" w:rsidRPr="0028779D" w:rsidRDefault="0016753D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b/>
          <w:iCs/>
        </w:rPr>
      </w:pPr>
      <w:r w:rsidRPr="0028779D">
        <w:rPr>
          <w:b/>
          <w:noProof/>
          <w:szCs w:val="22"/>
        </w:rPr>
        <w:t>Ak zabudnete užiť</w:t>
      </w:r>
      <w:r w:rsidR="009962CE" w:rsidRPr="0028779D">
        <w:rPr>
          <w:b/>
          <w:noProof/>
          <w:szCs w:val="22"/>
        </w:rPr>
        <w:t xml:space="preserve"> </w:t>
      </w:r>
      <w:r w:rsidR="009962CE" w:rsidRPr="0028779D">
        <w:rPr>
          <w:b/>
          <w:iCs/>
        </w:rPr>
        <w:t>Ranitidine Accord</w:t>
      </w:r>
    </w:p>
    <w:p w:rsidR="0079266E" w:rsidRPr="0028779D" w:rsidRDefault="0079266E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iCs/>
        </w:rPr>
        <w:t xml:space="preserve">Ak ste vynechali dávku, užite túto dávku čo najskôr, ako je to možné. Ak je už však blízko čas na vašu ďalšiu dávku, vynechajte zabudnutú dávku a pokračujte v normálnom dávkovacom režime. </w:t>
      </w:r>
      <w:r w:rsidRPr="002F6A6A">
        <w:rPr>
          <w:iCs/>
        </w:rPr>
        <w:t>Nikdy neužívajte</w:t>
      </w:r>
      <w:r w:rsidR="00D522EB" w:rsidRPr="002F6A6A">
        <w:rPr>
          <w:iCs/>
        </w:rPr>
        <w:t xml:space="preserve"> </w:t>
      </w:r>
      <w:r w:rsidR="00481673" w:rsidRPr="0028779D">
        <w:rPr>
          <w:iCs/>
        </w:rPr>
        <w:t>dvojnásobnú dávku</w:t>
      </w:r>
      <w:r w:rsidRPr="0028779D">
        <w:rPr>
          <w:iCs/>
        </w:rPr>
        <w:t xml:space="preserve">. Ak si nie ste niečím istý, </w:t>
      </w:r>
      <w:r w:rsidR="00520738">
        <w:rPr>
          <w:iCs/>
        </w:rPr>
        <w:t>over</w:t>
      </w:r>
      <w:r w:rsidRPr="0028779D">
        <w:rPr>
          <w:iCs/>
        </w:rPr>
        <w:t xml:space="preserve">te </w:t>
      </w:r>
      <w:r w:rsidR="00520738">
        <w:rPr>
          <w:iCs/>
        </w:rPr>
        <w:t>si</w:t>
      </w:r>
      <w:r w:rsidRPr="0028779D">
        <w:rPr>
          <w:iCs/>
        </w:rPr>
        <w:t xml:space="preserve"> </w:t>
      </w:r>
      <w:r w:rsidR="00520738">
        <w:rPr>
          <w:iCs/>
        </w:rPr>
        <w:t>t</w:t>
      </w:r>
      <w:r w:rsidRPr="0028779D">
        <w:rPr>
          <w:iCs/>
        </w:rPr>
        <w:t xml:space="preserve">o </w:t>
      </w:r>
      <w:r w:rsidR="00520738">
        <w:rPr>
          <w:iCs/>
        </w:rPr>
        <w:t xml:space="preserve">u </w:t>
      </w:r>
      <w:r w:rsidRPr="0028779D">
        <w:rPr>
          <w:iCs/>
        </w:rPr>
        <w:t>svoj</w:t>
      </w:r>
      <w:r w:rsidR="00520738">
        <w:rPr>
          <w:iCs/>
        </w:rPr>
        <w:t>ho</w:t>
      </w:r>
      <w:r w:rsidRPr="0028779D">
        <w:rPr>
          <w:iCs/>
        </w:rPr>
        <w:t xml:space="preserve"> lekár</w:t>
      </w:r>
      <w:r w:rsidR="00520738">
        <w:rPr>
          <w:iCs/>
        </w:rPr>
        <w:t>a</w:t>
      </w:r>
      <w:r w:rsidRPr="0028779D">
        <w:rPr>
          <w:iCs/>
        </w:rPr>
        <w:t xml:space="preserve"> alebo lekárnik</w:t>
      </w:r>
      <w:r w:rsidR="00520738">
        <w:rPr>
          <w:iCs/>
        </w:rPr>
        <w:t>a</w:t>
      </w:r>
      <w:r w:rsidRPr="0028779D">
        <w:rPr>
          <w:iCs/>
        </w:rPr>
        <w:t>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779D">
        <w:rPr>
          <w:b/>
          <w:noProof/>
          <w:szCs w:val="22"/>
        </w:rPr>
        <w:t>Ak prestanete užívať</w:t>
      </w:r>
      <w:r w:rsidR="009962CE" w:rsidRPr="0028779D">
        <w:rPr>
          <w:b/>
          <w:iCs/>
        </w:rPr>
        <w:t xml:space="preserve"> Ranitidine Accord</w:t>
      </w:r>
    </w:p>
    <w:p w:rsidR="0079266E" w:rsidRPr="0028779D" w:rsidRDefault="0079266E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noProof/>
          <w:szCs w:val="22"/>
        </w:rPr>
        <w:t>Ak náhle prestanete užívať tento liek, príznaky, ktoré boli prítomné pre</w:t>
      </w:r>
      <w:r w:rsidR="008D7461">
        <w:rPr>
          <w:noProof/>
          <w:szCs w:val="22"/>
        </w:rPr>
        <w:t>d</w:t>
      </w:r>
      <w:r w:rsidRPr="0028779D">
        <w:rPr>
          <w:noProof/>
          <w:szCs w:val="22"/>
        </w:rPr>
        <w:t xml:space="preserve"> liečbou, sa môžu vrátiť.</w:t>
      </w:r>
    </w:p>
    <w:p w:rsidR="0079266E" w:rsidRPr="0028779D" w:rsidRDefault="0079266E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779D">
        <w:rPr>
          <w:noProof/>
          <w:szCs w:val="22"/>
        </w:rPr>
        <w:t xml:space="preserve">Ak máte </w:t>
      </w:r>
      <w:r w:rsidR="00C75C1C">
        <w:rPr>
          <w:noProof/>
          <w:szCs w:val="22"/>
        </w:rPr>
        <w:t xml:space="preserve">akékoľvek </w:t>
      </w:r>
      <w:r w:rsidRPr="0028779D">
        <w:rPr>
          <w:noProof/>
          <w:szCs w:val="22"/>
        </w:rPr>
        <w:t xml:space="preserve">ďalšie otázky týkajúce sa použitia tohto lieku, opýtajte sa svojho </w:t>
      </w:r>
      <w:r w:rsidR="009962CE" w:rsidRPr="0028779D">
        <w:rPr>
          <w:noProof/>
          <w:szCs w:val="22"/>
        </w:rPr>
        <w:t>lekára</w:t>
      </w:r>
      <w:r w:rsidRPr="0028779D">
        <w:rPr>
          <w:noProof/>
          <w:szCs w:val="22"/>
        </w:rPr>
        <w:t xml:space="preserve"> alebo</w:t>
      </w:r>
      <w:r w:rsidR="009962CE" w:rsidRPr="0028779D">
        <w:rPr>
          <w:noProof/>
          <w:szCs w:val="22"/>
        </w:rPr>
        <w:t xml:space="preserve"> </w:t>
      </w:r>
      <w:r w:rsidRPr="0028779D">
        <w:rPr>
          <w:noProof/>
          <w:szCs w:val="22"/>
        </w:rPr>
        <w:t>lekárnika</w:t>
      </w:r>
      <w:r w:rsidR="0016753D" w:rsidRPr="0028779D">
        <w:rPr>
          <w:noProof/>
          <w:szCs w:val="22"/>
        </w:rPr>
        <w:t>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4.</w:t>
      </w:r>
      <w:r w:rsidRPr="0028779D">
        <w:rPr>
          <w:b/>
          <w:noProof/>
          <w:szCs w:val="22"/>
        </w:rPr>
        <w:tab/>
      </w:r>
      <w:r w:rsidR="002A24BE" w:rsidRPr="0028779D">
        <w:rPr>
          <w:b/>
          <w:noProof/>
          <w:szCs w:val="22"/>
        </w:rPr>
        <w:t>Možné vedľajšie účinky</w:t>
      </w:r>
    </w:p>
    <w:p w:rsidR="00780926" w:rsidRPr="0028779D" w:rsidRDefault="00780926" w:rsidP="00E757C6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Default="00780926" w:rsidP="00E757C6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28779D">
        <w:rPr>
          <w:noProof/>
          <w:szCs w:val="22"/>
        </w:rPr>
        <w:t xml:space="preserve">Tak ako všetky lieky, aj </w:t>
      </w:r>
      <w:r w:rsidR="00A14046">
        <w:rPr>
          <w:noProof/>
          <w:szCs w:val="22"/>
        </w:rPr>
        <w:t xml:space="preserve">liek </w:t>
      </w:r>
      <w:r w:rsidR="009E5E5F" w:rsidRPr="00A565B8">
        <w:rPr>
          <w:szCs w:val="22"/>
        </w:rPr>
        <w:t>tento liek</w:t>
      </w:r>
      <w:r w:rsidR="0079266E" w:rsidRPr="0028779D">
        <w:rPr>
          <w:sz w:val="24"/>
        </w:rPr>
        <w:t xml:space="preserve"> </w:t>
      </w:r>
      <w:r w:rsidRPr="0028779D">
        <w:rPr>
          <w:noProof/>
          <w:szCs w:val="22"/>
        </w:rPr>
        <w:t>môže spôsobovať vedľajšie účinky, hoci sa neprejavia u každého.</w:t>
      </w:r>
    </w:p>
    <w:p w:rsidR="009E5E5F" w:rsidRDefault="009E5E5F" w:rsidP="00E757C6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9E5E5F" w:rsidRPr="009E5E5F" w:rsidRDefault="009E5E5F" w:rsidP="009E5E5F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9E5E5F">
        <w:rPr>
          <w:noProof/>
          <w:szCs w:val="22"/>
        </w:rPr>
        <w:t xml:space="preserve">Niektorí ľudia môžu byť alergickí na niektoré lieky. Ak sa u vás vyskytne akýkoľvek z nižšie uvedených vedľajších účinkov, obráťte sa </w:t>
      </w:r>
      <w:r w:rsidRPr="009E5E5F">
        <w:rPr>
          <w:b/>
          <w:noProof/>
          <w:szCs w:val="22"/>
        </w:rPr>
        <w:t>ihneď</w:t>
      </w:r>
      <w:r w:rsidRPr="009E5E5F">
        <w:rPr>
          <w:noProof/>
          <w:szCs w:val="22"/>
        </w:rPr>
        <w:t xml:space="preserve"> na svojho lekára alebo zdravotnú sestru:</w:t>
      </w:r>
    </w:p>
    <w:p w:rsidR="009E5E5F" w:rsidRPr="00CC764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F37060">
        <w:rPr>
          <w:noProof/>
          <w:szCs w:val="22"/>
        </w:rPr>
        <w:t>silné svrbenie kože, vyrážka alebo žihľavka</w:t>
      </w:r>
    </w:p>
    <w:p w:rsidR="009E5E5F" w:rsidRPr="00CC764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9D1D88">
        <w:rPr>
          <w:noProof/>
          <w:szCs w:val="22"/>
        </w:rPr>
        <w:t>opuch rúk, chodidiel, členkov, tváre,</w:t>
      </w:r>
      <w:r w:rsidR="00013C9F">
        <w:rPr>
          <w:noProof/>
          <w:szCs w:val="22"/>
        </w:rPr>
        <w:t xml:space="preserve"> pier,</w:t>
      </w:r>
      <w:r w:rsidRPr="00F37060">
        <w:rPr>
          <w:noProof/>
          <w:szCs w:val="22"/>
        </w:rPr>
        <w:t xml:space="preserve"> jazyka, úst alebo hrdla, čo môže spôsobiť ťažkosti s prehĺtaním a dýchaním</w:t>
      </w:r>
    </w:p>
    <w:p w:rsidR="009E5E5F" w:rsidRPr="009D1D88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9D1D88">
        <w:rPr>
          <w:noProof/>
          <w:szCs w:val="22"/>
        </w:rPr>
        <w:t>tlak na hrudi, dýchavičnosť, sipot alebo problémy s dýchaním</w:t>
      </w:r>
    </w:p>
    <w:p w:rsidR="00013C9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DE4BFE">
        <w:rPr>
          <w:noProof/>
          <w:szCs w:val="22"/>
        </w:rPr>
        <w:t>náhla horúčka</w:t>
      </w:r>
    </w:p>
    <w:p w:rsidR="009E5E5F" w:rsidRPr="00CC764F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F37060">
        <w:rPr>
          <w:noProof/>
          <w:szCs w:val="22"/>
        </w:rPr>
        <w:t xml:space="preserve">kolaps (mdloby) </w:t>
      </w:r>
    </w:p>
    <w:p w:rsidR="009E5E5F" w:rsidRPr="00DE4BFE" w:rsidRDefault="009E5E5F" w:rsidP="00E42905">
      <w:pPr>
        <w:pStyle w:val="Odsekzoznamu"/>
        <w:numPr>
          <w:ilvl w:val="0"/>
          <w:numId w:val="19"/>
        </w:numPr>
        <w:ind w:left="142" w:right="-29" w:hanging="142"/>
        <w:outlineLvl w:val="0"/>
        <w:rPr>
          <w:noProof/>
          <w:szCs w:val="22"/>
        </w:rPr>
      </w:pPr>
      <w:r w:rsidRPr="009D1D88">
        <w:rPr>
          <w:noProof/>
          <w:szCs w:val="22"/>
        </w:rPr>
        <w:t>závrat, najmä pri vstávaní</w:t>
      </w:r>
    </w:p>
    <w:p w:rsidR="007038C7" w:rsidRDefault="00457415" w:rsidP="00E42905">
      <w:pPr>
        <w:numPr>
          <w:ilvl w:val="0"/>
          <w:numId w:val="16"/>
        </w:numPr>
        <w:tabs>
          <w:tab w:val="clear" w:pos="360"/>
          <w:tab w:val="num" w:pos="180"/>
        </w:tabs>
        <w:ind w:left="142" w:right="-29" w:hanging="142"/>
        <w:outlineLvl w:val="0"/>
        <w:rPr>
          <w:noProof/>
          <w:szCs w:val="22"/>
        </w:rPr>
      </w:pPr>
      <w:r w:rsidRPr="00457415">
        <w:rPr>
          <w:noProof/>
          <w:szCs w:val="22"/>
        </w:rPr>
        <w:t>problémy s obličkami, čo môže spôsob</w:t>
      </w:r>
      <w:r w:rsidR="00F37060">
        <w:rPr>
          <w:noProof/>
          <w:szCs w:val="22"/>
        </w:rPr>
        <w:t>i</w:t>
      </w:r>
      <w:r w:rsidRPr="00457415">
        <w:rPr>
          <w:noProof/>
          <w:szCs w:val="22"/>
        </w:rPr>
        <w:t>ť bolesť chrbta, horúčku, bolesť pri močení, krv v moči a zmeny vo výsledkoch krvných testov</w:t>
      </w:r>
    </w:p>
    <w:p w:rsidR="00457415" w:rsidRPr="00457415" w:rsidRDefault="00457415" w:rsidP="00457415">
      <w:pPr>
        <w:numPr>
          <w:ilvl w:val="0"/>
          <w:numId w:val="16"/>
        </w:numPr>
        <w:tabs>
          <w:tab w:val="clear" w:pos="360"/>
          <w:tab w:val="num" w:pos="180"/>
        </w:tabs>
        <w:ind w:right="-29"/>
        <w:outlineLvl w:val="0"/>
        <w:rPr>
          <w:noProof/>
          <w:szCs w:val="22"/>
        </w:rPr>
      </w:pPr>
      <w:r w:rsidRPr="00457415">
        <w:rPr>
          <w:noProof/>
          <w:szCs w:val="22"/>
        </w:rPr>
        <w:t xml:space="preserve">prudká bolesť žalúdka, čo môže byť príznakom </w:t>
      </w:r>
      <w:r w:rsidR="00F37060">
        <w:rPr>
          <w:noProof/>
          <w:szCs w:val="22"/>
        </w:rPr>
        <w:t>ochorenia</w:t>
      </w:r>
      <w:r w:rsidRPr="00457415">
        <w:rPr>
          <w:noProof/>
          <w:szCs w:val="22"/>
        </w:rPr>
        <w:t xml:space="preserve"> s názvom „pankreatitída“</w:t>
      </w:r>
    </w:p>
    <w:p w:rsidR="00457415" w:rsidRPr="00457415" w:rsidRDefault="00457415" w:rsidP="00457415">
      <w:pPr>
        <w:numPr>
          <w:ilvl w:val="0"/>
          <w:numId w:val="16"/>
        </w:numPr>
        <w:tabs>
          <w:tab w:val="clear" w:pos="360"/>
          <w:tab w:val="num" w:pos="180"/>
        </w:tabs>
        <w:ind w:right="-29"/>
        <w:outlineLvl w:val="0"/>
        <w:rPr>
          <w:noProof/>
          <w:szCs w:val="22"/>
        </w:rPr>
      </w:pPr>
      <w:r w:rsidRPr="00457415">
        <w:rPr>
          <w:noProof/>
          <w:szCs w:val="22"/>
        </w:rPr>
        <w:t>pomalý alebo nepravidelný pulz</w:t>
      </w:r>
    </w:p>
    <w:p w:rsidR="00C17B6B" w:rsidRDefault="00C17B6B" w:rsidP="00C17B6B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 xml:space="preserve">Obráťte sa na svojho lekára, ak sa u vás vyskytne </w:t>
      </w:r>
      <w:r w:rsidRPr="00327E73">
        <w:rPr>
          <w:noProof/>
          <w:szCs w:val="22"/>
        </w:rPr>
        <w:t xml:space="preserve">akýkoľvek </w:t>
      </w:r>
      <w:r>
        <w:rPr>
          <w:noProof/>
          <w:szCs w:val="22"/>
        </w:rPr>
        <w:t xml:space="preserve">z následujúcich </w:t>
      </w:r>
      <w:r w:rsidRPr="0028779D">
        <w:rPr>
          <w:noProof/>
          <w:szCs w:val="22"/>
        </w:rPr>
        <w:t>vedľajších účinkov</w:t>
      </w:r>
      <w:r w:rsidRPr="007D0D5D">
        <w:rPr>
          <w:szCs w:val="22"/>
          <w:lang w:val="sk-SK" w:eastAsia="en-US"/>
        </w:rPr>
        <w:t>:</w:t>
      </w:r>
    </w:p>
    <w:p w:rsidR="009E5E5F" w:rsidRPr="007D0D5D" w:rsidRDefault="009E5E5F" w:rsidP="009E5E5F">
      <w:pPr>
        <w:pStyle w:val="Text"/>
        <w:ind w:left="0"/>
        <w:jc w:val="both"/>
        <w:rPr>
          <w:b/>
          <w:szCs w:val="22"/>
          <w:lang w:val="sk-SK" w:eastAsia="en-US"/>
        </w:rPr>
      </w:pPr>
      <w:r>
        <w:rPr>
          <w:b/>
          <w:szCs w:val="22"/>
          <w:lang w:val="sk-SK" w:eastAsia="en-US"/>
        </w:rPr>
        <w:t>Menej časté</w:t>
      </w:r>
      <w:r w:rsidRPr="007D0D5D">
        <w:rPr>
          <w:b/>
          <w:szCs w:val="22"/>
          <w:lang w:val="sk-SK" w:eastAsia="en-US"/>
        </w:rPr>
        <w:t xml:space="preserve">: </w:t>
      </w:r>
      <w:r w:rsidR="00457415">
        <w:rPr>
          <w:b/>
          <w:szCs w:val="22"/>
          <w:lang w:val="sk-SK" w:eastAsia="en-US"/>
        </w:rPr>
        <w:t>(</w:t>
      </w:r>
      <w:r>
        <w:rPr>
          <w:b/>
          <w:szCs w:val="22"/>
          <w:lang w:val="sk-SK" w:eastAsia="en-US"/>
        </w:rPr>
        <w:t xml:space="preserve">môžu postihovať </w:t>
      </w:r>
      <w:r w:rsidR="00F37060">
        <w:rPr>
          <w:b/>
          <w:szCs w:val="22"/>
          <w:lang w:val="sk-SK" w:eastAsia="en-US"/>
        </w:rPr>
        <w:t>menej ako</w:t>
      </w:r>
      <w:r>
        <w:rPr>
          <w:b/>
          <w:szCs w:val="22"/>
          <w:lang w:val="sk-SK" w:eastAsia="en-US"/>
        </w:rPr>
        <w:t xml:space="preserve"> </w:t>
      </w:r>
      <w:r w:rsidRPr="007D0D5D">
        <w:rPr>
          <w:b/>
          <w:szCs w:val="22"/>
          <w:lang w:val="sk-SK" w:eastAsia="en-US"/>
        </w:rPr>
        <w:t xml:space="preserve">1 </w:t>
      </w:r>
      <w:r>
        <w:rPr>
          <w:b/>
          <w:szCs w:val="22"/>
          <w:lang w:val="sk-SK" w:eastAsia="en-US"/>
        </w:rPr>
        <w:t xml:space="preserve">z </w:t>
      </w:r>
      <w:r w:rsidRPr="007D0D5D">
        <w:rPr>
          <w:b/>
          <w:szCs w:val="22"/>
          <w:lang w:val="sk-SK" w:eastAsia="en-US"/>
        </w:rPr>
        <w:t>1</w:t>
      </w:r>
      <w:r w:rsidR="00457415">
        <w:rPr>
          <w:b/>
          <w:szCs w:val="22"/>
          <w:lang w:val="sk-SK" w:eastAsia="en-US"/>
        </w:rPr>
        <w:t>0</w:t>
      </w:r>
      <w:r w:rsidRPr="007D0D5D">
        <w:rPr>
          <w:b/>
          <w:szCs w:val="22"/>
          <w:lang w:val="sk-SK" w:eastAsia="en-US"/>
        </w:rPr>
        <w:t xml:space="preserve">0 </w:t>
      </w:r>
      <w:r>
        <w:rPr>
          <w:b/>
          <w:szCs w:val="22"/>
          <w:lang w:val="sk-SK" w:eastAsia="en-US"/>
        </w:rPr>
        <w:t>osôb</w:t>
      </w:r>
      <w:r w:rsidR="00457415">
        <w:rPr>
          <w:b/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1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bolesť brucha</w:t>
      </w:r>
    </w:p>
    <w:p w:rsidR="009E5E5F" w:rsidRPr="007D0D5D" w:rsidRDefault="009E5E5F" w:rsidP="00E42905">
      <w:pPr>
        <w:pStyle w:val="Text"/>
        <w:numPr>
          <w:ilvl w:val="0"/>
          <w:numId w:val="21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zápcha</w:t>
      </w:r>
    </w:p>
    <w:p w:rsidR="009E5E5F" w:rsidRDefault="009E5E5F" w:rsidP="00E42905">
      <w:pPr>
        <w:pStyle w:val="Text"/>
        <w:numPr>
          <w:ilvl w:val="0"/>
          <w:numId w:val="21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nevoľnosť</w:t>
      </w:r>
      <w:r w:rsidRPr="007D0D5D">
        <w:rPr>
          <w:szCs w:val="22"/>
          <w:lang w:val="sk-SK" w:eastAsia="en-US"/>
        </w:rPr>
        <w:t xml:space="preserve"> (nauzea</w:t>
      </w:r>
      <w:r>
        <w:rPr>
          <w:szCs w:val="22"/>
          <w:lang w:val="sk-SK" w:eastAsia="en-US"/>
        </w:rPr>
        <w:t>)</w:t>
      </w: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</w:p>
    <w:p w:rsidR="009E5E5F" w:rsidRPr="007D0D5D" w:rsidRDefault="009E5E5F" w:rsidP="009E5E5F">
      <w:pPr>
        <w:pStyle w:val="Text"/>
        <w:ind w:left="0"/>
        <w:jc w:val="both"/>
        <w:rPr>
          <w:b/>
          <w:szCs w:val="22"/>
          <w:lang w:val="sk-SK" w:eastAsia="en-US"/>
        </w:rPr>
      </w:pPr>
      <w:r>
        <w:rPr>
          <w:b/>
          <w:szCs w:val="22"/>
          <w:lang w:val="sk-SK" w:eastAsia="en-US"/>
        </w:rPr>
        <w:lastRenderedPageBreak/>
        <w:t>Zriedkavé</w:t>
      </w:r>
      <w:r w:rsidRPr="007D0D5D">
        <w:rPr>
          <w:b/>
          <w:szCs w:val="22"/>
          <w:lang w:val="sk-SK" w:eastAsia="en-US"/>
        </w:rPr>
        <w:t>:</w:t>
      </w:r>
      <w:r>
        <w:rPr>
          <w:b/>
          <w:szCs w:val="22"/>
          <w:lang w:val="sk-SK" w:eastAsia="en-US"/>
        </w:rPr>
        <w:t xml:space="preserve"> </w:t>
      </w:r>
      <w:r w:rsidR="00457415">
        <w:rPr>
          <w:b/>
          <w:szCs w:val="22"/>
          <w:lang w:val="sk-SK" w:eastAsia="en-US"/>
        </w:rPr>
        <w:t>(</w:t>
      </w:r>
      <w:r w:rsidRPr="00D64683">
        <w:rPr>
          <w:b/>
          <w:szCs w:val="22"/>
          <w:lang w:val="sk-SK" w:eastAsia="en-US"/>
        </w:rPr>
        <w:t xml:space="preserve">môžu postihovať </w:t>
      </w:r>
      <w:r w:rsidR="00F37060">
        <w:rPr>
          <w:b/>
          <w:szCs w:val="22"/>
          <w:lang w:val="sk-SK" w:eastAsia="en-US"/>
        </w:rPr>
        <w:t>menej ako</w:t>
      </w:r>
      <w:r w:rsidRPr="00D64683">
        <w:rPr>
          <w:b/>
          <w:szCs w:val="22"/>
          <w:lang w:val="sk-SK" w:eastAsia="en-US"/>
        </w:rPr>
        <w:t xml:space="preserve"> </w:t>
      </w:r>
      <w:r w:rsidRPr="007D0D5D">
        <w:rPr>
          <w:b/>
          <w:szCs w:val="22"/>
          <w:lang w:val="sk-SK" w:eastAsia="en-US"/>
        </w:rPr>
        <w:t xml:space="preserve">1 </w:t>
      </w:r>
      <w:r>
        <w:rPr>
          <w:b/>
          <w:szCs w:val="22"/>
          <w:lang w:val="sk-SK" w:eastAsia="en-US"/>
        </w:rPr>
        <w:t xml:space="preserve">z 1 </w:t>
      </w:r>
      <w:r w:rsidRPr="007D0D5D">
        <w:rPr>
          <w:b/>
          <w:szCs w:val="22"/>
          <w:lang w:val="sk-SK" w:eastAsia="en-US"/>
        </w:rPr>
        <w:t xml:space="preserve">000 </w:t>
      </w:r>
      <w:r>
        <w:rPr>
          <w:b/>
          <w:szCs w:val="22"/>
          <w:lang w:val="sk-SK" w:eastAsia="en-US"/>
        </w:rPr>
        <w:t>osôb</w:t>
      </w:r>
      <w:r w:rsidR="00457415">
        <w:rPr>
          <w:b/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3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kožná vyrážka</w:t>
      </w: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</w:p>
    <w:p w:rsidR="009E5E5F" w:rsidRPr="00E42905" w:rsidRDefault="00683A5F" w:rsidP="009E5E5F">
      <w:pPr>
        <w:pStyle w:val="Text"/>
        <w:ind w:left="0"/>
        <w:jc w:val="both"/>
        <w:rPr>
          <w:b/>
          <w:szCs w:val="22"/>
          <w:lang w:val="sk-SK" w:eastAsia="en-US"/>
        </w:rPr>
      </w:pPr>
      <w:r w:rsidRPr="00E42905">
        <w:rPr>
          <w:b/>
          <w:szCs w:val="22"/>
          <w:lang w:val="sk-SK" w:eastAsia="en-US"/>
        </w:rPr>
        <w:t>Zriedkavé vedľajšie účinky, ktoré sa môžu ukázať v krvných testoch:</w:t>
      </w:r>
    </w:p>
    <w:p w:rsidR="009E5E5F" w:rsidRPr="007D0D5D" w:rsidRDefault="009E5E5F" w:rsidP="00E42905">
      <w:pPr>
        <w:pStyle w:val="Text"/>
        <w:numPr>
          <w:ilvl w:val="0"/>
          <w:numId w:val="25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zvýšené hladiny kreatinínu v</w:t>
      </w:r>
      <w:r w:rsidR="00F37060">
        <w:rPr>
          <w:szCs w:val="22"/>
          <w:lang w:val="sk-SK" w:eastAsia="en-US"/>
        </w:rPr>
        <w:t xml:space="preserve"> krvnom </w:t>
      </w:r>
      <w:r>
        <w:rPr>
          <w:szCs w:val="22"/>
          <w:lang w:val="sk-SK" w:eastAsia="en-US"/>
        </w:rPr>
        <w:t>sér</w:t>
      </w:r>
      <w:r w:rsidR="00F37060">
        <w:rPr>
          <w:szCs w:val="22"/>
          <w:lang w:val="sk-SK" w:eastAsia="en-US"/>
        </w:rPr>
        <w:t>e</w:t>
      </w:r>
      <w:r w:rsidRPr="007D0D5D">
        <w:rPr>
          <w:szCs w:val="22"/>
          <w:lang w:val="sk-SK" w:eastAsia="en-US"/>
        </w:rPr>
        <w:t xml:space="preserve"> (</w:t>
      </w:r>
      <w:r>
        <w:rPr>
          <w:szCs w:val="22"/>
          <w:lang w:val="sk-SK" w:eastAsia="en-US"/>
        </w:rPr>
        <w:t>vyšetrenie funkcie oblič</w:t>
      </w:r>
      <w:r w:rsidR="00F37060">
        <w:rPr>
          <w:szCs w:val="22"/>
          <w:lang w:val="sk-SK" w:eastAsia="en-US"/>
        </w:rPr>
        <w:t>ie</w:t>
      </w:r>
      <w:r>
        <w:rPr>
          <w:szCs w:val="22"/>
          <w:lang w:val="sk-SK" w:eastAsia="en-US"/>
        </w:rPr>
        <w:t>k</w:t>
      </w:r>
      <w:r w:rsidRPr="007D0D5D">
        <w:rPr>
          <w:szCs w:val="22"/>
          <w:lang w:val="sk-SK" w:eastAsia="en-US"/>
        </w:rPr>
        <w:t>)</w:t>
      </w:r>
    </w:p>
    <w:p w:rsidR="009E5E5F" w:rsidRPr="00287627" w:rsidRDefault="009E5E5F" w:rsidP="00E42905">
      <w:pPr>
        <w:pStyle w:val="Odsekzoznamu"/>
        <w:numPr>
          <w:ilvl w:val="0"/>
          <w:numId w:val="25"/>
        </w:numPr>
        <w:ind w:left="142" w:right="-29" w:hanging="142"/>
        <w:rPr>
          <w:szCs w:val="22"/>
        </w:rPr>
      </w:pPr>
      <w:r w:rsidRPr="00287627">
        <w:rPr>
          <w:szCs w:val="22"/>
        </w:rPr>
        <w:t>zmeny funkcie pečene</w:t>
      </w:r>
    </w:p>
    <w:p w:rsidR="009E5E5F" w:rsidRDefault="009E5E5F" w:rsidP="009E5E5F">
      <w:pPr>
        <w:numPr>
          <w:ilvl w:val="12"/>
          <w:numId w:val="0"/>
        </w:numPr>
        <w:ind w:right="-29"/>
        <w:rPr>
          <w:szCs w:val="22"/>
        </w:rPr>
      </w:pPr>
    </w:p>
    <w:p w:rsidR="009E5E5F" w:rsidRPr="007D0D5D" w:rsidRDefault="009E5E5F" w:rsidP="009E5E5F">
      <w:pPr>
        <w:pStyle w:val="Text"/>
        <w:ind w:left="0"/>
        <w:jc w:val="both"/>
        <w:rPr>
          <w:szCs w:val="22"/>
          <w:lang w:val="sk-SK" w:eastAsia="en-US"/>
        </w:rPr>
      </w:pPr>
      <w:r>
        <w:rPr>
          <w:b/>
          <w:szCs w:val="22"/>
          <w:lang w:val="sk-SK" w:eastAsia="en-US"/>
        </w:rPr>
        <w:t>Veľmi z</w:t>
      </w:r>
      <w:r w:rsidRPr="005758EA">
        <w:rPr>
          <w:b/>
          <w:szCs w:val="22"/>
          <w:lang w:val="sk-SK" w:eastAsia="en-US"/>
        </w:rPr>
        <w:t xml:space="preserve">riedkavé: </w:t>
      </w:r>
      <w:r w:rsidR="00457415">
        <w:rPr>
          <w:b/>
          <w:szCs w:val="22"/>
          <w:lang w:val="sk-SK" w:eastAsia="en-US"/>
        </w:rPr>
        <w:t>(</w:t>
      </w:r>
      <w:r w:rsidRPr="005758EA">
        <w:rPr>
          <w:b/>
          <w:szCs w:val="22"/>
          <w:lang w:val="sk-SK" w:eastAsia="en-US"/>
        </w:rPr>
        <w:t xml:space="preserve">môžu postihovať </w:t>
      </w:r>
      <w:r w:rsidR="00F37060">
        <w:rPr>
          <w:b/>
          <w:szCs w:val="22"/>
          <w:lang w:val="sk-SK" w:eastAsia="en-US"/>
        </w:rPr>
        <w:t>menej ako</w:t>
      </w:r>
      <w:r w:rsidRPr="005758EA">
        <w:rPr>
          <w:b/>
          <w:szCs w:val="22"/>
          <w:lang w:val="sk-SK" w:eastAsia="en-US"/>
        </w:rPr>
        <w:t xml:space="preserve"> 1 z</w:t>
      </w:r>
      <w:r>
        <w:rPr>
          <w:b/>
          <w:szCs w:val="22"/>
          <w:lang w:val="sk-SK" w:eastAsia="en-US"/>
        </w:rPr>
        <w:t> </w:t>
      </w:r>
      <w:r w:rsidRPr="005758EA">
        <w:rPr>
          <w:b/>
          <w:szCs w:val="22"/>
          <w:lang w:val="sk-SK" w:eastAsia="en-US"/>
        </w:rPr>
        <w:t>1</w:t>
      </w:r>
      <w:r>
        <w:rPr>
          <w:b/>
          <w:szCs w:val="22"/>
          <w:lang w:val="sk-SK" w:eastAsia="en-US"/>
        </w:rPr>
        <w:t xml:space="preserve">0 </w:t>
      </w:r>
      <w:r w:rsidRPr="005758EA">
        <w:rPr>
          <w:b/>
          <w:szCs w:val="22"/>
          <w:lang w:val="sk-SK" w:eastAsia="en-US"/>
        </w:rPr>
        <w:t>000 osôb</w:t>
      </w:r>
      <w:r w:rsidR="00457415">
        <w:rPr>
          <w:b/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depresia</w:t>
      </w:r>
    </w:p>
    <w:p w:rsidR="009E5E5F" w:rsidRPr="00CC764F" w:rsidRDefault="009E5E5F" w:rsidP="00E42905">
      <w:pPr>
        <w:pStyle w:val="Odsekzoznamu"/>
        <w:numPr>
          <w:ilvl w:val="0"/>
          <w:numId w:val="27"/>
        </w:numPr>
        <w:ind w:left="142" w:right="-29" w:hanging="142"/>
        <w:rPr>
          <w:szCs w:val="22"/>
        </w:rPr>
      </w:pPr>
      <w:r w:rsidRPr="00287627">
        <w:rPr>
          <w:szCs w:val="22"/>
        </w:rPr>
        <w:t>zmätenosť, halucinácie (hlásené predovšetkým u </w:t>
      </w:r>
      <w:r w:rsidRPr="00287627">
        <w:rPr>
          <w:noProof/>
          <w:szCs w:val="22"/>
        </w:rPr>
        <w:t>ťažko chorých</w:t>
      </w:r>
      <w:r w:rsidRPr="00287627">
        <w:rPr>
          <w:szCs w:val="22"/>
        </w:rPr>
        <w:t xml:space="preserve"> alebo starších pacientov alebo pacientov s nefropatiou)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poruchy krvi, ktoré môžu mať za následok nezvyčajnú únavu, dýchavičnosť, viac infekcií ako zvyčajne, rýchly rozvoj podliat</w:t>
      </w:r>
      <w:r w:rsidR="00F37060">
        <w:rPr>
          <w:szCs w:val="22"/>
          <w:lang w:val="sk-SK" w:eastAsia="en-US"/>
        </w:rPr>
        <w:t>í</w:t>
      </w:r>
      <w:r>
        <w:rPr>
          <w:szCs w:val="22"/>
          <w:lang w:val="sk-SK" w:eastAsia="en-US"/>
        </w:rPr>
        <w:t>n</w:t>
      </w:r>
      <w:r w:rsidR="00F37060">
        <w:rPr>
          <w:szCs w:val="22"/>
          <w:lang w:val="sk-SK" w:eastAsia="en-US"/>
        </w:rPr>
        <w:t xml:space="preserve"> (modrín)</w:t>
      </w:r>
    </w:p>
    <w:p w:rsidR="009E5E5F" w:rsidRPr="007D0D5D" w:rsidRDefault="00F37060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vratné</w:t>
      </w:r>
      <w:r w:rsidR="009E5E5F">
        <w:rPr>
          <w:szCs w:val="22"/>
          <w:lang w:val="sk-SK" w:eastAsia="en-US"/>
        </w:rPr>
        <w:t xml:space="preserve"> nekontrolovateľné pohyby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poruchy srdca (</w:t>
      </w:r>
      <w:r w:rsidRPr="007F0D6D">
        <w:rPr>
          <w:szCs w:val="22"/>
          <w:lang w:val="sk-SK" w:eastAsia="en-US"/>
        </w:rPr>
        <w:t xml:space="preserve">pomalší </w:t>
      </w:r>
      <w:r>
        <w:rPr>
          <w:szCs w:val="22"/>
          <w:lang w:val="sk-SK" w:eastAsia="en-US"/>
        </w:rPr>
        <w:t xml:space="preserve">alebo nepravidelný </w:t>
      </w:r>
      <w:r w:rsidRPr="007F0D6D">
        <w:rPr>
          <w:szCs w:val="22"/>
          <w:lang w:val="sk-SK" w:eastAsia="en-US"/>
        </w:rPr>
        <w:t>tlkot srdca</w:t>
      </w:r>
      <w:r>
        <w:rPr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 xml:space="preserve">zápal </w:t>
      </w:r>
      <w:r w:rsidR="00F37060">
        <w:rPr>
          <w:szCs w:val="22"/>
          <w:lang w:val="sk-SK" w:eastAsia="en-US"/>
        </w:rPr>
        <w:t xml:space="preserve">krvných </w:t>
      </w:r>
      <w:r>
        <w:rPr>
          <w:szCs w:val="22"/>
          <w:lang w:val="sk-SK" w:eastAsia="en-US"/>
        </w:rPr>
        <w:t>ciev, ktorý môže spôsobiť sčervenanie oblastí kože, lokalizovanú bolesť a citlivosť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bolesti hlavy (niekedy silné), závrat</w:t>
      </w:r>
      <w:r w:rsidR="00F37060">
        <w:rPr>
          <w:szCs w:val="22"/>
          <w:lang w:val="sk-SK" w:eastAsia="en-US"/>
        </w:rPr>
        <w:t>y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hnačka</w:t>
      </w:r>
    </w:p>
    <w:p w:rsidR="009E5E5F" w:rsidRPr="007D0D5D" w:rsidRDefault="00F37060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vratné</w:t>
      </w:r>
      <w:r w:rsidR="009E5E5F">
        <w:rPr>
          <w:szCs w:val="22"/>
          <w:lang w:val="sk-SK" w:eastAsia="en-US"/>
        </w:rPr>
        <w:t xml:space="preserve"> rozmazané videnie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zápal pankreasu (ktorý môže spôsobiť silnú bolesť brucha)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problémy s pečeňou, ktoré môžu viesť k žltačke (</w:t>
      </w:r>
      <w:r w:rsidRPr="0028779D">
        <w:rPr>
          <w:noProof/>
          <w:szCs w:val="22"/>
        </w:rPr>
        <w:t>žlté sfarbenie kože alebo očných biel</w:t>
      </w:r>
      <w:r w:rsidR="00F37060">
        <w:rPr>
          <w:noProof/>
          <w:szCs w:val="22"/>
        </w:rPr>
        <w:t>o</w:t>
      </w:r>
      <w:r w:rsidRPr="0028779D">
        <w:rPr>
          <w:noProof/>
          <w:szCs w:val="22"/>
        </w:rPr>
        <w:t>k</w:t>
      </w:r>
      <w:r>
        <w:rPr>
          <w:szCs w:val="22"/>
          <w:lang w:val="sk-SK" w:eastAsia="en-US"/>
        </w:rPr>
        <w:t>)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červené škvrny alebo hrčky na koži, strata vlasov</w:t>
      </w:r>
    </w:p>
    <w:p w:rsidR="009E5E5F" w:rsidRPr="007D0D5D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bolesť kĺbov alebo svalov</w:t>
      </w:r>
    </w:p>
    <w:p w:rsidR="009E5E5F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problémy s obličkami, ktoré môžu spôsobiť zmeny množstva a farby vylúčeného moču</w:t>
      </w:r>
    </w:p>
    <w:p w:rsidR="009E5E5F" w:rsidRDefault="009E5E5F" w:rsidP="00E42905">
      <w:pPr>
        <w:pStyle w:val="Text"/>
        <w:numPr>
          <w:ilvl w:val="0"/>
          <w:numId w:val="27"/>
        </w:numPr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 xml:space="preserve">sexuálna impotencia u mužov, ktorá je normálne </w:t>
      </w:r>
      <w:r w:rsidR="00287627">
        <w:rPr>
          <w:szCs w:val="22"/>
          <w:lang w:val="sk-SK" w:eastAsia="en-US"/>
        </w:rPr>
        <w:t>vratná</w:t>
      </w:r>
      <w:r>
        <w:rPr>
          <w:szCs w:val="22"/>
          <w:lang w:val="sk-SK" w:eastAsia="en-US"/>
        </w:rPr>
        <w:t>, citlivosť prsníkov, výtok z prsníkov a/alebo zväčšenie prsníkov</w:t>
      </w:r>
    </w:p>
    <w:p w:rsidR="00287627" w:rsidRDefault="00287627" w:rsidP="00287627">
      <w:pPr>
        <w:pStyle w:val="Text"/>
        <w:ind w:left="0"/>
        <w:jc w:val="both"/>
        <w:rPr>
          <w:szCs w:val="22"/>
          <w:lang w:val="sk-SK" w:eastAsia="en-US"/>
        </w:rPr>
      </w:pPr>
    </w:p>
    <w:p w:rsidR="009E5E5F" w:rsidRPr="007D0D5D" w:rsidRDefault="00287627" w:rsidP="009E5E5F">
      <w:pPr>
        <w:pStyle w:val="Text"/>
        <w:ind w:left="0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Mnohé z</w:t>
      </w:r>
      <w:r w:rsidR="009E5E5F">
        <w:rPr>
          <w:szCs w:val="22"/>
          <w:lang w:val="sk-SK" w:eastAsia="en-US"/>
        </w:rPr>
        <w:t xml:space="preserve"> týchto vedľajších účinkov </w:t>
      </w:r>
      <w:r>
        <w:rPr>
          <w:szCs w:val="22"/>
          <w:lang w:val="sk-SK" w:eastAsia="en-US"/>
        </w:rPr>
        <w:t>sú</w:t>
      </w:r>
      <w:r w:rsidR="009E5E5F">
        <w:rPr>
          <w:szCs w:val="22"/>
          <w:lang w:val="sk-SK" w:eastAsia="en-US"/>
        </w:rPr>
        <w:t xml:space="preserve"> reverzibil</w:t>
      </w:r>
      <w:r>
        <w:rPr>
          <w:szCs w:val="22"/>
          <w:lang w:val="sk-SK" w:eastAsia="en-US"/>
        </w:rPr>
        <w:t>né (vratné)</w:t>
      </w:r>
      <w:r w:rsidR="009E5E5F">
        <w:rPr>
          <w:szCs w:val="22"/>
          <w:lang w:val="sk-SK" w:eastAsia="en-US"/>
        </w:rPr>
        <w:t xml:space="preserve"> a </w:t>
      </w:r>
      <w:r w:rsidR="009E5E5F" w:rsidRPr="0028779D">
        <w:rPr>
          <w:noProof/>
          <w:szCs w:val="22"/>
        </w:rPr>
        <w:t>ustúpia</w:t>
      </w:r>
      <w:r w:rsidR="009E5E5F">
        <w:rPr>
          <w:szCs w:val="22"/>
          <w:lang w:val="sk-SK" w:eastAsia="en-US"/>
        </w:rPr>
        <w:t xml:space="preserve"> po prerušení liečby ranitidínom.</w:t>
      </w:r>
    </w:p>
    <w:p w:rsidR="009E5E5F" w:rsidRDefault="009E5E5F" w:rsidP="009E5E5F">
      <w:pPr>
        <w:numPr>
          <w:ilvl w:val="12"/>
          <w:numId w:val="0"/>
        </w:numPr>
        <w:ind w:right="-29"/>
        <w:rPr>
          <w:szCs w:val="22"/>
        </w:rPr>
      </w:pPr>
    </w:p>
    <w:p w:rsidR="00457415" w:rsidRPr="00F152FD" w:rsidRDefault="00457415" w:rsidP="00457415">
      <w:pPr>
        <w:pStyle w:val="Text"/>
        <w:ind w:left="0"/>
        <w:jc w:val="both"/>
        <w:rPr>
          <w:b/>
          <w:szCs w:val="22"/>
          <w:lang w:val="sk-SK" w:eastAsia="en-US"/>
        </w:rPr>
      </w:pPr>
      <w:r w:rsidRPr="00F152FD">
        <w:rPr>
          <w:b/>
          <w:szCs w:val="22"/>
          <w:lang w:val="sk-SK" w:eastAsia="en-US"/>
        </w:rPr>
        <w:t>Neznáme (</w:t>
      </w:r>
      <w:r w:rsidR="00287627">
        <w:rPr>
          <w:b/>
          <w:szCs w:val="22"/>
          <w:lang w:val="sk-SK" w:eastAsia="en-US"/>
        </w:rPr>
        <w:t>častosť výskytu sa nedá</w:t>
      </w:r>
      <w:r w:rsidRPr="00F152FD">
        <w:rPr>
          <w:b/>
          <w:szCs w:val="22"/>
          <w:lang w:val="sk-SK" w:eastAsia="en-US"/>
        </w:rPr>
        <w:t xml:space="preserve"> odhadnúť z dostupných údajov)</w:t>
      </w:r>
    </w:p>
    <w:p w:rsidR="00457415" w:rsidRPr="007D0D5D" w:rsidRDefault="00457415" w:rsidP="00E42905">
      <w:pPr>
        <w:pStyle w:val="Text"/>
        <w:numPr>
          <w:ilvl w:val="0"/>
          <w:numId w:val="17"/>
        </w:numPr>
        <w:tabs>
          <w:tab w:val="clear" w:pos="778"/>
        </w:tabs>
        <w:ind w:left="142" w:hanging="142"/>
        <w:jc w:val="both"/>
        <w:rPr>
          <w:szCs w:val="22"/>
          <w:lang w:val="sk-SK" w:eastAsia="en-US"/>
        </w:rPr>
      </w:pPr>
      <w:r>
        <w:rPr>
          <w:szCs w:val="22"/>
          <w:lang w:val="sk-SK" w:eastAsia="en-US"/>
        </w:rPr>
        <w:t>dýchavičnosť</w:t>
      </w:r>
    </w:p>
    <w:p w:rsidR="00457415" w:rsidRDefault="00457415" w:rsidP="009E5E5F">
      <w:pPr>
        <w:numPr>
          <w:ilvl w:val="12"/>
          <w:numId w:val="0"/>
        </w:numPr>
        <w:ind w:right="-29"/>
        <w:rPr>
          <w:szCs w:val="22"/>
        </w:rPr>
      </w:pPr>
    </w:p>
    <w:p w:rsidR="009E5E5F" w:rsidRPr="00455AF5" w:rsidRDefault="009E5E5F" w:rsidP="009E5E5F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455AF5">
        <w:rPr>
          <w:b/>
          <w:noProof/>
          <w:szCs w:val="22"/>
        </w:rPr>
        <w:t>Hlásenie vedľajších účinkov</w:t>
      </w:r>
    </w:p>
    <w:p w:rsidR="00287627" w:rsidRDefault="009E5E5F" w:rsidP="00287627">
      <w:pPr>
        <w:numPr>
          <w:ilvl w:val="12"/>
          <w:numId w:val="0"/>
        </w:numPr>
        <w:ind w:right="-29"/>
        <w:rPr>
          <w:szCs w:val="22"/>
        </w:rPr>
      </w:pPr>
      <w:r w:rsidRPr="00455AF5">
        <w:rPr>
          <w:noProof/>
          <w:szCs w:val="22"/>
        </w:rPr>
        <w:t>Ak sa u vás vyskytne akýkoľvek vedľajš</w:t>
      </w:r>
      <w:r>
        <w:rPr>
          <w:noProof/>
          <w:szCs w:val="22"/>
        </w:rPr>
        <w:t>í účinok, obráťte sa na svojho lekára, lekárnika alebo zdravotnú sestru</w:t>
      </w:r>
      <w:r w:rsidRPr="00455AF5">
        <w:rPr>
          <w:noProof/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287627">
        <w:rPr>
          <w:noProof/>
          <w:szCs w:val="22"/>
        </w:rPr>
        <w:t xml:space="preserve">na </w:t>
      </w:r>
      <w:r w:rsidR="00287627" w:rsidRPr="00287627">
        <w:rPr>
          <w:noProof/>
          <w:szCs w:val="22"/>
          <w:highlight w:val="lightGray"/>
        </w:rPr>
        <w:t>národné centrum hlásenia uvedené v</w:t>
      </w:r>
      <w:r w:rsidR="009D1D88">
        <w:rPr>
          <w:noProof/>
          <w:szCs w:val="22"/>
          <w:highlight w:val="lightGray"/>
        </w:rPr>
        <w:t> </w:t>
      </w:r>
      <w:hyperlink r:id="rId9" w:history="1">
        <w:r w:rsidR="00287627" w:rsidRPr="00287627">
          <w:rPr>
            <w:rStyle w:val="Hypertextovprepojenie"/>
            <w:szCs w:val="22"/>
            <w:highlight w:val="lightGray"/>
          </w:rPr>
          <w:t>Prílohe</w:t>
        </w:r>
        <w:r w:rsidR="009D1D88">
          <w:rPr>
            <w:rStyle w:val="Hypertextovprepojenie"/>
            <w:szCs w:val="22"/>
            <w:highlight w:val="lightGray"/>
          </w:rPr>
          <w:t> </w:t>
        </w:r>
        <w:r w:rsidR="00287627" w:rsidRPr="00287627">
          <w:rPr>
            <w:rStyle w:val="Hypertextovprepojenie"/>
            <w:szCs w:val="22"/>
            <w:highlight w:val="lightGray"/>
          </w:rPr>
          <w:t>V</w:t>
        </w:r>
      </w:hyperlink>
      <w:r w:rsidR="00287627">
        <w:rPr>
          <w:szCs w:val="22"/>
        </w:rPr>
        <w:t>. Hlásením vedľajších účinkov môžete prispieť k získaniu ďalších informácií o bezpečnosti tohto lieku.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A4327D" w:rsidRPr="00E42905" w:rsidRDefault="00780926" w:rsidP="00A4327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779D">
        <w:rPr>
          <w:b/>
          <w:noProof/>
          <w:szCs w:val="22"/>
        </w:rPr>
        <w:t>5.</w:t>
      </w:r>
      <w:r w:rsidRPr="0028779D">
        <w:rPr>
          <w:b/>
          <w:noProof/>
          <w:szCs w:val="22"/>
        </w:rPr>
        <w:tab/>
      </w:r>
      <w:r w:rsidR="002A24BE" w:rsidRPr="0028779D">
        <w:rPr>
          <w:b/>
          <w:noProof/>
          <w:szCs w:val="22"/>
        </w:rPr>
        <w:t xml:space="preserve">Ako uchovávať </w:t>
      </w:r>
      <w:r w:rsidR="00A4327D" w:rsidRPr="0028779D">
        <w:rPr>
          <w:b/>
        </w:rPr>
        <w:t>Ranitidine Accord</w:t>
      </w:r>
    </w:p>
    <w:p w:rsidR="00780926" w:rsidRPr="00E42905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Default="00281C02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Tento liek uchovávajte</w:t>
      </w:r>
      <w:r w:rsidR="00780926" w:rsidRPr="0028779D">
        <w:rPr>
          <w:noProof/>
          <w:szCs w:val="22"/>
        </w:rPr>
        <w:t xml:space="preserve"> mimo </w:t>
      </w:r>
      <w:r w:rsidRPr="0028779D">
        <w:rPr>
          <w:noProof/>
          <w:szCs w:val="22"/>
        </w:rPr>
        <w:t xml:space="preserve">dohľadu a </w:t>
      </w:r>
      <w:r w:rsidR="00780926" w:rsidRPr="0028779D">
        <w:rPr>
          <w:noProof/>
          <w:szCs w:val="22"/>
        </w:rPr>
        <w:t>dosahu detí.</w:t>
      </w:r>
    </w:p>
    <w:p w:rsidR="00FE18CF" w:rsidRPr="0028779D" w:rsidRDefault="00FE18CF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Neužívajte </w:t>
      </w:r>
      <w:r w:rsidR="00724E11" w:rsidRPr="0028779D">
        <w:rPr>
          <w:noProof/>
          <w:szCs w:val="22"/>
        </w:rPr>
        <w:t>tento liek</w:t>
      </w:r>
      <w:r w:rsidRPr="0028779D">
        <w:rPr>
          <w:noProof/>
          <w:szCs w:val="22"/>
        </w:rPr>
        <w:t xml:space="preserve"> po dátume exspirácie, ktorý je uvedený na </w:t>
      </w:r>
      <w:r w:rsidR="00494525" w:rsidRPr="0028779D">
        <w:rPr>
          <w:noProof/>
          <w:szCs w:val="22"/>
        </w:rPr>
        <w:t xml:space="preserve">škatuľke </w:t>
      </w:r>
      <w:r w:rsidR="000A7F60" w:rsidRPr="0028779D">
        <w:rPr>
          <w:noProof/>
          <w:szCs w:val="22"/>
        </w:rPr>
        <w:t>a</w:t>
      </w:r>
      <w:r w:rsidR="00287627">
        <w:rPr>
          <w:noProof/>
          <w:szCs w:val="22"/>
        </w:rPr>
        <w:t> </w:t>
      </w:r>
      <w:r w:rsidR="000A7F60" w:rsidRPr="0028779D">
        <w:rPr>
          <w:noProof/>
          <w:szCs w:val="22"/>
        </w:rPr>
        <w:t>blistri</w:t>
      </w:r>
      <w:r w:rsidR="00287627">
        <w:rPr>
          <w:noProof/>
          <w:szCs w:val="22"/>
        </w:rPr>
        <w:t xml:space="preserve"> po EXP</w:t>
      </w:r>
      <w:r w:rsidR="000A7F60" w:rsidRPr="0028779D">
        <w:rPr>
          <w:noProof/>
          <w:szCs w:val="22"/>
        </w:rPr>
        <w:t xml:space="preserve">. </w:t>
      </w:r>
      <w:r w:rsidRPr="0028779D">
        <w:rPr>
          <w:noProof/>
          <w:szCs w:val="22"/>
        </w:rPr>
        <w:t xml:space="preserve">Dátum exspirácie sa vzťahuje na posledný deň v </w:t>
      </w:r>
      <w:r w:rsidR="00724E11" w:rsidRPr="0028779D">
        <w:rPr>
          <w:noProof/>
          <w:szCs w:val="22"/>
        </w:rPr>
        <w:t xml:space="preserve">danom </w:t>
      </w:r>
      <w:r w:rsidR="000A7F60" w:rsidRPr="0028779D">
        <w:rPr>
          <w:noProof/>
          <w:szCs w:val="22"/>
        </w:rPr>
        <w:t>mesiaci</w:t>
      </w:r>
      <w:r w:rsidRPr="0028779D">
        <w:rPr>
          <w:noProof/>
          <w:szCs w:val="22"/>
        </w:rPr>
        <w:t>.</w:t>
      </w:r>
    </w:p>
    <w:p w:rsidR="00780926" w:rsidRPr="00E42905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0A7F60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Tento liek nevyžaduje žiadne zvláštne podmienky na uchovávanie.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24E11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Ne</w:t>
      </w:r>
      <w:r w:rsidR="00D33F2E" w:rsidRPr="0028779D">
        <w:rPr>
          <w:noProof/>
          <w:szCs w:val="22"/>
        </w:rPr>
        <w:t>likvidu</w:t>
      </w:r>
      <w:r w:rsidRPr="0028779D">
        <w:rPr>
          <w:noProof/>
          <w:szCs w:val="22"/>
        </w:rPr>
        <w:t xml:space="preserve">jte lieky </w:t>
      </w:r>
      <w:r w:rsidR="00780926" w:rsidRPr="0028779D">
        <w:rPr>
          <w:noProof/>
          <w:szCs w:val="22"/>
        </w:rPr>
        <w:t xml:space="preserve">odpadovou vodou </w:t>
      </w:r>
      <w:r w:rsidR="00D33F2E" w:rsidRPr="0028779D">
        <w:rPr>
          <w:noProof/>
          <w:szCs w:val="22"/>
        </w:rPr>
        <w:t xml:space="preserve">alebo </w:t>
      </w:r>
      <w:r w:rsidR="00780926" w:rsidRPr="0028779D">
        <w:rPr>
          <w:noProof/>
          <w:szCs w:val="22"/>
        </w:rPr>
        <w:t>domovým odpadom. Nepoužitý liek vráťte do lekárne. Tieto opatrenia pomôžu chrániť životné prostredie.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42905">
      <w:pPr>
        <w:keepNext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28779D">
        <w:rPr>
          <w:b/>
          <w:noProof/>
          <w:szCs w:val="22"/>
        </w:rPr>
        <w:lastRenderedPageBreak/>
        <w:t>6.</w:t>
      </w:r>
      <w:r w:rsidRPr="0028779D">
        <w:rPr>
          <w:b/>
          <w:noProof/>
          <w:szCs w:val="22"/>
        </w:rPr>
        <w:tab/>
      </w:r>
      <w:r w:rsidR="00724E11" w:rsidRPr="0028779D">
        <w:rPr>
          <w:b/>
          <w:noProof/>
          <w:szCs w:val="22"/>
        </w:rPr>
        <w:t>Obsah balenia a ďalšie informácie</w:t>
      </w:r>
    </w:p>
    <w:p w:rsidR="00780926" w:rsidRPr="0028779D" w:rsidRDefault="00780926" w:rsidP="00E42905">
      <w:pPr>
        <w:keepNext/>
        <w:numPr>
          <w:ilvl w:val="12"/>
          <w:numId w:val="0"/>
        </w:numPr>
        <w:rPr>
          <w:noProof/>
          <w:szCs w:val="22"/>
        </w:rPr>
      </w:pPr>
    </w:p>
    <w:p w:rsidR="00780926" w:rsidRPr="0028779D" w:rsidRDefault="00780926" w:rsidP="00E42905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28779D">
        <w:rPr>
          <w:b/>
          <w:noProof/>
          <w:szCs w:val="22"/>
        </w:rPr>
        <w:t xml:space="preserve">Čo </w:t>
      </w:r>
      <w:r w:rsidR="000A7F60" w:rsidRPr="0028779D">
        <w:rPr>
          <w:b/>
        </w:rPr>
        <w:t>Ranitidine Accord</w:t>
      </w:r>
      <w:r w:rsidRPr="0028779D">
        <w:rPr>
          <w:b/>
          <w:noProof/>
          <w:szCs w:val="22"/>
        </w:rPr>
        <w:t xml:space="preserve"> obsahuje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Liečivo je</w:t>
      </w:r>
      <w:r w:rsidR="00724E11" w:rsidRPr="0028779D">
        <w:rPr>
          <w:noProof/>
          <w:szCs w:val="22"/>
        </w:rPr>
        <w:t xml:space="preserve"> </w:t>
      </w:r>
      <w:r w:rsidR="000A7F60" w:rsidRPr="0028779D">
        <w:rPr>
          <w:noProof/>
          <w:szCs w:val="22"/>
        </w:rPr>
        <w:t>ranitidín.</w:t>
      </w:r>
    </w:p>
    <w:p w:rsidR="000A7F60" w:rsidRPr="0028779D" w:rsidRDefault="000A7F60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150 mg: </w:t>
      </w:r>
      <w:r w:rsidR="00CA0440" w:rsidRPr="0028779D">
        <w:rPr>
          <w:noProof/>
          <w:szCs w:val="22"/>
        </w:rPr>
        <w:t>každá tableta obsahuje ranitidíniumchlorid, čo zodpovedá 150 mg ranitidínu.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300 mg: každá tableta obsahuje ranitidíniumchlorid, čo zodpovedá 300 mg ranitidínu.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>Ďalšie zložky</w:t>
      </w:r>
      <w:r w:rsidR="00724E11" w:rsidRPr="0028779D">
        <w:rPr>
          <w:noProof/>
          <w:szCs w:val="22"/>
        </w:rPr>
        <w:t xml:space="preserve"> sú</w:t>
      </w:r>
      <w:r w:rsidR="00CA0440" w:rsidRPr="0028779D">
        <w:rPr>
          <w:noProof/>
          <w:szCs w:val="22"/>
        </w:rPr>
        <w:t>:</w:t>
      </w:r>
    </w:p>
    <w:p w:rsidR="00CA0440" w:rsidRPr="0028779D" w:rsidRDefault="00CA0440" w:rsidP="002F6A6A">
      <w:pPr>
        <w:ind w:left="0" w:firstLine="0"/>
        <w:rPr>
          <w:i/>
          <w:noProof/>
          <w:szCs w:val="22"/>
        </w:rPr>
      </w:pPr>
      <w:r w:rsidRPr="0028779D">
        <w:rPr>
          <w:i/>
          <w:noProof/>
          <w:szCs w:val="22"/>
        </w:rPr>
        <w:t>Jadro tablety:</w:t>
      </w:r>
    </w:p>
    <w:p w:rsidR="00CA0440" w:rsidRPr="0028779D" w:rsidRDefault="00CA0440" w:rsidP="00A86157">
      <w:pPr>
        <w:ind w:left="0" w:firstLine="0"/>
        <w:rPr>
          <w:noProof/>
          <w:spacing w:val="-2"/>
          <w:szCs w:val="22"/>
        </w:rPr>
      </w:pPr>
      <w:r w:rsidRPr="0028779D">
        <w:rPr>
          <w:noProof/>
          <w:szCs w:val="22"/>
        </w:rPr>
        <w:t>mikrokryštalická celulóza (E4</w:t>
      </w:r>
      <w:r w:rsidR="009B6065" w:rsidRPr="0028779D">
        <w:rPr>
          <w:noProof/>
          <w:szCs w:val="22"/>
        </w:rPr>
        <w:t>6</w:t>
      </w:r>
      <w:r w:rsidRPr="0028779D">
        <w:rPr>
          <w:noProof/>
          <w:szCs w:val="22"/>
        </w:rPr>
        <w:t xml:space="preserve">0), sodná soľ </w:t>
      </w:r>
      <w:r w:rsidR="009B6065" w:rsidRPr="00D05277">
        <w:rPr>
          <w:szCs w:val="22"/>
        </w:rPr>
        <w:t>k</w:t>
      </w:r>
      <w:r w:rsidR="00BE0ECC">
        <w:rPr>
          <w:szCs w:val="22"/>
        </w:rPr>
        <w:t>roskarme</w:t>
      </w:r>
      <w:r w:rsidR="009B6065" w:rsidRPr="00D05277">
        <w:rPr>
          <w:szCs w:val="22"/>
        </w:rPr>
        <w:t>lózy</w:t>
      </w:r>
      <w:r w:rsidR="009B6065" w:rsidRPr="0028779D" w:rsidDel="009B6065">
        <w:rPr>
          <w:noProof/>
          <w:szCs w:val="22"/>
        </w:rPr>
        <w:t xml:space="preserve"> </w:t>
      </w:r>
      <w:r w:rsidRPr="0028779D">
        <w:rPr>
          <w:noProof/>
          <w:spacing w:val="-4"/>
          <w:szCs w:val="22"/>
        </w:rPr>
        <w:t>(E468), k</w:t>
      </w:r>
      <w:r w:rsidRPr="0028779D">
        <w:rPr>
          <w:noProof/>
          <w:szCs w:val="22"/>
        </w:rPr>
        <w:t>oloidný</w:t>
      </w:r>
      <w:r w:rsidR="00505F7F">
        <w:rPr>
          <w:noProof/>
          <w:szCs w:val="22"/>
        </w:rPr>
        <w:t>, bezvodý</w:t>
      </w:r>
      <w:r w:rsidRPr="0028779D">
        <w:rPr>
          <w:noProof/>
          <w:szCs w:val="22"/>
        </w:rPr>
        <w:t xml:space="preserve"> oxid kremičitý (E551), mastenec </w:t>
      </w:r>
      <w:r w:rsidRPr="0028779D">
        <w:rPr>
          <w:noProof/>
          <w:spacing w:val="-2"/>
          <w:szCs w:val="22"/>
        </w:rPr>
        <w:t xml:space="preserve">(E553b), </w:t>
      </w:r>
      <w:r w:rsidR="00505F7F">
        <w:rPr>
          <w:noProof/>
          <w:spacing w:val="-2"/>
          <w:szCs w:val="22"/>
        </w:rPr>
        <w:t>stearan horečnatý</w:t>
      </w:r>
      <w:r w:rsidRPr="0028779D">
        <w:rPr>
          <w:noProof/>
          <w:spacing w:val="-2"/>
          <w:szCs w:val="22"/>
        </w:rPr>
        <w:t xml:space="preserve"> (E572)</w:t>
      </w:r>
    </w:p>
    <w:p w:rsidR="00CA0440" w:rsidRPr="0028779D" w:rsidRDefault="00CA0440" w:rsidP="002F6A6A">
      <w:pPr>
        <w:ind w:left="0" w:firstLine="0"/>
        <w:rPr>
          <w:i/>
          <w:noProof/>
          <w:szCs w:val="22"/>
        </w:rPr>
      </w:pPr>
      <w:r w:rsidRPr="0028779D">
        <w:rPr>
          <w:i/>
          <w:noProof/>
          <w:szCs w:val="22"/>
        </w:rPr>
        <w:t>Obal tablety:</w:t>
      </w:r>
    </w:p>
    <w:p w:rsidR="00CA0440" w:rsidRPr="0028779D" w:rsidRDefault="00CA0440" w:rsidP="002F6A6A">
      <w:p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>hy</w:t>
      </w:r>
      <w:r w:rsidR="00BC3369">
        <w:rPr>
          <w:noProof/>
          <w:szCs w:val="22"/>
        </w:rPr>
        <w:t>prome</w:t>
      </w:r>
      <w:r w:rsidRPr="0028779D">
        <w:rPr>
          <w:noProof/>
          <w:szCs w:val="22"/>
        </w:rPr>
        <w:t xml:space="preserve">lóza (E464), </w:t>
      </w:r>
      <w:r w:rsidR="009B6065" w:rsidRPr="0028779D">
        <w:rPr>
          <w:noProof/>
          <w:szCs w:val="22"/>
        </w:rPr>
        <w:t>ric</w:t>
      </w:r>
      <w:r w:rsidR="009B6065">
        <w:rPr>
          <w:noProof/>
          <w:szCs w:val="22"/>
        </w:rPr>
        <w:t>í</w:t>
      </w:r>
      <w:r w:rsidR="009B6065" w:rsidRPr="0028779D">
        <w:rPr>
          <w:noProof/>
          <w:szCs w:val="22"/>
        </w:rPr>
        <w:t xml:space="preserve">nový </w:t>
      </w:r>
      <w:r w:rsidRPr="0028779D">
        <w:rPr>
          <w:noProof/>
          <w:szCs w:val="22"/>
        </w:rPr>
        <w:t>olej, oxid titaničitý (E171), žltý oxid železitý (E172), mastenec</w:t>
      </w:r>
      <w:r w:rsidR="00322A32">
        <w:rPr>
          <w:noProof/>
          <w:szCs w:val="22"/>
        </w:rPr>
        <w:t xml:space="preserve"> </w:t>
      </w:r>
      <w:r w:rsidRPr="0028779D">
        <w:rPr>
          <w:noProof/>
          <w:szCs w:val="22"/>
        </w:rPr>
        <w:t>(E553b).</w:t>
      </w:r>
    </w:p>
    <w:p w:rsidR="00CA0440" w:rsidRPr="0028779D" w:rsidRDefault="00CA0440" w:rsidP="00CA0440">
      <w:pPr>
        <w:rPr>
          <w:b/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  <w:noProof/>
          <w:szCs w:val="22"/>
        </w:rPr>
        <w:t xml:space="preserve">Ako vyzerá </w:t>
      </w:r>
      <w:r w:rsidR="00CA0440" w:rsidRPr="0028779D">
        <w:rPr>
          <w:b/>
        </w:rPr>
        <w:t>Ranitidine Accord</w:t>
      </w:r>
      <w:r w:rsidRPr="0028779D">
        <w:rPr>
          <w:b/>
          <w:noProof/>
          <w:szCs w:val="22"/>
        </w:rPr>
        <w:t xml:space="preserve"> a obsah balenia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CA0440" w:rsidRPr="0028779D" w:rsidRDefault="00CA0440" w:rsidP="00A86157">
      <w:p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 xml:space="preserve">Ranitidine Accord 150 mg tablety sú krémovo žlté, okrúhle, </w:t>
      </w:r>
      <w:r w:rsidR="00946B69">
        <w:rPr>
          <w:noProof/>
          <w:szCs w:val="22"/>
        </w:rPr>
        <w:t>z oboch strán vypuklé</w:t>
      </w:r>
      <w:r w:rsidRPr="0028779D">
        <w:rPr>
          <w:noProof/>
          <w:szCs w:val="22"/>
        </w:rPr>
        <w:t xml:space="preserve">, filmom obalené tablety s priemerom približne 10 mm s nápisom </w:t>
      </w:r>
      <w:r w:rsidRPr="0028779D">
        <w:rPr>
          <w:noProof/>
          <w:spacing w:val="1"/>
          <w:szCs w:val="22"/>
        </w:rPr>
        <w:t>"</w:t>
      </w:r>
      <w:r w:rsidRPr="0028779D">
        <w:rPr>
          <w:noProof/>
          <w:spacing w:val="-4"/>
          <w:szCs w:val="22"/>
        </w:rPr>
        <w:t>I</w:t>
      </w:r>
      <w:r w:rsidRPr="0028779D">
        <w:rPr>
          <w:noProof/>
          <w:szCs w:val="22"/>
        </w:rPr>
        <w:t>L" na jednej strane a hladké na druhej strane.</w:t>
      </w:r>
    </w:p>
    <w:p w:rsidR="00CA0440" w:rsidRPr="0028779D" w:rsidRDefault="00CA0440" w:rsidP="00A86157">
      <w:pPr>
        <w:ind w:left="0" w:firstLine="0"/>
        <w:rPr>
          <w:noProof/>
          <w:szCs w:val="22"/>
        </w:rPr>
      </w:pPr>
    </w:p>
    <w:p w:rsidR="00CA0440" w:rsidRPr="0028779D" w:rsidRDefault="00CA0440" w:rsidP="00A86157">
      <w:pPr>
        <w:ind w:left="0" w:firstLine="0"/>
        <w:rPr>
          <w:noProof/>
          <w:szCs w:val="22"/>
        </w:rPr>
      </w:pPr>
      <w:r w:rsidRPr="0028779D">
        <w:rPr>
          <w:noProof/>
          <w:szCs w:val="22"/>
        </w:rPr>
        <w:t xml:space="preserve">Ranitidine Accord 300 mg tablety sú krémovo žlté, okrúhle, </w:t>
      </w:r>
      <w:r w:rsidR="00BC20B3">
        <w:rPr>
          <w:noProof/>
          <w:szCs w:val="22"/>
        </w:rPr>
        <w:t>z oboch strán vypuklé</w:t>
      </w:r>
      <w:r w:rsidRPr="0028779D">
        <w:rPr>
          <w:noProof/>
          <w:szCs w:val="22"/>
        </w:rPr>
        <w:t xml:space="preserve">, filmom obalené tablety s priemerom približne 12,5 mm s nápisom </w:t>
      </w:r>
      <w:r w:rsidRPr="0028779D">
        <w:rPr>
          <w:noProof/>
          <w:spacing w:val="-2"/>
          <w:szCs w:val="22"/>
        </w:rPr>
        <w:t>I</w:t>
      </w:r>
      <w:r w:rsidRPr="0028779D">
        <w:rPr>
          <w:noProof/>
          <w:spacing w:val="-4"/>
          <w:szCs w:val="22"/>
        </w:rPr>
        <w:t>I</w:t>
      </w:r>
      <w:r w:rsidRPr="0028779D">
        <w:rPr>
          <w:noProof/>
          <w:szCs w:val="22"/>
        </w:rPr>
        <w:t>" na jednej strane a hladké na druhej strane.</w:t>
      </w:r>
    </w:p>
    <w:p w:rsidR="00780926" w:rsidRPr="0028779D" w:rsidRDefault="00780926" w:rsidP="00A86157">
      <w:pPr>
        <w:ind w:left="0" w:firstLine="0"/>
        <w:rPr>
          <w:noProof/>
          <w:szCs w:val="22"/>
        </w:rPr>
      </w:pPr>
    </w:p>
    <w:p w:rsidR="00BB08E1" w:rsidRDefault="00CA0440" w:rsidP="00A86157">
      <w:pPr>
        <w:numPr>
          <w:ilvl w:val="12"/>
          <w:numId w:val="0"/>
        </w:numPr>
        <w:ind w:right="-2"/>
        <w:rPr>
          <w:noProof/>
          <w:szCs w:val="22"/>
        </w:rPr>
      </w:pPr>
      <w:r w:rsidRPr="0028779D">
        <w:rPr>
          <w:noProof/>
          <w:szCs w:val="22"/>
        </w:rPr>
        <w:t xml:space="preserve">Ranitidine Accord 150 mg a 300 mg tablety sú balené v hliníkových blistroch </w:t>
      </w:r>
      <w:r w:rsidR="003C1137">
        <w:rPr>
          <w:noProof/>
          <w:szCs w:val="22"/>
        </w:rPr>
        <w:t>po</w:t>
      </w:r>
      <w:r w:rsidRPr="0028779D">
        <w:rPr>
          <w:noProof/>
          <w:szCs w:val="22"/>
        </w:rPr>
        <w:t xml:space="preserve"> 10 tabl</w:t>
      </w:r>
      <w:r w:rsidR="003C1137">
        <w:rPr>
          <w:noProof/>
          <w:szCs w:val="22"/>
        </w:rPr>
        <w:t>iet</w:t>
      </w:r>
      <w:r w:rsidRPr="0028779D">
        <w:rPr>
          <w:noProof/>
          <w:szCs w:val="22"/>
        </w:rPr>
        <w:t>.</w:t>
      </w:r>
    </w:p>
    <w:p w:rsidR="00BB08E1" w:rsidRDefault="00BB08E1" w:rsidP="00A86157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B08E1" w:rsidRPr="00BB08E1" w:rsidRDefault="00BB08E1" w:rsidP="00BB08E1">
      <w:pPr>
        <w:numPr>
          <w:ilvl w:val="12"/>
          <w:numId w:val="0"/>
        </w:numPr>
        <w:ind w:right="-2"/>
        <w:rPr>
          <w:noProof/>
          <w:szCs w:val="22"/>
        </w:rPr>
      </w:pPr>
      <w:r w:rsidRPr="00BB08E1">
        <w:rPr>
          <w:noProof/>
          <w:szCs w:val="22"/>
        </w:rPr>
        <w:t>Ranitidine Accord 150 mg filmom obalené tablety sú dodávané v baleniach obsahujúcich 30,</w:t>
      </w:r>
      <w:r w:rsidR="00287627">
        <w:rPr>
          <w:noProof/>
          <w:szCs w:val="22"/>
        </w:rPr>
        <w:t xml:space="preserve"> </w:t>
      </w:r>
      <w:r w:rsidRPr="00BB08E1">
        <w:rPr>
          <w:noProof/>
          <w:szCs w:val="22"/>
        </w:rPr>
        <w:t>60 a 100</w:t>
      </w:r>
      <w:r w:rsidR="00287627">
        <w:rPr>
          <w:noProof/>
          <w:szCs w:val="22"/>
        </w:rPr>
        <w:t> </w:t>
      </w:r>
      <w:r w:rsidRPr="00BB08E1">
        <w:rPr>
          <w:noProof/>
          <w:szCs w:val="22"/>
        </w:rPr>
        <w:t>tabliet.</w:t>
      </w:r>
    </w:p>
    <w:p w:rsidR="00287627" w:rsidRDefault="00BB08E1" w:rsidP="00E757C6">
      <w:pPr>
        <w:numPr>
          <w:ilvl w:val="12"/>
          <w:numId w:val="0"/>
        </w:numPr>
        <w:ind w:right="-2"/>
        <w:rPr>
          <w:noProof/>
          <w:szCs w:val="22"/>
        </w:rPr>
      </w:pPr>
      <w:r w:rsidRPr="00BB08E1">
        <w:rPr>
          <w:noProof/>
          <w:szCs w:val="22"/>
        </w:rPr>
        <w:t>Ranitidine Accord 300 mg filmom obalené tablety sú dodávané v baleniach obsahujúcich 30,</w:t>
      </w:r>
      <w:r w:rsidR="00287627">
        <w:rPr>
          <w:noProof/>
          <w:szCs w:val="22"/>
        </w:rPr>
        <w:t xml:space="preserve"> </w:t>
      </w:r>
      <w:r w:rsidRPr="00BB08E1">
        <w:rPr>
          <w:noProof/>
          <w:szCs w:val="22"/>
        </w:rPr>
        <w:t>60 a 100</w:t>
      </w:r>
      <w:r w:rsidR="00287627">
        <w:rPr>
          <w:noProof/>
          <w:szCs w:val="22"/>
        </w:rPr>
        <w:t> </w:t>
      </w:r>
      <w:r w:rsidRPr="00BB08E1">
        <w:rPr>
          <w:noProof/>
          <w:szCs w:val="22"/>
        </w:rPr>
        <w:t>tabliet.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BC20B3" w:rsidRPr="007F1BBF" w:rsidRDefault="00BC20B3" w:rsidP="00BC20B3">
      <w:pPr>
        <w:rPr>
          <w:noProof/>
          <w:szCs w:val="22"/>
        </w:rPr>
      </w:pPr>
      <w:r>
        <w:rPr>
          <w:noProof/>
          <w:szCs w:val="22"/>
        </w:rPr>
        <w:t xml:space="preserve">Na trh nemusia byť uvedené </w:t>
      </w:r>
      <w:r w:rsidRPr="00501CEF">
        <w:rPr>
          <w:noProof/>
          <w:szCs w:val="22"/>
        </w:rPr>
        <w:t>všetky veľkosti balenia</w:t>
      </w:r>
      <w:r w:rsidRPr="00B25049">
        <w:rPr>
          <w:noProof/>
          <w:szCs w:val="22"/>
        </w:rPr>
        <w:t>.</w:t>
      </w:r>
    </w:p>
    <w:p w:rsidR="00CA0440" w:rsidRPr="0028779D" w:rsidRDefault="00CA0440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779D">
        <w:rPr>
          <w:b/>
          <w:noProof/>
          <w:szCs w:val="22"/>
        </w:rPr>
        <w:t>Držiteľ rozhodnutia o registrácii a výrobca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A86157" w:rsidRPr="002F6A6A" w:rsidRDefault="00A86157" w:rsidP="00E42905">
      <w:pPr>
        <w:ind w:left="0" w:firstLine="0"/>
        <w:rPr>
          <w:bCs/>
          <w:color w:val="000000"/>
          <w:szCs w:val="22"/>
        </w:rPr>
      </w:pPr>
      <w:r w:rsidRPr="0028779D">
        <w:rPr>
          <w:bCs/>
          <w:color w:val="000000"/>
          <w:szCs w:val="22"/>
        </w:rPr>
        <w:t>Accord Healthcare Limited</w:t>
      </w:r>
      <w:r w:rsidR="00287627">
        <w:rPr>
          <w:bCs/>
          <w:color w:val="000000"/>
          <w:szCs w:val="22"/>
        </w:rPr>
        <w:t xml:space="preserve">, </w:t>
      </w:r>
      <w:r w:rsidRPr="0028779D">
        <w:rPr>
          <w:bCs/>
          <w:color w:val="000000"/>
          <w:szCs w:val="22"/>
        </w:rPr>
        <w:t>Sage House, 319 Pinner Road</w:t>
      </w:r>
      <w:r w:rsidR="00287627">
        <w:rPr>
          <w:bCs/>
          <w:color w:val="000000"/>
          <w:szCs w:val="22"/>
        </w:rPr>
        <w:t xml:space="preserve">, </w:t>
      </w:r>
      <w:r w:rsidRPr="0028779D">
        <w:rPr>
          <w:bCs/>
          <w:color w:val="000000"/>
          <w:szCs w:val="22"/>
        </w:rPr>
        <w:t xml:space="preserve">Harrow, </w:t>
      </w:r>
      <w:r w:rsidR="00DA1347" w:rsidRPr="0028779D">
        <w:rPr>
          <w:bCs/>
          <w:color w:val="000000"/>
          <w:szCs w:val="22"/>
        </w:rPr>
        <w:t>Middlesex, HA1 4HF</w:t>
      </w:r>
      <w:r w:rsidR="00287627">
        <w:rPr>
          <w:bCs/>
          <w:color w:val="000000"/>
          <w:szCs w:val="22"/>
        </w:rPr>
        <w:t xml:space="preserve">, </w:t>
      </w:r>
      <w:r w:rsidRPr="002F6A6A">
        <w:rPr>
          <w:bCs/>
          <w:color w:val="000000"/>
          <w:szCs w:val="22"/>
        </w:rPr>
        <w:t>Veľká Británia</w:t>
      </w:r>
    </w:p>
    <w:p w:rsidR="00A86157" w:rsidRPr="0028779D" w:rsidRDefault="00A86157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28779D" w:rsidRDefault="00780926" w:rsidP="00E757C6">
      <w:pPr>
        <w:pStyle w:val="Zkladntext"/>
        <w:autoSpaceDE w:val="0"/>
        <w:autoSpaceDN w:val="0"/>
        <w:adjustRightInd w:val="0"/>
        <w:rPr>
          <w:b/>
          <w:bCs/>
          <w:noProof/>
          <w:szCs w:val="22"/>
          <w:lang w:eastAsia="en-US"/>
        </w:rPr>
      </w:pPr>
      <w:r w:rsidRPr="0028779D">
        <w:rPr>
          <w:b/>
          <w:bCs/>
          <w:noProof/>
          <w:szCs w:val="22"/>
          <w:lang w:eastAsia="en-US"/>
        </w:rPr>
        <w:t>Liek je schválený v členských štátoch Európskeho hospodárskeho priestoru</w:t>
      </w:r>
      <w:r w:rsidR="00CA0440" w:rsidRPr="0028779D">
        <w:rPr>
          <w:b/>
          <w:bCs/>
          <w:noProof/>
          <w:szCs w:val="22"/>
          <w:lang w:eastAsia="en-US"/>
        </w:rPr>
        <w:t xml:space="preserve"> (EHP)</w:t>
      </w:r>
      <w:r w:rsidR="00331E6D">
        <w:rPr>
          <w:b/>
          <w:bCs/>
          <w:noProof/>
          <w:szCs w:val="22"/>
          <w:lang w:eastAsia="en-US"/>
        </w:rPr>
        <w:t xml:space="preserve"> </w:t>
      </w:r>
      <w:r w:rsidR="00CA0440" w:rsidRPr="0028779D">
        <w:rPr>
          <w:b/>
          <w:bCs/>
          <w:noProof/>
          <w:szCs w:val="22"/>
          <w:lang w:eastAsia="en-US"/>
        </w:rPr>
        <w:t>pod</w:t>
      </w:r>
      <w:r w:rsidR="00331E6D">
        <w:rPr>
          <w:b/>
          <w:bCs/>
          <w:noProof/>
          <w:szCs w:val="22"/>
          <w:lang w:eastAsia="en-US"/>
        </w:rPr>
        <w:t> </w:t>
      </w:r>
      <w:r w:rsidR="00CA0440" w:rsidRPr="0028779D">
        <w:rPr>
          <w:b/>
          <w:bCs/>
          <w:noProof/>
          <w:szCs w:val="22"/>
          <w:lang w:eastAsia="en-US"/>
        </w:rPr>
        <w:t>nasledovnými názvami:</w:t>
      </w:r>
    </w:p>
    <w:p w:rsidR="00780926" w:rsidRPr="0028779D" w:rsidRDefault="00780926" w:rsidP="00E757C6">
      <w:pPr>
        <w:numPr>
          <w:ilvl w:val="12"/>
          <w:numId w:val="0"/>
        </w:numPr>
        <w:ind w:right="-2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52"/>
      </w:tblGrid>
      <w:tr w:rsidR="00DA1347" w:rsidRPr="0028779D" w:rsidTr="00F56711">
        <w:tc>
          <w:tcPr>
            <w:tcW w:w="2235" w:type="dxa"/>
            <w:shd w:val="clear" w:color="auto" w:fill="auto"/>
          </w:tcPr>
          <w:p w:rsidR="00DA1347" w:rsidRPr="00CF3CFA" w:rsidRDefault="00DA1347" w:rsidP="00DA1347">
            <w:pPr>
              <w:rPr>
                <w:b/>
                <w:bCs/>
                <w:szCs w:val="22"/>
              </w:rPr>
            </w:pPr>
            <w:r w:rsidRPr="00CF3CFA">
              <w:rPr>
                <w:b/>
                <w:bCs/>
                <w:szCs w:val="22"/>
              </w:rPr>
              <w:t xml:space="preserve">Krajina </w:t>
            </w:r>
          </w:p>
        </w:tc>
        <w:tc>
          <w:tcPr>
            <w:tcW w:w="7052" w:type="dxa"/>
            <w:shd w:val="clear" w:color="auto" w:fill="auto"/>
          </w:tcPr>
          <w:p w:rsidR="00DA1347" w:rsidRPr="00B56BBD" w:rsidRDefault="00DA1347" w:rsidP="00DA1347">
            <w:pPr>
              <w:rPr>
                <w:b/>
                <w:bCs/>
                <w:szCs w:val="22"/>
              </w:rPr>
            </w:pPr>
            <w:r w:rsidRPr="00B56BBD">
              <w:rPr>
                <w:b/>
                <w:bCs/>
                <w:szCs w:val="22"/>
              </w:rPr>
              <w:t>Názov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Holandsko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filmomhulde tabletten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Rakúsko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filmtabletten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5812B1" w:rsidRDefault="00DA1347" w:rsidP="00DA1347">
            <w:pPr>
              <w:rPr>
                <w:szCs w:val="22"/>
              </w:rPr>
            </w:pPr>
            <w:r w:rsidRPr="005812B1">
              <w:rPr>
                <w:szCs w:val="22"/>
              </w:rPr>
              <w:t>Bulharsko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2F6A6A" w:rsidRDefault="00DA1347" w:rsidP="00AF134B">
            <w:pPr>
              <w:pStyle w:val="Register1"/>
            </w:pPr>
            <w:r w:rsidRPr="005812B1">
              <w:t xml:space="preserve">Ranitidine Accord 150, 300 </w:t>
            </w:r>
            <w:r w:rsidRPr="002F6A6A">
              <w:t>mg film-coated tablets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5812B1" w:rsidRDefault="00DA1347" w:rsidP="00DA1347">
            <w:pPr>
              <w:rPr>
                <w:szCs w:val="22"/>
              </w:rPr>
            </w:pPr>
            <w:r w:rsidRPr="005812B1">
              <w:rPr>
                <w:szCs w:val="22"/>
              </w:rPr>
              <w:t>Cyprus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2F6A6A" w:rsidRDefault="00DA1347" w:rsidP="00AF134B">
            <w:pPr>
              <w:pStyle w:val="Register1"/>
            </w:pPr>
            <w:r w:rsidRPr="005812B1">
              <w:t>Ranitidine Accord 150, 300</w:t>
            </w:r>
            <w:r w:rsidRPr="002F6A6A">
              <w:t xml:space="preserve"> mg film-coated tablets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Estónsko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Francúzsko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150/300 mg, comprimé pelliculé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Maďarsko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filmtabletta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Írsko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150, 300 mg film-coated tablets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Litva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Ranitidine Accord 150, 300 mg plevele dengtos tabletės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Lotyšsko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 xml:space="preserve">Ranitidine Accord 150 mg apvalkotās tabletes </w:t>
            </w:r>
          </w:p>
          <w:p w:rsidR="00DA1347" w:rsidRPr="002C66C6" w:rsidRDefault="00DA1347" w:rsidP="00DA1347">
            <w:pPr>
              <w:rPr>
                <w:szCs w:val="22"/>
              </w:rPr>
            </w:pPr>
            <w:r w:rsidRPr="002C66C6">
              <w:rPr>
                <w:szCs w:val="22"/>
              </w:rPr>
              <w:t>Ranitidine Accord 300 mg apvalkotās tabletes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Slovinsko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56BBD" w:rsidRDefault="00DA1347" w:rsidP="00DA1347">
            <w:pPr>
              <w:rPr>
                <w:szCs w:val="22"/>
              </w:rPr>
            </w:pPr>
            <w:r w:rsidRPr="00B56BBD">
              <w:rPr>
                <w:szCs w:val="22"/>
              </w:rPr>
              <w:t>Ranitidin Accord 150 mg filmsko obložene tablete</w:t>
            </w:r>
          </w:p>
          <w:p w:rsidR="00DA1347" w:rsidRPr="00B3665D" w:rsidRDefault="00DA1347" w:rsidP="00DA1347">
            <w:pPr>
              <w:rPr>
                <w:szCs w:val="22"/>
              </w:rPr>
            </w:pPr>
            <w:r w:rsidRPr="002C66C6">
              <w:rPr>
                <w:szCs w:val="22"/>
              </w:rPr>
              <w:t>Ranitidin Accord 300 mg fil</w:t>
            </w:r>
            <w:r w:rsidRPr="00B3665D">
              <w:rPr>
                <w:szCs w:val="22"/>
              </w:rPr>
              <w:t>msko obložene tablete</w:t>
            </w:r>
          </w:p>
        </w:tc>
      </w:tr>
      <w:tr w:rsidR="00DA1347" w:rsidRPr="0028779D" w:rsidTr="00F56711">
        <w:tc>
          <w:tcPr>
            <w:tcW w:w="2235" w:type="dxa"/>
            <w:shd w:val="clear" w:color="auto" w:fill="auto"/>
            <w:vAlign w:val="center"/>
          </w:tcPr>
          <w:p w:rsidR="00DA1347" w:rsidRPr="00CF3CFA" w:rsidRDefault="00DA1347" w:rsidP="00DA1347">
            <w:pPr>
              <w:rPr>
                <w:szCs w:val="22"/>
              </w:rPr>
            </w:pPr>
            <w:r w:rsidRPr="00CF3CFA">
              <w:rPr>
                <w:szCs w:val="22"/>
              </w:rPr>
              <w:t>Slovensk</w:t>
            </w:r>
            <w:r w:rsidR="001E7B5D">
              <w:rPr>
                <w:szCs w:val="22"/>
              </w:rPr>
              <w:t>á republika</w:t>
            </w:r>
          </w:p>
        </w:tc>
        <w:tc>
          <w:tcPr>
            <w:tcW w:w="7052" w:type="dxa"/>
            <w:shd w:val="clear" w:color="auto" w:fill="auto"/>
            <w:vAlign w:val="center"/>
          </w:tcPr>
          <w:p w:rsidR="00DA1347" w:rsidRPr="00B3665D" w:rsidRDefault="00DA1347" w:rsidP="00494525">
            <w:pPr>
              <w:rPr>
                <w:szCs w:val="22"/>
              </w:rPr>
            </w:pPr>
            <w:r w:rsidRPr="00B56BBD">
              <w:rPr>
                <w:szCs w:val="22"/>
              </w:rPr>
              <w:t xml:space="preserve">Ranitidine Accord 150, 300 mg </w:t>
            </w:r>
            <w:r w:rsidRPr="002C66C6">
              <w:rPr>
                <w:rFonts w:eastAsia="Batang"/>
                <w:szCs w:val="22"/>
                <w:lang w:eastAsia="ko-KR"/>
              </w:rPr>
              <w:t>filmom obalené tablety</w:t>
            </w:r>
          </w:p>
        </w:tc>
      </w:tr>
    </w:tbl>
    <w:p w:rsidR="00780926" w:rsidRPr="0028779D" w:rsidRDefault="00780926" w:rsidP="00E757C6">
      <w:pPr>
        <w:ind w:right="-449"/>
        <w:rPr>
          <w:noProof/>
          <w:szCs w:val="22"/>
        </w:rPr>
      </w:pPr>
    </w:p>
    <w:p w:rsidR="00780926" w:rsidRPr="00E42905" w:rsidRDefault="00494525" w:rsidP="00E4290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8779D">
        <w:rPr>
          <w:b/>
          <w:noProof/>
          <w:szCs w:val="22"/>
        </w:rPr>
        <w:lastRenderedPageBreak/>
        <w:t>T</w:t>
      </w:r>
      <w:r w:rsidR="001C5830" w:rsidRPr="0028779D">
        <w:rPr>
          <w:b/>
          <w:noProof/>
          <w:szCs w:val="22"/>
        </w:rPr>
        <w:t>áto písomná informácia bola naposledy aktualizovaná v</w:t>
      </w:r>
      <w:r w:rsidR="00CC764F">
        <w:rPr>
          <w:b/>
          <w:noProof/>
          <w:szCs w:val="22"/>
        </w:rPr>
        <w:t> </w:t>
      </w:r>
      <w:r w:rsidR="00DE4BFE">
        <w:rPr>
          <w:b/>
          <w:noProof/>
          <w:szCs w:val="22"/>
        </w:rPr>
        <w:t>októbri</w:t>
      </w:r>
      <w:r w:rsidR="00CC764F">
        <w:rPr>
          <w:b/>
          <w:noProof/>
          <w:szCs w:val="22"/>
        </w:rPr>
        <w:t xml:space="preserve"> 2017</w:t>
      </w:r>
      <w:r w:rsidR="00DA1347" w:rsidRPr="0028779D">
        <w:rPr>
          <w:b/>
          <w:noProof/>
          <w:szCs w:val="22"/>
        </w:rPr>
        <w:t>.</w:t>
      </w:r>
    </w:p>
    <w:sectPr w:rsidR="00780926" w:rsidRPr="00E42905" w:rsidSect="00AD79D4"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27" w:rsidRDefault="00287627">
      <w:r>
        <w:separator/>
      </w:r>
    </w:p>
  </w:endnote>
  <w:endnote w:type="continuationSeparator" w:id="0">
    <w:p w:rsidR="00287627" w:rsidRDefault="0028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27" w:rsidRPr="002F6A6A" w:rsidRDefault="0028762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2F6A6A">
      <w:rPr>
        <w:rStyle w:val="slostrany"/>
        <w:rFonts w:ascii="Times New Roman" w:hAnsi="Times New Roman"/>
        <w:sz w:val="18"/>
        <w:szCs w:val="18"/>
      </w:rPr>
      <w:fldChar w:fldCharType="begin"/>
    </w:r>
    <w:r w:rsidRPr="002F6A6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F6A6A">
      <w:rPr>
        <w:rStyle w:val="slostrany"/>
        <w:rFonts w:ascii="Times New Roman" w:hAnsi="Times New Roman"/>
        <w:sz w:val="18"/>
        <w:szCs w:val="18"/>
      </w:rPr>
      <w:fldChar w:fldCharType="separate"/>
    </w:r>
    <w:r w:rsidR="00E42905">
      <w:rPr>
        <w:rStyle w:val="slostrany"/>
        <w:rFonts w:ascii="Times New Roman" w:hAnsi="Times New Roman"/>
        <w:noProof/>
        <w:sz w:val="18"/>
        <w:szCs w:val="18"/>
      </w:rPr>
      <w:t>3</w:t>
    </w:r>
    <w:r w:rsidRPr="002F6A6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27" w:rsidRPr="002F6A6A" w:rsidRDefault="0028762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2F6A6A">
      <w:rPr>
        <w:rStyle w:val="slostrany"/>
        <w:rFonts w:ascii="Times New Roman" w:hAnsi="Times New Roman"/>
        <w:sz w:val="18"/>
        <w:szCs w:val="18"/>
      </w:rPr>
      <w:fldChar w:fldCharType="begin"/>
    </w:r>
    <w:r w:rsidRPr="002F6A6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F6A6A">
      <w:rPr>
        <w:rStyle w:val="slostrany"/>
        <w:rFonts w:ascii="Times New Roman" w:hAnsi="Times New Roman"/>
        <w:sz w:val="18"/>
        <w:szCs w:val="18"/>
      </w:rPr>
      <w:fldChar w:fldCharType="separate"/>
    </w:r>
    <w:r w:rsidR="00E42905">
      <w:rPr>
        <w:rStyle w:val="slostrany"/>
        <w:rFonts w:ascii="Times New Roman" w:hAnsi="Times New Roman"/>
        <w:noProof/>
        <w:sz w:val="18"/>
        <w:szCs w:val="18"/>
      </w:rPr>
      <w:t>1</w:t>
    </w:r>
    <w:r w:rsidRPr="002F6A6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27" w:rsidRDefault="00287627">
      <w:r>
        <w:separator/>
      </w:r>
    </w:p>
  </w:footnote>
  <w:footnote w:type="continuationSeparator" w:id="0">
    <w:p w:rsidR="00287627" w:rsidRDefault="00287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627" w:rsidRPr="00093407" w:rsidRDefault="00287627" w:rsidP="0018754C">
    <w:pPr>
      <w:pStyle w:val="Hlavika"/>
      <w:rPr>
        <w:rFonts w:ascii="Times New Roman" w:hAnsi="Times New Roman"/>
        <w:sz w:val="18"/>
        <w:szCs w:val="18"/>
        <w:lang w:val="sk-SK"/>
      </w:rPr>
    </w:pPr>
    <w:r w:rsidRPr="003F79A1">
      <w:rPr>
        <w:rFonts w:ascii="Times New Roman" w:hAnsi="Times New Roman"/>
        <w:sz w:val="18"/>
        <w:szCs w:val="18"/>
        <w:lang w:val="sk-SK"/>
      </w:rPr>
      <w:t>Schválený text k rozhodnutiu o </w:t>
    </w:r>
    <w:r>
      <w:rPr>
        <w:rFonts w:ascii="Times New Roman" w:hAnsi="Times New Roman"/>
        <w:sz w:val="18"/>
        <w:szCs w:val="18"/>
        <w:lang w:val="sk-SK"/>
      </w:rPr>
      <w:t>predĺžení,</w:t>
    </w:r>
    <w:r w:rsidRPr="003F79A1">
      <w:rPr>
        <w:rFonts w:ascii="Times New Roman" w:hAnsi="Times New Roman"/>
        <w:sz w:val="18"/>
        <w:szCs w:val="18"/>
        <w:lang w:val="sk-SK"/>
      </w:rPr>
      <w:t xml:space="preserve"> ev. č.:</w:t>
    </w:r>
    <w:r w:rsidRPr="00AE1DD3">
      <w:rPr>
        <w:rFonts w:ascii="Times New Roman" w:hAnsi="Times New Roman"/>
        <w:sz w:val="18"/>
        <w:szCs w:val="18"/>
      </w:rPr>
      <w:t xml:space="preserve"> </w:t>
    </w:r>
    <w:r w:rsidRPr="003F79A1">
      <w:rPr>
        <w:rFonts w:ascii="Times New Roman" w:hAnsi="Times New Roman"/>
        <w:sz w:val="18"/>
        <w:szCs w:val="18"/>
        <w:lang w:val="sk-SK"/>
      </w:rPr>
      <w:t>201</w:t>
    </w:r>
    <w:r>
      <w:rPr>
        <w:rFonts w:ascii="Times New Roman" w:hAnsi="Times New Roman"/>
        <w:sz w:val="18"/>
        <w:szCs w:val="18"/>
        <w:lang w:val="sk-SK"/>
      </w:rPr>
      <w:t xml:space="preserve">7/00336-PRE, </w:t>
    </w:r>
    <w:r w:rsidRPr="003F79A1">
      <w:rPr>
        <w:rFonts w:ascii="Times New Roman" w:hAnsi="Times New Roman"/>
        <w:sz w:val="18"/>
        <w:szCs w:val="18"/>
        <w:lang w:val="sk-SK"/>
      </w:rPr>
      <w:t>201</w:t>
    </w:r>
    <w:r>
      <w:rPr>
        <w:rFonts w:ascii="Times New Roman" w:hAnsi="Times New Roman"/>
        <w:sz w:val="18"/>
        <w:szCs w:val="18"/>
        <w:lang w:val="sk-SK"/>
      </w:rPr>
      <w:t>7/00337-PRE</w:t>
    </w:r>
  </w:p>
  <w:p w:rsidR="00287627" w:rsidRPr="002F6A6A" w:rsidRDefault="00287627">
    <w:pPr>
      <w:pStyle w:val="Hlavika"/>
      <w:rPr>
        <w:rFonts w:ascii="Times New Roman" w:hAnsi="Times New Roman"/>
        <w:sz w:val="18"/>
        <w:szCs w:val="18"/>
        <w:lang w:val="sk-SK"/>
      </w:rPr>
    </w:pPr>
    <w:r w:rsidRPr="00AE1DD3">
      <w:rPr>
        <w:rFonts w:ascii="Times New Roman" w:hAnsi="Times New Roman"/>
        <w:sz w:val="18"/>
        <w:szCs w:val="18"/>
      </w:rPr>
      <w:t xml:space="preserve">Príloha č. </w:t>
    </w:r>
    <w:r>
      <w:rPr>
        <w:rFonts w:ascii="Times New Roman" w:hAnsi="Times New Roman"/>
        <w:sz w:val="18"/>
        <w:szCs w:val="18"/>
      </w:rPr>
      <w:t>2</w:t>
    </w:r>
    <w:r w:rsidRPr="00AE1DD3">
      <w:rPr>
        <w:rFonts w:ascii="Times New Roman" w:hAnsi="Times New Roman"/>
        <w:sz w:val="18"/>
        <w:szCs w:val="18"/>
      </w:rPr>
      <w:t xml:space="preserve"> k notifikácii o zmene, ev. č.: 2016/05952-ZIB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4D2DA6"/>
    <w:multiLevelType w:val="hybridMultilevel"/>
    <w:tmpl w:val="D7741866"/>
    <w:lvl w:ilvl="0" w:tplc="FFFFFFFF"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96760"/>
    <w:multiLevelType w:val="hybridMultilevel"/>
    <w:tmpl w:val="2F485C8E"/>
    <w:lvl w:ilvl="0" w:tplc="96F019C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C22C5"/>
    <w:multiLevelType w:val="hybridMultilevel"/>
    <w:tmpl w:val="034CE30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B3F9B"/>
    <w:multiLevelType w:val="hybridMultilevel"/>
    <w:tmpl w:val="916A13B6"/>
    <w:lvl w:ilvl="0" w:tplc="139C9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1FE07FB8"/>
    <w:multiLevelType w:val="hybridMultilevel"/>
    <w:tmpl w:val="0406CB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2148D"/>
    <w:multiLevelType w:val="hybridMultilevel"/>
    <w:tmpl w:val="329017DA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8B01A63"/>
    <w:multiLevelType w:val="hybridMultilevel"/>
    <w:tmpl w:val="DA162C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C308D9"/>
    <w:multiLevelType w:val="hybridMultilevel"/>
    <w:tmpl w:val="12EC69DE"/>
    <w:lvl w:ilvl="0" w:tplc="84B821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6A42"/>
    <w:multiLevelType w:val="hybridMultilevel"/>
    <w:tmpl w:val="5D2E14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>
    <w:nsid w:val="4EF96766"/>
    <w:multiLevelType w:val="hybridMultilevel"/>
    <w:tmpl w:val="B6FA2A22"/>
    <w:lvl w:ilvl="0" w:tplc="27E27B6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251D9"/>
    <w:multiLevelType w:val="hybridMultilevel"/>
    <w:tmpl w:val="87D0CB16"/>
    <w:lvl w:ilvl="0" w:tplc="C6DC6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CCD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07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43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3A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4E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4B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E5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8A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57982985"/>
    <w:multiLevelType w:val="hybridMultilevel"/>
    <w:tmpl w:val="28B4E8AE"/>
    <w:lvl w:ilvl="0" w:tplc="DDF81FB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AA347D3"/>
    <w:multiLevelType w:val="hybridMultilevel"/>
    <w:tmpl w:val="40765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>
    <w:nsid w:val="6F6307C1"/>
    <w:multiLevelType w:val="hybridMultilevel"/>
    <w:tmpl w:val="2CF2BD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F127EA"/>
    <w:multiLevelType w:val="hybridMultilevel"/>
    <w:tmpl w:val="21482ABE"/>
    <w:lvl w:ilvl="0" w:tplc="AA7A85C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43CF7"/>
    <w:multiLevelType w:val="hybridMultilevel"/>
    <w:tmpl w:val="023041E8"/>
    <w:lvl w:ilvl="0" w:tplc="041B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2"/>
  </w:num>
  <w:num w:numId="4">
    <w:abstractNumId w:val="21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25"/>
  </w:num>
  <w:num w:numId="18">
    <w:abstractNumId w:val="14"/>
  </w:num>
  <w:num w:numId="19">
    <w:abstractNumId w:val="7"/>
  </w:num>
  <w:num w:numId="20">
    <w:abstractNumId w:val="11"/>
  </w:num>
  <w:num w:numId="21">
    <w:abstractNumId w:val="12"/>
  </w:num>
  <w:num w:numId="22">
    <w:abstractNumId w:val="24"/>
  </w:num>
  <w:num w:numId="23">
    <w:abstractNumId w:val="20"/>
  </w:num>
  <w:num w:numId="24">
    <w:abstractNumId w:val="3"/>
  </w:num>
  <w:num w:numId="25">
    <w:abstractNumId w:val="9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4A2C"/>
    <w:rsid w:val="00013C9F"/>
    <w:rsid w:val="00014749"/>
    <w:rsid w:val="00022B9F"/>
    <w:rsid w:val="00024670"/>
    <w:rsid w:val="00033ADB"/>
    <w:rsid w:val="000425BE"/>
    <w:rsid w:val="00056045"/>
    <w:rsid w:val="00077CF6"/>
    <w:rsid w:val="00081E2F"/>
    <w:rsid w:val="00086702"/>
    <w:rsid w:val="00090230"/>
    <w:rsid w:val="00096CAA"/>
    <w:rsid w:val="000A6785"/>
    <w:rsid w:val="000A7F60"/>
    <w:rsid w:val="000B0140"/>
    <w:rsid w:val="000B6759"/>
    <w:rsid w:val="000C2112"/>
    <w:rsid w:val="000C226C"/>
    <w:rsid w:val="000D5622"/>
    <w:rsid w:val="000E7685"/>
    <w:rsid w:val="000F39FC"/>
    <w:rsid w:val="001342DA"/>
    <w:rsid w:val="00136B00"/>
    <w:rsid w:val="00141412"/>
    <w:rsid w:val="00142693"/>
    <w:rsid w:val="0015367B"/>
    <w:rsid w:val="00160D34"/>
    <w:rsid w:val="00161827"/>
    <w:rsid w:val="0016753D"/>
    <w:rsid w:val="00177A4A"/>
    <w:rsid w:val="00180987"/>
    <w:rsid w:val="0018754C"/>
    <w:rsid w:val="0019306B"/>
    <w:rsid w:val="001A62C7"/>
    <w:rsid w:val="001B08B2"/>
    <w:rsid w:val="001B3ADE"/>
    <w:rsid w:val="001B73FD"/>
    <w:rsid w:val="001B7F74"/>
    <w:rsid w:val="001C2D08"/>
    <w:rsid w:val="001C463D"/>
    <w:rsid w:val="001C5830"/>
    <w:rsid w:val="001D156A"/>
    <w:rsid w:val="001D1B4B"/>
    <w:rsid w:val="001D3C20"/>
    <w:rsid w:val="001D4230"/>
    <w:rsid w:val="001E5AD5"/>
    <w:rsid w:val="001E7B5D"/>
    <w:rsid w:val="001F1150"/>
    <w:rsid w:val="001F38D5"/>
    <w:rsid w:val="001F78A6"/>
    <w:rsid w:val="002003FB"/>
    <w:rsid w:val="00212D69"/>
    <w:rsid w:val="002155FD"/>
    <w:rsid w:val="002227EB"/>
    <w:rsid w:val="0022527A"/>
    <w:rsid w:val="0025422C"/>
    <w:rsid w:val="0025696C"/>
    <w:rsid w:val="00256B47"/>
    <w:rsid w:val="00257DD4"/>
    <w:rsid w:val="00272224"/>
    <w:rsid w:val="00281C02"/>
    <w:rsid w:val="00287627"/>
    <w:rsid w:val="0028779D"/>
    <w:rsid w:val="00295FEE"/>
    <w:rsid w:val="002A24BE"/>
    <w:rsid w:val="002A354C"/>
    <w:rsid w:val="002A46DA"/>
    <w:rsid w:val="002B49B1"/>
    <w:rsid w:val="002B7838"/>
    <w:rsid w:val="002C428B"/>
    <w:rsid w:val="002C66C6"/>
    <w:rsid w:val="002E0C26"/>
    <w:rsid w:val="002F6A6A"/>
    <w:rsid w:val="002F7664"/>
    <w:rsid w:val="00302F2A"/>
    <w:rsid w:val="003034DC"/>
    <w:rsid w:val="00306120"/>
    <w:rsid w:val="0031186C"/>
    <w:rsid w:val="00322A32"/>
    <w:rsid w:val="00322FF3"/>
    <w:rsid w:val="003234FC"/>
    <w:rsid w:val="00325006"/>
    <w:rsid w:val="00331E6D"/>
    <w:rsid w:val="00332DC3"/>
    <w:rsid w:val="00335674"/>
    <w:rsid w:val="003506A1"/>
    <w:rsid w:val="00355F02"/>
    <w:rsid w:val="00356EFE"/>
    <w:rsid w:val="00360E2E"/>
    <w:rsid w:val="003761C3"/>
    <w:rsid w:val="003775BA"/>
    <w:rsid w:val="00382713"/>
    <w:rsid w:val="00390F07"/>
    <w:rsid w:val="003A6BE0"/>
    <w:rsid w:val="003A706F"/>
    <w:rsid w:val="003B774D"/>
    <w:rsid w:val="003C1137"/>
    <w:rsid w:val="003C6681"/>
    <w:rsid w:val="003C7198"/>
    <w:rsid w:val="003D19E6"/>
    <w:rsid w:val="003E2592"/>
    <w:rsid w:val="003F1D20"/>
    <w:rsid w:val="003F2753"/>
    <w:rsid w:val="0041172C"/>
    <w:rsid w:val="0042356B"/>
    <w:rsid w:val="00423740"/>
    <w:rsid w:val="00425BD4"/>
    <w:rsid w:val="00433F56"/>
    <w:rsid w:val="00444F3C"/>
    <w:rsid w:val="00457415"/>
    <w:rsid w:val="00471186"/>
    <w:rsid w:val="0048142A"/>
    <w:rsid w:val="00481673"/>
    <w:rsid w:val="004832FE"/>
    <w:rsid w:val="00484A97"/>
    <w:rsid w:val="00486C3D"/>
    <w:rsid w:val="00494525"/>
    <w:rsid w:val="004A59F2"/>
    <w:rsid w:val="004B4DB5"/>
    <w:rsid w:val="004B5C11"/>
    <w:rsid w:val="004C1853"/>
    <w:rsid w:val="004E2EF4"/>
    <w:rsid w:val="004F0CBA"/>
    <w:rsid w:val="00500844"/>
    <w:rsid w:val="0050458A"/>
    <w:rsid w:val="00505F7F"/>
    <w:rsid w:val="00506EA5"/>
    <w:rsid w:val="00520738"/>
    <w:rsid w:val="005231B4"/>
    <w:rsid w:val="00524E4A"/>
    <w:rsid w:val="00526741"/>
    <w:rsid w:val="005505AD"/>
    <w:rsid w:val="00553663"/>
    <w:rsid w:val="00556CCE"/>
    <w:rsid w:val="00572823"/>
    <w:rsid w:val="005812B1"/>
    <w:rsid w:val="00581993"/>
    <w:rsid w:val="0058227B"/>
    <w:rsid w:val="005A672E"/>
    <w:rsid w:val="005B7295"/>
    <w:rsid w:val="005C01F5"/>
    <w:rsid w:val="005C46E8"/>
    <w:rsid w:val="005F1090"/>
    <w:rsid w:val="005F5318"/>
    <w:rsid w:val="00603B14"/>
    <w:rsid w:val="00604343"/>
    <w:rsid w:val="0060445B"/>
    <w:rsid w:val="00621B15"/>
    <w:rsid w:val="00626759"/>
    <w:rsid w:val="00634656"/>
    <w:rsid w:val="00635C39"/>
    <w:rsid w:val="00637F52"/>
    <w:rsid w:val="00650DC8"/>
    <w:rsid w:val="00664192"/>
    <w:rsid w:val="00664BE2"/>
    <w:rsid w:val="006716AF"/>
    <w:rsid w:val="0067382A"/>
    <w:rsid w:val="00674674"/>
    <w:rsid w:val="00680573"/>
    <w:rsid w:val="00681EEF"/>
    <w:rsid w:val="00683A5F"/>
    <w:rsid w:val="00693217"/>
    <w:rsid w:val="006A0574"/>
    <w:rsid w:val="006A68C6"/>
    <w:rsid w:val="006A780E"/>
    <w:rsid w:val="006B0FDD"/>
    <w:rsid w:val="006B1053"/>
    <w:rsid w:val="006C3768"/>
    <w:rsid w:val="006D4F00"/>
    <w:rsid w:val="006F7180"/>
    <w:rsid w:val="007038C7"/>
    <w:rsid w:val="007044C3"/>
    <w:rsid w:val="007056A6"/>
    <w:rsid w:val="00706824"/>
    <w:rsid w:val="0071785E"/>
    <w:rsid w:val="0072196E"/>
    <w:rsid w:val="00722D4F"/>
    <w:rsid w:val="00724E11"/>
    <w:rsid w:val="00726FF4"/>
    <w:rsid w:val="0073167B"/>
    <w:rsid w:val="00734C0D"/>
    <w:rsid w:val="00741BA0"/>
    <w:rsid w:val="00742871"/>
    <w:rsid w:val="00744624"/>
    <w:rsid w:val="00752FD9"/>
    <w:rsid w:val="00777AF0"/>
    <w:rsid w:val="00780926"/>
    <w:rsid w:val="00783152"/>
    <w:rsid w:val="00791189"/>
    <w:rsid w:val="0079266E"/>
    <w:rsid w:val="007A415E"/>
    <w:rsid w:val="007A4C2E"/>
    <w:rsid w:val="007B4A9B"/>
    <w:rsid w:val="007E1F8F"/>
    <w:rsid w:val="007E465C"/>
    <w:rsid w:val="00803841"/>
    <w:rsid w:val="00806026"/>
    <w:rsid w:val="0080607E"/>
    <w:rsid w:val="0080704F"/>
    <w:rsid w:val="0085357F"/>
    <w:rsid w:val="00853763"/>
    <w:rsid w:val="00873520"/>
    <w:rsid w:val="008873CC"/>
    <w:rsid w:val="00892856"/>
    <w:rsid w:val="008C1B51"/>
    <w:rsid w:val="008D7461"/>
    <w:rsid w:val="009058FE"/>
    <w:rsid w:val="009079F4"/>
    <w:rsid w:val="009302D1"/>
    <w:rsid w:val="00946B69"/>
    <w:rsid w:val="00953736"/>
    <w:rsid w:val="009543F5"/>
    <w:rsid w:val="009660AB"/>
    <w:rsid w:val="00974F9D"/>
    <w:rsid w:val="00990742"/>
    <w:rsid w:val="0099384F"/>
    <w:rsid w:val="009962CE"/>
    <w:rsid w:val="009963D0"/>
    <w:rsid w:val="009A43DA"/>
    <w:rsid w:val="009B423F"/>
    <w:rsid w:val="009B6065"/>
    <w:rsid w:val="009B688E"/>
    <w:rsid w:val="009C4275"/>
    <w:rsid w:val="009D1D88"/>
    <w:rsid w:val="009D4359"/>
    <w:rsid w:val="009D5418"/>
    <w:rsid w:val="009D773C"/>
    <w:rsid w:val="009E5E5F"/>
    <w:rsid w:val="009F199B"/>
    <w:rsid w:val="00A038CB"/>
    <w:rsid w:val="00A06CFE"/>
    <w:rsid w:val="00A10438"/>
    <w:rsid w:val="00A14046"/>
    <w:rsid w:val="00A242C5"/>
    <w:rsid w:val="00A31D86"/>
    <w:rsid w:val="00A36D87"/>
    <w:rsid w:val="00A37C43"/>
    <w:rsid w:val="00A417E6"/>
    <w:rsid w:val="00A4327D"/>
    <w:rsid w:val="00A43956"/>
    <w:rsid w:val="00A43F3E"/>
    <w:rsid w:val="00A52CCA"/>
    <w:rsid w:val="00A737B8"/>
    <w:rsid w:val="00A77483"/>
    <w:rsid w:val="00A80F9E"/>
    <w:rsid w:val="00A833E5"/>
    <w:rsid w:val="00A85CCE"/>
    <w:rsid w:val="00A86157"/>
    <w:rsid w:val="00A95995"/>
    <w:rsid w:val="00A978B9"/>
    <w:rsid w:val="00AD79D4"/>
    <w:rsid w:val="00AF134B"/>
    <w:rsid w:val="00B03675"/>
    <w:rsid w:val="00B04CE0"/>
    <w:rsid w:val="00B07509"/>
    <w:rsid w:val="00B07EB7"/>
    <w:rsid w:val="00B11758"/>
    <w:rsid w:val="00B1281C"/>
    <w:rsid w:val="00B31276"/>
    <w:rsid w:val="00B3216F"/>
    <w:rsid w:val="00B3230D"/>
    <w:rsid w:val="00B323B9"/>
    <w:rsid w:val="00B34696"/>
    <w:rsid w:val="00B3665D"/>
    <w:rsid w:val="00B36C75"/>
    <w:rsid w:val="00B36EA3"/>
    <w:rsid w:val="00B5482A"/>
    <w:rsid w:val="00B56BBD"/>
    <w:rsid w:val="00B6543D"/>
    <w:rsid w:val="00B65C0C"/>
    <w:rsid w:val="00B65E75"/>
    <w:rsid w:val="00B671B6"/>
    <w:rsid w:val="00B708BA"/>
    <w:rsid w:val="00BA0938"/>
    <w:rsid w:val="00BB08E1"/>
    <w:rsid w:val="00BB0B95"/>
    <w:rsid w:val="00BB215B"/>
    <w:rsid w:val="00BC20B3"/>
    <w:rsid w:val="00BC3369"/>
    <w:rsid w:val="00BC45AB"/>
    <w:rsid w:val="00BD2942"/>
    <w:rsid w:val="00BD5049"/>
    <w:rsid w:val="00BE0ECC"/>
    <w:rsid w:val="00BF6C37"/>
    <w:rsid w:val="00C022B2"/>
    <w:rsid w:val="00C14C59"/>
    <w:rsid w:val="00C17B6B"/>
    <w:rsid w:val="00C26F80"/>
    <w:rsid w:val="00C35D11"/>
    <w:rsid w:val="00C55DBB"/>
    <w:rsid w:val="00C64A58"/>
    <w:rsid w:val="00C7221F"/>
    <w:rsid w:val="00C75C1C"/>
    <w:rsid w:val="00C82AA0"/>
    <w:rsid w:val="00C85B40"/>
    <w:rsid w:val="00C929A1"/>
    <w:rsid w:val="00CA0440"/>
    <w:rsid w:val="00CA6605"/>
    <w:rsid w:val="00CB1FA6"/>
    <w:rsid w:val="00CB25B2"/>
    <w:rsid w:val="00CC764F"/>
    <w:rsid w:val="00CD175A"/>
    <w:rsid w:val="00CD6DD4"/>
    <w:rsid w:val="00CE6229"/>
    <w:rsid w:val="00CF3CFA"/>
    <w:rsid w:val="00CF3D05"/>
    <w:rsid w:val="00CF5A6C"/>
    <w:rsid w:val="00CF76C2"/>
    <w:rsid w:val="00D061BE"/>
    <w:rsid w:val="00D06B2B"/>
    <w:rsid w:val="00D15C7A"/>
    <w:rsid w:val="00D20B13"/>
    <w:rsid w:val="00D326E1"/>
    <w:rsid w:val="00D33F2E"/>
    <w:rsid w:val="00D52196"/>
    <w:rsid w:val="00D522EB"/>
    <w:rsid w:val="00D548D9"/>
    <w:rsid w:val="00D62B2B"/>
    <w:rsid w:val="00D67CF2"/>
    <w:rsid w:val="00D90EDE"/>
    <w:rsid w:val="00D91B1C"/>
    <w:rsid w:val="00D92F55"/>
    <w:rsid w:val="00D95A46"/>
    <w:rsid w:val="00D96F2E"/>
    <w:rsid w:val="00DA1347"/>
    <w:rsid w:val="00DC012E"/>
    <w:rsid w:val="00DD06EA"/>
    <w:rsid w:val="00DD11DD"/>
    <w:rsid w:val="00DD5133"/>
    <w:rsid w:val="00DE4BFE"/>
    <w:rsid w:val="00DF696F"/>
    <w:rsid w:val="00E0602C"/>
    <w:rsid w:val="00E073AC"/>
    <w:rsid w:val="00E1127B"/>
    <w:rsid w:val="00E1364A"/>
    <w:rsid w:val="00E13A3E"/>
    <w:rsid w:val="00E13C45"/>
    <w:rsid w:val="00E1698A"/>
    <w:rsid w:val="00E23A3A"/>
    <w:rsid w:val="00E24D3E"/>
    <w:rsid w:val="00E42905"/>
    <w:rsid w:val="00E50936"/>
    <w:rsid w:val="00E53556"/>
    <w:rsid w:val="00E53CD7"/>
    <w:rsid w:val="00E757C6"/>
    <w:rsid w:val="00E877C8"/>
    <w:rsid w:val="00EA405A"/>
    <w:rsid w:val="00EA512A"/>
    <w:rsid w:val="00EF29BA"/>
    <w:rsid w:val="00F00D87"/>
    <w:rsid w:val="00F02F60"/>
    <w:rsid w:val="00F13EAE"/>
    <w:rsid w:val="00F14990"/>
    <w:rsid w:val="00F30177"/>
    <w:rsid w:val="00F37060"/>
    <w:rsid w:val="00F408A6"/>
    <w:rsid w:val="00F44613"/>
    <w:rsid w:val="00F56711"/>
    <w:rsid w:val="00F618A0"/>
    <w:rsid w:val="00F63DAD"/>
    <w:rsid w:val="00F67593"/>
    <w:rsid w:val="00F73D58"/>
    <w:rsid w:val="00F749FA"/>
    <w:rsid w:val="00F7638B"/>
    <w:rsid w:val="00F81B64"/>
    <w:rsid w:val="00F8247D"/>
    <w:rsid w:val="00F8384D"/>
    <w:rsid w:val="00F92770"/>
    <w:rsid w:val="00FB4DA1"/>
    <w:rsid w:val="00FB533E"/>
    <w:rsid w:val="00FB5BDA"/>
    <w:rsid w:val="00FB5E51"/>
    <w:rsid w:val="00FC6918"/>
    <w:rsid w:val="00FC7BDD"/>
    <w:rsid w:val="00FE18CF"/>
    <w:rsid w:val="00FE7E40"/>
    <w:rsid w:val="00FF15F0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D79D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D79D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D79D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D79D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D79D4"/>
  </w:style>
  <w:style w:type="paragraph" w:styleId="Pta">
    <w:name w:val="footer"/>
    <w:basedOn w:val="Normlny"/>
    <w:rsid w:val="00AD79D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AD79D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D79D4"/>
    <w:rPr>
      <w:color w:val="0000FF"/>
      <w:u w:val="single"/>
    </w:rPr>
  </w:style>
  <w:style w:type="paragraph" w:customStyle="1" w:styleId="EMEAEnBodyText">
    <w:name w:val="EMEA En Body Text"/>
    <w:basedOn w:val="Normlny"/>
    <w:rsid w:val="00AD79D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D79D4"/>
    <w:pPr>
      <w:ind w:left="0" w:firstLine="0"/>
    </w:pPr>
  </w:style>
  <w:style w:type="paragraph" w:styleId="Textbubliny">
    <w:name w:val="Balloon Text"/>
    <w:basedOn w:val="Normlny"/>
    <w:semiHidden/>
    <w:rsid w:val="00AD79D4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D79D4"/>
    <w:rPr>
      <w:color w:val="800080"/>
      <w:u w:val="single"/>
    </w:rPr>
  </w:style>
  <w:style w:type="character" w:styleId="Odkaznakomentr">
    <w:name w:val="annotation reference"/>
    <w:semiHidden/>
    <w:rsid w:val="00AD79D4"/>
    <w:rPr>
      <w:sz w:val="16"/>
      <w:szCs w:val="16"/>
    </w:rPr>
  </w:style>
  <w:style w:type="paragraph" w:styleId="Textkomentra">
    <w:name w:val="annotation text"/>
    <w:basedOn w:val="Normlny"/>
    <w:semiHidden/>
    <w:rsid w:val="00AD79D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D79D4"/>
    <w:rPr>
      <w:b/>
      <w:bCs/>
    </w:rPr>
  </w:style>
  <w:style w:type="paragraph" w:styleId="Zkladntext3">
    <w:name w:val="Body Text 3"/>
    <w:basedOn w:val="Normlny"/>
    <w:rsid w:val="00EA512A"/>
    <w:pPr>
      <w:spacing w:after="120"/>
    </w:pPr>
    <w:rPr>
      <w:sz w:val="16"/>
      <w:szCs w:val="16"/>
    </w:rPr>
  </w:style>
  <w:style w:type="paragraph" w:styleId="Register1">
    <w:name w:val="index 1"/>
    <w:basedOn w:val="Normlny"/>
    <w:next w:val="Normlny"/>
    <w:autoRedefine/>
    <w:semiHidden/>
    <w:rsid w:val="00AF134B"/>
    <w:pPr>
      <w:ind w:left="0" w:firstLine="0"/>
    </w:pPr>
    <w:rPr>
      <w:szCs w:val="22"/>
      <w:lang w:eastAsia="en-US"/>
    </w:rPr>
  </w:style>
  <w:style w:type="table" w:styleId="Mriekatabuky">
    <w:name w:val="Table Grid"/>
    <w:basedOn w:val="Normlnatabuka"/>
    <w:rsid w:val="00DA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9E5E5F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HlavikaChar">
    <w:name w:val="Hlavička Char"/>
    <w:basedOn w:val="Predvolenpsmoodseku"/>
    <w:link w:val="Hlavika"/>
    <w:rsid w:val="0018754C"/>
    <w:rPr>
      <w:rFonts w:ascii="Helvetica" w:hAnsi="Helvetica"/>
      <w:lang w:val="cs-CZ" w:eastAsia="en-US"/>
    </w:rPr>
  </w:style>
  <w:style w:type="paragraph" w:styleId="Odsekzoznamu">
    <w:name w:val="List Paragraph"/>
    <w:basedOn w:val="Normlny"/>
    <w:uiPriority w:val="34"/>
    <w:qFormat/>
    <w:rsid w:val="00013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D79D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AD79D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D79D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D79D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D79D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D79D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D79D4"/>
  </w:style>
  <w:style w:type="paragraph" w:styleId="Pta">
    <w:name w:val="footer"/>
    <w:basedOn w:val="Normlny"/>
    <w:rsid w:val="00AD79D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AD79D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D79D4"/>
    <w:rPr>
      <w:color w:val="0000FF"/>
      <w:u w:val="single"/>
    </w:rPr>
  </w:style>
  <w:style w:type="paragraph" w:customStyle="1" w:styleId="EMEAEnBodyText">
    <w:name w:val="EMEA En Body Text"/>
    <w:basedOn w:val="Normlny"/>
    <w:rsid w:val="00AD79D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D79D4"/>
    <w:pPr>
      <w:ind w:left="0" w:firstLine="0"/>
    </w:pPr>
  </w:style>
  <w:style w:type="paragraph" w:styleId="Textbubliny">
    <w:name w:val="Balloon Text"/>
    <w:basedOn w:val="Normlny"/>
    <w:semiHidden/>
    <w:rsid w:val="00AD79D4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AD79D4"/>
    <w:rPr>
      <w:color w:val="800080"/>
      <w:u w:val="single"/>
    </w:rPr>
  </w:style>
  <w:style w:type="character" w:styleId="Odkaznakomentr">
    <w:name w:val="annotation reference"/>
    <w:semiHidden/>
    <w:rsid w:val="00AD79D4"/>
    <w:rPr>
      <w:sz w:val="16"/>
      <w:szCs w:val="16"/>
    </w:rPr>
  </w:style>
  <w:style w:type="paragraph" w:styleId="Textkomentra">
    <w:name w:val="annotation text"/>
    <w:basedOn w:val="Normlny"/>
    <w:semiHidden/>
    <w:rsid w:val="00AD79D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D79D4"/>
    <w:rPr>
      <w:b/>
      <w:bCs/>
    </w:rPr>
  </w:style>
  <w:style w:type="paragraph" w:styleId="Zkladntext3">
    <w:name w:val="Body Text 3"/>
    <w:basedOn w:val="Normlny"/>
    <w:rsid w:val="00EA512A"/>
    <w:pPr>
      <w:spacing w:after="120"/>
    </w:pPr>
    <w:rPr>
      <w:sz w:val="16"/>
      <w:szCs w:val="16"/>
    </w:rPr>
  </w:style>
  <w:style w:type="paragraph" w:styleId="Register1">
    <w:name w:val="index 1"/>
    <w:basedOn w:val="Normlny"/>
    <w:next w:val="Normlny"/>
    <w:autoRedefine/>
    <w:semiHidden/>
    <w:rsid w:val="00AF134B"/>
    <w:pPr>
      <w:ind w:left="0" w:firstLine="0"/>
    </w:pPr>
    <w:rPr>
      <w:szCs w:val="22"/>
      <w:lang w:eastAsia="en-US"/>
    </w:rPr>
  </w:style>
  <w:style w:type="table" w:styleId="Mriekatabuky">
    <w:name w:val="Table Grid"/>
    <w:basedOn w:val="Normlnatabuka"/>
    <w:rsid w:val="00DA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9E5E5F"/>
    <w:pPr>
      <w:spacing w:line="240" w:lineRule="atLeast"/>
      <w:ind w:left="568"/>
    </w:pPr>
    <w:rPr>
      <w:sz w:val="22"/>
      <w:lang w:val="de-DE" w:eastAsia="de-DE"/>
    </w:rPr>
  </w:style>
  <w:style w:type="character" w:customStyle="1" w:styleId="HlavikaChar">
    <w:name w:val="Hlavička Char"/>
    <w:basedOn w:val="Predvolenpsmoodseku"/>
    <w:link w:val="Hlavika"/>
    <w:rsid w:val="0018754C"/>
    <w:rPr>
      <w:rFonts w:ascii="Helvetica" w:hAnsi="Helvetica"/>
      <w:lang w:val="cs-CZ" w:eastAsia="en-US"/>
    </w:rPr>
  </w:style>
  <w:style w:type="paragraph" w:styleId="Odsekzoznamu">
    <w:name w:val="List Paragraph"/>
    <w:basedOn w:val="Normlny"/>
    <w:uiPriority w:val="34"/>
    <w:qFormat/>
    <w:rsid w:val="0001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81A6C-C5D8-4048-87F3-F1FF7EA7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2440</Words>
  <Characters>13909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Hreferralspcsk</vt:lpstr>
      <vt:lpstr>Hreferralspcsk</vt:lpstr>
    </vt:vector>
  </TitlesOfParts>
  <LinksUpToDate>false</LinksUpToDate>
  <CharactersWithSpaces>16317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/>
  <cp:lastModifiedBy/>
  <cp:revision>1</cp:revision>
  <cp:lastPrinted>2003-05-16T04:25:00Z</cp:lastPrinted>
  <dcterms:created xsi:type="dcterms:W3CDTF">2017-10-17T15:17:00Z</dcterms:created>
  <dcterms:modified xsi:type="dcterms:W3CDTF">2017-10-17T15:17:00Z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</Properties>
</file>