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9F" w:rsidRPr="00D665B9" w:rsidRDefault="00C7509F" w:rsidP="00087362">
      <w:pPr>
        <w:jc w:val="center"/>
        <w:outlineLvl w:val="0"/>
        <w:rPr>
          <w:b/>
          <w:noProof/>
          <w:sz w:val="22"/>
          <w:szCs w:val="22"/>
          <w:lang w:val="en-GB"/>
        </w:rPr>
      </w:pPr>
    </w:p>
    <w:p w:rsidR="00C7509F" w:rsidRPr="00D665B9" w:rsidRDefault="00C7509F" w:rsidP="00087362">
      <w:pPr>
        <w:jc w:val="center"/>
        <w:outlineLvl w:val="0"/>
        <w:rPr>
          <w:b/>
          <w:noProof/>
          <w:sz w:val="22"/>
          <w:szCs w:val="22"/>
          <w:lang w:val="en-GB"/>
        </w:rPr>
      </w:pPr>
    </w:p>
    <w:p w:rsidR="0008414E" w:rsidRPr="00D665B9" w:rsidRDefault="00437F21" w:rsidP="00087362">
      <w:pPr>
        <w:jc w:val="center"/>
        <w:outlineLvl w:val="0"/>
        <w:rPr>
          <w:b/>
          <w:noProof/>
          <w:sz w:val="22"/>
          <w:szCs w:val="22"/>
          <w:lang w:val="en-GB"/>
        </w:rPr>
      </w:pPr>
      <w:r w:rsidRPr="00D665B9">
        <w:rPr>
          <w:b/>
          <w:noProof/>
          <w:sz w:val="22"/>
          <w:szCs w:val="22"/>
        </w:rPr>
        <w:t xml:space="preserve">Písomná informácia pre používateľa </w:t>
      </w:r>
    </w:p>
    <w:p w:rsidR="0008414E" w:rsidRPr="00D665B9" w:rsidRDefault="0008414E" w:rsidP="00087362">
      <w:pPr>
        <w:jc w:val="center"/>
        <w:outlineLvl w:val="0"/>
        <w:rPr>
          <w:b/>
          <w:noProof/>
          <w:sz w:val="22"/>
          <w:szCs w:val="22"/>
          <w:lang w:val="en-GB"/>
        </w:rPr>
      </w:pPr>
    </w:p>
    <w:p w:rsidR="00F22B6C" w:rsidRDefault="00444BCF" w:rsidP="00087362">
      <w:pPr>
        <w:pStyle w:val="Hlavika"/>
        <w:ind w:right="-171"/>
        <w:jc w:val="center"/>
        <w:rPr>
          <w:b/>
          <w:sz w:val="22"/>
          <w:szCs w:val="22"/>
        </w:rPr>
      </w:pPr>
      <w:r w:rsidRPr="00087362">
        <w:rPr>
          <w:b/>
          <w:sz w:val="22"/>
          <w:szCs w:val="22"/>
        </w:rPr>
        <w:t>Lutrate Depot 22,5 mg</w:t>
      </w:r>
      <w:r w:rsidR="00D665B9" w:rsidRPr="00087362">
        <w:rPr>
          <w:b/>
          <w:sz w:val="22"/>
          <w:szCs w:val="22"/>
        </w:rPr>
        <w:t xml:space="preserve"> </w:t>
      </w:r>
      <w:r w:rsidR="00223246" w:rsidRPr="00087362">
        <w:rPr>
          <w:b/>
          <w:sz w:val="22"/>
          <w:szCs w:val="22"/>
        </w:rPr>
        <w:t>prášok a disperzné prostredie na injekčnú suspenziu s predĺženým uvoľňovaním</w:t>
      </w:r>
    </w:p>
    <w:p w:rsidR="00163452" w:rsidRPr="00087362" w:rsidRDefault="00163452" w:rsidP="00087362">
      <w:pPr>
        <w:pStyle w:val="Hlavika"/>
        <w:ind w:right="-171"/>
        <w:jc w:val="center"/>
        <w:rPr>
          <w:b/>
          <w:sz w:val="22"/>
          <w:szCs w:val="22"/>
          <w:lang w:val="en-GB"/>
        </w:rPr>
      </w:pPr>
    </w:p>
    <w:p w:rsidR="00955B4F" w:rsidRPr="00D665B9" w:rsidRDefault="00955B4F" w:rsidP="00087362">
      <w:pPr>
        <w:pStyle w:val="knZulassung02"/>
        <w:ind w:left="0" w:right="72"/>
        <w:jc w:val="center"/>
        <w:rPr>
          <w:rFonts w:ascii="Times New Roman" w:hAnsi="Times New Roman" w:cs="Times New Roman"/>
          <w:sz w:val="22"/>
          <w:szCs w:val="22"/>
          <w:lang w:val="en-GB"/>
        </w:rPr>
      </w:pPr>
      <w:r w:rsidRPr="00D665B9">
        <w:rPr>
          <w:rFonts w:ascii="Times New Roman" w:hAnsi="Times New Roman" w:cs="Times New Roman"/>
          <w:sz w:val="22"/>
          <w:szCs w:val="22"/>
        </w:rPr>
        <w:t>leuprorelíniumacetát</w:t>
      </w:r>
    </w:p>
    <w:p w:rsidR="00955B4F" w:rsidRPr="00D665B9" w:rsidRDefault="00955B4F" w:rsidP="00087362">
      <w:pPr>
        <w:pStyle w:val="knZulassung02"/>
        <w:ind w:left="0"/>
        <w:jc w:val="both"/>
        <w:rPr>
          <w:rFonts w:ascii="Times New Roman" w:hAnsi="Times New Roman" w:cs="Times New Roman"/>
          <w:sz w:val="22"/>
          <w:szCs w:val="22"/>
          <w:lang w:val="en-GB"/>
        </w:rPr>
      </w:pPr>
    </w:p>
    <w:p w:rsidR="00955B4F" w:rsidRPr="00D665B9" w:rsidRDefault="00955B4F" w:rsidP="00087362">
      <w:pPr>
        <w:suppressAutoHyphens/>
        <w:jc w:val="both"/>
        <w:rPr>
          <w:b/>
          <w:sz w:val="22"/>
          <w:szCs w:val="22"/>
          <w:lang w:val="en-GB"/>
        </w:rPr>
      </w:pPr>
      <w:r w:rsidRPr="00D665B9">
        <w:rPr>
          <w:b/>
          <w:noProof/>
          <w:sz w:val="22"/>
          <w:szCs w:val="22"/>
        </w:rPr>
        <w:t>Pozorne si prečítajte celú písomnú informáciu predtým, ako začnete používať tento liek, pretože obsahuje pre vás dôležité informácie.</w:t>
      </w:r>
    </w:p>
    <w:p w:rsidR="006D2AD4" w:rsidRPr="00D665B9" w:rsidRDefault="00955B4F" w:rsidP="00087362">
      <w:pPr>
        <w:numPr>
          <w:ilvl w:val="0"/>
          <w:numId w:val="12"/>
        </w:numPr>
        <w:ind w:left="357" w:hanging="357"/>
        <w:jc w:val="both"/>
        <w:rPr>
          <w:noProof/>
          <w:sz w:val="22"/>
          <w:szCs w:val="22"/>
        </w:rPr>
      </w:pPr>
      <w:r w:rsidRPr="00D665B9">
        <w:rPr>
          <w:noProof/>
          <w:sz w:val="22"/>
          <w:szCs w:val="22"/>
        </w:rPr>
        <w:t>Túto písomnú informáciu si uschovajte. Možno bude potrebné, aby ste si ju znovu prečítali.</w:t>
      </w:r>
    </w:p>
    <w:p w:rsidR="006D2AD4" w:rsidRPr="00D665B9" w:rsidRDefault="00955B4F" w:rsidP="00087362">
      <w:pPr>
        <w:numPr>
          <w:ilvl w:val="0"/>
          <w:numId w:val="12"/>
        </w:numPr>
        <w:ind w:left="357" w:hanging="357"/>
        <w:jc w:val="both"/>
        <w:rPr>
          <w:noProof/>
          <w:sz w:val="22"/>
          <w:szCs w:val="22"/>
        </w:rPr>
      </w:pPr>
      <w:r w:rsidRPr="00D665B9">
        <w:rPr>
          <w:noProof/>
          <w:sz w:val="22"/>
          <w:szCs w:val="22"/>
        </w:rPr>
        <w:t>Ak máte akékoľvek ďalšie otázky, obráťte sa na svojho lekára alebo lekárnika.</w:t>
      </w:r>
    </w:p>
    <w:p w:rsidR="006D2AD4" w:rsidRPr="00D665B9" w:rsidRDefault="00955B4F" w:rsidP="00087362">
      <w:pPr>
        <w:numPr>
          <w:ilvl w:val="0"/>
          <w:numId w:val="12"/>
        </w:numPr>
        <w:ind w:left="357" w:hanging="357"/>
        <w:jc w:val="both"/>
        <w:rPr>
          <w:noProof/>
          <w:sz w:val="22"/>
          <w:szCs w:val="22"/>
        </w:rPr>
      </w:pPr>
      <w:r w:rsidRPr="00D665B9">
        <w:rPr>
          <w:noProof/>
          <w:sz w:val="22"/>
          <w:szCs w:val="22"/>
        </w:rPr>
        <w:t xml:space="preserve">Tento liek bol predpísaný iba vám. Nedávajte ho nikomu inému. Môže mu uškodiť, dokonca aj vtedy, ak má rovnaké </w:t>
      </w:r>
      <w:r w:rsidR="00D665B9" w:rsidRPr="00D665B9">
        <w:rPr>
          <w:noProof/>
          <w:sz w:val="22"/>
          <w:szCs w:val="22"/>
        </w:rPr>
        <w:t>pr</w:t>
      </w:r>
      <w:r w:rsidR="00D665B9">
        <w:rPr>
          <w:noProof/>
          <w:sz w:val="22"/>
          <w:szCs w:val="22"/>
        </w:rPr>
        <w:t>ejav</w:t>
      </w:r>
      <w:r w:rsidR="00D665B9" w:rsidRPr="00D665B9">
        <w:rPr>
          <w:noProof/>
          <w:sz w:val="22"/>
          <w:szCs w:val="22"/>
        </w:rPr>
        <w:t xml:space="preserve">y </w:t>
      </w:r>
      <w:r w:rsidRPr="00D665B9">
        <w:rPr>
          <w:noProof/>
          <w:sz w:val="22"/>
          <w:szCs w:val="22"/>
        </w:rPr>
        <w:t>ochorenia ako vy.</w:t>
      </w:r>
    </w:p>
    <w:p w:rsidR="006D2AD4" w:rsidRPr="00D665B9" w:rsidRDefault="00955B4F" w:rsidP="00087362">
      <w:pPr>
        <w:numPr>
          <w:ilvl w:val="0"/>
          <w:numId w:val="12"/>
        </w:numPr>
        <w:ind w:left="357" w:hanging="357"/>
        <w:jc w:val="both"/>
        <w:rPr>
          <w:noProof/>
          <w:sz w:val="22"/>
          <w:szCs w:val="22"/>
          <w:lang w:val="en-GB"/>
        </w:rPr>
      </w:pPr>
      <w:r w:rsidRPr="00D665B9">
        <w:rPr>
          <w:noProof/>
          <w:sz w:val="22"/>
          <w:szCs w:val="22"/>
        </w:rPr>
        <w:t>Ak sa u vás vyskytne akýkoľvek vedľajší účinok, obráťte sa na svojho lekára alebo lekárnika.</w:t>
      </w:r>
      <w:r w:rsidRPr="00D665B9">
        <w:rPr>
          <w:sz w:val="22"/>
          <w:szCs w:val="22"/>
        </w:rPr>
        <w:t xml:space="preserve"> </w:t>
      </w:r>
      <w:r w:rsidRPr="00D665B9">
        <w:rPr>
          <w:noProof/>
          <w:sz w:val="22"/>
          <w:szCs w:val="22"/>
        </w:rPr>
        <w:t>To sa týka sa to aj aký</w:t>
      </w:r>
      <w:r w:rsidR="00D665B9">
        <w:rPr>
          <w:noProof/>
          <w:sz w:val="22"/>
          <w:szCs w:val="22"/>
        </w:rPr>
        <w:t>ch</w:t>
      </w:r>
      <w:r w:rsidRPr="00D665B9">
        <w:rPr>
          <w:noProof/>
          <w:sz w:val="22"/>
          <w:szCs w:val="22"/>
        </w:rPr>
        <w:t>koľvek vedľajších účinkov, ktoré nie sú uvedené v tejto písomnej informácii. Pozri časť 4.</w:t>
      </w:r>
    </w:p>
    <w:p w:rsidR="00955B4F" w:rsidRPr="00D665B9" w:rsidRDefault="00955B4F" w:rsidP="00087362">
      <w:pPr>
        <w:pStyle w:val="knZulassung02"/>
        <w:ind w:left="0"/>
        <w:jc w:val="both"/>
        <w:rPr>
          <w:rFonts w:ascii="Times New Roman" w:hAnsi="Times New Roman" w:cs="Times New Roman"/>
          <w:sz w:val="22"/>
          <w:szCs w:val="22"/>
          <w:lang w:val="en-GB"/>
        </w:rPr>
      </w:pPr>
    </w:p>
    <w:p w:rsidR="006D2AD4" w:rsidRPr="00D665B9" w:rsidRDefault="00437F21" w:rsidP="00087362">
      <w:pPr>
        <w:numPr>
          <w:ilvl w:val="12"/>
          <w:numId w:val="0"/>
        </w:numPr>
        <w:jc w:val="both"/>
        <w:rPr>
          <w:noProof/>
          <w:sz w:val="22"/>
          <w:szCs w:val="22"/>
          <w:lang w:val="en-GB"/>
        </w:rPr>
      </w:pPr>
      <w:r w:rsidRPr="00D665B9">
        <w:rPr>
          <w:b/>
          <w:noProof/>
          <w:sz w:val="22"/>
          <w:szCs w:val="22"/>
        </w:rPr>
        <w:t>V tejto písomnej informácii sa dozviete</w:t>
      </w:r>
      <w:r w:rsidR="00D665B9">
        <w:rPr>
          <w:b/>
          <w:noProof/>
          <w:sz w:val="22"/>
          <w:szCs w:val="22"/>
        </w:rPr>
        <w:t>:</w:t>
      </w:r>
    </w:p>
    <w:p w:rsidR="006D2AD4" w:rsidRPr="00D665B9" w:rsidRDefault="00955B4F" w:rsidP="00087362">
      <w:pPr>
        <w:pStyle w:val="knZulassung02"/>
        <w:ind w:left="0" w:right="0"/>
        <w:jc w:val="both"/>
        <w:rPr>
          <w:rFonts w:ascii="Times New Roman" w:hAnsi="Times New Roman" w:cs="Times New Roman"/>
          <w:noProof/>
          <w:sz w:val="22"/>
          <w:szCs w:val="22"/>
          <w:lang w:val="en-GB"/>
        </w:rPr>
      </w:pPr>
      <w:r w:rsidRPr="00D665B9">
        <w:rPr>
          <w:rFonts w:ascii="Times New Roman" w:hAnsi="Times New Roman" w:cs="Times New Roman"/>
          <w:noProof/>
          <w:sz w:val="22"/>
          <w:szCs w:val="22"/>
        </w:rPr>
        <w:t>1.</w:t>
      </w:r>
      <w:r w:rsidRPr="00D665B9">
        <w:rPr>
          <w:rFonts w:ascii="Times New Roman" w:hAnsi="Times New Roman" w:cs="Times New Roman"/>
          <w:noProof/>
          <w:sz w:val="22"/>
          <w:szCs w:val="22"/>
        </w:rPr>
        <w:tab/>
        <w:t xml:space="preserve">Čo je </w:t>
      </w:r>
      <w:r w:rsidR="00444BCF" w:rsidRPr="00D665B9">
        <w:rPr>
          <w:rFonts w:ascii="Times New Roman" w:hAnsi="Times New Roman" w:cs="Times New Roman"/>
          <w:noProof/>
          <w:sz w:val="22"/>
          <w:szCs w:val="22"/>
        </w:rPr>
        <w:t>Lutrate Depot 22,5 mg</w:t>
      </w:r>
      <w:r w:rsidRPr="00D665B9">
        <w:rPr>
          <w:rFonts w:ascii="Times New Roman" w:hAnsi="Times New Roman" w:cs="Times New Roman"/>
          <w:noProof/>
          <w:sz w:val="22"/>
          <w:szCs w:val="22"/>
        </w:rPr>
        <w:t xml:space="preserve"> a na čo sa používa</w:t>
      </w:r>
    </w:p>
    <w:p w:rsidR="00444BCF" w:rsidRPr="00D665B9" w:rsidRDefault="00955B4F" w:rsidP="00087362">
      <w:pPr>
        <w:pStyle w:val="knZulassung02"/>
        <w:ind w:left="0" w:right="0"/>
        <w:jc w:val="both"/>
        <w:rPr>
          <w:rFonts w:ascii="Times New Roman" w:hAnsi="Times New Roman" w:cs="Times New Roman"/>
          <w:sz w:val="22"/>
          <w:szCs w:val="22"/>
        </w:rPr>
      </w:pPr>
      <w:r w:rsidRPr="00D665B9">
        <w:rPr>
          <w:rFonts w:ascii="Times New Roman" w:hAnsi="Times New Roman" w:cs="Times New Roman"/>
          <w:sz w:val="22"/>
          <w:szCs w:val="22"/>
        </w:rPr>
        <w:t>2.</w:t>
      </w:r>
      <w:r w:rsidRPr="00D665B9">
        <w:rPr>
          <w:rFonts w:ascii="Times New Roman" w:hAnsi="Times New Roman" w:cs="Times New Roman"/>
          <w:sz w:val="22"/>
          <w:szCs w:val="22"/>
        </w:rPr>
        <w:tab/>
        <w:t xml:space="preserve">Čo potrebujete vedieť predtým, ako použijete </w:t>
      </w:r>
      <w:r w:rsidR="00444BCF" w:rsidRPr="00D665B9">
        <w:rPr>
          <w:rFonts w:ascii="Times New Roman" w:hAnsi="Times New Roman" w:cs="Times New Roman"/>
          <w:noProof/>
          <w:sz w:val="22"/>
          <w:szCs w:val="22"/>
        </w:rPr>
        <w:t>Lutrate Depot 22,5 mg</w:t>
      </w:r>
    </w:p>
    <w:p w:rsidR="006D2AD4" w:rsidRPr="00D665B9" w:rsidRDefault="00955B4F" w:rsidP="00087362">
      <w:pPr>
        <w:pStyle w:val="knZulassung02"/>
        <w:ind w:left="0" w:right="0"/>
        <w:jc w:val="both"/>
        <w:rPr>
          <w:rFonts w:ascii="Times New Roman" w:hAnsi="Times New Roman" w:cs="Times New Roman"/>
          <w:sz w:val="22"/>
          <w:szCs w:val="22"/>
          <w:lang w:val="en-GB"/>
        </w:rPr>
      </w:pPr>
      <w:r w:rsidRPr="00D665B9">
        <w:rPr>
          <w:rFonts w:ascii="Times New Roman" w:hAnsi="Times New Roman" w:cs="Times New Roman"/>
          <w:noProof/>
          <w:sz w:val="22"/>
          <w:szCs w:val="22"/>
        </w:rPr>
        <w:t>3.</w:t>
      </w:r>
      <w:r w:rsidRPr="00D665B9">
        <w:rPr>
          <w:rFonts w:ascii="Times New Roman" w:hAnsi="Times New Roman" w:cs="Times New Roman"/>
          <w:noProof/>
          <w:sz w:val="22"/>
          <w:szCs w:val="22"/>
        </w:rPr>
        <w:tab/>
        <w:t xml:space="preserve">Ako používať </w:t>
      </w:r>
      <w:r w:rsidR="00444BCF" w:rsidRPr="00D665B9">
        <w:rPr>
          <w:rFonts w:ascii="Times New Roman" w:hAnsi="Times New Roman" w:cs="Times New Roman"/>
          <w:noProof/>
          <w:sz w:val="22"/>
          <w:szCs w:val="22"/>
        </w:rPr>
        <w:t>Lutrate Depot 22,5 mg</w:t>
      </w:r>
    </w:p>
    <w:p w:rsidR="006D2AD4" w:rsidRPr="00D665B9" w:rsidRDefault="00955B4F" w:rsidP="00087362">
      <w:pPr>
        <w:numPr>
          <w:ilvl w:val="12"/>
          <w:numId w:val="0"/>
        </w:numPr>
        <w:jc w:val="both"/>
        <w:rPr>
          <w:noProof/>
          <w:sz w:val="22"/>
          <w:szCs w:val="22"/>
          <w:lang w:val="en-GB"/>
        </w:rPr>
      </w:pPr>
      <w:r w:rsidRPr="00D665B9">
        <w:rPr>
          <w:noProof/>
          <w:sz w:val="22"/>
          <w:szCs w:val="22"/>
        </w:rPr>
        <w:t>4.</w:t>
      </w:r>
      <w:r w:rsidRPr="00D665B9">
        <w:rPr>
          <w:noProof/>
          <w:sz w:val="22"/>
          <w:szCs w:val="22"/>
        </w:rPr>
        <w:tab/>
        <w:t>Možné vedľajšie účinky</w:t>
      </w:r>
    </w:p>
    <w:p w:rsidR="00444BCF" w:rsidRPr="00D665B9" w:rsidRDefault="00955B4F" w:rsidP="00087362">
      <w:pPr>
        <w:tabs>
          <w:tab w:val="left" w:pos="720"/>
        </w:tabs>
        <w:jc w:val="both"/>
        <w:rPr>
          <w:noProof/>
          <w:sz w:val="22"/>
          <w:szCs w:val="22"/>
        </w:rPr>
      </w:pPr>
      <w:r w:rsidRPr="00D665B9">
        <w:rPr>
          <w:noProof/>
          <w:sz w:val="22"/>
          <w:szCs w:val="22"/>
        </w:rPr>
        <w:t>5.</w:t>
      </w:r>
      <w:r w:rsidRPr="00D665B9">
        <w:rPr>
          <w:noProof/>
          <w:sz w:val="22"/>
          <w:szCs w:val="22"/>
        </w:rPr>
        <w:tab/>
        <w:t xml:space="preserve">Ako uchovávať </w:t>
      </w:r>
      <w:r w:rsidR="00444BCF" w:rsidRPr="00D665B9">
        <w:rPr>
          <w:noProof/>
          <w:sz w:val="22"/>
          <w:szCs w:val="22"/>
        </w:rPr>
        <w:t xml:space="preserve">Lutrate Depot 22,5 mg </w:t>
      </w:r>
    </w:p>
    <w:p w:rsidR="006D2AD4" w:rsidRPr="00D665B9" w:rsidRDefault="00955B4F" w:rsidP="00087362">
      <w:pPr>
        <w:tabs>
          <w:tab w:val="left" w:pos="720"/>
        </w:tabs>
        <w:jc w:val="both"/>
        <w:rPr>
          <w:noProof/>
          <w:sz w:val="22"/>
          <w:szCs w:val="22"/>
          <w:lang w:val="en-GB"/>
        </w:rPr>
      </w:pPr>
      <w:r w:rsidRPr="00D665B9">
        <w:rPr>
          <w:noProof/>
          <w:sz w:val="22"/>
          <w:szCs w:val="22"/>
        </w:rPr>
        <w:t>6.</w:t>
      </w:r>
      <w:r w:rsidRPr="00D665B9">
        <w:rPr>
          <w:noProof/>
          <w:sz w:val="22"/>
          <w:szCs w:val="22"/>
        </w:rPr>
        <w:tab/>
        <w:t>Obsah balenia a ďalšie informácie</w:t>
      </w:r>
    </w:p>
    <w:p w:rsidR="00955B4F" w:rsidRDefault="00955B4F" w:rsidP="00087362">
      <w:pPr>
        <w:pStyle w:val="knZulassung02"/>
        <w:jc w:val="both"/>
        <w:rPr>
          <w:rFonts w:ascii="Times New Roman" w:hAnsi="Times New Roman" w:cs="Times New Roman"/>
          <w:sz w:val="22"/>
          <w:szCs w:val="22"/>
          <w:lang w:val="en-GB"/>
        </w:rPr>
      </w:pPr>
    </w:p>
    <w:p w:rsidR="00FC4870" w:rsidRPr="00D665B9" w:rsidRDefault="00FC4870" w:rsidP="00087362">
      <w:pPr>
        <w:pStyle w:val="knZulassung02"/>
        <w:jc w:val="both"/>
        <w:rPr>
          <w:rFonts w:ascii="Times New Roman" w:hAnsi="Times New Roman" w:cs="Times New Roman"/>
          <w:sz w:val="22"/>
          <w:szCs w:val="22"/>
          <w:lang w:val="en-GB"/>
        </w:rPr>
      </w:pPr>
    </w:p>
    <w:p w:rsidR="00955B4F" w:rsidRPr="00D665B9" w:rsidRDefault="00955B4F" w:rsidP="00087362">
      <w:pPr>
        <w:tabs>
          <w:tab w:val="left" w:pos="426"/>
        </w:tabs>
        <w:adjustRightInd w:val="0"/>
        <w:jc w:val="both"/>
        <w:rPr>
          <w:noProof/>
          <w:sz w:val="22"/>
          <w:szCs w:val="22"/>
          <w:lang w:val="en-GB"/>
        </w:rPr>
      </w:pPr>
      <w:r w:rsidRPr="00D665B9">
        <w:rPr>
          <w:b/>
          <w:noProof/>
          <w:sz w:val="22"/>
          <w:szCs w:val="22"/>
        </w:rPr>
        <w:t>1.</w:t>
      </w:r>
      <w:r w:rsidRPr="00D665B9">
        <w:rPr>
          <w:b/>
          <w:noProof/>
          <w:sz w:val="22"/>
          <w:szCs w:val="22"/>
        </w:rPr>
        <w:tab/>
        <w:t xml:space="preserve">Čo je </w:t>
      </w:r>
      <w:r w:rsidR="00223246" w:rsidRPr="00EE2BA1">
        <w:rPr>
          <w:b/>
          <w:noProof/>
          <w:sz w:val="22"/>
          <w:szCs w:val="22"/>
        </w:rPr>
        <w:t>Lutrate Depot 22,5 mg</w:t>
      </w:r>
      <w:r w:rsidR="00444BCF" w:rsidRPr="00D665B9">
        <w:rPr>
          <w:noProof/>
          <w:sz w:val="22"/>
          <w:szCs w:val="22"/>
        </w:rPr>
        <w:t xml:space="preserve"> </w:t>
      </w:r>
      <w:r w:rsidRPr="00D665B9">
        <w:rPr>
          <w:b/>
          <w:noProof/>
          <w:sz w:val="22"/>
          <w:szCs w:val="22"/>
        </w:rPr>
        <w:t>a na čo sa používa</w:t>
      </w:r>
    </w:p>
    <w:p w:rsidR="00955B4F" w:rsidRPr="00D665B9" w:rsidRDefault="00955B4F" w:rsidP="00087362">
      <w:pPr>
        <w:adjustRightInd w:val="0"/>
        <w:jc w:val="both"/>
        <w:rPr>
          <w:b/>
          <w:bCs/>
          <w:i/>
          <w:iCs/>
          <w:sz w:val="22"/>
          <w:szCs w:val="22"/>
          <w:lang w:val="en-GB"/>
        </w:rPr>
      </w:pPr>
    </w:p>
    <w:p w:rsidR="00955B4F" w:rsidRPr="00D665B9" w:rsidRDefault="00444BCF" w:rsidP="00087362">
      <w:pPr>
        <w:pStyle w:val="paragraph"/>
        <w:jc w:val="both"/>
        <w:rPr>
          <w:sz w:val="22"/>
          <w:szCs w:val="22"/>
        </w:rPr>
      </w:pPr>
      <w:r w:rsidRPr="00D665B9">
        <w:rPr>
          <w:noProof/>
          <w:sz w:val="22"/>
          <w:szCs w:val="22"/>
        </w:rPr>
        <w:t xml:space="preserve">Lutrate Depot 22,5 mg </w:t>
      </w:r>
      <w:r w:rsidR="0044522A" w:rsidRPr="00D665B9">
        <w:rPr>
          <w:sz w:val="22"/>
          <w:szCs w:val="22"/>
        </w:rPr>
        <w:t xml:space="preserve">je injekčná liekovka obsahujúca biely prášok, z ktorého sa pripraví suspenzia na injekciu do svalu. </w:t>
      </w:r>
      <w:r w:rsidR="000D6234" w:rsidRPr="00D665B9">
        <w:rPr>
          <w:noProof/>
          <w:sz w:val="22"/>
          <w:szCs w:val="22"/>
        </w:rPr>
        <w:t xml:space="preserve">Lutrate Depot 22,5 mg </w:t>
      </w:r>
      <w:r w:rsidR="0044522A" w:rsidRPr="00D665B9">
        <w:rPr>
          <w:sz w:val="22"/>
          <w:szCs w:val="22"/>
        </w:rPr>
        <w:t xml:space="preserve">obsahuje liečivo leuprorelín (nazýva sa tiež </w:t>
      </w:r>
      <w:r w:rsidR="0044522A" w:rsidRPr="00D665B9">
        <w:rPr>
          <w:b/>
          <w:bCs/>
          <w:sz w:val="22"/>
          <w:szCs w:val="22"/>
        </w:rPr>
        <w:t>leuprolid</w:t>
      </w:r>
      <w:r w:rsidR="0044522A" w:rsidRPr="00D665B9">
        <w:rPr>
          <w:sz w:val="22"/>
          <w:szCs w:val="22"/>
        </w:rPr>
        <w:t xml:space="preserve">), ktorý patrí do skupiny liekov nazývaných agonisty hormónu uvoľňujúceho luteinizačný hormón (LHRH) (liekov znižujúcich testosterón – pohlavný hormón). </w:t>
      </w:r>
    </w:p>
    <w:p w:rsidR="00087362" w:rsidRDefault="00955B4F" w:rsidP="00087362">
      <w:pPr>
        <w:pStyle w:val="paragraph"/>
        <w:jc w:val="both"/>
        <w:rPr>
          <w:bCs/>
          <w:sz w:val="22"/>
          <w:szCs w:val="22"/>
        </w:rPr>
      </w:pPr>
      <w:r w:rsidRPr="00D665B9">
        <w:rPr>
          <w:bCs/>
          <w:sz w:val="22"/>
          <w:szCs w:val="22"/>
        </w:rPr>
        <w:t xml:space="preserve">Lekár vám predpísal </w:t>
      </w:r>
      <w:r w:rsidR="00444BCF" w:rsidRPr="00D665B9">
        <w:rPr>
          <w:noProof/>
          <w:sz w:val="22"/>
          <w:szCs w:val="22"/>
        </w:rPr>
        <w:t xml:space="preserve">Lutrate Depot 22,5 mg </w:t>
      </w:r>
      <w:r w:rsidRPr="00D665B9">
        <w:rPr>
          <w:bCs/>
          <w:sz w:val="22"/>
          <w:szCs w:val="22"/>
        </w:rPr>
        <w:t xml:space="preserve">na paliatívnu liečbu pokročilého štádia </w:t>
      </w:r>
      <w:r w:rsidR="00106DB4">
        <w:rPr>
          <w:bCs/>
          <w:sz w:val="22"/>
          <w:szCs w:val="22"/>
        </w:rPr>
        <w:t>rakoviny</w:t>
      </w:r>
      <w:r w:rsidR="00106DB4" w:rsidRPr="00D665B9">
        <w:rPr>
          <w:bCs/>
          <w:sz w:val="22"/>
          <w:szCs w:val="22"/>
        </w:rPr>
        <w:t xml:space="preserve"> </w:t>
      </w:r>
      <w:r w:rsidRPr="00D665B9">
        <w:rPr>
          <w:bCs/>
          <w:sz w:val="22"/>
          <w:szCs w:val="22"/>
        </w:rPr>
        <w:t xml:space="preserve">prostaty. </w:t>
      </w:r>
      <w:bookmarkStart w:id="0" w:name="sectionS4"/>
      <w:bookmarkEnd w:id="0"/>
    </w:p>
    <w:p w:rsidR="00087362" w:rsidRDefault="00087362" w:rsidP="00087362">
      <w:pPr>
        <w:pStyle w:val="paragraph"/>
        <w:jc w:val="both"/>
        <w:rPr>
          <w:bCs/>
          <w:sz w:val="22"/>
          <w:szCs w:val="22"/>
        </w:rPr>
      </w:pPr>
    </w:p>
    <w:p w:rsidR="00087362" w:rsidRDefault="00087362" w:rsidP="00087362">
      <w:pPr>
        <w:pStyle w:val="paragraph"/>
        <w:jc w:val="both"/>
        <w:rPr>
          <w:bCs/>
          <w:sz w:val="22"/>
          <w:szCs w:val="22"/>
        </w:rPr>
      </w:pPr>
    </w:p>
    <w:p w:rsidR="00955B4F" w:rsidRPr="00087362" w:rsidRDefault="00955B4F" w:rsidP="00087362">
      <w:pPr>
        <w:pStyle w:val="paragraph"/>
        <w:jc w:val="both"/>
        <w:rPr>
          <w:bCs/>
          <w:sz w:val="22"/>
          <w:szCs w:val="22"/>
        </w:rPr>
      </w:pPr>
      <w:r w:rsidRPr="00D665B9">
        <w:rPr>
          <w:b/>
          <w:noProof/>
          <w:sz w:val="22"/>
          <w:szCs w:val="22"/>
        </w:rPr>
        <w:t>2.</w:t>
      </w:r>
      <w:r w:rsidRPr="00D665B9">
        <w:rPr>
          <w:b/>
          <w:noProof/>
          <w:sz w:val="22"/>
          <w:szCs w:val="22"/>
        </w:rPr>
        <w:tab/>
        <w:t xml:space="preserve">Čo potrebujete vedieť predtým, ako použijete </w:t>
      </w:r>
      <w:r w:rsidR="00223246" w:rsidRPr="00EE2BA1">
        <w:rPr>
          <w:b/>
          <w:noProof/>
          <w:sz w:val="22"/>
          <w:szCs w:val="22"/>
        </w:rPr>
        <w:t>Lutrate Depot 22,5 mg</w:t>
      </w:r>
    </w:p>
    <w:p w:rsidR="00955B4F" w:rsidRPr="00D665B9" w:rsidRDefault="00955B4F" w:rsidP="00087362">
      <w:pPr>
        <w:pStyle w:val="knZulassung02"/>
        <w:ind w:left="540"/>
        <w:jc w:val="both"/>
        <w:rPr>
          <w:rFonts w:ascii="Times New Roman" w:hAnsi="Times New Roman" w:cs="Times New Roman"/>
          <w:b/>
          <w:sz w:val="22"/>
          <w:szCs w:val="22"/>
        </w:rPr>
      </w:pPr>
    </w:p>
    <w:p w:rsidR="00955B4F" w:rsidRPr="00D665B9" w:rsidRDefault="004B5EBA" w:rsidP="00087362">
      <w:pPr>
        <w:pStyle w:val="knZulassung02"/>
        <w:ind w:left="0"/>
        <w:jc w:val="both"/>
        <w:rPr>
          <w:rFonts w:ascii="Times New Roman" w:hAnsi="Times New Roman" w:cs="Times New Roman"/>
          <w:sz w:val="22"/>
          <w:szCs w:val="22"/>
          <w:lang w:val="en-GB"/>
        </w:rPr>
      </w:pPr>
      <w:r w:rsidRPr="00D665B9">
        <w:rPr>
          <w:rFonts w:ascii="Times New Roman" w:hAnsi="Times New Roman" w:cs="Times New Roman"/>
          <w:b/>
          <w:sz w:val="22"/>
          <w:szCs w:val="22"/>
        </w:rPr>
        <w:t xml:space="preserve">Nepužívajte </w:t>
      </w:r>
      <w:r w:rsidR="00223246" w:rsidRPr="00EE2BA1">
        <w:rPr>
          <w:rFonts w:ascii="Times New Roman" w:hAnsi="Times New Roman" w:cs="Times New Roman"/>
          <w:b/>
          <w:noProof/>
          <w:sz w:val="22"/>
          <w:szCs w:val="22"/>
        </w:rPr>
        <w:t>Lutrate Depot 22,5 mg</w:t>
      </w:r>
      <w:r w:rsidRPr="00D665B9">
        <w:rPr>
          <w:rFonts w:ascii="Times New Roman" w:hAnsi="Times New Roman" w:cs="Times New Roman"/>
          <w:b/>
          <w:sz w:val="22"/>
          <w:szCs w:val="22"/>
        </w:rPr>
        <w:t xml:space="preserve">: </w:t>
      </w:r>
    </w:p>
    <w:p w:rsidR="00955B4F" w:rsidRPr="00D665B9" w:rsidRDefault="0060497A" w:rsidP="00087362">
      <w:pPr>
        <w:numPr>
          <w:ilvl w:val="0"/>
          <w:numId w:val="11"/>
        </w:numPr>
        <w:autoSpaceDE w:val="0"/>
        <w:autoSpaceDN w:val="0"/>
        <w:jc w:val="both"/>
        <w:rPr>
          <w:noProof/>
          <w:sz w:val="22"/>
          <w:szCs w:val="22"/>
        </w:rPr>
      </w:pPr>
      <w:r w:rsidRPr="00D665B9">
        <w:rPr>
          <w:sz w:val="22"/>
          <w:szCs w:val="22"/>
        </w:rPr>
        <w:t>Ak ste alergický (precitlivený) na LHRH (hormón uvoľňujúci luteinizačný hormón), agonisty LHRH alebo na ktorúkoľvek z ďalších zložiek lieku (uvedených v časti 6).</w:t>
      </w:r>
      <w:r w:rsidRPr="00D665B9">
        <w:rPr>
          <w:noProof/>
          <w:sz w:val="22"/>
          <w:szCs w:val="22"/>
        </w:rPr>
        <w:t xml:space="preserve"> Alergickou reakciou môže byť vyrážka, svrbenie, ťažkosti s dýchaním alebo opuch tváre, pier, hrdla alebo jazyka.</w:t>
      </w:r>
    </w:p>
    <w:p w:rsidR="00955B4F" w:rsidRPr="00D665B9" w:rsidRDefault="004B5EBA" w:rsidP="00087362">
      <w:pPr>
        <w:numPr>
          <w:ilvl w:val="0"/>
          <w:numId w:val="11"/>
        </w:numPr>
        <w:autoSpaceDE w:val="0"/>
        <w:autoSpaceDN w:val="0"/>
        <w:jc w:val="both"/>
        <w:rPr>
          <w:noProof/>
          <w:sz w:val="22"/>
          <w:szCs w:val="22"/>
        </w:rPr>
      </w:pPr>
      <w:r w:rsidRPr="00D665B9">
        <w:rPr>
          <w:noProof/>
          <w:sz w:val="22"/>
          <w:szCs w:val="22"/>
        </w:rPr>
        <w:t>Ak ste podstúpili orchiektómiu (odstránenie semenníkov).</w:t>
      </w:r>
    </w:p>
    <w:p w:rsidR="00955B4F" w:rsidRPr="00D665B9" w:rsidRDefault="004B5EBA" w:rsidP="00087362">
      <w:pPr>
        <w:numPr>
          <w:ilvl w:val="0"/>
          <w:numId w:val="11"/>
        </w:numPr>
        <w:autoSpaceDE w:val="0"/>
        <w:autoSpaceDN w:val="0"/>
        <w:jc w:val="both"/>
        <w:rPr>
          <w:noProof/>
          <w:sz w:val="22"/>
          <w:szCs w:val="22"/>
          <w:lang w:val="en-GB"/>
        </w:rPr>
      </w:pPr>
      <w:r w:rsidRPr="00D665B9">
        <w:rPr>
          <w:noProof/>
          <w:sz w:val="22"/>
          <w:szCs w:val="22"/>
        </w:rPr>
        <w:t>Ak ste žena alebo dieťa.</w:t>
      </w:r>
    </w:p>
    <w:p w:rsidR="00955B4F" w:rsidRPr="00D665B9" w:rsidRDefault="000D6234" w:rsidP="00087362">
      <w:pPr>
        <w:numPr>
          <w:ilvl w:val="0"/>
          <w:numId w:val="11"/>
        </w:numPr>
        <w:autoSpaceDE w:val="0"/>
        <w:autoSpaceDN w:val="0"/>
        <w:jc w:val="both"/>
        <w:rPr>
          <w:noProof/>
          <w:sz w:val="22"/>
          <w:szCs w:val="22"/>
          <w:lang w:val="en-GB"/>
        </w:rPr>
      </w:pPr>
      <w:r w:rsidRPr="00D665B9">
        <w:rPr>
          <w:noProof/>
          <w:sz w:val="22"/>
          <w:szCs w:val="22"/>
        </w:rPr>
        <w:t xml:space="preserve">Lutrate Depot 22,5 mg </w:t>
      </w:r>
      <w:r w:rsidR="0044522A" w:rsidRPr="00D665B9">
        <w:rPr>
          <w:noProof/>
          <w:sz w:val="22"/>
          <w:szCs w:val="22"/>
        </w:rPr>
        <w:t>sa nesmie používať samostatne na liečbu karcinómu prostaty, keď je miecha stlačená alebo keď sa karcinóm rozšíril na miechu.</w:t>
      </w:r>
    </w:p>
    <w:p w:rsidR="00A942B6" w:rsidRPr="00D665B9" w:rsidRDefault="00A942B6" w:rsidP="00087362">
      <w:pPr>
        <w:jc w:val="both"/>
        <w:rPr>
          <w:noProof/>
          <w:sz w:val="22"/>
          <w:szCs w:val="22"/>
          <w:lang w:val="en-GB"/>
        </w:rPr>
      </w:pPr>
    </w:p>
    <w:p w:rsidR="00955B4F" w:rsidRPr="00D665B9" w:rsidRDefault="002775E0" w:rsidP="00087362">
      <w:pPr>
        <w:tabs>
          <w:tab w:val="left" w:pos="-720"/>
          <w:tab w:val="left" w:pos="0"/>
        </w:tabs>
        <w:suppressAutoHyphens/>
        <w:jc w:val="both"/>
        <w:rPr>
          <w:b/>
          <w:bCs/>
          <w:sz w:val="22"/>
          <w:szCs w:val="22"/>
          <w:lang w:val="en-GB" w:eastAsia="en-US"/>
        </w:rPr>
      </w:pPr>
      <w:r w:rsidRPr="00D665B9">
        <w:rPr>
          <w:b/>
          <w:noProof/>
          <w:sz w:val="22"/>
          <w:szCs w:val="22"/>
        </w:rPr>
        <w:t>Upozornenia a opatrenia</w:t>
      </w:r>
    </w:p>
    <w:p w:rsidR="006D2AD4" w:rsidRPr="00D665B9" w:rsidRDefault="007D3B92" w:rsidP="00087362">
      <w:pPr>
        <w:numPr>
          <w:ilvl w:val="0"/>
          <w:numId w:val="14"/>
        </w:numPr>
        <w:autoSpaceDE w:val="0"/>
        <w:autoSpaceDN w:val="0"/>
        <w:adjustRightInd w:val="0"/>
        <w:jc w:val="both"/>
        <w:rPr>
          <w:sz w:val="22"/>
          <w:szCs w:val="22"/>
          <w:lang w:val="en-US"/>
        </w:rPr>
      </w:pPr>
      <w:r w:rsidRPr="00D665B9">
        <w:rPr>
          <w:noProof/>
          <w:sz w:val="22"/>
          <w:szCs w:val="22"/>
        </w:rPr>
        <w:t xml:space="preserve">Obráťte sa na svojho lekára alebo lekárnika predtým, ako vám podajú </w:t>
      </w:r>
      <w:r w:rsidR="00444BCF" w:rsidRPr="00D665B9">
        <w:rPr>
          <w:noProof/>
          <w:sz w:val="22"/>
          <w:szCs w:val="22"/>
        </w:rPr>
        <w:t>Lutrate Depot 22,5 mg</w:t>
      </w:r>
      <w:r w:rsidRPr="00D665B9">
        <w:rPr>
          <w:noProof/>
          <w:sz w:val="22"/>
          <w:szCs w:val="22"/>
        </w:rPr>
        <w:t>.</w:t>
      </w:r>
    </w:p>
    <w:p w:rsidR="00567AD9" w:rsidRPr="00D665B9" w:rsidRDefault="00955B4F" w:rsidP="00087362">
      <w:pPr>
        <w:numPr>
          <w:ilvl w:val="0"/>
          <w:numId w:val="14"/>
        </w:numPr>
        <w:autoSpaceDE w:val="0"/>
        <w:autoSpaceDN w:val="0"/>
        <w:adjustRightInd w:val="0"/>
        <w:jc w:val="both"/>
        <w:rPr>
          <w:sz w:val="22"/>
          <w:szCs w:val="22"/>
        </w:rPr>
      </w:pPr>
      <w:r w:rsidRPr="00D665B9">
        <w:rPr>
          <w:sz w:val="22"/>
          <w:szCs w:val="22"/>
        </w:rPr>
        <w:t xml:space="preserve">Váš stav sa môže počas prvých týždňov liečby zhoršiť, ale s pokračujúcou liečbou by sa mal zlepšovať. </w:t>
      </w:r>
      <w:r w:rsidR="0041320A">
        <w:rPr>
          <w:sz w:val="22"/>
          <w:szCs w:val="22"/>
        </w:rPr>
        <w:t>Prejav</w:t>
      </w:r>
      <w:r w:rsidR="0041320A" w:rsidRPr="00D665B9">
        <w:rPr>
          <w:sz w:val="22"/>
          <w:szCs w:val="22"/>
        </w:rPr>
        <w:t xml:space="preserve">y </w:t>
      </w:r>
      <w:r w:rsidRPr="00D665B9">
        <w:rPr>
          <w:sz w:val="22"/>
          <w:szCs w:val="22"/>
        </w:rPr>
        <w:t>a príznaky zhoršenia stavu sú nasledujúce: dočasné zvýšenie testosterónu (mužského hormónu), návaly tepla, bolesť kostí, poruchy nervového systému (vrátane depresie) alebo obštrukcia močovodu.</w:t>
      </w:r>
    </w:p>
    <w:p w:rsidR="009F2023" w:rsidRPr="00D665B9" w:rsidRDefault="009F2023" w:rsidP="00087362">
      <w:pPr>
        <w:numPr>
          <w:ilvl w:val="0"/>
          <w:numId w:val="14"/>
        </w:numPr>
        <w:autoSpaceDE w:val="0"/>
        <w:autoSpaceDN w:val="0"/>
        <w:adjustRightInd w:val="0"/>
        <w:jc w:val="both"/>
        <w:rPr>
          <w:sz w:val="22"/>
          <w:szCs w:val="22"/>
        </w:rPr>
      </w:pPr>
      <w:r w:rsidRPr="00D665B9">
        <w:rPr>
          <w:sz w:val="22"/>
          <w:szCs w:val="22"/>
        </w:rPr>
        <w:lastRenderedPageBreak/>
        <w:t xml:space="preserve">Ak máte pocit, že ste dostali alergickú reakciu (dýchavičnosť, astma, rinitída, opuch tváre, </w:t>
      </w:r>
      <w:r w:rsidR="000D6234" w:rsidRPr="00D665B9">
        <w:rPr>
          <w:sz w:val="22"/>
          <w:szCs w:val="22"/>
        </w:rPr>
        <w:t>ži</w:t>
      </w:r>
      <w:r w:rsidRPr="00D665B9">
        <w:rPr>
          <w:sz w:val="22"/>
          <w:szCs w:val="22"/>
        </w:rPr>
        <w:t>hľavka, vyrážky na pokožke), prestaňte používať tento liek a informujte svojho lekára.</w:t>
      </w:r>
    </w:p>
    <w:p w:rsidR="003C2D37" w:rsidRPr="00D665B9" w:rsidRDefault="003C2D37" w:rsidP="00087362">
      <w:pPr>
        <w:numPr>
          <w:ilvl w:val="0"/>
          <w:numId w:val="14"/>
        </w:numPr>
        <w:autoSpaceDE w:val="0"/>
        <w:autoSpaceDN w:val="0"/>
        <w:adjustRightInd w:val="0"/>
        <w:jc w:val="both"/>
        <w:rPr>
          <w:sz w:val="22"/>
          <w:szCs w:val="22"/>
        </w:rPr>
      </w:pPr>
      <w:r w:rsidRPr="00D665B9">
        <w:rPr>
          <w:sz w:val="22"/>
          <w:szCs w:val="22"/>
        </w:rPr>
        <w:t xml:space="preserve">Informujte svojho lekára, ak </w:t>
      </w:r>
      <w:r w:rsidR="00912F1B">
        <w:rPr>
          <w:sz w:val="22"/>
          <w:szCs w:val="22"/>
        </w:rPr>
        <w:t>je riziko že máte</w:t>
      </w:r>
      <w:r w:rsidRPr="00D665B9">
        <w:rPr>
          <w:sz w:val="22"/>
          <w:szCs w:val="22"/>
        </w:rPr>
        <w:t xml:space="preserve"> alebo ak máte akúkoľvek z nasledujúcich porúch, pretože možno budete potrebovať častejšiu kontrolu: </w:t>
      </w:r>
    </w:p>
    <w:p w:rsidR="007E7B8D" w:rsidRPr="00D665B9" w:rsidRDefault="007E7B8D" w:rsidP="00087362">
      <w:pPr>
        <w:numPr>
          <w:ilvl w:val="1"/>
          <w:numId w:val="14"/>
        </w:numPr>
        <w:tabs>
          <w:tab w:val="clear" w:pos="1440"/>
          <w:tab w:val="num" w:pos="851"/>
        </w:tabs>
        <w:autoSpaceDE w:val="0"/>
        <w:autoSpaceDN w:val="0"/>
        <w:adjustRightInd w:val="0"/>
        <w:ind w:left="851" w:hanging="284"/>
        <w:jc w:val="both"/>
        <w:rPr>
          <w:sz w:val="22"/>
          <w:szCs w:val="22"/>
        </w:rPr>
      </w:pPr>
      <w:r w:rsidRPr="00D665B9">
        <w:rPr>
          <w:sz w:val="22"/>
          <w:szCs w:val="22"/>
        </w:rPr>
        <w:t xml:space="preserve">ak trpíte na nevysvetliteľné podliatiny alebo krvácanie alebo ak sa celkovo necítite dobre. Aj keď sú zriedkavé, mohli by to byť príznaky zmien počtu červených a bielych </w:t>
      </w:r>
      <w:r w:rsidR="0041320A" w:rsidRPr="00D665B9">
        <w:rPr>
          <w:sz w:val="22"/>
          <w:szCs w:val="22"/>
        </w:rPr>
        <w:t>krviniek</w:t>
      </w:r>
      <w:r w:rsidRPr="00D665B9">
        <w:rPr>
          <w:sz w:val="22"/>
          <w:szCs w:val="22"/>
        </w:rPr>
        <w:t xml:space="preserve">; </w:t>
      </w:r>
    </w:p>
    <w:p w:rsidR="003C2D37" w:rsidRPr="00D665B9" w:rsidRDefault="003C2D37" w:rsidP="00087362">
      <w:pPr>
        <w:numPr>
          <w:ilvl w:val="1"/>
          <w:numId w:val="14"/>
        </w:numPr>
        <w:tabs>
          <w:tab w:val="clear" w:pos="1440"/>
          <w:tab w:val="num" w:pos="851"/>
        </w:tabs>
        <w:autoSpaceDE w:val="0"/>
        <w:autoSpaceDN w:val="0"/>
        <w:adjustRightInd w:val="0"/>
        <w:ind w:left="851" w:hanging="284"/>
        <w:jc w:val="both"/>
        <w:rPr>
          <w:sz w:val="22"/>
          <w:szCs w:val="22"/>
          <w:lang w:val="en-GB"/>
        </w:rPr>
      </w:pPr>
      <w:r w:rsidRPr="00D665B9">
        <w:rPr>
          <w:sz w:val="22"/>
          <w:szCs w:val="22"/>
        </w:rPr>
        <w:t>ak máte metabolické ochorenie;</w:t>
      </w:r>
    </w:p>
    <w:p w:rsidR="003C2D37" w:rsidRPr="00D665B9" w:rsidRDefault="003C2D37" w:rsidP="00087362">
      <w:pPr>
        <w:numPr>
          <w:ilvl w:val="1"/>
          <w:numId w:val="14"/>
        </w:numPr>
        <w:tabs>
          <w:tab w:val="clear" w:pos="1440"/>
          <w:tab w:val="num" w:pos="851"/>
        </w:tabs>
        <w:autoSpaceDE w:val="0"/>
        <w:autoSpaceDN w:val="0"/>
        <w:adjustRightInd w:val="0"/>
        <w:ind w:left="851" w:hanging="284"/>
        <w:jc w:val="both"/>
        <w:rPr>
          <w:sz w:val="22"/>
          <w:szCs w:val="22"/>
          <w:lang w:val="en-GB"/>
        </w:rPr>
      </w:pPr>
      <w:r w:rsidRPr="00D665B9">
        <w:rPr>
          <w:sz w:val="22"/>
          <w:szCs w:val="22"/>
        </w:rPr>
        <w:t>ak máte srdcové problémy alebo búšenie srdca;</w:t>
      </w:r>
    </w:p>
    <w:p w:rsidR="003C2D37" w:rsidRPr="00D665B9" w:rsidRDefault="003C2D37" w:rsidP="00087362">
      <w:pPr>
        <w:numPr>
          <w:ilvl w:val="1"/>
          <w:numId w:val="14"/>
        </w:numPr>
        <w:tabs>
          <w:tab w:val="clear" w:pos="1440"/>
          <w:tab w:val="num" w:pos="851"/>
        </w:tabs>
        <w:autoSpaceDE w:val="0"/>
        <w:autoSpaceDN w:val="0"/>
        <w:adjustRightInd w:val="0"/>
        <w:ind w:left="851" w:hanging="284"/>
        <w:jc w:val="both"/>
        <w:rPr>
          <w:sz w:val="22"/>
          <w:szCs w:val="22"/>
          <w:lang w:val="en-GB"/>
        </w:rPr>
      </w:pPr>
      <w:r w:rsidRPr="00D665B9">
        <w:rPr>
          <w:sz w:val="22"/>
          <w:szCs w:val="22"/>
        </w:rPr>
        <w:t>ak máte diabetes.</w:t>
      </w:r>
    </w:p>
    <w:p w:rsidR="00E71F99" w:rsidRPr="00D665B9" w:rsidRDefault="00BF024F" w:rsidP="00087362">
      <w:pPr>
        <w:numPr>
          <w:ilvl w:val="0"/>
          <w:numId w:val="14"/>
        </w:numPr>
        <w:autoSpaceDE w:val="0"/>
        <w:autoSpaceDN w:val="0"/>
        <w:adjustRightInd w:val="0"/>
        <w:jc w:val="both"/>
        <w:rPr>
          <w:sz w:val="22"/>
          <w:szCs w:val="22"/>
        </w:rPr>
      </w:pPr>
      <w:r w:rsidRPr="00D665B9">
        <w:rPr>
          <w:sz w:val="22"/>
          <w:szCs w:val="22"/>
        </w:rPr>
        <w:t>Váš lekár má poznať celú predchádzajúcu osobnú klinickú históriu hypofýzového adenómu (nezhubného nádoru hypofýzy). Boli popísané prípady apoplexie hypofýzy (čiastočnej straty tkaniva hypofýzy) na začiatku podávania lieku tohto typu pacientom s adenómom hypofýzy. Apoplexia hypofýzy sa môže prejavovať náhlymi bolesťami hlavy, meningizmom</w:t>
      </w:r>
      <w:r w:rsidR="00EE2BA1" w:rsidRPr="00EE2BA1">
        <w:rPr>
          <w:rFonts w:ascii="Helvetica" w:hAnsi="Helvetica" w:cs="Helvetica"/>
          <w:color w:val="009900"/>
          <w:sz w:val="18"/>
          <w:szCs w:val="18"/>
        </w:rPr>
        <w:t xml:space="preserve"> </w:t>
      </w:r>
      <w:r w:rsidR="00EE2BA1" w:rsidRPr="00087362">
        <w:rPr>
          <w:sz w:val="22"/>
          <w:szCs w:val="22"/>
        </w:rPr>
        <w:t>(klinické označenie pre prejavy podráždenia mozgových blán)</w:t>
      </w:r>
      <w:r w:rsidRPr="00D665B9">
        <w:rPr>
          <w:sz w:val="22"/>
          <w:szCs w:val="22"/>
        </w:rPr>
        <w:t>, poruchami videnia alebo zmeneným videním, dokonca slepotou, a zriedkavo znížením úrovne vedomia.</w:t>
      </w:r>
    </w:p>
    <w:p w:rsidR="00955B4F" w:rsidRPr="00D665B9" w:rsidRDefault="002265C2" w:rsidP="00087362">
      <w:pPr>
        <w:numPr>
          <w:ilvl w:val="0"/>
          <w:numId w:val="14"/>
        </w:numPr>
        <w:autoSpaceDE w:val="0"/>
        <w:autoSpaceDN w:val="0"/>
        <w:jc w:val="both"/>
        <w:rPr>
          <w:sz w:val="22"/>
          <w:szCs w:val="22"/>
        </w:rPr>
      </w:pPr>
      <w:r w:rsidRPr="00D665B9">
        <w:rPr>
          <w:bCs/>
          <w:sz w:val="22"/>
          <w:szCs w:val="22"/>
        </w:rPr>
        <w:t xml:space="preserve">Váš lekár má byť informovaný, ak máte poruchu krvácavosti, trombocytopéniu alebo ak užívate antikoagulanciá. </w:t>
      </w:r>
      <w:r w:rsidRPr="00D665B9">
        <w:rPr>
          <w:sz w:val="22"/>
          <w:szCs w:val="22"/>
        </w:rPr>
        <w:t>Možno bude potrebné monitorovať u vás funkciu pečene, pretože boli hlásené zmeny pečene a žltačka (žlté oči a pokožka) pri liečbe leuprorelínom.</w:t>
      </w:r>
    </w:p>
    <w:p w:rsidR="00955B4F" w:rsidRPr="00D665B9" w:rsidRDefault="00955B4F" w:rsidP="00087362">
      <w:pPr>
        <w:numPr>
          <w:ilvl w:val="0"/>
          <w:numId w:val="14"/>
        </w:numPr>
        <w:autoSpaceDE w:val="0"/>
        <w:autoSpaceDN w:val="0"/>
        <w:jc w:val="both"/>
        <w:rPr>
          <w:sz w:val="22"/>
          <w:szCs w:val="22"/>
        </w:rPr>
      </w:pPr>
      <w:r w:rsidRPr="00D665B9">
        <w:rPr>
          <w:sz w:val="22"/>
          <w:szCs w:val="22"/>
        </w:rPr>
        <w:t>Pri liečbe s leuprorelínom boli hlásené zlomeniny chrbtice, paralýza, nízky tlak a vysoký tlak.</w:t>
      </w:r>
    </w:p>
    <w:p w:rsidR="007572F8" w:rsidRPr="00D665B9" w:rsidRDefault="007572F8" w:rsidP="00087362">
      <w:pPr>
        <w:numPr>
          <w:ilvl w:val="0"/>
          <w:numId w:val="14"/>
        </w:numPr>
        <w:autoSpaceDE w:val="0"/>
        <w:autoSpaceDN w:val="0"/>
        <w:jc w:val="both"/>
        <w:rPr>
          <w:sz w:val="22"/>
          <w:szCs w:val="22"/>
        </w:rPr>
      </w:pPr>
      <w:r w:rsidRPr="00D665B9">
        <w:rPr>
          <w:sz w:val="22"/>
          <w:szCs w:val="22"/>
        </w:rPr>
        <w:t xml:space="preserve">U pacientov používajúcich </w:t>
      </w:r>
      <w:r w:rsidR="00444BCF" w:rsidRPr="00D665B9">
        <w:rPr>
          <w:noProof/>
          <w:sz w:val="22"/>
          <w:szCs w:val="22"/>
        </w:rPr>
        <w:t xml:space="preserve">Lutrate Depot 22,5 mg </w:t>
      </w:r>
      <w:r w:rsidRPr="00D665B9">
        <w:rPr>
          <w:sz w:val="22"/>
          <w:szCs w:val="22"/>
        </w:rPr>
        <w:t xml:space="preserve">boli hlásené prípady depresie, ktorá môže byť závažná. Ak používate </w:t>
      </w:r>
      <w:r w:rsidR="00444BCF" w:rsidRPr="00D665B9">
        <w:rPr>
          <w:noProof/>
          <w:sz w:val="22"/>
          <w:szCs w:val="22"/>
        </w:rPr>
        <w:t xml:space="preserve">Lutrate Depot 22,5 mg </w:t>
      </w:r>
      <w:r w:rsidRPr="00D665B9">
        <w:rPr>
          <w:sz w:val="22"/>
          <w:szCs w:val="22"/>
        </w:rPr>
        <w:t>a dostanete depresívnu náladu, informujte svojho lekára.</w:t>
      </w:r>
    </w:p>
    <w:p w:rsidR="00955B4F" w:rsidRPr="00D665B9" w:rsidRDefault="00955B4F" w:rsidP="00087362">
      <w:pPr>
        <w:numPr>
          <w:ilvl w:val="0"/>
          <w:numId w:val="14"/>
        </w:numPr>
        <w:autoSpaceDE w:val="0"/>
        <w:autoSpaceDN w:val="0"/>
        <w:jc w:val="both"/>
        <w:rPr>
          <w:sz w:val="22"/>
          <w:szCs w:val="22"/>
        </w:rPr>
      </w:pPr>
      <w:r w:rsidRPr="00D665B9">
        <w:rPr>
          <w:sz w:val="22"/>
          <w:szCs w:val="22"/>
        </w:rPr>
        <w:t>Pri liečbe leuprorelínom sa zistila znížená hustota kostí (krehnutie alebo rednutie kostí). Váš lekár možno zváži pridanie antiandrogénu k liečbe s</w:t>
      </w:r>
      <w:r w:rsidR="00702279">
        <w:rPr>
          <w:sz w:val="22"/>
          <w:szCs w:val="22"/>
        </w:rPr>
        <w:t xml:space="preserve"> liekom </w:t>
      </w:r>
      <w:r w:rsidR="00702279" w:rsidRPr="00D665B9">
        <w:rPr>
          <w:noProof/>
          <w:sz w:val="22"/>
          <w:szCs w:val="22"/>
        </w:rPr>
        <w:t>Lutrate Depot 22,5 mg</w:t>
      </w:r>
      <w:r w:rsidRPr="00D665B9">
        <w:rPr>
          <w:sz w:val="22"/>
          <w:szCs w:val="22"/>
        </w:rPr>
        <w:t>. Váš lekár bude pozorne sledovať, či nemáte zapálené cievy (tromboflebitídu) a iné príznaky porúch zrážanlivosti alebo edémy (opuch rúk, chodidiel a členkov). Existuje ich zvýšené riziko výskytu v prípade pridania antiandrogénovej liečby k</w:t>
      </w:r>
      <w:r w:rsidR="00702279">
        <w:rPr>
          <w:sz w:val="22"/>
          <w:szCs w:val="22"/>
        </w:rPr>
        <w:t xml:space="preserve"> lieku </w:t>
      </w:r>
      <w:r w:rsidR="00444BCF" w:rsidRPr="00D665B9">
        <w:rPr>
          <w:noProof/>
          <w:sz w:val="22"/>
          <w:szCs w:val="22"/>
        </w:rPr>
        <w:t>Lutrate Depot 22,5 mg</w:t>
      </w:r>
      <w:r w:rsidRPr="00D665B9">
        <w:rPr>
          <w:sz w:val="22"/>
          <w:szCs w:val="22"/>
        </w:rPr>
        <w:t>.</w:t>
      </w:r>
    </w:p>
    <w:p w:rsidR="00955B4F" w:rsidRPr="00D665B9" w:rsidRDefault="00980667" w:rsidP="00087362">
      <w:pPr>
        <w:numPr>
          <w:ilvl w:val="0"/>
          <w:numId w:val="14"/>
        </w:numPr>
        <w:autoSpaceDE w:val="0"/>
        <w:autoSpaceDN w:val="0"/>
        <w:jc w:val="both"/>
        <w:rPr>
          <w:sz w:val="22"/>
          <w:szCs w:val="22"/>
          <w:lang w:val="en-GB"/>
        </w:rPr>
      </w:pPr>
      <w:r w:rsidRPr="00D665B9">
        <w:rPr>
          <w:sz w:val="22"/>
          <w:szCs w:val="22"/>
        </w:rPr>
        <w:t>Povedzte lekárovi, ak pociťujete tlak na miechu a/alebo máte poruchy močového systému a /alebo máte hematúriu (krv v moči). V tomto prípade, ak je to potrebné, váš lekár prijme ďalšie opatrenia na zabránenie neurologických komplikácií (ako sú napr. brnenie v rukách a chodidlách, paralýza) alebo obštrukcie močovodu (močovodná trubica, ktorá odvádza moč z močového mech</w:t>
      </w:r>
      <w:r w:rsidR="00702279">
        <w:rPr>
          <w:sz w:val="22"/>
          <w:szCs w:val="22"/>
        </w:rPr>
        <w:t>úru</w:t>
      </w:r>
      <w:r w:rsidRPr="00D665B9">
        <w:rPr>
          <w:sz w:val="22"/>
          <w:szCs w:val="22"/>
        </w:rPr>
        <w:t xml:space="preserve"> von z tela). Počas prvých týždňov liečby budete dôkladne sledovaný. </w:t>
      </w:r>
    </w:p>
    <w:p w:rsidR="00955B4F" w:rsidRPr="00D665B9" w:rsidRDefault="00D940F7" w:rsidP="00087362">
      <w:pPr>
        <w:numPr>
          <w:ilvl w:val="0"/>
          <w:numId w:val="14"/>
        </w:numPr>
        <w:autoSpaceDE w:val="0"/>
        <w:autoSpaceDN w:val="0"/>
        <w:jc w:val="both"/>
        <w:rPr>
          <w:sz w:val="22"/>
          <w:szCs w:val="22"/>
          <w:lang w:val="en-GB"/>
        </w:rPr>
      </w:pPr>
      <w:r w:rsidRPr="00D665B9">
        <w:rPr>
          <w:sz w:val="22"/>
          <w:szCs w:val="22"/>
        </w:rPr>
        <w:t>U pacientov sa môžu vyskytnúť metabolické zmeny (napr. intolerancia glukózy alebo zhoršenie existujúceho diabetu), zmeny telesnej hmotnosti a kardiovaskulárne poruchy.</w:t>
      </w:r>
    </w:p>
    <w:p w:rsidR="006D10FD" w:rsidRPr="00D665B9" w:rsidRDefault="006D10FD" w:rsidP="00087362">
      <w:pPr>
        <w:numPr>
          <w:ilvl w:val="0"/>
          <w:numId w:val="14"/>
        </w:numPr>
        <w:autoSpaceDE w:val="0"/>
        <w:autoSpaceDN w:val="0"/>
        <w:jc w:val="both"/>
        <w:rPr>
          <w:sz w:val="22"/>
          <w:szCs w:val="22"/>
          <w:lang w:val="en-GB"/>
        </w:rPr>
      </w:pPr>
      <w:r w:rsidRPr="00D665B9">
        <w:rPr>
          <w:sz w:val="22"/>
          <w:szCs w:val="22"/>
        </w:rPr>
        <w:t>Pacientov s metabolickým alebo kardiovaskulárnym ochorením, a hlavne pacientov s kongestívnym zlyhávaním srdca v anamnéze (ochorenie, pri ktorom srdce nedokáže pumpovať dostatok krvi do zvyšku tela) treba monitorovať počas liečby s leuprorelínom.</w:t>
      </w:r>
    </w:p>
    <w:p w:rsidR="00955B4F" w:rsidRPr="00D665B9" w:rsidRDefault="00955B4F" w:rsidP="00087362">
      <w:pPr>
        <w:numPr>
          <w:ilvl w:val="0"/>
          <w:numId w:val="14"/>
        </w:numPr>
        <w:autoSpaceDE w:val="0"/>
        <w:autoSpaceDN w:val="0"/>
        <w:jc w:val="both"/>
        <w:rPr>
          <w:i/>
          <w:sz w:val="22"/>
          <w:szCs w:val="22"/>
          <w:lang w:val="en-GB"/>
        </w:rPr>
      </w:pPr>
      <w:r w:rsidRPr="00D665B9">
        <w:rPr>
          <w:sz w:val="22"/>
          <w:szCs w:val="22"/>
        </w:rPr>
        <w:t xml:space="preserve">Na kontrolu účinnosti </w:t>
      </w:r>
      <w:r w:rsidR="00FE0E42">
        <w:rPr>
          <w:sz w:val="22"/>
          <w:szCs w:val="22"/>
        </w:rPr>
        <w:t xml:space="preserve">lieku </w:t>
      </w:r>
      <w:r w:rsidR="00444BCF" w:rsidRPr="00D665B9">
        <w:rPr>
          <w:noProof/>
          <w:sz w:val="22"/>
          <w:szCs w:val="22"/>
        </w:rPr>
        <w:t xml:space="preserve">Lutrate Depot 22,5 mg </w:t>
      </w:r>
      <w:r w:rsidRPr="00D665B9">
        <w:rPr>
          <w:sz w:val="22"/>
          <w:szCs w:val="22"/>
        </w:rPr>
        <w:t>bude počas liečby potrebné vykonať určité krvné testy.</w:t>
      </w:r>
    </w:p>
    <w:p w:rsidR="007E7B8D" w:rsidRPr="00D665B9" w:rsidRDefault="007E7B8D" w:rsidP="00087362">
      <w:pPr>
        <w:numPr>
          <w:ilvl w:val="0"/>
          <w:numId w:val="14"/>
        </w:numPr>
        <w:autoSpaceDE w:val="0"/>
        <w:autoSpaceDN w:val="0"/>
        <w:jc w:val="both"/>
        <w:rPr>
          <w:i/>
          <w:sz w:val="22"/>
          <w:szCs w:val="22"/>
          <w:lang w:val="en-GB"/>
        </w:rPr>
      </w:pPr>
      <w:r w:rsidRPr="00D665B9">
        <w:rPr>
          <w:sz w:val="22"/>
          <w:szCs w:val="22"/>
        </w:rPr>
        <w:t>Môžete pociťovať stratu záujmu o sexuálny styk, návaly tepla a zriedkavo môže dôjsť k zmenšeniu veľkosti a k zníženiu funkcie semenníkov.</w:t>
      </w:r>
    </w:p>
    <w:p w:rsidR="00955B4F" w:rsidRPr="00D665B9" w:rsidRDefault="00955B4F" w:rsidP="00087362">
      <w:pPr>
        <w:numPr>
          <w:ilvl w:val="0"/>
          <w:numId w:val="14"/>
        </w:numPr>
        <w:autoSpaceDE w:val="0"/>
        <w:autoSpaceDN w:val="0"/>
        <w:jc w:val="both"/>
        <w:rPr>
          <w:sz w:val="22"/>
          <w:szCs w:val="22"/>
          <w:lang w:val="en-GB"/>
        </w:rPr>
      </w:pPr>
      <w:r w:rsidRPr="00D665B9">
        <w:rPr>
          <w:sz w:val="22"/>
          <w:szCs w:val="22"/>
        </w:rPr>
        <w:t>Po zastavení liečby s</w:t>
      </w:r>
      <w:r w:rsidR="004272C1">
        <w:rPr>
          <w:sz w:val="22"/>
          <w:szCs w:val="22"/>
        </w:rPr>
        <w:t xml:space="preserve"> liekom </w:t>
      </w:r>
      <w:r w:rsidR="00444BCF" w:rsidRPr="00D665B9">
        <w:rPr>
          <w:noProof/>
          <w:sz w:val="22"/>
          <w:szCs w:val="22"/>
        </w:rPr>
        <w:t xml:space="preserve">Lutrate Depot 22,5 mg </w:t>
      </w:r>
      <w:r w:rsidRPr="00D665B9">
        <w:rPr>
          <w:sz w:val="22"/>
          <w:szCs w:val="22"/>
        </w:rPr>
        <w:t xml:space="preserve">sa môžete znova stať plodným. </w:t>
      </w:r>
    </w:p>
    <w:p w:rsidR="00955B4F" w:rsidRPr="00D665B9" w:rsidRDefault="00444BCF" w:rsidP="00087362">
      <w:pPr>
        <w:numPr>
          <w:ilvl w:val="0"/>
          <w:numId w:val="14"/>
        </w:numPr>
        <w:autoSpaceDE w:val="0"/>
        <w:autoSpaceDN w:val="0"/>
        <w:jc w:val="both"/>
        <w:rPr>
          <w:sz w:val="22"/>
          <w:szCs w:val="22"/>
          <w:lang w:val="en-GB"/>
        </w:rPr>
      </w:pPr>
      <w:r w:rsidRPr="00D665B9">
        <w:rPr>
          <w:noProof/>
          <w:sz w:val="22"/>
          <w:szCs w:val="22"/>
        </w:rPr>
        <w:t xml:space="preserve">Lutrate Depot 22,5 mg </w:t>
      </w:r>
      <w:r w:rsidR="0044522A" w:rsidRPr="00D665B9">
        <w:rPr>
          <w:sz w:val="22"/>
          <w:szCs w:val="22"/>
        </w:rPr>
        <w:t xml:space="preserve">môže ovplyvniť niektoré laboratórne testy, preto sa uistite, že váš lekár vie, že používate </w:t>
      </w:r>
      <w:r w:rsidR="00702279" w:rsidRPr="00D665B9">
        <w:rPr>
          <w:noProof/>
          <w:sz w:val="22"/>
          <w:szCs w:val="22"/>
        </w:rPr>
        <w:t>Lutrate Depot 22,5 mg</w:t>
      </w:r>
      <w:r w:rsidR="0044522A" w:rsidRPr="00D665B9">
        <w:rPr>
          <w:sz w:val="22"/>
          <w:szCs w:val="22"/>
        </w:rPr>
        <w:t>.</w:t>
      </w:r>
    </w:p>
    <w:p w:rsidR="00E8327B" w:rsidRPr="00D665B9" w:rsidRDefault="00E8327B" w:rsidP="00087362">
      <w:pPr>
        <w:numPr>
          <w:ilvl w:val="0"/>
          <w:numId w:val="14"/>
        </w:numPr>
        <w:autoSpaceDE w:val="0"/>
        <w:autoSpaceDN w:val="0"/>
        <w:jc w:val="both"/>
        <w:rPr>
          <w:sz w:val="22"/>
          <w:szCs w:val="22"/>
          <w:lang w:val="en-GB"/>
        </w:rPr>
      </w:pPr>
      <w:r w:rsidRPr="00D665B9">
        <w:rPr>
          <w:sz w:val="22"/>
          <w:szCs w:val="22"/>
        </w:rPr>
        <w:t xml:space="preserve">Môžu sa vyskytnúť záchvaty kŕčov u pacientov s predispozíciou (u tých, ktorí </w:t>
      </w:r>
      <w:r w:rsidR="00AF7FEB">
        <w:rPr>
          <w:sz w:val="22"/>
          <w:szCs w:val="22"/>
        </w:rPr>
        <w:t>niekedy mali</w:t>
      </w:r>
      <w:r w:rsidR="00AF7FEB" w:rsidRPr="00D665B9">
        <w:rPr>
          <w:sz w:val="22"/>
          <w:szCs w:val="22"/>
        </w:rPr>
        <w:t xml:space="preserve"> </w:t>
      </w:r>
      <w:r w:rsidRPr="00D665B9">
        <w:rPr>
          <w:sz w:val="22"/>
          <w:szCs w:val="22"/>
        </w:rPr>
        <w:t>záchvaty, epilepsiu, cerebrovaskulárne poruchy, anomálie alebo tumory centrálneho nervového systému), u pacientov užívajúcich lieky, ktoré môžu vyvolávať záchvaty, a v menšej miere u pacientov bez takejto charakteristiky.</w:t>
      </w:r>
    </w:p>
    <w:p w:rsidR="003D6978" w:rsidRPr="00D665B9" w:rsidRDefault="003D6978" w:rsidP="00087362">
      <w:pPr>
        <w:numPr>
          <w:ilvl w:val="0"/>
          <w:numId w:val="14"/>
        </w:numPr>
        <w:autoSpaceDE w:val="0"/>
        <w:autoSpaceDN w:val="0"/>
        <w:jc w:val="both"/>
        <w:rPr>
          <w:sz w:val="22"/>
          <w:szCs w:val="22"/>
        </w:rPr>
      </w:pPr>
      <w:r w:rsidRPr="00D665B9">
        <w:rPr>
          <w:sz w:val="22"/>
          <w:szCs w:val="22"/>
        </w:rPr>
        <w:t>Informujte svojho lekára, ak máte akúkoľvek z nasledujúcich porúch: akékoľvek ochorenie srdca alebo ciev, vrátane problémov so srdečným rytmom (arytmia) alebo sa liečite liekmi pre tieto ochorenia. Pri používaní</w:t>
      </w:r>
      <w:r w:rsidR="00AF7FEB">
        <w:rPr>
          <w:sz w:val="22"/>
          <w:szCs w:val="22"/>
        </w:rPr>
        <w:t xml:space="preserve"> lieku</w:t>
      </w:r>
      <w:r w:rsidRPr="00D665B9">
        <w:rPr>
          <w:sz w:val="22"/>
          <w:szCs w:val="22"/>
        </w:rPr>
        <w:t xml:space="preserve"> </w:t>
      </w:r>
      <w:r w:rsidR="00AF7FEB" w:rsidRPr="00D665B9">
        <w:rPr>
          <w:noProof/>
          <w:sz w:val="22"/>
          <w:szCs w:val="22"/>
        </w:rPr>
        <w:t>Lutrate Depot 22,5 mg</w:t>
      </w:r>
      <w:r w:rsidRPr="00D665B9">
        <w:rPr>
          <w:sz w:val="22"/>
          <w:szCs w:val="22"/>
        </w:rPr>
        <w:t xml:space="preserve"> sa môže zvýšiť riziko problémov so srdečným rytmom.</w:t>
      </w:r>
    </w:p>
    <w:p w:rsidR="002F48BC" w:rsidRPr="00D665B9" w:rsidRDefault="002F48BC" w:rsidP="00087362">
      <w:pPr>
        <w:jc w:val="both"/>
        <w:rPr>
          <w:b/>
          <w:sz w:val="22"/>
          <w:szCs w:val="22"/>
        </w:rPr>
      </w:pPr>
    </w:p>
    <w:p w:rsidR="00955B4F" w:rsidRDefault="00822390" w:rsidP="00087362">
      <w:pPr>
        <w:jc w:val="both"/>
        <w:rPr>
          <w:b/>
          <w:noProof/>
          <w:sz w:val="22"/>
          <w:szCs w:val="22"/>
        </w:rPr>
      </w:pPr>
      <w:r w:rsidRPr="0033026C">
        <w:rPr>
          <w:b/>
          <w:noProof/>
          <w:sz w:val="22"/>
          <w:szCs w:val="22"/>
        </w:rPr>
        <w:t xml:space="preserve">Iné lieky a </w:t>
      </w:r>
      <w:r w:rsidR="00223246" w:rsidRPr="007C4E93">
        <w:rPr>
          <w:b/>
          <w:noProof/>
          <w:sz w:val="22"/>
          <w:szCs w:val="22"/>
        </w:rPr>
        <w:t>Lutrate Depot 22,5 mg</w:t>
      </w:r>
    </w:p>
    <w:p w:rsidR="00087362" w:rsidRPr="00D665B9" w:rsidRDefault="00087362" w:rsidP="00087362">
      <w:pPr>
        <w:jc w:val="both"/>
        <w:rPr>
          <w:b/>
          <w:sz w:val="22"/>
          <w:szCs w:val="22"/>
        </w:rPr>
      </w:pPr>
    </w:p>
    <w:p w:rsidR="00955B4F" w:rsidRPr="00D665B9" w:rsidRDefault="00822390" w:rsidP="00087362">
      <w:pPr>
        <w:jc w:val="both"/>
        <w:rPr>
          <w:sz w:val="22"/>
          <w:szCs w:val="22"/>
        </w:rPr>
      </w:pPr>
      <w:r w:rsidRPr="00D665B9">
        <w:rPr>
          <w:sz w:val="22"/>
          <w:szCs w:val="22"/>
        </w:rPr>
        <w:t xml:space="preserve">Ak </w:t>
      </w:r>
      <w:r w:rsidR="00AF7FEB">
        <w:rPr>
          <w:sz w:val="22"/>
          <w:szCs w:val="22"/>
        </w:rPr>
        <w:t xml:space="preserve">teraz </w:t>
      </w:r>
      <w:r w:rsidRPr="00D665B9">
        <w:rPr>
          <w:sz w:val="22"/>
          <w:szCs w:val="22"/>
        </w:rPr>
        <w:t xml:space="preserve">užívate, </w:t>
      </w:r>
      <w:r w:rsidR="00AF7FEB">
        <w:rPr>
          <w:sz w:val="22"/>
          <w:szCs w:val="22"/>
        </w:rPr>
        <w:t xml:space="preserve">alebo ste </w:t>
      </w:r>
      <w:r w:rsidRPr="00D665B9">
        <w:rPr>
          <w:sz w:val="22"/>
          <w:szCs w:val="22"/>
        </w:rPr>
        <w:t>v poslednom čase ste užívali</w:t>
      </w:r>
      <w:r w:rsidR="00AF7FEB">
        <w:rPr>
          <w:sz w:val="22"/>
          <w:szCs w:val="22"/>
        </w:rPr>
        <w:t>, či práve</w:t>
      </w:r>
      <w:r w:rsidRPr="00D665B9">
        <w:rPr>
          <w:sz w:val="22"/>
          <w:szCs w:val="22"/>
        </w:rPr>
        <w:t xml:space="preserve"> budete užívať </w:t>
      </w:r>
      <w:r w:rsidR="00AF7FEB">
        <w:rPr>
          <w:sz w:val="22"/>
          <w:szCs w:val="22"/>
        </w:rPr>
        <w:t>ďalšie</w:t>
      </w:r>
      <w:r w:rsidRPr="00D665B9">
        <w:rPr>
          <w:sz w:val="22"/>
          <w:szCs w:val="22"/>
        </w:rPr>
        <w:t xml:space="preserve"> lieky, oznámte to svojmu lekárovi alebo lekárnikovi. Možno bude stále potrebné podávať vám </w:t>
      </w:r>
      <w:r w:rsidR="00AF7FEB" w:rsidRPr="00D665B9">
        <w:rPr>
          <w:noProof/>
          <w:sz w:val="22"/>
          <w:szCs w:val="22"/>
        </w:rPr>
        <w:t>Lutrate Depot 22,5 mg</w:t>
      </w:r>
      <w:r w:rsidRPr="00D665B9">
        <w:rPr>
          <w:sz w:val="22"/>
          <w:szCs w:val="22"/>
        </w:rPr>
        <w:t xml:space="preserve"> a váš lekár bude môcť rozhodnúť, čo je pre vás vhodné.</w:t>
      </w:r>
    </w:p>
    <w:p w:rsidR="00955B4F" w:rsidRPr="00D665B9" w:rsidRDefault="00AF7FEB" w:rsidP="00087362">
      <w:pPr>
        <w:pStyle w:val="knZulassung02"/>
        <w:ind w:left="0"/>
        <w:jc w:val="both"/>
        <w:rPr>
          <w:rFonts w:ascii="Times New Roman" w:hAnsi="Times New Roman" w:cs="Times New Roman"/>
          <w:sz w:val="22"/>
          <w:szCs w:val="22"/>
        </w:rPr>
      </w:pPr>
      <w:r w:rsidRPr="00D665B9">
        <w:rPr>
          <w:rFonts w:ascii="Times New Roman" w:hAnsi="Times New Roman" w:cs="Times New Roman"/>
          <w:noProof/>
          <w:sz w:val="22"/>
          <w:szCs w:val="22"/>
        </w:rPr>
        <w:t>Lutrate Depot 22,5 mg</w:t>
      </w:r>
      <w:r w:rsidR="0044522A" w:rsidRPr="00D665B9">
        <w:rPr>
          <w:rFonts w:ascii="Times New Roman" w:hAnsi="Times New Roman" w:cs="Times New Roman"/>
          <w:sz w:val="22"/>
          <w:szCs w:val="22"/>
        </w:rPr>
        <w:t xml:space="preserve"> môže ovplyvniť niektoré lieky používané na liečbu problémov </w:t>
      </w:r>
      <w:r w:rsidR="00FE0E42" w:rsidRPr="00D665B9">
        <w:rPr>
          <w:rFonts w:ascii="Times New Roman" w:hAnsi="Times New Roman" w:cs="Times New Roman"/>
          <w:sz w:val="22"/>
          <w:szCs w:val="22"/>
        </w:rPr>
        <w:t>srd</w:t>
      </w:r>
      <w:r w:rsidR="00FE0E42">
        <w:rPr>
          <w:rFonts w:ascii="Times New Roman" w:hAnsi="Times New Roman" w:cs="Times New Roman"/>
          <w:sz w:val="22"/>
          <w:szCs w:val="22"/>
        </w:rPr>
        <w:t>cov</w:t>
      </w:r>
      <w:r w:rsidR="00FE0E42" w:rsidRPr="00D665B9">
        <w:rPr>
          <w:rFonts w:ascii="Times New Roman" w:hAnsi="Times New Roman" w:cs="Times New Roman"/>
          <w:sz w:val="22"/>
          <w:szCs w:val="22"/>
        </w:rPr>
        <w:t xml:space="preserve">ého </w:t>
      </w:r>
      <w:r w:rsidR="0044522A" w:rsidRPr="00D665B9">
        <w:rPr>
          <w:rFonts w:ascii="Times New Roman" w:hAnsi="Times New Roman" w:cs="Times New Roman"/>
          <w:sz w:val="22"/>
          <w:szCs w:val="22"/>
        </w:rPr>
        <w:t xml:space="preserve">rytmu (napr, chinidín, </w:t>
      </w:r>
      <w:r w:rsidR="00FE0E42">
        <w:rPr>
          <w:rFonts w:ascii="Times New Roman" w:hAnsi="Times New Roman" w:cs="Times New Roman"/>
          <w:sz w:val="22"/>
          <w:szCs w:val="22"/>
        </w:rPr>
        <w:t>pro</w:t>
      </w:r>
      <w:r w:rsidR="00FE0E42" w:rsidRPr="00D665B9">
        <w:rPr>
          <w:rFonts w:ascii="Times New Roman" w:hAnsi="Times New Roman" w:cs="Times New Roman"/>
          <w:sz w:val="22"/>
          <w:szCs w:val="22"/>
        </w:rPr>
        <w:t>kaínamid</w:t>
      </w:r>
      <w:r w:rsidR="0044522A" w:rsidRPr="00D665B9">
        <w:rPr>
          <w:rFonts w:ascii="Times New Roman" w:hAnsi="Times New Roman" w:cs="Times New Roman"/>
          <w:sz w:val="22"/>
          <w:szCs w:val="22"/>
        </w:rPr>
        <w:t xml:space="preserve">, </w:t>
      </w:r>
      <w:r w:rsidRPr="00D665B9">
        <w:rPr>
          <w:rFonts w:ascii="Times New Roman" w:hAnsi="Times New Roman" w:cs="Times New Roman"/>
          <w:sz w:val="22"/>
          <w:szCs w:val="22"/>
        </w:rPr>
        <w:t>amiodar</w:t>
      </w:r>
      <w:r>
        <w:rPr>
          <w:rFonts w:ascii="Times New Roman" w:hAnsi="Times New Roman" w:cs="Times New Roman"/>
          <w:sz w:val="22"/>
          <w:szCs w:val="22"/>
        </w:rPr>
        <w:t>ó</w:t>
      </w:r>
      <w:r w:rsidRPr="00D665B9">
        <w:rPr>
          <w:rFonts w:ascii="Times New Roman" w:hAnsi="Times New Roman" w:cs="Times New Roman"/>
          <w:sz w:val="22"/>
          <w:szCs w:val="22"/>
        </w:rPr>
        <w:t xml:space="preserve">n </w:t>
      </w:r>
      <w:r w:rsidR="0044522A" w:rsidRPr="00D665B9">
        <w:rPr>
          <w:rFonts w:ascii="Times New Roman" w:hAnsi="Times New Roman" w:cs="Times New Roman"/>
          <w:sz w:val="22"/>
          <w:szCs w:val="22"/>
        </w:rPr>
        <w:t xml:space="preserve">a sotalol) alebo môže zvýšiť riziko problémov srdečného rytmu, keď sa používa s niektorými inými liekmi (napr. </w:t>
      </w:r>
      <w:r w:rsidRPr="00D665B9">
        <w:rPr>
          <w:rFonts w:ascii="Times New Roman" w:hAnsi="Times New Roman" w:cs="Times New Roman"/>
          <w:sz w:val="22"/>
          <w:szCs w:val="22"/>
        </w:rPr>
        <w:t>metad</w:t>
      </w:r>
      <w:r>
        <w:rPr>
          <w:rFonts w:ascii="Times New Roman" w:hAnsi="Times New Roman" w:cs="Times New Roman"/>
          <w:sz w:val="22"/>
          <w:szCs w:val="22"/>
        </w:rPr>
        <w:t>ó</w:t>
      </w:r>
      <w:r w:rsidRPr="00D665B9">
        <w:rPr>
          <w:rFonts w:ascii="Times New Roman" w:hAnsi="Times New Roman" w:cs="Times New Roman"/>
          <w:sz w:val="22"/>
          <w:szCs w:val="22"/>
        </w:rPr>
        <w:t xml:space="preserve">nom </w:t>
      </w:r>
      <w:r w:rsidR="0044522A" w:rsidRPr="00D665B9">
        <w:rPr>
          <w:rFonts w:ascii="Times New Roman" w:hAnsi="Times New Roman" w:cs="Times New Roman"/>
          <w:sz w:val="22"/>
          <w:szCs w:val="22"/>
        </w:rPr>
        <w:t xml:space="preserve">(používa sa na zmiernenie bolesti a je súčasťou detoxikácie drogovo závislých), </w:t>
      </w:r>
      <w:r w:rsidR="007A62A1" w:rsidRPr="00D665B9">
        <w:rPr>
          <w:rFonts w:ascii="Times New Roman" w:hAnsi="Times New Roman" w:cs="Times New Roman"/>
          <w:sz w:val="22"/>
          <w:szCs w:val="22"/>
        </w:rPr>
        <w:t>moxifloxac</w:t>
      </w:r>
      <w:r w:rsidR="007A62A1">
        <w:rPr>
          <w:rFonts w:ascii="Times New Roman" w:hAnsi="Times New Roman" w:cs="Times New Roman"/>
          <w:sz w:val="22"/>
          <w:szCs w:val="22"/>
        </w:rPr>
        <w:t>í</w:t>
      </w:r>
      <w:r w:rsidR="007A62A1" w:rsidRPr="00D665B9">
        <w:rPr>
          <w:rFonts w:ascii="Times New Roman" w:hAnsi="Times New Roman" w:cs="Times New Roman"/>
          <w:sz w:val="22"/>
          <w:szCs w:val="22"/>
        </w:rPr>
        <w:t xml:space="preserve">n </w:t>
      </w:r>
      <w:r w:rsidR="0044522A" w:rsidRPr="00D665B9">
        <w:rPr>
          <w:rFonts w:ascii="Times New Roman" w:hAnsi="Times New Roman" w:cs="Times New Roman"/>
          <w:sz w:val="22"/>
          <w:szCs w:val="22"/>
        </w:rPr>
        <w:t>(antibiotikum), antipsychotiká používané na závažné duševné ochorenia).</w:t>
      </w:r>
    </w:p>
    <w:p w:rsidR="003D6978" w:rsidRPr="00D665B9" w:rsidRDefault="003D6978" w:rsidP="00087362">
      <w:pPr>
        <w:pStyle w:val="knZulassung02"/>
        <w:ind w:left="0"/>
        <w:jc w:val="both"/>
        <w:rPr>
          <w:rFonts w:ascii="Times New Roman" w:hAnsi="Times New Roman" w:cs="Times New Roman"/>
          <w:sz w:val="22"/>
          <w:szCs w:val="22"/>
        </w:rPr>
      </w:pPr>
    </w:p>
    <w:p w:rsidR="00955B4F" w:rsidRPr="00D665B9" w:rsidRDefault="00955B4F" w:rsidP="00087362">
      <w:pPr>
        <w:pStyle w:val="knZulassung02"/>
        <w:ind w:left="0"/>
        <w:jc w:val="both"/>
        <w:rPr>
          <w:rFonts w:ascii="Times New Roman" w:hAnsi="Times New Roman" w:cs="Times New Roman"/>
          <w:b/>
          <w:sz w:val="22"/>
          <w:szCs w:val="22"/>
          <w:lang w:val="de-DE"/>
        </w:rPr>
      </w:pPr>
      <w:r w:rsidRPr="00D665B9">
        <w:rPr>
          <w:rFonts w:ascii="Times New Roman" w:hAnsi="Times New Roman" w:cs="Times New Roman"/>
          <w:b/>
          <w:sz w:val="22"/>
          <w:szCs w:val="22"/>
        </w:rPr>
        <w:t xml:space="preserve">Tehotenstvo a dojčenie </w:t>
      </w:r>
    </w:p>
    <w:p w:rsidR="006D2AD4" w:rsidRPr="00D665B9" w:rsidRDefault="00087362" w:rsidP="00087362">
      <w:pPr>
        <w:jc w:val="both"/>
        <w:rPr>
          <w:sz w:val="22"/>
          <w:szCs w:val="22"/>
          <w:lang w:val="de-DE"/>
        </w:rPr>
      </w:pPr>
      <w:r w:rsidRPr="00087362">
        <w:rPr>
          <w:sz w:val="22"/>
          <w:szCs w:val="22"/>
        </w:rPr>
        <w:t>Lutrate Depot 22,5 mg</w:t>
      </w:r>
      <w:r w:rsidR="0044522A" w:rsidRPr="00D665B9">
        <w:rPr>
          <w:sz w:val="22"/>
          <w:szCs w:val="22"/>
        </w:rPr>
        <w:t xml:space="preserve"> je kontraindikovaný u žien.</w:t>
      </w:r>
    </w:p>
    <w:p w:rsidR="006D2AD4" w:rsidRPr="00D665B9" w:rsidRDefault="003E44A0" w:rsidP="00087362">
      <w:pPr>
        <w:jc w:val="both"/>
        <w:rPr>
          <w:sz w:val="22"/>
          <w:szCs w:val="22"/>
        </w:rPr>
      </w:pPr>
      <w:r w:rsidRPr="00D665B9">
        <w:rPr>
          <w:sz w:val="22"/>
          <w:szCs w:val="22"/>
        </w:rPr>
        <w:t>Tento liek je počas tehotenstva kontraindikovaný. Ak sa liek podá počas tehotenstva, môže dôjsť k samovoľnému potratu.</w:t>
      </w:r>
    </w:p>
    <w:p w:rsidR="00931AA8" w:rsidRPr="00D665B9" w:rsidRDefault="00931AA8" w:rsidP="00087362">
      <w:pPr>
        <w:pStyle w:val="knZulassung02"/>
        <w:ind w:left="0"/>
        <w:jc w:val="both"/>
        <w:rPr>
          <w:rFonts w:ascii="Times New Roman" w:hAnsi="Times New Roman" w:cs="Times New Roman"/>
          <w:b/>
          <w:sz w:val="22"/>
          <w:szCs w:val="22"/>
        </w:rPr>
      </w:pPr>
    </w:p>
    <w:p w:rsidR="00955B4F" w:rsidRPr="00D665B9" w:rsidRDefault="00955B4F" w:rsidP="00087362">
      <w:pPr>
        <w:pStyle w:val="knZulassung02"/>
        <w:ind w:left="0"/>
        <w:jc w:val="both"/>
        <w:rPr>
          <w:rFonts w:ascii="Times New Roman" w:hAnsi="Times New Roman" w:cs="Times New Roman"/>
          <w:b/>
          <w:sz w:val="22"/>
          <w:szCs w:val="22"/>
        </w:rPr>
      </w:pPr>
      <w:r w:rsidRPr="00D665B9">
        <w:rPr>
          <w:rFonts w:ascii="Times New Roman" w:hAnsi="Times New Roman" w:cs="Times New Roman"/>
          <w:b/>
          <w:sz w:val="22"/>
          <w:szCs w:val="22"/>
        </w:rPr>
        <w:t xml:space="preserve">Vedenie vozidiel a obsluha strojov </w:t>
      </w:r>
    </w:p>
    <w:p w:rsidR="00D36A99" w:rsidRPr="00D665B9" w:rsidRDefault="00D36A99" w:rsidP="00087362">
      <w:pPr>
        <w:jc w:val="both"/>
        <w:rPr>
          <w:sz w:val="22"/>
          <w:szCs w:val="22"/>
        </w:rPr>
      </w:pPr>
      <w:r w:rsidRPr="00D665B9">
        <w:rPr>
          <w:sz w:val="22"/>
          <w:szCs w:val="22"/>
        </w:rPr>
        <w:t xml:space="preserve">Neboli uskutočnené žiadne špeciálne štúdie účinkov </w:t>
      </w:r>
      <w:r w:rsidR="007A62A1">
        <w:rPr>
          <w:sz w:val="22"/>
          <w:szCs w:val="22"/>
        </w:rPr>
        <w:t xml:space="preserve">lieku </w:t>
      </w:r>
      <w:r w:rsidR="007A62A1" w:rsidRPr="00D665B9">
        <w:rPr>
          <w:noProof/>
          <w:sz w:val="22"/>
          <w:szCs w:val="22"/>
        </w:rPr>
        <w:t>Lutrate Depot 22,5 mg</w:t>
      </w:r>
      <w:r w:rsidRPr="00D665B9">
        <w:rPr>
          <w:sz w:val="22"/>
          <w:szCs w:val="22"/>
        </w:rPr>
        <w:t xml:space="preserve"> na schopnosť viesť vozidlá a obsluhovať stroje. </w:t>
      </w:r>
    </w:p>
    <w:p w:rsidR="006D2AD4" w:rsidRPr="00D665B9" w:rsidRDefault="00955B4F" w:rsidP="00087362">
      <w:pPr>
        <w:jc w:val="both"/>
        <w:rPr>
          <w:sz w:val="22"/>
          <w:szCs w:val="22"/>
        </w:rPr>
      </w:pPr>
      <w:r w:rsidRPr="00D665B9">
        <w:rPr>
          <w:sz w:val="22"/>
          <w:szCs w:val="22"/>
        </w:rPr>
        <w:t>Počas liečby sa môžu vyskytnúť poruchy videnia a závrat. Ak vás postihnú, neveďte vozidlá a neobsluhujte stroje.</w:t>
      </w:r>
    </w:p>
    <w:p w:rsidR="00067F6B" w:rsidRPr="00D665B9" w:rsidRDefault="00067F6B" w:rsidP="00087362">
      <w:pPr>
        <w:pStyle w:val="knZulassung02"/>
        <w:ind w:left="0"/>
        <w:jc w:val="both"/>
        <w:rPr>
          <w:rFonts w:ascii="Times New Roman" w:hAnsi="Times New Roman" w:cs="Times New Roman"/>
          <w:b/>
          <w:sz w:val="22"/>
          <w:szCs w:val="22"/>
        </w:rPr>
      </w:pPr>
    </w:p>
    <w:p w:rsidR="006D2AD4" w:rsidRPr="00D665B9" w:rsidRDefault="00223246" w:rsidP="00087362">
      <w:pPr>
        <w:jc w:val="both"/>
        <w:rPr>
          <w:b/>
          <w:sz w:val="22"/>
          <w:szCs w:val="22"/>
        </w:rPr>
      </w:pPr>
      <w:r w:rsidRPr="00EE2BA1">
        <w:rPr>
          <w:b/>
          <w:noProof/>
          <w:sz w:val="22"/>
          <w:szCs w:val="22"/>
        </w:rPr>
        <w:t>Lutrate Depot 22,5 mg</w:t>
      </w:r>
      <w:r w:rsidR="00444BCF" w:rsidRPr="00D665B9">
        <w:rPr>
          <w:noProof/>
          <w:sz w:val="22"/>
          <w:szCs w:val="22"/>
        </w:rPr>
        <w:t xml:space="preserve"> </w:t>
      </w:r>
      <w:r w:rsidR="0044522A" w:rsidRPr="00D665B9">
        <w:rPr>
          <w:b/>
          <w:sz w:val="22"/>
          <w:szCs w:val="22"/>
        </w:rPr>
        <w:t>obsahuje</w:t>
      </w:r>
      <w:r w:rsidR="0044522A" w:rsidRPr="00D665B9">
        <w:rPr>
          <w:sz w:val="22"/>
          <w:szCs w:val="22"/>
        </w:rPr>
        <w:t xml:space="preserve"> menej ako 1 mmol sodíka (23 mg) v jednej dávke, t.j. v podstate „neobsahuje sodík“.</w:t>
      </w:r>
    </w:p>
    <w:p w:rsidR="00087362" w:rsidRDefault="00087362" w:rsidP="00087362">
      <w:pPr>
        <w:pStyle w:val="knZulassung02"/>
        <w:ind w:left="0"/>
        <w:jc w:val="both"/>
        <w:rPr>
          <w:rFonts w:ascii="Times New Roman" w:hAnsi="Times New Roman" w:cs="Times New Roman"/>
          <w:sz w:val="22"/>
          <w:szCs w:val="22"/>
        </w:rPr>
      </w:pPr>
    </w:p>
    <w:p w:rsidR="00FC4870" w:rsidRDefault="00FC4870" w:rsidP="00087362">
      <w:pPr>
        <w:pStyle w:val="knZulassung02"/>
        <w:ind w:left="0"/>
        <w:jc w:val="both"/>
        <w:rPr>
          <w:rFonts w:ascii="Times New Roman" w:hAnsi="Times New Roman" w:cs="Times New Roman"/>
          <w:sz w:val="22"/>
          <w:szCs w:val="22"/>
        </w:rPr>
      </w:pPr>
    </w:p>
    <w:p w:rsidR="00955B4F" w:rsidRPr="00087362" w:rsidRDefault="00087362" w:rsidP="00087362">
      <w:pPr>
        <w:pStyle w:val="knZulassung02"/>
        <w:ind w:left="0"/>
        <w:jc w:val="both"/>
        <w:rPr>
          <w:rFonts w:ascii="Times New Roman" w:hAnsi="Times New Roman" w:cs="Times New Roman"/>
          <w:sz w:val="22"/>
          <w:szCs w:val="22"/>
        </w:rPr>
      </w:pPr>
      <w:r w:rsidRPr="00087362">
        <w:rPr>
          <w:rFonts w:ascii="Times New Roman" w:hAnsi="Times New Roman" w:cs="Times New Roman"/>
          <w:b/>
          <w:sz w:val="22"/>
          <w:szCs w:val="22"/>
        </w:rPr>
        <w:t>3</w:t>
      </w:r>
      <w:r>
        <w:rPr>
          <w:rFonts w:ascii="Times New Roman" w:hAnsi="Times New Roman" w:cs="Times New Roman"/>
          <w:sz w:val="22"/>
          <w:szCs w:val="22"/>
        </w:rPr>
        <w:t xml:space="preserve">.      </w:t>
      </w:r>
      <w:r w:rsidR="00E402F6" w:rsidRPr="0033026C">
        <w:rPr>
          <w:rFonts w:ascii="Times New Roman" w:hAnsi="Times New Roman" w:cs="Times New Roman"/>
          <w:b/>
          <w:noProof/>
          <w:sz w:val="22"/>
          <w:szCs w:val="22"/>
        </w:rPr>
        <w:t xml:space="preserve">Ako používať </w:t>
      </w:r>
      <w:r w:rsidR="00223246" w:rsidRPr="00EE2BA1">
        <w:rPr>
          <w:rFonts w:ascii="Times New Roman" w:hAnsi="Times New Roman" w:cs="Times New Roman"/>
          <w:b/>
          <w:noProof/>
          <w:sz w:val="22"/>
          <w:szCs w:val="22"/>
        </w:rPr>
        <w:t>Lutrate Depot 22,5 mg</w:t>
      </w:r>
    </w:p>
    <w:p w:rsidR="00955B4F" w:rsidRPr="00D665B9" w:rsidRDefault="00955B4F" w:rsidP="00087362">
      <w:pPr>
        <w:pStyle w:val="knZulassung02"/>
        <w:tabs>
          <w:tab w:val="left" w:pos="-360"/>
          <w:tab w:val="num" w:pos="180"/>
          <w:tab w:val="left" w:pos="1701"/>
        </w:tabs>
        <w:ind w:left="0"/>
        <w:jc w:val="both"/>
        <w:rPr>
          <w:rFonts w:ascii="Times New Roman" w:hAnsi="Times New Roman" w:cs="Times New Roman"/>
          <w:b/>
          <w:bCs/>
          <w:sz w:val="22"/>
          <w:szCs w:val="22"/>
          <w:lang w:val="en-GB"/>
        </w:rPr>
      </w:pPr>
    </w:p>
    <w:p w:rsidR="00955B4F" w:rsidRPr="00D665B9" w:rsidRDefault="00955B4F" w:rsidP="00087362">
      <w:pPr>
        <w:pStyle w:val="knZulassung02"/>
        <w:tabs>
          <w:tab w:val="left" w:pos="-360"/>
          <w:tab w:val="num" w:pos="180"/>
          <w:tab w:val="left" w:pos="1701"/>
        </w:tabs>
        <w:ind w:left="0"/>
        <w:jc w:val="both"/>
        <w:rPr>
          <w:rFonts w:ascii="Times New Roman" w:hAnsi="Times New Roman" w:cs="Times New Roman"/>
          <w:b/>
          <w:bCs/>
          <w:sz w:val="22"/>
          <w:szCs w:val="22"/>
          <w:lang w:val="en-GB"/>
        </w:rPr>
      </w:pPr>
      <w:r w:rsidRPr="00D665B9">
        <w:rPr>
          <w:rFonts w:ascii="Times New Roman" w:hAnsi="Times New Roman" w:cs="Times New Roman"/>
          <w:b/>
          <w:bCs/>
          <w:sz w:val="22"/>
          <w:szCs w:val="22"/>
        </w:rPr>
        <w:t>Dávka</w:t>
      </w:r>
    </w:p>
    <w:p w:rsidR="00955B4F" w:rsidRPr="00D665B9" w:rsidRDefault="000D6234" w:rsidP="00087362">
      <w:pPr>
        <w:jc w:val="both"/>
        <w:rPr>
          <w:sz w:val="22"/>
          <w:szCs w:val="22"/>
          <w:lang w:val="en-GB"/>
        </w:rPr>
      </w:pPr>
      <w:r w:rsidRPr="00D665B9">
        <w:rPr>
          <w:noProof/>
          <w:sz w:val="22"/>
          <w:szCs w:val="22"/>
        </w:rPr>
        <w:t xml:space="preserve">Lutrate Depot 22,5 mg </w:t>
      </w:r>
      <w:r w:rsidR="0044522A" w:rsidRPr="00D665B9">
        <w:rPr>
          <w:sz w:val="22"/>
          <w:szCs w:val="22"/>
        </w:rPr>
        <w:t>sa musí podávať pod dohľadom lekára alebo kvalifikovaného zdravotníckeho pracovníka.</w:t>
      </w:r>
    </w:p>
    <w:p w:rsidR="00BD1F9D" w:rsidRPr="00D665B9" w:rsidRDefault="00BD1F9D" w:rsidP="00087362">
      <w:pPr>
        <w:jc w:val="both"/>
        <w:rPr>
          <w:sz w:val="22"/>
          <w:szCs w:val="22"/>
          <w:u w:val="single"/>
          <w:lang w:val="en-GB"/>
        </w:rPr>
      </w:pPr>
    </w:p>
    <w:p w:rsidR="00955B4F" w:rsidRPr="00D665B9" w:rsidRDefault="00955B4F" w:rsidP="00087362">
      <w:pPr>
        <w:jc w:val="both"/>
        <w:rPr>
          <w:sz w:val="22"/>
          <w:szCs w:val="22"/>
          <w:lang w:val="en-GB"/>
        </w:rPr>
      </w:pPr>
      <w:r w:rsidRPr="00D665B9">
        <w:rPr>
          <w:sz w:val="22"/>
          <w:szCs w:val="22"/>
          <w:u w:val="single"/>
        </w:rPr>
        <w:t xml:space="preserve">Dospelí vrátane starších osôb: </w:t>
      </w:r>
    </w:p>
    <w:p w:rsidR="00955B4F" w:rsidRPr="00D665B9" w:rsidRDefault="00955B4F" w:rsidP="00087362">
      <w:pPr>
        <w:jc w:val="both"/>
        <w:rPr>
          <w:sz w:val="22"/>
          <w:szCs w:val="22"/>
        </w:rPr>
      </w:pPr>
      <w:r w:rsidRPr="00D665B9">
        <w:rPr>
          <w:sz w:val="22"/>
          <w:szCs w:val="22"/>
        </w:rPr>
        <w:t xml:space="preserve">Odporúčaná dávka </w:t>
      </w:r>
      <w:r w:rsidR="004272C1">
        <w:rPr>
          <w:sz w:val="22"/>
          <w:szCs w:val="22"/>
        </w:rPr>
        <w:t xml:space="preserve">lieku </w:t>
      </w:r>
      <w:r w:rsidR="000D6234" w:rsidRPr="00D665B9">
        <w:rPr>
          <w:noProof/>
          <w:sz w:val="22"/>
          <w:szCs w:val="22"/>
        </w:rPr>
        <w:t xml:space="preserve">Lutrate Depot 22,5 mg </w:t>
      </w:r>
      <w:r w:rsidRPr="00D665B9">
        <w:rPr>
          <w:sz w:val="22"/>
          <w:szCs w:val="22"/>
        </w:rPr>
        <w:t>je jedna injekcia jedenkrát za tri mesiace. Z prášku sa pripraví suspenzia a tá sa podá ako jedna injekcia intramuskulárne (do svalu) jedenkrát za tri mesiace.</w:t>
      </w:r>
    </w:p>
    <w:p w:rsidR="00955B4F" w:rsidRPr="00D665B9" w:rsidRDefault="00955B4F" w:rsidP="00087362">
      <w:pPr>
        <w:jc w:val="both"/>
        <w:rPr>
          <w:sz w:val="22"/>
          <w:szCs w:val="22"/>
          <w:lang w:val="de-DE"/>
        </w:rPr>
      </w:pPr>
      <w:r w:rsidRPr="00D665B9">
        <w:rPr>
          <w:sz w:val="22"/>
          <w:szCs w:val="22"/>
        </w:rPr>
        <w:t>Miesto vpichu sa má pravidelne meniť.</w:t>
      </w:r>
    </w:p>
    <w:p w:rsidR="008F788F" w:rsidRPr="00D665B9" w:rsidRDefault="000D6234" w:rsidP="00087362">
      <w:pPr>
        <w:jc w:val="both"/>
        <w:rPr>
          <w:bCs/>
          <w:sz w:val="22"/>
          <w:szCs w:val="22"/>
        </w:rPr>
      </w:pPr>
      <w:r w:rsidRPr="00D665B9">
        <w:rPr>
          <w:noProof/>
          <w:sz w:val="22"/>
          <w:szCs w:val="22"/>
        </w:rPr>
        <w:t xml:space="preserve">Lutrate Depot 22,5 mg </w:t>
      </w:r>
      <w:r w:rsidR="0044522A" w:rsidRPr="00D665B9">
        <w:rPr>
          <w:bCs/>
          <w:sz w:val="22"/>
          <w:szCs w:val="22"/>
        </w:rPr>
        <w:t>sa musí podávať len intramuskulárne.</w:t>
      </w:r>
      <w:r w:rsidR="0044522A" w:rsidRPr="00D665B9">
        <w:rPr>
          <w:sz w:val="22"/>
          <w:szCs w:val="22"/>
        </w:rPr>
        <w:t xml:space="preserve"> </w:t>
      </w:r>
      <w:r w:rsidR="0044522A" w:rsidRPr="00D665B9">
        <w:rPr>
          <w:bCs/>
          <w:sz w:val="22"/>
          <w:szCs w:val="22"/>
        </w:rPr>
        <w:t xml:space="preserve">Nepodávajte inou cestou podania. </w:t>
      </w:r>
    </w:p>
    <w:p w:rsidR="008A5FAB" w:rsidRPr="00D665B9" w:rsidRDefault="008A5FAB" w:rsidP="00087362">
      <w:pPr>
        <w:jc w:val="both"/>
        <w:rPr>
          <w:b/>
          <w:bCs/>
          <w:sz w:val="22"/>
          <w:szCs w:val="22"/>
        </w:rPr>
      </w:pPr>
    </w:p>
    <w:p w:rsidR="00955B4F" w:rsidRDefault="00E402F6" w:rsidP="00087362">
      <w:pPr>
        <w:jc w:val="both"/>
        <w:rPr>
          <w:sz w:val="22"/>
          <w:szCs w:val="22"/>
        </w:rPr>
      </w:pPr>
      <w:r w:rsidRPr="00D665B9">
        <w:rPr>
          <w:b/>
          <w:bCs/>
          <w:sz w:val="22"/>
          <w:szCs w:val="22"/>
        </w:rPr>
        <w:t xml:space="preserve">Použitie u detí: </w:t>
      </w:r>
      <w:r w:rsidR="000D6234" w:rsidRPr="00D665B9">
        <w:rPr>
          <w:noProof/>
          <w:sz w:val="22"/>
          <w:szCs w:val="22"/>
        </w:rPr>
        <w:t xml:space="preserve">Lutrate Depot 22,5 mg </w:t>
      </w:r>
      <w:r w:rsidRPr="00D665B9">
        <w:rPr>
          <w:sz w:val="22"/>
          <w:szCs w:val="22"/>
        </w:rPr>
        <w:t>nie je indikovaný pre používanie u detí.</w:t>
      </w:r>
    </w:p>
    <w:p w:rsidR="00227313" w:rsidRPr="00D665B9" w:rsidRDefault="00227313" w:rsidP="00087362">
      <w:pPr>
        <w:jc w:val="both"/>
        <w:rPr>
          <w:sz w:val="22"/>
          <w:szCs w:val="22"/>
        </w:rPr>
      </w:pPr>
    </w:p>
    <w:p w:rsidR="006D2AD4" w:rsidRDefault="00EE2BA1" w:rsidP="00087362">
      <w:pPr>
        <w:numPr>
          <w:ilvl w:val="12"/>
          <w:numId w:val="0"/>
        </w:numPr>
        <w:jc w:val="both"/>
        <w:rPr>
          <w:sz w:val="22"/>
          <w:szCs w:val="22"/>
        </w:rPr>
      </w:pPr>
      <w:r>
        <w:rPr>
          <w:sz w:val="22"/>
          <w:szCs w:val="22"/>
        </w:rPr>
        <w:t>Dávkovanie určuje vždy lekár.</w:t>
      </w:r>
    </w:p>
    <w:p w:rsidR="00EE2BA1" w:rsidRPr="00D665B9" w:rsidRDefault="00EE2BA1" w:rsidP="00087362">
      <w:pPr>
        <w:numPr>
          <w:ilvl w:val="12"/>
          <w:numId w:val="0"/>
        </w:numPr>
        <w:jc w:val="both"/>
        <w:rPr>
          <w:b/>
          <w:sz w:val="22"/>
          <w:szCs w:val="22"/>
        </w:rPr>
      </w:pPr>
    </w:p>
    <w:p w:rsidR="006D2AD4" w:rsidRPr="00D665B9" w:rsidRDefault="00955B4F" w:rsidP="00087362">
      <w:pPr>
        <w:numPr>
          <w:ilvl w:val="12"/>
          <w:numId w:val="0"/>
        </w:numPr>
        <w:jc w:val="both"/>
        <w:rPr>
          <w:b/>
          <w:sz w:val="22"/>
          <w:szCs w:val="22"/>
        </w:rPr>
      </w:pPr>
      <w:r w:rsidRPr="00D665B9">
        <w:rPr>
          <w:b/>
          <w:sz w:val="22"/>
          <w:szCs w:val="22"/>
        </w:rPr>
        <w:t xml:space="preserve">Ak použijete viac </w:t>
      </w:r>
      <w:r w:rsidR="004272C1">
        <w:rPr>
          <w:b/>
          <w:sz w:val="22"/>
          <w:szCs w:val="22"/>
        </w:rPr>
        <w:t xml:space="preserve">lieku </w:t>
      </w:r>
      <w:r w:rsidR="00223246" w:rsidRPr="00EE2BA1">
        <w:rPr>
          <w:b/>
          <w:noProof/>
          <w:sz w:val="22"/>
          <w:szCs w:val="22"/>
        </w:rPr>
        <w:t>Lutrate Depot 22,5 mg</w:t>
      </w:r>
      <w:r w:rsidRPr="00D665B9">
        <w:rPr>
          <w:b/>
          <w:sz w:val="22"/>
          <w:szCs w:val="22"/>
        </w:rPr>
        <w:t xml:space="preserve">, ako máte </w:t>
      </w:r>
    </w:p>
    <w:p w:rsidR="00955B4F" w:rsidRPr="00D665B9" w:rsidRDefault="00955B4F" w:rsidP="00087362">
      <w:pPr>
        <w:adjustRightInd w:val="0"/>
        <w:jc w:val="both"/>
        <w:rPr>
          <w:sz w:val="22"/>
          <w:szCs w:val="22"/>
        </w:rPr>
      </w:pPr>
      <w:r w:rsidRPr="00D665B9">
        <w:rPr>
          <w:sz w:val="22"/>
          <w:szCs w:val="22"/>
        </w:rPr>
        <w:t>Je nepravdepodobné, že by váš lekár alebo zdravotná sestra nepoznali správne dávkovanie. Ak však máte podozrenie, že ste dostali viac ako ste mali, ihneď to svojmu lekárovi oznámte, aby sa mohli urobiť vhodné opatrenia.</w:t>
      </w:r>
    </w:p>
    <w:p w:rsidR="006D2AD4" w:rsidRPr="00D665B9" w:rsidRDefault="006D2AD4" w:rsidP="00087362">
      <w:pPr>
        <w:numPr>
          <w:ilvl w:val="12"/>
          <w:numId w:val="0"/>
        </w:numPr>
        <w:jc w:val="both"/>
        <w:rPr>
          <w:b/>
          <w:sz w:val="22"/>
          <w:szCs w:val="22"/>
        </w:rPr>
      </w:pPr>
    </w:p>
    <w:p w:rsidR="006D2AD4" w:rsidRPr="00D665B9" w:rsidRDefault="00955B4F" w:rsidP="00087362">
      <w:pPr>
        <w:numPr>
          <w:ilvl w:val="12"/>
          <w:numId w:val="0"/>
        </w:numPr>
        <w:jc w:val="both"/>
        <w:rPr>
          <w:b/>
          <w:sz w:val="22"/>
          <w:szCs w:val="22"/>
        </w:rPr>
      </w:pPr>
      <w:r w:rsidRPr="00D665B9">
        <w:rPr>
          <w:b/>
          <w:sz w:val="22"/>
          <w:szCs w:val="22"/>
        </w:rPr>
        <w:t xml:space="preserve">Ak zabudnete na dávku </w:t>
      </w:r>
      <w:r w:rsidR="004272C1">
        <w:rPr>
          <w:b/>
          <w:sz w:val="22"/>
          <w:szCs w:val="22"/>
        </w:rPr>
        <w:t xml:space="preserve">lieku </w:t>
      </w:r>
      <w:r w:rsidR="00223246" w:rsidRPr="00EE2BA1">
        <w:rPr>
          <w:b/>
          <w:noProof/>
          <w:sz w:val="22"/>
          <w:szCs w:val="22"/>
        </w:rPr>
        <w:t>Lutrate Depot 22,5 mg</w:t>
      </w:r>
    </w:p>
    <w:p w:rsidR="006D2AD4" w:rsidRPr="00D665B9" w:rsidRDefault="00955B4F" w:rsidP="00087362">
      <w:pPr>
        <w:numPr>
          <w:ilvl w:val="12"/>
          <w:numId w:val="0"/>
        </w:numPr>
        <w:jc w:val="both"/>
        <w:rPr>
          <w:sz w:val="22"/>
          <w:szCs w:val="22"/>
        </w:rPr>
      </w:pPr>
      <w:r w:rsidRPr="00D665B9">
        <w:rPr>
          <w:sz w:val="22"/>
          <w:szCs w:val="22"/>
        </w:rPr>
        <w:t xml:space="preserve">Je dôležité, aby ste nevynechali dávku </w:t>
      </w:r>
      <w:r w:rsidR="000D6234" w:rsidRPr="00D665B9">
        <w:rPr>
          <w:noProof/>
          <w:sz w:val="22"/>
          <w:szCs w:val="22"/>
        </w:rPr>
        <w:t>Lutrate Depot 22,5 mg</w:t>
      </w:r>
      <w:r w:rsidRPr="00D665B9">
        <w:rPr>
          <w:sz w:val="22"/>
          <w:szCs w:val="22"/>
        </w:rPr>
        <w:t xml:space="preserve">. Ihneď, ako si uvedomíte, že ste vynechali injekciu, kontaktujte svojho lekára, ktorý vám bude môcť podať ďalšiu injekciu. </w:t>
      </w:r>
    </w:p>
    <w:p w:rsidR="00955B4F" w:rsidRPr="00D665B9" w:rsidRDefault="00955B4F" w:rsidP="00087362">
      <w:pPr>
        <w:adjustRightInd w:val="0"/>
        <w:jc w:val="both"/>
        <w:rPr>
          <w:sz w:val="22"/>
          <w:szCs w:val="22"/>
        </w:rPr>
      </w:pPr>
    </w:p>
    <w:p w:rsidR="00444BCF" w:rsidRPr="00D665B9" w:rsidRDefault="00955B4F" w:rsidP="00087362">
      <w:pPr>
        <w:numPr>
          <w:ilvl w:val="12"/>
          <w:numId w:val="0"/>
        </w:numPr>
        <w:jc w:val="both"/>
        <w:rPr>
          <w:noProof/>
          <w:sz w:val="22"/>
          <w:szCs w:val="22"/>
        </w:rPr>
      </w:pPr>
      <w:r w:rsidRPr="00D665B9">
        <w:rPr>
          <w:b/>
          <w:sz w:val="22"/>
          <w:szCs w:val="22"/>
        </w:rPr>
        <w:t xml:space="preserve">Ak prestanete používať </w:t>
      </w:r>
      <w:r w:rsidR="00223246" w:rsidRPr="00EE2BA1">
        <w:rPr>
          <w:b/>
          <w:noProof/>
          <w:sz w:val="22"/>
          <w:szCs w:val="22"/>
        </w:rPr>
        <w:t>Lutrate Depot 22,5 mg</w:t>
      </w:r>
    </w:p>
    <w:p w:rsidR="006D2AD4" w:rsidRPr="00D665B9" w:rsidRDefault="00955B4F" w:rsidP="00087362">
      <w:pPr>
        <w:numPr>
          <w:ilvl w:val="12"/>
          <w:numId w:val="0"/>
        </w:numPr>
        <w:jc w:val="both"/>
        <w:rPr>
          <w:noProof/>
          <w:sz w:val="22"/>
          <w:szCs w:val="22"/>
        </w:rPr>
      </w:pPr>
      <w:r w:rsidRPr="00D665B9">
        <w:rPr>
          <w:sz w:val="22"/>
          <w:szCs w:val="22"/>
        </w:rPr>
        <w:t>Pretože lekárske ošetrenie zahrňuje podávanie</w:t>
      </w:r>
      <w:r w:rsidR="004272C1">
        <w:rPr>
          <w:sz w:val="22"/>
          <w:szCs w:val="22"/>
        </w:rPr>
        <w:t xml:space="preserve"> lieku</w:t>
      </w:r>
      <w:r w:rsidRPr="00D665B9">
        <w:rPr>
          <w:sz w:val="22"/>
          <w:szCs w:val="22"/>
        </w:rPr>
        <w:t xml:space="preserve"> </w:t>
      </w:r>
      <w:r w:rsidR="00444BCF" w:rsidRPr="00D665B9">
        <w:rPr>
          <w:noProof/>
          <w:sz w:val="22"/>
          <w:szCs w:val="22"/>
        </w:rPr>
        <w:t xml:space="preserve">Lutrate Depot 22,5 mg </w:t>
      </w:r>
      <w:r w:rsidRPr="00D665B9">
        <w:rPr>
          <w:sz w:val="22"/>
          <w:szCs w:val="22"/>
        </w:rPr>
        <w:t>po dlhú dobu, pri prerušení liečby môžete pociťovať zhoršenie príznakov súvisiacich s ochorením. Preto nesmiete predčasne prerušiť liečbu bez povolenia lekára.</w:t>
      </w:r>
    </w:p>
    <w:p w:rsidR="00955B4F" w:rsidRPr="00D665B9" w:rsidRDefault="00955B4F" w:rsidP="00087362">
      <w:pPr>
        <w:adjustRightInd w:val="0"/>
        <w:jc w:val="both"/>
        <w:rPr>
          <w:sz w:val="22"/>
          <w:szCs w:val="22"/>
        </w:rPr>
      </w:pPr>
    </w:p>
    <w:p w:rsidR="006D2AD4" w:rsidRPr="00D665B9" w:rsidRDefault="0060497A" w:rsidP="00087362">
      <w:pPr>
        <w:pStyle w:val="knZulassung02"/>
        <w:ind w:left="0" w:right="0"/>
        <w:jc w:val="both"/>
        <w:rPr>
          <w:rFonts w:ascii="Times New Roman" w:hAnsi="Times New Roman" w:cs="Times New Roman"/>
          <w:sz w:val="22"/>
          <w:szCs w:val="22"/>
        </w:rPr>
      </w:pPr>
      <w:r w:rsidRPr="00D665B9">
        <w:rPr>
          <w:rFonts w:ascii="Times New Roman" w:hAnsi="Times New Roman" w:cs="Times New Roman"/>
          <w:sz w:val="22"/>
          <w:szCs w:val="22"/>
        </w:rPr>
        <w:lastRenderedPageBreak/>
        <w:t>Ak máte akékoľvek ďalšie otázky týkajúce sa použitia tohto lieku, opýtajte sa svojho lekára alebo lekárnika.</w:t>
      </w:r>
    </w:p>
    <w:p w:rsidR="00087362" w:rsidRDefault="00087362" w:rsidP="00087362">
      <w:pPr>
        <w:pStyle w:val="knZulassung02"/>
        <w:ind w:left="0" w:right="0"/>
        <w:jc w:val="both"/>
        <w:rPr>
          <w:rFonts w:ascii="Times New Roman" w:hAnsi="Times New Roman" w:cs="Times New Roman"/>
          <w:sz w:val="22"/>
          <w:szCs w:val="22"/>
        </w:rPr>
      </w:pPr>
    </w:p>
    <w:p w:rsidR="00FC4870" w:rsidRDefault="00FC4870" w:rsidP="00087362">
      <w:pPr>
        <w:pStyle w:val="knZulassung02"/>
        <w:ind w:left="0" w:right="0"/>
        <w:jc w:val="both"/>
        <w:rPr>
          <w:rFonts w:ascii="Times New Roman" w:hAnsi="Times New Roman" w:cs="Times New Roman"/>
          <w:sz w:val="22"/>
          <w:szCs w:val="22"/>
        </w:rPr>
      </w:pPr>
    </w:p>
    <w:p w:rsidR="00955B4F" w:rsidRPr="00087362" w:rsidRDefault="00087362" w:rsidP="00087362">
      <w:pPr>
        <w:pStyle w:val="knZulassung02"/>
        <w:ind w:left="0" w:right="0"/>
        <w:jc w:val="both"/>
        <w:rPr>
          <w:rFonts w:ascii="Times New Roman" w:hAnsi="Times New Roman" w:cs="Times New Roman"/>
          <w:sz w:val="22"/>
          <w:szCs w:val="22"/>
        </w:rPr>
      </w:pPr>
      <w:r>
        <w:rPr>
          <w:rFonts w:ascii="Times New Roman" w:hAnsi="Times New Roman" w:cs="Times New Roman"/>
          <w:b/>
          <w:noProof/>
          <w:sz w:val="22"/>
          <w:szCs w:val="22"/>
        </w:rPr>
        <w:t xml:space="preserve">4.        </w:t>
      </w:r>
      <w:r w:rsidR="00E402F6" w:rsidRPr="00D665B9">
        <w:rPr>
          <w:rFonts w:ascii="Times New Roman" w:hAnsi="Times New Roman" w:cs="Times New Roman"/>
          <w:b/>
          <w:noProof/>
          <w:sz w:val="22"/>
          <w:szCs w:val="22"/>
        </w:rPr>
        <w:t xml:space="preserve">Možné vedľajšie účinky </w:t>
      </w:r>
    </w:p>
    <w:p w:rsidR="00955B4F" w:rsidRPr="00D665B9" w:rsidRDefault="00955B4F" w:rsidP="00087362">
      <w:pPr>
        <w:pStyle w:val="knZulassung02"/>
        <w:tabs>
          <w:tab w:val="left" w:pos="-180"/>
        </w:tabs>
        <w:ind w:left="0"/>
        <w:jc w:val="both"/>
        <w:rPr>
          <w:rFonts w:ascii="Times New Roman" w:hAnsi="Times New Roman" w:cs="Times New Roman"/>
          <w:sz w:val="22"/>
          <w:szCs w:val="22"/>
          <w:lang w:val="en-GB"/>
        </w:rPr>
      </w:pPr>
    </w:p>
    <w:p w:rsidR="006D2AD4" w:rsidRPr="00D665B9" w:rsidRDefault="00955B4F" w:rsidP="00087362">
      <w:pPr>
        <w:numPr>
          <w:ilvl w:val="12"/>
          <w:numId w:val="0"/>
        </w:numPr>
        <w:jc w:val="both"/>
        <w:rPr>
          <w:sz w:val="22"/>
          <w:szCs w:val="22"/>
          <w:lang w:val="en-GB"/>
        </w:rPr>
      </w:pPr>
      <w:r w:rsidRPr="00D665B9">
        <w:rPr>
          <w:sz w:val="22"/>
          <w:szCs w:val="22"/>
        </w:rPr>
        <w:t xml:space="preserve">Tak ako všetky lieky, aj tento liek môže spôsobovať vedľajšie účinky, hoci sa neprejavia u každého. </w:t>
      </w:r>
    </w:p>
    <w:p w:rsidR="00955B4F" w:rsidRPr="00D665B9" w:rsidRDefault="00955B4F" w:rsidP="00087362">
      <w:pPr>
        <w:adjustRightInd w:val="0"/>
        <w:jc w:val="both"/>
        <w:rPr>
          <w:b/>
          <w:sz w:val="22"/>
          <w:szCs w:val="22"/>
          <w:lang w:val="en-GB"/>
        </w:rPr>
      </w:pPr>
      <w:r w:rsidRPr="00D665B9">
        <w:rPr>
          <w:b/>
          <w:sz w:val="22"/>
          <w:szCs w:val="22"/>
        </w:rPr>
        <w:t>Ihneď informujte svojho lekára, ak sa u vás náhle objaví dýchavičnosť, ťažkosti s dýchaním, opuch očných viečok, tváre alebo pier, vyrážka alebo svrbenie (obzvlášť vtedy, keď sa prejaví na celom tele).</w:t>
      </w:r>
    </w:p>
    <w:p w:rsidR="006D2AD4" w:rsidRPr="00D665B9" w:rsidRDefault="00955B4F" w:rsidP="00087362">
      <w:pPr>
        <w:pStyle w:val="knZulassung02"/>
        <w:tabs>
          <w:tab w:val="left" w:pos="-180"/>
        </w:tabs>
        <w:ind w:left="0" w:right="0"/>
        <w:jc w:val="both"/>
        <w:rPr>
          <w:rFonts w:ascii="Times New Roman" w:hAnsi="Times New Roman" w:cs="Times New Roman"/>
          <w:sz w:val="22"/>
          <w:szCs w:val="22"/>
          <w:lang w:val="en-GB"/>
        </w:rPr>
      </w:pPr>
      <w:r w:rsidRPr="00D665B9">
        <w:rPr>
          <w:rFonts w:ascii="Times New Roman" w:hAnsi="Times New Roman" w:cs="Times New Roman"/>
          <w:sz w:val="22"/>
          <w:szCs w:val="22"/>
        </w:rPr>
        <w:t>Zistili sa nasledujúce vedľajšie účinky:</w:t>
      </w:r>
    </w:p>
    <w:p w:rsidR="006D2AD4" w:rsidRPr="00D665B9" w:rsidRDefault="006D2AD4" w:rsidP="00087362">
      <w:pPr>
        <w:pStyle w:val="Zarkazkladnhotextu"/>
        <w:tabs>
          <w:tab w:val="left" w:pos="720"/>
        </w:tabs>
        <w:spacing w:after="0"/>
        <w:ind w:left="0"/>
        <w:jc w:val="both"/>
        <w:rPr>
          <w:sz w:val="22"/>
          <w:szCs w:val="22"/>
          <w:u w:val="single"/>
          <w:lang w:val="en-GB"/>
        </w:rPr>
      </w:pPr>
    </w:p>
    <w:p w:rsidR="006D2AD4" w:rsidRPr="00D665B9" w:rsidRDefault="00845D16" w:rsidP="00087362">
      <w:pPr>
        <w:pStyle w:val="Zarkazkladnhotextu"/>
        <w:tabs>
          <w:tab w:val="left" w:pos="720"/>
        </w:tabs>
        <w:spacing w:after="0"/>
        <w:ind w:left="0"/>
        <w:jc w:val="both"/>
        <w:rPr>
          <w:sz w:val="22"/>
          <w:szCs w:val="22"/>
          <w:lang w:val="en-GB"/>
        </w:rPr>
      </w:pPr>
      <w:r w:rsidRPr="00D665B9">
        <w:rPr>
          <w:iCs/>
          <w:sz w:val="22"/>
          <w:szCs w:val="22"/>
          <w:u w:val="single"/>
        </w:rPr>
        <w:t>v</w:t>
      </w:r>
      <w:r w:rsidR="00955B4F" w:rsidRPr="00D665B9">
        <w:rPr>
          <w:iCs/>
          <w:sz w:val="22"/>
          <w:szCs w:val="22"/>
          <w:u w:val="single"/>
        </w:rPr>
        <w:t xml:space="preserve">eľmi časté (môžu postihovať viac ako 1 pacienta z 10): </w:t>
      </w:r>
    </w:p>
    <w:p w:rsidR="006D2AD4" w:rsidRPr="00D665B9" w:rsidRDefault="00955B4F" w:rsidP="00087362">
      <w:pPr>
        <w:adjustRightInd w:val="0"/>
        <w:jc w:val="both"/>
        <w:rPr>
          <w:sz w:val="22"/>
          <w:szCs w:val="22"/>
          <w:u w:val="single"/>
          <w:lang w:val="en-GB"/>
        </w:rPr>
      </w:pPr>
      <w:r w:rsidRPr="00D665B9">
        <w:rPr>
          <w:sz w:val="22"/>
          <w:szCs w:val="22"/>
        </w:rPr>
        <w:t>návaly tepla a reakcie v mieste podania injekcie.</w:t>
      </w:r>
    </w:p>
    <w:p w:rsidR="002F177A" w:rsidRPr="00D665B9" w:rsidRDefault="002F177A" w:rsidP="00087362">
      <w:pPr>
        <w:adjustRightInd w:val="0"/>
        <w:jc w:val="both"/>
        <w:rPr>
          <w:sz w:val="22"/>
          <w:szCs w:val="22"/>
          <w:u w:val="single"/>
          <w:lang w:val="en-GB"/>
        </w:rPr>
      </w:pPr>
    </w:p>
    <w:p w:rsidR="00955B4F" w:rsidRPr="00D665B9" w:rsidRDefault="00955B4F" w:rsidP="00087362">
      <w:pPr>
        <w:adjustRightInd w:val="0"/>
        <w:jc w:val="both"/>
        <w:rPr>
          <w:sz w:val="22"/>
          <w:szCs w:val="22"/>
          <w:u w:val="single"/>
          <w:lang w:val="en-GB"/>
        </w:rPr>
      </w:pPr>
      <w:r w:rsidRPr="00D665B9">
        <w:rPr>
          <w:sz w:val="22"/>
          <w:szCs w:val="22"/>
          <w:u w:val="single"/>
        </w:rPr>
        <w:t xml:space="preserve">časté (môžu postihovať až 1 pacienta z 10): </w:t>
      </w:r>
    </w:p>
    <w:p w:rsidR="00955B4F" w:rsidRPr="00D665B9" w:rsidRDefault="00815D39" w:rsidP="00087362">
      <w:pPr>
        <w:jc w:val="both"/>
        <w:rPr>
          <w:sz w:val="22"/>
          <w:szCs w:val="22"/>
        </w:rPr>
      </w:pPr>
      <w:r w:rsidRPr="00D665B9">
        <w:rPr>
          <w:sz w:val="22"/>
          <w:szCs w:val="22"/>
        </w:rPr>
        <w:t xml:space="preserve">studený pot, </w:t>
      </w:r>
      <w:r w:rsidR="008A1077" w:rsidRPr="00D665B9">
        <w:rPr>
          <w:sz w:val="22"/>
          <w:szCs w:val="22"/>
        </w:rPr>
        <w:t>hyperh</w:t>
      </w:r>
      <w:r w:rsidR="008A1077">
        <w:rPr>
          <w:sz w:val="22"/>
          <w:szCs w:val="22"/>
        </w:rPr>
        <w:t>i</w:t>
      </w:r>
      <w:r w:rsidR="008A1077" w:rsidRPr="00D665B9">
        <w:rPr>
          <w:sz w:val="22"/>
          <w:szCs w:val="22"/>
        </w:rPr>
        <w:t xml:space="preserve">dróza </w:t>
      </w:r>
      <w:r w:rsidRPr="00D665B9">
        <w:rPr>
          <w:sz w:val="22"/>
          <w:szCs w:val="22"/>
        </w:rPr>
        <w:t>(zvýšené potenie), pruritus (svrbenie), únava, insomnia (nespavosť), znížený sexuálny pud, pocit točenia (závrat), sčervenanie, nevoľnosť, hnačka, znížená chuť do jedla, erektilná dysfunkcia, asténia (nedostatok alebo strata sily), bolesť kostí, bolesť kĺbov a reakcie v mieste podania ako bolesť, stvrdnutie, erytém (sčervenanie kože). Bolesť močového traktu, zníženie prietoku moču, častá potreba močenia, zmeny nálady a depresia pri dlhodobom používaní leuprorel</w:t>
      </w:r>
      <w:r w:rsidR="007C4E93">
        <w:rPr>
          <w:sz w:val="22"/>
          <w:szCs w:val="22"/>
        </w:rPr>
        <w:t>í</w:t>
      </w:r>
      <w:r w:rsidRPr="00D665B9">
        <w:rPr>
          <w:sz w:val="22"/>
          <w:szCs w:val="22"/>
        </w:rPr>
        <w:t>nu, zmeny pečeňových enzýmov a zvýšené triglyceridy v krvi (vysoká hladina lipidov</w:t>
      </w:r>
      <w:r w:rsidR="008A1077">
        <w:rPr>
          <w:sz w:val="22"/>
          <w:szCs w:val="22"/>
        </w:rPr>
        <w:t xml:space="preserve"> v krvi</w:t>
      </w:r>
      <w:r w:rsidRPr="00D665B9">
        <w:rPr>
          <w:sz w:val="22"/>
          <w:szCs w:val="22"/>
        </w:rPr>
        <w:t>), zvýšený cukor</w:t>
      </w:r>
      <w:r w:rsidR="008A1077">
        <w:rPr>
          <w:sz w:val="22"/>
          <w:szCs w:val="22"/>
        </w:rPr>
        <w:t xml:space="preserve"> v krvi</w:t>
      </w:r>
      <w:r w:rsidRPr="00D665B9">
        <w:rPr>
          <w:sz w:val="22"/>
          <w:szCs w:val="22"/>
        </w:rPr>
        <w:t>.</w:t>
      </w:r>
    </w:p>
    <w:p w:rsidR="00845D16" w:rsidRPr="00D665B9" w:rsidRDefault="00845D16" w:rsidP="00087362">
      <w:pPr>
        <w:jc w:val="both"/>
        <w:rPr>
          <w:sz w:val="22"/>
          <w:szCs w:val="22"/>
        </w:rPr>
      </w:pPr>
    </w:p>
    <w:p w:rsidR="00955B4F" w:rsidRPr="00D665B9" w:rsidRDefault="00955B4F" w:rsidP="00087362">
      <w:pPr>
        <w:jc w:val="both"/>
        <w:rPr>
          <w:sz w:val="22"/>
          <w:szCs w:val="22"/>
          <w:u w:val="single"/>
        </w:rPr>
      </w:pPr>
      <w:r w:rsidRPr="00D665B9">
        <w:rPr>
          <w:iCs/>
          <w:sz w:val="22"/>
          <w:szCs w:val="22"/>
          <w:u w:val="single"/>
        </w:rPr>
        <w:t xml:space="preserve">menej časté (môžu postihovať až 1 pacienta z 100): </w:t>
      </w:r>
    </w:p>
    <w:p w:rsidR="00C8578A" w:rsidRPr="00D665B9" w:rsidRDefault="00692E3A" w:rsidP="00087362">
      <w:pPr>
        <w:jc w:val="both"/>
        <w:rPr>
          <w:sz w:val="22"/>
          <w:szCs w:val="22"/>
        </w:rPr>
      </w:pPr>
      <w:r w:rsidRPr="00D665B9">
        <w:rPr>
          <w:sz w:val="22"/>
          <w:szCs w:val="22"/>
        </w:rPr>
        <w:t xml:space="preserve">vysoký cholesterol, poruchy spánku, pocit </w:t>
      </w:r>
      <w:r w:rsidR="009601CB">
        <w:rPr>
          <w:sz w:val="22"/>
          <w:szCs w:val="22"/>
        </w:rPr>
        <w:t>stresu</w:t>
      </w:r>
      <w:r w:rsidRPr="00D665B9">
        <w:rPr>
          <w:sz w:val="22"/>
          <w:szCs w:val="22"/>
        </w:rPr>
        <w:t xml:space="preserve">, poruchy chuti, mravenčenie (zmena citlivosti kože), bolesť hlavy, letargia (ospalosť), nejasné videnie, zápal pohrudnice, zvonenie v ušiach (tinitus), bolesť v hornej časti </w:t>
      </w:r>
      <w:r w:rsidR="009601CB">
        <w:rPr>
          <w:sz w:val="22"/>
          <w:szCs w:val="22"/>
        </w:rPr>
        <w:t>brucha</w:t>
      </w:r>
      <w:r w:rsidRPr="00D665B9">
        <w:rPr>
          <w:sz w:val="22"/>
          <w:szCs w:val="22"/>
        </w:rPr>
        <w:t xml:space="preserve">, zápcha, sfarbený kruh okolo vyrážky, vyrážka, generalizovaný pruritus (svrbenie), nočné potenie, bolesť </w:t>
      </w:r>
      <w:r w:rsidR="008A1077" w:rsidRPr="00D665B9">
        <w:rPr>
          <w:sz w:val="22"/>
          <w:szCs w:val="22"/>
        </w:rPr>
        <w:t>chrbta</w:t>
      </w:r>
      <w:r w:rsidRPr="00D665B9">
        <w:rPr>
          <w:sz w:val="22"/>
          <w:szCs w:val="22"/>
        </w:rPr>
        <w:t>, bolesť bradaviek, bolesť panvy, testikulárna atrofia, testikulárna porucha, pocit tepla, zmeny nálady a depresia pri krátkodobom používaní leuprorel</w:t>
      </w:r>
      <w:r w:rsidR="007C4E93">
        <w:rPr>
          <w:sz w:val="22"/>
          <w:szCs w:val="22"/>
        </w:rPr>
        <w:t>í</w:t>
      </w:r>
      <w:r w:rsidRPr="00D665B9">
        <w:rPr>
          <w:sz w:val="22"/>
          <w:szCs w:val="22"/>
        </w:rPr>
        <w:t xml:space="preserve">nu. Zmeny krvných parametrov a zmeny v EKG (predĺženie QT). A reakcie v mieste podania ako: žihľavka, teplo, krvácanie. </w:t>
      </w:r>
    </w:p>
    <w:p w:rsidR="00F87C8A" w:rsidRPr="00D665B9" w:rsidRDefault="00F87C8A" w:rsidP="00087362">
      <w:pPr>
        <w:jc w:val="both"/>
        <w:rPr>
          <w:sz w:val="22"/>
          <w:szCs w:val="22"/>
        </w:rPr>
      </w:pPr>
    </w:p>
    <w:p w:rsidR="00877E37" w:rsidRPr="00EE2BA1" w:rsidRDefault="00223246" w:rsidP="00087362">
      <w:pPr>
        <w:spacing w:before="180"/>
        <w:jc w:val="both"/>
        <w:rPr>
          <w:b/>
          <w:sz w:val="22"/>
          <w:szCs w:val="22"/>
        </w:rPr>
      </w:pPr>
      <w:r w:rsidRPr="00EE2BA1">
        <w:rPr>
          <w:b/>
          <w:sz w:val="22"/>
          <w:szCs w:val="22"/>
        </w:rPr>
        <w:t>Hlásenie vedľajších účinkov</w:t>
      </w:r>
    </w:p>
    <w:p w:rsidR="00877E37" w:rsidRPr="00D665B9" w:rsidRDefault="00877E37" w:rsidP="0073607B">
      <w:pPr>
        <w:jc w:val="both"/>
        <w:rPr>
          <w:sz w:val="22"/>
          <w:szCs w:val="22"/>
        </w:rPr>
      </w:pPr>
      <w:r w:rsidRPr="00D665B9">
        <w:rPr>
          <w:sz w:val="22"/>
          <w:szCs w:val="22"/>
        </w:rPr>
        <w:t xml:space="preserve">Ak sa u vás vyskytne akýkoľvek vedľajší účinok, obráťte sa na svojho lekára alebo lekárnika. To sa týka aj akýchkoľvek vedľajších účinkov, ktoré nie sú uvedené v tejto písomnej informácii. Vedľajšie </w:t>
      </w:r>
      <w:r w:rsidRPr="0073607B">
        <w:rPr>
          <w:sz w:val="22"/>
          <w:szCs w:val="22"/>
        </w:rPr>
        <w:t xml:space="preserve">účinky môžete hlásiť aj priamo prostredníctvom </w:t>
      </w:r>
      <w:r w:rsidR="008E3752" w:rsidRPr="0073607B">
        <w:rPr>
          <w:sz w:val="22"/>
          <w:szCs w:val="22"/>
        </w:rPr>
        <w:t xml:space="preserve">Vedľajšie účinky môžete hlásiť aj priamo prostredníctvom </w:t>
      </w:r>
      <w:r w:rsidR="00F72FD0" w:rsidRPr="00BE4644">
        <w:rPr>
          <w:sz w:val="22"/>
          <w:szCs w:val="22"/>
          <w:highlight w:val="lightGray"/>
        </w:rPr>
        <w:t>národného systému hlásenia uvedeného v </w:t>
      </w:r>
      <w:hyperlink r:id="rId10" w:history="1">
        <w:r w:rsidR="00F72FD0" w:rsidRPr="00BE4644">
          <w:rPr>
            <w:rStyle w:val="Hypertextovprepojenie"/>
            <w:sz w:val="22"/>
            <w:szCs w:val="22"/>
            <w:highlight w:val="lightGray"/>
          </w:rPr>
          <w:t>Prílohe V</w:t>
        </w:r>
      </w:hyperlink>
      <w:r w:rsidR="00F72FD0" w:rsidRPr="008E3752">
        <w:rPr>
          <w:sz w:val="22"/>
          <w:szCs w:val="22"/>
        </w:rPr>
        <w:t>.</w:t>
      </w:r>
      <w:r w:rsidR="00F72FD0">
        <w:rPr>
          <w:sz w:val="22"/>
          <w:szCs w:val="22"/>
        </w:rPr>
        <w:t xml:space="preserve"> </w:t>
      </w:r>
      <w:r w:rsidRPr="0073607B">
        <w:rPr>
          <w:sz w:val="22"/>
          <w:szCs w:val="22"/>
        </w:rPr>
        <w:t>Hlásením vedľajších účinkov môžete prispieť k získaniu ďalších informácií o bezpečnosti tohto lieku.</w:t>
      </w:r>
    </w:p>
    <w:p w:rsidR="00955B4F" w:rsidRDefault="00955B4F" w:rsidP="00087362">
      <w:pPr>
        <w:tabs>
          <w:tab w:val="left" w:pos="0"/>
        </w:tabs>
        <w:adjustRightInd w:val="0"/>
        <w:jc w:val="both"/>
        <w:rPr>
          <w:sz w:val="22"/>
          <w:szCs w:val="22"/>
        </w:rPr>
      </w:pPr>
    </w:p>
    <w:p w:rsidR="00FC4870" w:rsidRPr="00D665B9" w:rsidRDefault="00FC4870" w:rsidP="00087362">
      <w:pPr>
        <w:tabs>
          <w:tab w:val="left" w:pos="0"/>
        </w:tabs>
        <w:adjustRightInd w:val="0"/>
        <w:jc w:val="both"/>
        <w:rPr>
          <w:sz w:val="22"/>
          <w:szCs w:val="22"/>
        </w:rPr>
      </w:pPr>
    </w:p>
    <w:p w:rsidR="00955B4F" w:rsidRPr="00D665B9" w:rsidRDefault="00955B4F" w:rsidP="00087362">
      <w:pPr>
        <w:pStyle w:val="knZulassung02"/>
        <w:tabs>
          <w:tab w:val="left" w:pos="2835"/>
        </w:tabs>
        <w:ind w:left="992" w:hanging="992"/>
        <w:jc w:val="both"/>
        <w:rPr>
          <w:rFonts w:ascii="Times New Roman" w:hAnsi="Times New Roman" w:cs="Times New Roman"/>
          <w:sz w:val="22"/>
          <w:szCs w:val="22"/>
        </w:rPr>
      </w:pPr>
      <w:r w:rsidRPr="00D665B9">
        <w:rPr>
          <w:rFonts w:ascii="Times New Roman" w:hAnsi="Times New Roman" w:cs="Times New Roman"/>
          <w:b/>
          <w:noProof/>
          <w:sz w:val="22"/>
          <w:szCs w:val="22"/>
        </w:rPr>
        <w:t>5.</w:t>
      </w:r>
      <w:r w:rsidRPr="00D665B9">
        <w:rPr>
          <w:rFonts w:ascii="Times New Roman" w:hAnsi="Times New Roman" w:cs="Times New Roman"/>
          <w:b/>
          <w:noProof/>
          <w:sz w:val="22"/>
          <w:szCs w:val="22"/>
        </w:rPr>
        <w:tab/>
        <w:t xml:space="preserve">Ako uchovávať </w:t>
      </w:r>
      <w:r w:rsidR="00223246" w:rsidRPr="00EE2BA1">
        <w:rPr>
          <w:rFonts w:ascii="Times New Roman" w:hAnsi="Times New Roman" w:cs="Times New Roman"/>
          <w:b/>
          <w:noProof/>
          <w:sz w:val="22"/>
          <w:szCs w:val="22"/>
        </w:rPr>
        <w:t>Lutrate Depot 22,5 mg</w:t>
      </w:r>
    </w:p>
    <w:p w:rsidR="00955B4F" w:rsidRPr="00D665B9" w:rsidRDefault="00955B4F" w:rsidP="00087362">
      <w:pPr>
        <w:jc w:val="both"/>
        <w:rPr>
          <w:sz w:val="22"/>
          <w:szCs w:val="22"/>
        </w:rPr>
      </w:pPr>
      <w:r w:rsidRPr="00D665B9">
        <w:rPr>
          <w:sz w:val="22"/>
          <w:szCs w:val="22"/>
        </w:rPr>
        <w:t xml:space="preserve">Váš lekár alebo lekárnik vie, ako uchovávať </w:t>
      </w:r>
      <w:r w:rsidR="008E3752" w:rsidRPr="00D665B9">
        <w:rPr>
          <w:noProof/>
          <w:sz w:val="22"/>
          <w:szCs w:val="22"/>
        </w:rPr>
        <w:t>Lutrate Depot 22,5 mg</w:t>
      </w:r>
      <w:r w:rsidRPr="00D665B9">
        <w:rPr>
          <w:sz w:val="22"/>
          <w:szCs w:val="22"/>
        </w:rPr>
        <w:t>.</w:t>
      </w:r>
    </w:p>
    <w:p w:rsidR="00955B4F" w:rsidRPr="00D665B9" w:rsidRDefault="003E44A0" w:rsidP="00087362">
      <w:pPr>
        <w:jc w:val="both"/>
        <w:rPr>
          <w:spacing w:val="-1"/>
          <w:sz w:val="22"/>
          <w:szCs w:val="22"/>
          <w:lang w:val="en-GB"/>
        </w:rPr>
      </w:pPr>
      <w:r w:rsidRPr="00D665B9">
        <w:rPr>
          <w:sz w:val="22"/>
          <w:szCs w:val="22"/>
        </w:rPr>
        <w:t>Tento liek uchovávajte mimo dohľadu a dosahu detí.</w:t>
      </w:r>
    </w:p>
    <w:p w:rsidR="00450574" w:rsidRPr="00D665B9" w:rsidRDefault="008E361F" w:rsidP="00087362">
      <w:pPr>
        <w:jc w:val="both"/>
        <w:rPr>
          <w:sz w:val="22"/>
          <w:szCs w:val="22"/>
          <w:lang w:val="en-GB"/>
        </w:rPr>
      </w:pPr>
      <w:r w:rsidRPr="00D665B9">
        <w:rPr>
          <w:sz w:val="22"/>
          <w:szCs w:val="22"/>
        </w:rPr>
        <w:t>Uchovávajte pri teplote do 25 °C. Neuchovávajte v mrazničke.</w:t>
      </w:r>
    </w:p>
    <w:p w:rsidR="00955B4F" w:rsidRPr="00D665B9" w:rsidRDefault="00955B4F" w:rsidP="00087362">
      <w:pPr>
        <w:jc w:val="both"/>
        <w:rPr>
          <w:sz w:val="22"/>
          <w:szCs w:val="22"/>
        </w:rPr>
      </w:pPr>
      <w:r w:rsidRPr="00D665B9">
        <w:rPr>
          <w:sz w:val="22"/>
          <w:szCs w:val="22"/>
        </w:rPr>
        <w:t>Tento liek nepoužívajte po dátume exspirácie, ktorý je uvedený na škatuľke, injekčnej liekovke a naplnenej injekčnej striekačke po EXP. Injekčná striekačka má rovnaký dátum exspirácie ako injekčná liekovka. Dátum exspirácie sa vzťahuje na posledný deň v mesiaci.</w:t>
      </w:r>
    </w:p>
    <w:p w:rsidR="00955B4F" w:rsidRPr="00D665B9" w:rsidRDefault="002147E6" w:rsidP="00087362">
      <w:pPr>
        <w:tabs>
          <w:tab w:val="left" w:pos="3402"/>
        </w:tabs>
        <w:jc w:val="both"/>
        <w:rPr>
          <w:sz w:val="22"/>
          <w:szCs w:val="22"/>
        </w:rPr>
      </w:pPr>
      <w:r w:rsidRPr="00D665B9">
        <w:rPr>
          <w:sz w:val="22"/>
          <w:szCs w:val="22"/>
        </w:rPr>
        <w:t xml:space="preserve">Nepoužitý liek </w:t>
      </w:r>
      <w:r w:rsidR="001F2757">
        <w:rPr>
          <w:sz w:val="22"/>
          <w:szCs w:val="22"/>
        </w:rPr>
        <w:t>zlikvidujte v súlade s národnými požiadavkami</w:t>
      </w:r>
      <w:r w:rsidRPr="00D665B9">
        <w:rPr>
          <w:sz w:val="22"/>
          <w:szCs w:val="22"/>
        </w:rPr>
        <w:t>.</w:t>
      </w:r>
    </w:p>
    <w:p w:rsidR="00364BDA" w:rsidRDefault="00364BDA" w:rsidP="00087362">
      <w:pPr>
        <w:tabs>
          <w:tab w:val="left" w:pos="900"/>
          <w:tab w:val="left" w:pos="990"/>
          <w:tab w:val="left" w:pos="3402"/>
        </w:tabs>
        <w:ind w:left="990" w:hanging="990"/>
        <w:jc w:val="both"/>
        <w:rPr>
          <w:b/>
          <w:sz w:val="22"/>
          <w:szCs w:val="22"/>
        </w:rPr>
      </w:pPr>
    </w:p>
    <w:p w:rsidR="00FC4870" w:rsidRPr="00D665B9" w:rsidRDefault="00FC4870" w:rsidP="00087362">
      <w:pPr>
        <w:tabs>
          <w:tab w:val="left" w:pos="900"/>
          <w:tab w:val="left" w:pos="990"/>
          <w:tab w:val="left" w:pos="3402"/>
        </w:tabs>
        <w:ind w:left="990" w:hanging="990"/>
        <w:jc w:val="both"/>
        <w:rPr>
          <w:b/>
          <w:sz w:val="22"/>
          <w:szCs w:val="22"/>
        </w:rPr>
      </w:pPr>
    </w:p>
    <w:p w:rsidR="00955B4F" w:rsidRPr="00D665B9" w:rsidRDefault="00955B4F" w:rsidP="00087362">
      <w:pPr>
        <w:tabs>
          <w:tab w:val="left" w:pos="900"/>
          <w:tab w:val="left" w:pos="990"/>
          <w:tab w:val="left" w:pos="3402"/>
        </w:tabs>
        <w:ind w:left="990" w:hanging="990"/>
        <w:jc w:val="both"/>
        <w:rPr>
          <w:b/>
          <w:bCs/>
          <w:sz w:val="22"/>
          <w:szCs w:val="22"/>
        </w:rPr>
      </w:pPr>
      <w:r w:rsidRPr="00D665B9">
        <w:rPr>
          <w:b/>
          <w:noProof/>
          <w:sz w:val="22"/>
          <w:szCs w:val="22"/>
        </w:rPr>
        <w:t>6.</w:t>
      </w:r>
      <w:r w:rsidRPr="00D665B9">
        <w:rPr>
          <w:b/>
          <w:noProof/>
          <w:sz w:val="22"/>
          <w:szCs w:val="22"/>
        </w:rPr>
        <w:tab/>
        <w:t>Obsah balenia a ďalšie informácie</w:t>
      </w:r>
    </w:p>
    <w:p w:rsidR="00955B4F" w:rsidRPr="00D665B9" w:rsidRDefault="00955B4F" w:rsidP="00087362">
      <w:pPr>
        <w:pStyle w:val="knZulassung01"/>
        <w:tabs>
          <w:tab w:val="left" w:pos="964"/>
        </w:tabs>
        <w:jc w:val="both"/>
        <w:rPr>
          <w:rFonts w:ascii="Times New Roman" w:hAnsi="Times New Roman" w:cs="Times New Roman"/>
          <w:b/>
          <w:sz w:val="22"/>
          <w:szCs w:val="22"/>
        </w:rPr>
      </w:pPr>
    </w:p>
    <w:p w:rsidR="00955B4F" w:rsidRPr="00D665B9" w:rsidRDefault="00955B4F" w:rsidP="00087362">
      <w:pPr>
        <w:adjustRightInd w:val="0"/>
        <w:jc w:val="both"/>
        <w:rPr>
          <w:b/>
          <w:bCs/>
          <w:sz w:val="22"/>
          <w:szCs w:val="22"/>
          <w:lang w:eastAsia="en-US"/>
        </w:rPr>
      </w:pPr>
      <w:r w:rsidRPr="00D665B9">
        <w:rPr>
          <w:b/>
          <w:bCs/>
          <w:sz w:val="22"/>
          <w:szCs w:val="22"/>
        </w:rPr>
        <w:t xml:space="preserve">Čo </w:t>
      </w:r>
      <w:r w:rsidR="00223246" w:rsidRPr="00EE2BA1">
        <w:rPr>
          <w:b/>
          <w:noProof/>
          <w:sz w:val="22"/>
          <w:szCs w:val="22"/>
        </w:rPr>
        <w:t>Lutrate Depot 22,5 mg</w:t>
      </w:r>
      <w:r w:rsidR="00444BCF" w:rsidRPr="00D665B9">
        <w:rPr>
          <w:noProof/>
          <w:sz w:val="22"/>
          <w:szCs w:val="22"/>
        </w:rPr>
        <w:t xml:space="preserve"> </w:t>
      </w:r>
      <w:r w:rsidRPr="00D665B9">
        <w:rPr>
          <w:b/>
          <w:bCs/>
          <w:sz w:val="22"/>
          <w:szCs w:val="22"/>
        </w:rPr>
        <w:t>obsahuje</w:t>
      </w:r>
    </w:p>
    <w:p w:rsidR="00147580" w:rsidRPr="00D665B9" w:rsidRDefault="00C90D33" w:rsidP="00087362">
      <w:pPr>
        <w:jc w:val="both"/>
        <w:rPr>
          <w:sz w:val="22"/>
          <w:szCs w:val="22"/>
        </w:rPr>
      </w:pPr>
      <w:r w:rsidRPr="00D665B9">
        <w:rPr>
          <w:sz w:val="22"/>
          <w:szCs w:val="22"/>
        </w:rPr>
        <w:lastRenderedPageBreak/>
        <w:t xml:space="preserve">Liečivo je leuprorelíniumacetát. Jedna injekčná liekovka obsahuje 22,5 mg leuprorelíniumacetátu. </w:t>
      </w:r>
    </w:p>
    <w:p w:rsidR="00147580" w:rsidRPr="00D665B9" w:rsidRDefault="00147580" w:rsidP="00087362">
      <w:pPr>
        <w:jc w:val="both"/>
        <w:rPr>
          <w:sz w:val="22"/>
          <w:szCs w:val="22"/>
        </w:rPr>
      </w:pPr>
      <w:r w:rsidRPr="00D665B9">
        <w:rPr>
          <w:sz w:val="22"/>
          <w:szCs w:val="22"/>
        </w:rPr>
        <w:t>Koncentrácia roztoku pripraveného z prášku je 11,25 mg/ml.</w:t>
      </w:r>
    </w:p>
    <w:p w:rsidR="00C90D33" w:rsidRPr="00D665B9" w:rsidRDefault="00C90D33" w:rsidP="00087362">
      <w:pPr>
        <w:jc w:val="both"/>
        <w:rPr>
          <w:sz w:val="22"/>
          <w:szCs w:val="22"/>
        </w:rPr>
      </w:pPr>
    </w:p>
    <w:p w:rsidR="006D2AD4" w:rsidRPr="00D665B9" w:rsidRDefault="00C90D33" w:rsidP="00087362">
      <w:pPr>
        <w:jc w:val="both"/>
        <w:rPr>
          <w:sz w:val="22"/>
          <w:szCs w:val="22"/>
        </w:rPr>
      </w:pPr>
      <w:r w:rsidRPr="00D665B9">
        <w:rPr>
          <w:sz w:val="22"/>
          <w:szCs w:val="22"/>
        </w:rPr>
        <w:t xml:space="preserve">Ďalšie zložky sú: polysorbát 80, manitol (E-421), sodná soľ karmelózy (E-466), trietylcitrát a kyselina </w:t>
      </w:r>
      <w:r w:rsidR="008E3752" w:rsidRPr="00D665B9">
        <w:rPr>
          <w:sz w:val="22"/>
          <w:szCs w:val="22"/>
        </w:rPr>
        <w:t>poly</w:t>
      </w:r>
      <w:r w:rsidRPr="00D665B9">
        <w:rPr>
          <w:sz w:val="22"/>
          <w:szCs w:val="22"/>
        </w:rPr>
        <w:t>mliečna (PLA).</w:t>
      </w:r>
    </w:p>
    <w:p w:rsidR="00955B4F" w:rsidRPr="00D665B9" w:rsidRDefault="00C90D33" w:rsidP="00087362">
      <w:pPr>
        <w:jc w:val="both"/>
        <w:rPr>
          <w:noProof/>
          <w:sz w:val="22"/>
          <w:szCs w:val="22"/>
        </w:rPr>
      </w:pPr>
      <w:r w:rsidRPr="00D665B9">
        <w:rPr>
          <w:sz w:val="22"/>
          <w:szCs w:val="22"/>
        </w:rPr>
        <w:t>Rozpúšťadlo obsahuje (naplnená injekčná striekačka): manitol, voda na injekci</w:t>
      </w:r>
      <w:r w:rsidR="008E3752">
        <w:rPr>
          <w:sz w:val="22"/>
          <w:szCs w:val="22"/>
        </w:rPr>
        <w:t>u</w:t>
      </w:r>
      <w:r w:rsidRPr="00D665B9">
        <w:rPr>
          <w:sz w:val="22"/>
          <w:szCs w:val="22"/>
        </w:rPr>
        <w:t>, hydroxid sodný (na úpravu pH) a kyselinu chlorovodíkovú (na úpravu pH).</w:t>
      </w:r>
    </w:p>
    <w:p w:rsidR="002C7C2D" w:rsidRPr="00D665B9" w:rsidRDefault="002C7C2D" w:rsidP="00087362">
      <w:pPr>
        <w:adjustRightInd w:val="0"/>
        <w:jc w:val="both"/>
        <w:rPr>
          <w:b/>
          <w:bCs/>
          <w:sz w:val="22"/>
          <w:szCs w:val="22"/>
          <w:lang w:eastAsia="en-US"/>
        </w:rPr>
      </w:pPr>
    </w:p>
    <w:p w:rsidR="00955B4F" w:rsidRPr="00D665B9" w:rsidRDefault="00955B4F" w:rsidP="00087362">
      <w:pPr>
        <w:adjustRightInd w:val="0"/>
        <w:jc w:val="both"/>
        <w:rPr>
          <w:b/>
          <w:bCs/>
          <w:sz w:val="22"/>
          <w:szCs w:val="22"/>
          <w:lang w:eastAsia="en-US"/>
        </w:rPr>
      </w:pPr>
      <w:r w:rsidRPr="00D665B9">
        <w:rPr>
          <w:b/>
          <w:bCs/>
          <w:sz w:val="22"/>
          <w:szCs w:val="22"/>
        </w:rPr>
        <w:t xml:space="preserve">Ako vyzerá </w:t>
      </w:r>
      <w:r w:rsidR="00223246" w:rsidRPr="00EE2BA1">
        <w:rPr>
          <w:b/>
          <w:noProof/>
          <w:sz w:val="22"/>
          <w:szCs w:val="22"/>
        </w:rPr>
        <w:t>Lutrate Depot 22,5 mg</w:t>
      </w:r>
      <w:r w:rsidR="00444BCF" w:rsidRPr="00D665B9">
        <w:rPr>
          <w:noProof/>
          <w:sz w:val="22"/>
          <w:szCs w:val="22"/>
        </w:rPr>
        <w:t xml:space="preserve"> </w:t>
      </w:r>
      <w:r w:rsidRPr="00D665B9">
        <w:rPr>
          <w:b/>
          <w:bCs/>
          <w:sz w:val="22"/>
          <w:szCs w:val="22"/>
        </w:rPr>
        <w:t>a obsah balenia</w:t>
      </w:r>
    </w:p>
    <w:p w:rsidR="006D2AD4" w:rsidRPr="00D665B9" w:rsidRDefault="00AA36DD" w:rsidP="00087362">
      <w:pPr>
        <w:pStyle w:val="Zkladntext"/>
        <w:spacing w:after="0"/>
        <w:jc w:val="both"/>
        <w:rPr>
          <w:sz w:val="22"/>
          <w:szCs w:val="22"/>
        </w:rPr>
      </w:pPr>
      <w:r w:rsidRPr="00D665B9">
        <w:rPr>
          <w:sz w:val="22"/>
          <w:szCs w:val="22"/>
        </w:rPr>
        <w:t xml:space="preserve">Jedno balenie obsahuje injekčnú liekovku s 22,5 mg leuprorelíniumacetátu, jednu injekčnú striekačku naplnenú 2 ml rozpúšťadla, jeden adaptér a jednu sterilnú injekčnú </w:t>
      </w:r>
      <w:r w:rsidR="009601CB">
        <w:rPr>
          <w:sz w:val="22"/>
          <w:szCs w:val="22"/>
        </w:rPr>
        <w:t>ihlu</w:t>
      </w:r>
      <w:r w:rsidR="009601CB" w:rsidRPr="00D665B9">
        <w:rPr>
          <w:sz w:val="22"/>
          <w:szCs w:val="22"/>
        </w:rPr>
        <w:t xml:space="preserve"> </w:t>
      </w:r>
      <w:r w:rsidRPr="00D665B9">
        <w:rPr>
          <w:sz w:val="22"/>
          <w:szCs w:val="22"/>
        </w:rPr>
        <w:t>veľkosti 20</w:t>
      </w:r>
      <w:r w:rsidR="00E94220">
        <w:rPr>
          <w:sz w:val="22"/>
          <w:szCs w:val="22"/>
        </w:rPr>
        <w:t xml:space="preserve"> G</w:t>
      </w:r>
      <w:r w:rsidRPr="00D665B9">
        <w:rPr>
          <w:sz w:val="22"/>
          <w:szCs w:val="22"/>
        </w:rPr>
        <w:t>.</w:t>
      </w:r>
    </w:p>
    <w:p w:rsidR="00845D16" w:rsidRPr="00D665B9" w:rsidRDefault="00845D16" w:rsidP="00087362">
      <w:pPr>
        <w:pStyle w:val="Zkladntext"/>
        <w:spacing w:after="0"/>
        <w:jc w:val="both"/>
        <w:rPr>
          <w:sz w:val="22"/>
          <w:szCs w:val="22"/>
        </w:rPr>
      </w:pPr>
    </w:p>
    <w:p w:rsidR="00DF6CC8" w:rsidRPr="00D665B9" w:rsidRDefault="007913CD" w:rsidP="00087362">
      <w:pPr>
        <w:adjustRightInd w:val="0"/>
        <w:jc w:val="both"/>
        <w:rPr>
          <w:b/>
          <w:bCs/>
          <w:sz w:val="22"/>
          <w:szCs w:val="22"/>
          <w:lang w:eastAsia="en-US"/>
        </w:rPr>
      </w:pPr>
      <w:r w:rsidRPr="00D665B9">
        <w:rPr>
          <w:b/>
          <w:bCs/>
          <w:sz w:val="22"/>
          <w:szCs w:val="22"/>
        </w:rPr>
        <w:t>Držiteľ rozhodnutia o registrácii</w:t>
      </w:r>
    </w:p>
    <w:p w:rsidR="00913F6C" w:rsidRDefault="00913F6C" w:rsidP="00087362">
      <w:pPr>
        <w:adjustRightInd w:val="0"/>
        <w:jc w:val="both"/>
        <w:rPr>
          <w:b/>
          <w:bCs/>
          <w:sz w:val="22"/>
          <w:szCs w:val="22"/>
          <w:lang w:eastAsia="en-US"/>
        </w:rPr>
      </w:pPr>
    </w:p>
    <w:p w:rsidR="009A7864" w:rsidRPr="007A2B62" w:rsidRDefault="009A7864" w:rsidP="009A7864">
      <w:pPr>
        <w:tabs>
          <w:tab w:val="left" w:pos="567"/>
        </w:tabs>
        <w:rPr>
          <w:sz w:val="22"/>
          <w:szCs w:val="22"/>
        </w:rPr>
      </w:pPr>
      <w:r w:rsidRPr="00FE3F23">
        <w:rPr>
          <w:sz w:val="22"/>
          <w:szCs w:val="22"/>
        </w:rPr>
        <w:t>Angelini Pharma Česká republika s.r.o</w:t>
      </w:r>
      <w:r>
        <w:rPr>
          <w:sz w:val="22"/>
          <w:szCs w:val="22"/>
        </w:rPr>
        <w:t xml:space="preserve">., </w:t>
      </w:r>
      <w:r>
        <w:rPr>
          <w:bCs/>
          <w:sz w:val="22"/>
          <w:szCs w:val="22"/>
        </w:rPr>
        <w:t xml:space="preserve">Páteřní 7, 635 00 Brno, </w:t>
      </w:r>
      <w:r>
        <w:rPr>
          <w:sz w:val="22"/>
          <w:szCs w:val="22"/>
        </w:rPr>
        <w:t>Česká republika</w:t>
      </w:r>
    </w:p>
    <w:p w:rsidR="00913F6C" w:rsidRDefault="00913F6C" w:rsidP="00087362">
      <w:pPr>
        <w:adjustRightInd w:val="0"/>
        <w:jc w:val="both"/>
        <w:rPr>
          <w:b/>
          <w:bCs/>
          <w:sz w:val="22"/>
          <w:szCs w:val="22"/>
        </w:rPr>
      </w:pPr>
    </w:p>
    <w:p w:rsidR="00955B4F" w:rsidRPr="00D665B9" w:rsidRDefault="00AA36DD" w:rsidP="00087362">
      <w:pPr>
        <w:adjustRightInd w:val="0"/>
        <w:jc w:val="both"/>
        <w:rPr>
          <w:b/>
          <w:bCs/>
          <w:sz w:val="22"/>
          <w:szCs w:val="22"/>
          <w:lang w:val="en-GB" w:eastAsia="en-US"/>
        </w:rPr>
      </w:pPr>
      <w:r w:rsidRPr="00D665B9">
        <w:rPr>
          <w:b/>
          <w:bCs/>
          <w:sz w:val="22"/>
          <w:szCs w:val="22"/>
        </w:rPr>
        <w:t>Výrobca</w:t>
      </w:r>
    </w:p>
    <w:p w:rsidR="00913F6C" w:rsidRDefault="00913F6C" w:rsidP="00087362">
      <w:pPr>
        <w:adjustRightInd w:val="0"/>
        <w:jc w:val="both"/>
        <w:rPr>
          <w:sz w:val="22"/>
          <w:szCs w:val="22"/>
        </w:rPr>
      </w:pPr>
    </w:p>
    <w:p w:rsidR="00AA36DD" w:rsidRPr="00D665B9" w:rsidRDefault="00955B4F" w:rsidP="0033026C">
      <w:pPr>
        <w:adjustRightInd w:val="0"/>
        <w:jc w:val="both"/>
        <w:rPr>
          <w:sz w:val="22"/>
          <w:szCs w:val="22"/>
        </w:rPr>
      </w:pPr>
      <w:r w:rsidRPr="00D665B9">
        <w:rPr>
          <w:sz w:val="22"/>
          <w:szCs w:val="22"/>
        </w:rPr>
        <w:t>GP</w:t>
      </w:r>
      <w:r w:rsidR="00FC4870">
        <w:rPr>
          <w:sz w:val="22"/>
          <w:szCs w:val="22"/>
        </w:rPr>
        <w:t xml:space="preserve"> </w:t>
      </w:r>
      <w:r w:rsidRPr="00D665B9">
        <w:rPr>
          <w:sz w:val="22"/>
          <w:szCs w:val="22"/>
        </w:rPr>
        <w:t>PHARM, S.A.</w:t>
      </w:r>
      <w:r w:rsidR="00980DE6">
        <w:rPr>
          <w:sz w:val="22"/>
          <w:szCs w:val="22"/>
        </w:rPr>
        <w:t xml:space="preserve">, </w:t>
      </w:r>
      <w:r w:rsidRPr="00D665B9">
        <w:rPr>
          <w:sz w:val="22"/>
          <w:szCs w:val="22"/>
        </w:rPr>
        <w:t>Pol</w:t>
      </w:r>
      <w:r w:rsidR="00FC4870">
        <w:rPr>
          <w:sz w:val="22"/>
          <w:szCs w:val="22"/>
        </w:rPr>
        <w:t>.</w:t>
      </w:r>
      <w:r w:rsidRPr="00D665B9">
        <w:rPr>
          <w:sz w:val="22"/>
          <w:szCs w:val="22"/>
        </w:rPr>
        <w:t xml:space="preserve"> </w:t>
      </w:r>
      <w:r w:rsidR="00FC4870">
        <w:rPr>
          <w:sz w:val="22"/>
          <w:szCs w:val="22"/>
        </w:rPr>
        <w:t>I</w:t>
      </w:r>
      <w:r w:rsidRPr="00D665B9">
        <w:rPr>
          <w:sz w:val="22"/>
          <w:szCs w:val="22"/>
        </w:rPr>
        <w:t>nd</w:t>
      </w:r>
      <w:r w:rsidR="00FC4870">
        <w:rPr>
          <w:sz w:val="22"/>
          <w:szCs w:val="22"/>
        </w:rPr>
        <w:t>.</w:t>
      </w:r>
      <w:r w:rsidRPr="00D665B9">
        <w:rPr>
          <w:sz w:val="22"/>
          <w:szCs w:val="22"/>
        </w:rPr>
        <w:t xml:space="preserve"> Els Vinyets –</w:t>
      </w:r>
      <w:r w:rsidR="00FC4870">
        <w:rPr>
          <w:sz w:val="22"/>
          <w:szCs w:val="22"/>
        </w:rPr>
        <w:t>E</w:t>
      </w:r>
      <w:r w:rsidRPr="00D665B9">
        <w:rPr>
          <w:sz w:val="22"/>
          <w:szCs w:val="22"/>
        </w:rPr>
        <w:t xml:space="preserve">ls Fogars. </w:t>
      </w:r>
      <w:r w:rsidR="00FC4870">
        <w:rPr>
          <w:sz w:val="22"/>
          <w:szCs w:val="22"/>
        </w:rPr>
        <w:t>s</w:t>
      </w:r>
      <w:r w:rsidRPr="00D665B9">
        <w:rPr>
          <w:sz w:val="22"/>
          <w:szCs w:val="22"/>
        </w:rPr>
        <w:t>ector 2</w:t>
      </w:r>
      <w:r w:rsidR="00980DE6">
        <w:rPr>
          <w:sz w:val="22"/>
          <w:szCs w:val="22"/>
        </w:rPr>
        <w:t xml:space="preserve">, </w:t>
      </w:r>
      <w:r w:rsidR="003D5681" w:rsidRPr="00D665B9">
        <w:rPr>
          <w:sz w:val="22"/>
          <w:szCs w:val="22"/>
        </w:rPr>
        <w:t xml:space="preserve">Carretera </w:t>
      </w:r>
      <w:r w:rsidR="00FC4870">
        <w:rPr>
          <w:sz w:val="22"/>
          <w:szCs w:val="22"/>
        </w:rPr>
        <w:t>C</w:t>
      </w:r>
      <w:r w:rsidR="003D5681" w:rsidRPr="00D665B9">
        <w:rPr>
          <w:sz w:val="22"/>
          <w:szCs w:val="22"/>
        </w:rPr>
        <w:t>omarcal 244, km22</w:t>
      </w:r>
      <w:r w:rsidR="00980DE6">
        <w:rPr>
          <w:sz w:val="22"/>
          <w:szCs w:val="22"/>
        </w:rPr>
        <w:t xml:space="preserve">, </w:t>
      </w:r>
      <w:r w:rsidR="003D5681" w:rsidRPr="00D665B9">
        <w:rPr>
          <w:sz w:val="22"/>
          <w:szCs w:val="22"/>
        </w:rPr>
        <w:t xml:space="preserve">08777 Sant Quintí de Mediona. </w:t>
      </w:r>
      <w:r w:rsidR="00980DE6">
        <w:rPr>
          <w:sz w:val="22"/>
          <w:szCs w:val="22"/>
        </w:rPr>
        <w:t xml:space="preserve">, </w:t>
      </w:r>
      <w:r w:rsidR="00ED23A5" w:rsidRPr="00D665B9">
        <w:rPr>
          <w:sz w:val="22"/>
          <w:szCs w:val="22"/>
        </w:rPr>
        <w:t>Španielsko</w:t>
      </w:r>
    </w:p>
    <w:p w:rsidR="00955B4F" w:rsidRPr="00D665B9" w:rsidRDefault="00955B4F" w:rsidP="00087362">
      <w:pPr>
        <w:adjustRightInd w:val="0"/>
        <w:jc w:val="both"/>
        <w:rPr>
          <w:b/>
          <w:bCs/>
          <w:sz w:val="22"/>
          <w:szCs w:val="22"/>
          <w:lang w:eastAsia="en-US"/>
        </w:rPr>
      </w:pPr>
    </w:p>
    <w:p w:rsidR="00AA36DD" w:rsidRPr="00D665B9" w:rsidRDefault="0060497A" w:rsidP="00087362">
      <w:pPr>
        <w:rPr>
          <w:b/>
          <w:sz w:val="22"/>
          <w:szCs w:val="22"/>
        </w:rPr>
      </w:pPr>
      <w:r w:rsidRPr="00D665B9">
        <w:rPr>
          <w:b/>
          <w:sz w:val="22"/>
          <w:szCs w:val="22"/>
        </w:rPr>
        <w:t>Liek je schválený v členských štátoch Európskeho hospodárskeho priestoru (EHP) pod nasledovnými názvami:</w:t>
      </w:r>
    </w:p>
    <w:p w:rsidR="006D2AD4" w:rsidRPr="00D665B9" w:rsidRDefault="006D2AD4" w:rsidP="00087362">
      <w:pPr>
        <w:rPr>
          <w:b/>
          <w:sz w:val="22"/>
          <w:szCs w:val="22"/>
        </w:rPr>
      </w:pPr>
    </w:p>
    <w:p w:rsidR="00CF5B51" w:rsidRPr="00D665B9" w:rsidRDefault="0025050F" w:rsidP="00087362">
      <w:pPr>
        <w:pBdr>
          <w:top w:val="single" w:sz="4" w:space="1" w:color="auto"/>
          <w:left w:val="single" w:sz="4" w:space="4" w:color="auto"/>
          <w:bottom w:val="single" w:sz="4" w:space="1" w:color="auto"/>
          <w:right w:val="single" w:sz="4" w:space="4" w:color="auto"/>
        </w:pBdr>
        <w:adjustRightInd w:val="0"/>
        <w:jc w:val="both"/>
        <w:rPr>
          <w:bCs/>
          <w:sz w:val="22"/>
          <w:szCs w:val="22"/>
          <w:lang w:eastAsia="en-US"/>
        </w:rPr>
      </w:pPr>
      <w:r w:rsidRPr="00D665B9">
        <w:rPr>
          <w:bCs/>
          <w:sz w:val="22"/>
          <w:szCs w:val="22"/>
        </w:rPr>
        <w:t xml:space="preserve">Španielsko: Lutrate Depot </w:t>
      </w:r>
      <w:r w:rsidR="005E79C3">
        <w:rPr>
          <w:bCs/>
          <w:sz w:val="22"/>
          <w:szCs w:val="22"/>
        </w:rPr>
        <w:t xml:space="preserve">Trimestral </w:t>
      </w:r>
      <w:r w:rsidRPr="00D665B9">
        <w:rPr>
          <w:bCs/>
          <w:sz w:val="22"/>
          <w:szCs w:val="22"/>
        </w:rPr>
        <w:t>22.5 mg polvo y disolvente para suspensión de liberación prolongada inyectable</w:t>
      </w:r>
    </w:p>
    <w:p w:rsidR="00CF5B51" w:rsidRPr="00D665B9" w:rsidRDefault="00CF5B51" w:rsidP="00087362">
      <w:pPr>
        <w:pBdr>
          <w:top w:val="single" w:sz="4" w:space="1" w:color="auto"/>
          <w:left w:val="single" w:sz="4" w:space="4" w:color="auto"/>
          <w:bottom w:val="single" w:sz="4" w:space="1" w:color="auto"/>
          <w:right w:val="single" w:sz="4" w:space="4" w:color="auto"/>
        </w:pBdr>
        <w:adjustRightInd w:val="0"/>
        <w:jc w:val="both"/>
        <w:rPr>
          <w:sz w:val="22"/>
          <w:szCs w:val="22"/>
          <w:lang w:val="de-DE"/>
        </w:rPr>
      </w:pPr>
      <w:r w:rsidRPr="00D665B9">
        <w:rPr>
          <w:bCs/>
          <w:sz w:val="22"/>
          <w:szCs w:val="22"/>
        </w:rPr>
        <w:t xml:space="preserve">Nemecko: </w:t>
      </w:r>
      <w:r w:rsidRPr="00D665B9">
        <w:rPr>
          <w:sz w:val="22"/>
          <w:szCs w:val="22"/>
        </w:rPr>
        <w:t xml:space="preserve">Lutrate Depot 22.5 mg </w:t>
      </w:r>
      <w:r w:rsidR="007D5011">
        <w:rPr>
          <w:bCs/>
          <w:sz w:val="22"/>
          <w:szCs w:val="22"/>
        </w:rPr>
        <w:t>P</w:t>
      </w:r>
      <w:r w:rsidRPr="00D665B9">
        <w:rPr>
          <w:bCs/>
          <w:sz w:val="22"/>
          <w:szCs w:val="22"/>
        </w:rPr>
        <w:t>ulver</w:t>
      </w:r>
      <w:r w:rsidRPr="00D665B9">
        <w:rPr>
          <w:sz w:val="22"/>
          <w:szCs w:val="22"/>
        </w:rPr>
        <w:t xml:space="preserve"> und </w:t>
      </w:r>
      <w:r w:rsidR="007D5011">
        <w:rPr>
          <w:bCs/>
          <w:sz w:val="22"/>
          <w:szCs w:val="22"/>
        </w:rPr>
        <w:t>L</w:t>
      </w:r>
      <w:r w:rsidRPr="00D665B9">
        <w:rPr>
          <w:bCs/>
          <w:sz w:val="22"/>
          <w:szCs w:val="22"/>
        </w:rPr>
        <w:t>ösungsmittel</w:t>
      </w:r>
      <w:r w:rsidRPr="00D665B9">
        <w:rPr>
          <w:sz w:val="22"/>
          <w:szCs w:val="22"/>
        </w:rPr>
        <w:t xml:space="preserve"> zur Herstellung einer </w:t>
      </w:r>
      <w:r w:rsidRPr="00D665B9">
        <w:rPr>
          <w:bCs/>
          <w:sz w:val="22"/>
          <w:szCs w:val="22"/>
        </w:rPr>
        <w:t>Depot-</w:t>
      </w:r>
      <w:r w:rsidRPr="00D665B9">
        <w:rPr>
          <w:sz w:val="22"/>
          <w:szCs w:val="22"/>
        </w:rPr>
        <w:t>Injektionssuspension</w:t>
      </w:r>
    </w:p>
    <w:p w:rsidR="00CF5B51" w:rsidRPr="00D665B9" w:rsidRDefault="0060497A" w:rsidP="00087362">
      <w:pPr>
        <w:pBdr>
          <w:top w:val="single" w:sz="4" w:space="1" w:color="auto"/>
          <w:left w:val="single" w:sz="4" w:space="4" w:color="auto"/>
          <w:bottom w:val="single" w:sz="4" w:space="1" w:color="auto"/>
          <w:right w:val="single" w:sz="4" w:space="4" w:color="auto"/>
        </w:pBdr>
        <w:adjustRightInd w:val="0"/>
        <w:jc w:val="both"/>
        <w:rPr>
          <w:sz w:val="22"/>
          <w:szCs w:val="22"/>
        </w:rPr>
      </w:pPr>
      <w:r w:rsidRPr="00D665B9">
        <w:rPr>
          <w:sz w:val="22"/>
          <w:szCs w:val="22"/>
        </w:rPr>
        <w:t xml:space="preserve">Portugalsko: Lutrate Depot 22.5 mg </w:t>
      </w:r>
      <w:r w:rsidRPr="00D665B9">
        <w:rPr>
          <w:bCs/>
          <w:sz w:val="22"/>
          <w:szCs w:val="22"/>
        </w:rPr>
        <w:t>/ 2 ml pó</w:t>
      </w:r>
      <w:r w:rsidRPr="00D665B9">
        <w:rPr>
          <w:sz w:val="22"/>
          <w:szCs w:val="22"/>
        </w:rPr>
        <w:t xml:space="preserve"> e veículo para suspensão injectável</w:t>
      </w:r>
      <w:r w:rsidRPr="00D665B9">
        <w:rPr>
          <w:bCs/>
          <w:sz w:val="22"/>
          <w:szCs w:val="22"/>
        </w:rPr>
        <w:t xml:space="preserve"> de libertação prolongada</w:t>
      </w:r>
    </w:p>
    <w:p w:rsidR="00CF5B51" w:rsidRPr="00D665B9" w:rsidRDefault="0060497A" w:rsidP="00087362">
      <w:pPr>
        <w:pBdr>
          <w:top w:val="single" w:sz="4" w:space="1" w:color="auto"/>
          <w:left w:val="single" w:sz="4" w:space="4" w:color="auto"/>
          <w:bottom w:val="single" w:sz="4" w:space="1" w:color="auto"/>
          <w:right w:val="single" w:sz="4" w:space="4" w:color="auto"/>
        </w:pBdr>
        <w:adjustRightInd w:val="0"/>
        <w:jc w:val="both"/>
        <w:rPr>
          <w:sz w:val="22"/>
          <w:szCs w:val="22"/>
          <w:lang w:val="el-GR"/>
        </w:rPr>
      </w:pPr>
      <w:r w:rsidRPr="00D665B9">
        <w:rPr>
          <w:sz w:val="22"/>
          <w:szCs w:val="22"/>
        </w:rPr>
        <w:t xml:space="preserve">Grécko: Lutrate Depot 22.5 mg Κόνις και διαλύτης για </w:t>
      </w:r>
      <w:r w:rsidRPr="00D665B9">
        <w:rPr>
          <w:bCs/>
          <w:sz w:val="22"/>
          <w:szCs w:val="22"/>
        </w:rPr>
        <w:t>παρασκευή ενεσίμου εναιωρήματος παρατεταμένης αποδέσμευσης</w:t>
      </w:r>
    </w:p>
    <w:p w:rsidR="00E05359" w:rsidRDefault="0060497A" w:rsidP="00087362">
      <w:pPr>
        <w:pBdr>
          <w:top w:val="single" w:sz="4" w:space="1" w:color="auto"/>
          <w:left w:val="single" w:sz="4" w:space="4" w:color="auto"/>
          <w:bottom w:val="single" w:sz="4" w:space="1" w:color="auto"/>
          <w:right w:val="single" w:sz="4" w:space="4" w:color="auto"/>
        </w:pBdr>
        <w:adjustRightInd w:val="0"/>
        <w:jc w:val="both"/>
        <w:rPr>
          <w:bCs/>
          <w:sz w:val="22"/>
          <w:szCs w:val="22"/>
        </w:rPr>
      </w:pPr>
      <w:r w:rsidRPr="00D665B9">
        <w:rPr>
          <w:sz w:val="22"/>
          <w:szCs w:val="22"/>
        </w:rPr>
        <w:t xml:space="preserve">Taliansko: Politrate </w:t>
      </w:r>
    </w:p>
    <w:p w:rsidR="006A6BDE" w:rsidRPr="00D665B9" w:rsidRDefault="003C6248" w:rsidP="00087362">
      <w:pPr>
        <w:pBdr>
          <w:top w:val="single" w:sz="4" w:space="1" w:color="auto"/>
          <w:left w:val="single" w:sz="4" w:space="4" w:color="auto"/>
          <w:bottom w:val="single" w:sz="4" w:space="1" w:color="auto"/>
          <w:right w:val="single" w:sz="4" w:space="4" w:color="auto"/>
        </w:pBdr>
        <w:adjustRightInd w:val="0"/>
        <w:jc w:val="both"/>
        <w:rPr>
          <w:bCs/>
          <w:sz w:val="22"/>
          <w:szCs w:val="22"/>
          <w:lang w:val="nb-NO" w:eastAsia="en-US"/>
        </w:rPr>
      </w:pPr>
      <w:r w:rsidRPr="00D665B9">
        <w:rPr>
          <w:bCs/>
          <w:sz w:val="22"/>
          <w:szCs w:val="22"/>
        </w:rPr>
        <w:t>Švédsko: Politrate 22.5 mg pulver och vätska till injektionväska, suspension</w:t>
      </w:r>
    </w:p>
    <w:p w:rsidR="006A6BDE" w:rsidRPr="00D665B9" w:rsidRDefault="003C6248" w:rsidP="00087362">
      <w:pPr>
        <w:pBdr>
          <w:top w:val="single" w:sz="4" w:space="1" w:color="auto"/>
          <w:left w:val="single" w:sz="4" w:space="4" w:color="auto"/>
          <w:bottom w:val="single" w:sz="4" w:space="1" w:color="auto"/>
          <w:right w:val="single" w:sz="4" w:space="4" w:color="auto"/>
        </w:pBdr>
        <w:adjustRightInd w:val="0"/>
        <w:jc w:val="both"/>
        <w:rPr>
          <w:bCs/>
          <w:sz w:val="22"/>
          <w:szCs w:val="22"/>
          <w:lang w:val="en-US" w:eastAsia="en-US"/>
        </w:rPr>
      </w:pPr>
      <w:r w:rsidRPr="00D665B9">
        <w:rPr>
          <w:bCs/>
          <w:sz w:val="22"/>
          <w:szCs w:val="22"/>
        </w:rPr>
        <w:t>Maďarsko: Politrate Depot 22.5 mg</w:t>
      </w:r>
    </w:p>
    <w:p w:rsidR="002A0DF7" w:rsidRPr="00D665B9" w:rsidRDefault="003C6248" w:rsidP="00087362">
      <w:pPr>
        <w:pBdr>
          <w:top w:val="single" w:sz="4" w:space="1" w:color="auto"/>
          <w:left w:val="single" w:sz="4" w:space="4" w:color="auto"/>
          <w:bottom w:val="single" w:sz="4" w:space="1" w:color="auto"/>
          <w:right w:val="single" w:sz="4" w:space="4" w:color="auto"/>
        </w:pBdr>
        <w:adjustRightInd w:val="0"/>
        <w:jc w:val="both"/>
        <w:rPr>
          <w:bCs/>
          <w:sz w:val="22"/>
          <w:szCs w:val="22"/>
          <w:lang w:val="en-US" w:eastAsia="en-US"/>
        </w:rPr>
      </w:pPr>
      <w:r w:rsidRPr="00D665B9">
        <w:rPr>
          <w:bCs/>
          <w:sz w:val="22"/>
          <w:szCs w:val="22"/>
        </w:rPr>
        <w:t>Dánsko: Lutrate Depot</w:t>
      </w:r>
    </w:p>
    <w:p w:rsidR="006A6BDE" w:rsidRPr="00D665B9" w:rsidRDefault="003C6248" w:rsidP="00087362">
      <w:pPr>
        <w:pBdr>
          <w:top w:val="single" w:sz="4" w:space="1" w:color="auto"/>
          <w:left w:val="single" w:sz="4" w:space="4" w:color="auto"/>
          <w:bottom w:val="single" w:sz="4" w:space="1" w:color="auto"/>
          <w:right w:val="single" w:sz="4" w:space="4" w:color="auto"/>
        </w:pBdr>
        <w:adjustRightInd w:val="0"/>
        <w:jc w:val="both"/>
        <w:rPr>
          <w:bCs/>
          <w:sz w:val="22"/>
          <w:szCs w:val="22"/>
          <w:lang w:val="en-US" w:eastAsia="en-US"/>
        </w:rPr>
      </w:pPr>
      <w:r w:rsidRPr="00D665B9">
        <w:rPr>
          <w:bCs/>
          <w:sz w:val="22"/>
          <w:szCs w:val="22"/>
        </w:rPr>
        <w:t>Fínsko: Lutrate 22.5 mg</w:t>
      </w:r>
    </w:p>
    <w:p w:rsidR="0056236D" w:rsidRPr="00D665B9" w:rsidRDefault="00EF00F8" w:rsidP="00087362">
      <w:pPr>
        <w:pBdr>
          <w:top w:val="single" w:sz="4" w:space="1" w:color="auto"/>
          <w:left w:val="single" w:sz="4" w:space="4" w:color="auto"/>
          <w:bottom w:val="single" w:sz="4" w:space="1" w:color="auto"/>
          <w:right w:val="single" w:sz="4" w:space="4" w:color="auto"/>
        </w:pBdr>
        <w:adjustRightInd w:val="0"/>
        <w:jc w:val="both"/>
        <w:rPr>
          <w:bCs/>
          <w:sz w:val="22"/>
          <w:szCs w:val="22"/>
          <w:lang w:val="en-US" w:eastAsia="en-US"/>
        </w:rPr>
      </w:pPr>
      <w:r w:rsidRPr="00D665B9">
        <w:rPr>
          <w:bCs/>
          <w:sz w:val="22"/>
          <w:szCs w:val="22"/>
        </w:rPr>
        <w:t xml:space="preserve">Írsko: </w:t>
      </w:r>
      <w:r w:rsidR="005E79C3">
        <w:rPr>
          <w:bCs/>
          <w:sz w:val="22"/>
          <w:szCs w:val="22"/>
        </w:rPr>
        <w:t>Leuprorelin 3-month</w:t>
      </w:r>
      <w:r w:rsidR="005E79C3" w:rsidRPr="00D665B9">
        <w:rPr>
          <w:bCs/>
          <w:sz w:val="22"/>
          <w:szCs w:val="22"/>
        </w:rPr>
        <w:t xml:space="preserve"> </w:t>
      </w:r>
      <w:r w:rsidRPr="00D665B9">
        <w:rPr>
          <w:bCs/>
          <w:sz w:val="22"/>
          <w:szCs w:val="22"/>
        </w:rPr>
        <w:t xml:space="preserve">Depot 22.5 mg powder and solvent for </w:t>
      </w:r>
      <w:r w:rsidR="0046729F">
        <w:rPr>
          <w:bCs/>
          <w:sz w:val="22"/>
          <w:szCs w:val="22"/>
        </w:rPr>
        <w:t xml:space="preserve">prolonged release </w:t>
      </w:r>
      <w:r w:rsidRPr="00D665B9">
        <w:rPr>
          <w:bCs/>
          <w:sz w:val="22"/>
          <w:szCs w:val="22"/>
        </w:rPr>
        <w:t>suspension for injection</w:t>
      </w:r>
    </w:p>
    <w:p w:rsidR="0056236D" w:rsidRPr="00D665B9" w:rsidRDefault="003C6248" w:rsidP="00087362">
      <w:pPr>
        <w:pBdr>
          <w:top w:val="single" w:sz="4" w:space="1" w:color="auto"/>
          <w:left w:val="single" w:sz="4" w:space="4" w:color="auto"/>
          <w:bottom w:val="single" w:sz="4" w:space="1" w:color="auto"/>
          <w:right w:val="single" w:sz="4" w:space="4" w:color="auto"/>
        </w:pBdr>
        <w:adjustRightInd w:val="0"/>
        <w:jc w:val="both"/>
        <w:rPr>
          <w:bCs/>
          <w:sz w:val="22"/>
          <w:szCs w:val="22"/>
          <w:lang w:val="nb-NO" w:eastAsia="en-US"/>
        </w:rPr>
      </w:pPr>
      <w:r w:rsidRPr="00D665B9">
        <w:rPr>
          <w:bCs/>
          <w:sz w:val="22"/>
          <w:szCs w:val="22"/>
        </w:rPr>
        <w:t xml:space="preserve">Spojené kráľovstvo: </w:t>
      </w:r>
      <w:r w:rsidR="005E79C3">
        <w:rPr>
          <w:bCs/>
          <w:sz w:val="22"/>
          <w:szCs w:val="22"/>
        </w:rPr>
        <w:t>Politrate</w:t>
      </w:r>
      <w:r w:rsidR="005E79C3" w:rsidRPr="00D665B9">
        <w:rPr>
          <w:bCs/>
          <w:sz w:val="22"/>
          <w:szCs w:val="22"/>
        </w:rPr>
        <w:t xml:space="preserve"> </w:t>
      </w:r>
      <w:r w:rsidRPr="00D665B9">
        <w:rPr>
          <w:bCs/>
          <w:sz w:val="22"/>
          <w:szCs w:val="22"/>
        </w:rPr>
        <w:t>Depot 22.5 mg</w:t>
      </w:r>
      <w:r w:rsidR="0046729F">
        <w:rPr>
          <w:bCs/>
          <w:sz w:val="22"/>
          <w:szCs w:val="22"/>
        </w:rPr>
        <w:t xml:space="preserve"> </w:t>
      </w:r>
      <w:r w:rsidR="0046729F" w:rsidRPr="00D665B9">
        <w:rPr>
          <w:bCs/>
          <w:sz w:val="22"/>
          <w:szCs w:val="22"/>
        </w:rPr>
        <w:t xml:space="preserve">powder and solvent for </w:t>
      </w:r>
      <w:r w:rsidR="0046729F">
        <w:rPr>
          <w:bCs/>
          <w:sz w:val="22"/>
          <w:szCs w:val="22"/>
        </w:rPr>
        <w:t xml:space="preserve">prolonged release </w:t>
      </w:r>
      <w:r w:rsidR="0046729F" w:rsidRPr="00D665B9">
        <w:rPr>
          <w:bCs/>
          <w:sz w:val="22"/>
          <w:szCs w:val="22"/>
        </w:rPr>
        <w:t>suspension for injection</w:t>
      </w:r>
    </w:p>
    <w:p w:rsidR="0056236D" w:rsidRPr="00D665B9" w:rsidRDefault="0056236D" w:rsidP="00087362">
      <w:pPr>
        <w:pBdr>
          <w:top w:val="single" w:sz="4" w:space="1" w:color="auto"/>
          <w:left w:val="single" w:sz="4" w:space="4" w:color="auto"/>
          <w:bottom w:val="single" w:sz="4" w:space="1" w:color="auto"/>
          <w:right w:val="single" w:sz="4" w:space="4" w:color="auto"/>
        </w:pBdr>
        <w:adjustRightInd w:val="0"/>
        <w:jc w:val="both"/>
        <w:rPr>
          <w:bCs/>
          <w:sz w:val="22"/>
          <w:szCs w:val="22"/>
          <w:lang w:val="da-DK" w:eastAsia="en-US"/>
        </w:rPr>
      </w:pPr>
      <w:r w:rsidRPr="00D665B9">
        <w:rPr>
          <w:bCs/>
          <w:sz w:val="22"/>
          <w:szCs w:val="22"/>
        </w:rPr>
        <w:t xml:space="preserve">Belgicko: Lutrate Depot 22.5 mg </w:t>
      </w:r>
      <w:r w:rsidR="00160466" w:rsidRPr="00160466">
        <w:rPr>
          <w:bCs/>
          <w:sz w:val="22"/>
          <w:szCs w:val="22"/>
        </w:rPr>
        <w:t xml:space="preserve">poudre et solvant pour suspension injectable à liberation prolongée </w:t>
      </w:r>
      <w:r w:rsidRPr="00D665B9">
        <w:rPr>
          <w:bCs/>
          <w:sz w:val="22"/>
          <w:szCs w:val="22"/>
        </w:rPr>
        <w:t>Holandsko: Leuproreline Lutrate Depot 22,5 mg poeder en oplosmiddel voor suspensie voor injectie met verlengde afgifte</w:t>
      </w:r>
    </w:p>
    <w:p w:rsidR="006A6BDE" w:rsidRPr="00D665B9" w:rsidRDefault="00ED23A5" w:rsidP="00087362">
      <w:pPr>
        <w:pBdr>
          <w:top w:val="single" w:sz="4" w:space="1" w:color="auto"/>
          <w:left w:val="single" w:sz="4" w:space="4" w:color="auto"/>
          <w:bottom w:val="single" w:sz="4" w:space="1" w:color="auto"/>
          <w:right w:val="single" w:sz="4" w:space="4" w:color="auto"/>
        </w:pBdr>
        <w:adjustRightInd w:val="0"/>
        <w:jc w:val="both"/>
        <w:rPr>
          <w:bCs/>
          <w:sz w:val="22"/>
          <w:szCs w:val="22"/>
          <w:lang w:val="da-DK" w:eastAsia="en-US"/>
        </w:rPr>
      </w:pPr>
      <w:r w:rsidRPr="00D665B9">
        <w:rPr>
          <w:bCs/>
          <w:sz w:val="22"/>
          <w:szCs w:val="22"/>
        </w:rPr>
        <w:t>Nórsko: Lutrate Depot</w:t>
      </w:r>
    </w:p>
    <w:p w:rsidR="006A6BDE" w:rsidRPr="00D665B9" w:rsidRDefault="00ED23A5" w:rsidP="00087362">
      <w:pPr>
        <w:pBdr>
          <w:top w:val="single" w:sz="4" w:space="1" w:color="auto"/>
          <w:left w:val="single" w:sz="4" w:space="4" w:color="auto"/>
          <w:bottom w:val="single" w:sz="4" w:space="1" w:color="auto"/>
          <w:right w:val="single" w:sz="4" w:space="4" w:color="auto"/>
        </w:pBdr>
        <w:adjustRightInd w:val="0"/>
        <w:jc w:val="both"/>
        <w:rPr>
          <w:bCs/>
          <w:sz w:val="22"/>
          <w:szCs w:val="22"/>
          <w:lang w:val="de-DE" w:eastAsia="en-US"/>
        </w:rPr>
      </w:pPr>
      <w:r w:rsidRPr="00D665B9">
        <w:rPr>
          <w:bCs/>
          <w:sz w:val="22"/>
          <w:szCs w:val="22"/>
        </w:rPr>
        <w:t xml:space="preserve">Rakúsko: Lutrate Depot 22.5 mg </w:t>
      </w:r>
      <w:r w:rsidR="007D5011">
        <w:rPr>
          <w:bCs/>
          <w:sz w:val="22"/>
          <w:szCs w:val="22"/>
        </w:rPr>
        <w:t>P</w:t>
      </w:r>
      <w:r w:rsidRPr="00D665B9">
        <w:rPr>
          <w:bCs/>
          <w:sz w:val="22"/>
          <w:szCs w:val="22"/>
        </w:rPr>
        <w:t xml:space="preserve">ulver und </w:t>
      </w:r>
      <w:r w:rsidR="007D5011">
        <w:rPr>
          <w:bCs/>
          <w:sz w:val="22"/>
          <w:szCs w:val="22"/>
        </w:rPr>
        <w:t>L</w:t>
      </w:r>
      <w:r w:rsidRPr="00D665B9">
        <w:rPr>
          <w:bCs/>
          <w:sz w:val="22"/>
          <w:szCs w:val="22"/>
        </w:rPr>
        <w:t xml:space="preserve">ösungsmittel zur </w:t>
      </w:r>
      <w:r w:rsidR="007D5011">
        <w:rPr>
          <w:bCs/>
          <w:sz w:val="22"/>
          <w:szCs w:val="22"/>
        </w:rPr>
        <w:t>H</w:t>
      </w:r>
      <w:r w:rsidRPr="00D665B9">
        <w:rPr>
          <w:bCs/>
          <w:sz w:val="22"/>
          <w:szCs w:val="22"/>
        </w:rPr>
        <w:t>erstellung einer Depot-</w:t>
      </w:r>
      <w:r w:rsidR="007D5011">
        <w:rPr>
          <w:bCs/>
          <w:sz w:val="22"/>
          <w:szCs w:val="22"/>
        </w:rPr>
        <w:t>I</w:t>
      </w:r>
      <w:r w:rsidRPr="00D665B9">
        <w:rPr>
          <w:bCs/>
          <w:sz w:val="22"/>
          <w:szCs w:val="22"/>
        </w:rPr>
        <w:t>njektionssuspension</w:t>
      </w:r>
    </w:p>
    <w:p w:rsidR="0056236D" w:rsidRPr="00D665B9" w:rsidRDefault="00ED23A5" w:rsidP="00087362">
      <w:pPr>
        <w:pBdr>
          <w:top w:val="single" w:sz="4" w:space="1" w:color="auto"/>
          <w:left w:val="single" w:sz="4" w:space="4" w:color="auto"/>
          <w:bottom w:val="single" w:sz="4" w:space="1" w:color="auto"/>
          <w:right w:val="single" w:sz="4" w:space="4" w:color="auto"/>
        </w:pBdr>
        <w:adjustRightInd w:val="0"/>
        <w:jc w:val="both"/>
        <w:rPr>
          <w:bCs/>
          <w:sz w:val="22"/>
          <w:szCs w:val="22"/>
          <w:lang w:val="de-DE" w:eastAsia="en-US"/>
        </w:rPr>
      </w:pPr>
      <w:r w:rsidRPr="00D665B9">
        <w:rPr>
          <w:bCs/>
          <w:sz w:val="22"/>
          <w:szCs w:val="22"/>
        </w:rPr>
        <w:t>Estónsko: Lutrate Depot 22.5 mg</w:t>
      </w:r>
    </w:p>
    <w:p w:rsidR="0056236D" w:rsidRPr="00D665B9" w:rsidRDefault="00ED23A5" w:rsidP="00087362">
      <w:pPr>
        <w:pBdr>
          <w:top w:val="single" w:sz="4" w:space="1" w:color="auto"/>
          <w:left w:val="single" w:sz="4" w:space="4" w:color="auto"/>
          <w:bottom w:val="single" w:sz="4" w:space="1" w:color="auto"/>
          <w:right w:val="single" w:sz="4" w:space="4" w:color="auto"/>
        </w:pBdr>
        <w:adjustRightInd w:val="0"/>
        <w:jc w:val="both"/>
        <w:rPr>
          <w:sz w:val="22"/>
          <w:szCs w:val="22"/>
          <w:lang w:val="de-DE"/>
        </w:rPr>
      </w:pPr>
      <w:r w:rsidRPr="00D665B9">
        <w:rPr>
          <w:sz w:val="22"/>
          <w:szCs w:val="22"/>
        </w:rPr>
        <w:t>Litva: Lutrate Depot 22.5 mg milteliai ir tirpiklis pailginto atpalaidavimo injekcinei</w:t>
      </w:r>
    </w:p>
    <w:p w:rsidR="0056236D" w:rsidRPr="00D665B9" w:rsidRDefault="00ED23A5" w:rsidP="00087362">
      <w:pPr>
        <w:pBdr>
          <w:top w:val="single" w:sz="4" w:space="1" w:color="auto"/>
          <w:left w:val="single" w:sz="4" w:space="4" w:color="auto"/>
          <w:bottom w:val="single" w:sz="4" w:space="1" w:color="auto"/>
          <w:right w:val="single" w:sz="4" w:space="4" w:color="auto"/>
        </w:pBdr>
        <w:adjustRightInd w:val="0"/>
        <w:jc w:val="both"/>
        <w:rPr>
          <w:sz w:val="22"/>
          <w:szCs w:val="22"/>
          <w:lang w:val="de-DE"/>
        </w:rPr>
      </w:pPr>
      <w:r w:rsidRPr="00D665B9">
        <w:rPr>
          <w:sz w:val="22"/>
          <w:szCs w:val="22"/>
        </w:rPr>
        <w:t>Lotyšsko: Lutrate Depot 22.5 mg pulveris un šķīdinātājs ilgstošas darbības injekciju suspensijas pagatavošanai</w:t>
      </w:r>
    </w:p>
    <w:p w:rsidR="0046729F" w:rsidRPr="0046729F" w:rsidRDefault="0056236D" w:rsidP="00087362">
      <w:pPr>
        <w:pBdr>
          <w:top w:val="single" w:sz="4" w:space="1" w:color="auto"/>
          <w:left w:val="single" w:sz="4" w:space="4" w:color="auto"/>
          <w:bottom w:val="single" w:sz="4" w:space="1" w:color="auto"/>
          <w:right w:val="single" w:sz="4" w:space="4" w:color="auto"/>
        </w:pBdr>
        <w:jc w:val="both"/>
        <w:rPr>
          <w:sz w:val="22"/>
          <w:szCs w:val="22"/>
        </w:rPr>
      </w:pPr>
      <w:r w:rsidRPr="00D665B9">
        <w:rPr>
          <w:sz w:val="22"/>
          <w:szCs w:val="22"/>
        </w:rPr>
        <w:t>Česká republika: Lutrate Depot 22.5 mg</w:t>
      </w:r>
      <w:r w:rsidR="0046729F">
        <w:rPr>
          <w:sz w:val="22"/>
          <w:szCs w:val="22"/>
        </w:rPr>
        <w:t xml:space="preserve"> p</w:t>
      </w:r>
      <w:r w:rsidR="0046729F" w:rsidRPr="0046729F">
        <w:rPr>
          <w:sz w:val="22"/>
          <w:szCs w:val="22"/>
        </w:rPr>
        <w:t xml:space="preserve">rášek a rozpouštědlo pro injekční suspenzi s prodlouženým účinkem </w:t>
      </w:r>
    </w:p>
    <w:p w:rsidR="0056236D" w:rsidRPr="00D665B9" w:rsidRDefault="0056236D" w:rsidP="00087362">
      <w:pPr>
        <w:pBdr>
          <w:top w:val="single" w:sz="4" w:space="1" w:color="auto"/>
          <w:left w:val="single" w:sz="4" w:space="4" w:color="auto"/>
          <w:bottom w:val="single" w:sz="4" w:space="1" w:color="auto"/>
          <w:right w:val="single" w:sz="4" w:space="4" w:color="auto"/>
        </w:pBdr>
        <w:adjustRightInd w:val="0"/>
        <w:jc w:val="both"/>
        <w:rPr>
          <w:sz w:val="22"/>
          <w:szCs w:val="22"/>
          <w:lang w:val="de-DE"/>
        </w:rPr>
      </w:pPr>
      <w:r w:rsidRPr="00D665B9">
        <w:rPr>
          <w:sz w:val="22"/>
          <w:szCs w:val="22"/>
        </w:rPr>
        <w:t>Poľsko: Lutrate Depot</w:t>
      </w:r>
    </w:p>
    <w:p w:rsidR="0056236D" w:rsidRPr="00D665B9" w:rsidRDefault="00C252DA" w:rsidP="00087362">
      <w:pPr>
        <w:pBdr>
          <w:top w:val="single" w:sz="4" w:space="1" w:color="auto"/>
          <w:left w:val="single" w:sz="4" w:space="4" w:color="auto"/>
          <w:bottom w:val="single" w:sz="4" w:space="1" w:color="auto"/>
          <w:right w:val="single" w:sz="4" w:space="4" w:color="auto"/>
        </w:pBdr>
        <w:adjustRightInd w:val="0"/>
        <w:jc w:val="both"/>
        <w:rPr>
          <w:sz w:val="22"/>
          <w:szCs w:val="22"/>
          <w:lang w:val="de-DE"/>
        </w:rPr>
      </w:pPr>
      <w:r w:rsidRPr="00D665B9">
        <w:rPr>
          <w:sz w:val="22"/>
          <w:szCs w:val="22"/>
        </w:rPr>
        <w:lastRenderedPageBreak/>
        <w:t>Slovenská republika: Lutrate Depot 22.5 mg</w:t>
      </w:r>
      <w:r w:rsidR="00160466">
        <w:rPr>
          <w:sz w:val="22"/>
          <w:szCs w:val="22"/>
        </w:rPr>
        <w:t xml:space="preserve"> </w:t>
      </w:r>
      <w:r w:rsidR="00160466" w:rsidRPr="00160466">
        <w:rPr>
          <w:sz w:val="22"/>
          <w:szCs w:val="22"/>
        </w:rPr>
        <w:t>prášok a disperzné prostredie na injekčnú suspenziu s predĺženým uvoľňovaním</w:t>
      </w:r>
    </w:p>
    <w:p w:rsidR="0056236D" w:rsidRPr="00D665B9" w:rsidRDefault="0056236D" w:rsidP="00087362">
      <w:pPr>
        <w:pBdr>
          <w:top w:val="single" w:sz="4" w:space="1" w:color="auto"/>
          <w:left w:val="single" w:sz="4" w:space="4" w:color="auto"/>
          <w:bottom w:val="single" w:sz="4" w:space="1" w:color="auto"/>
          <w:right w:val="single" w:sz="4" w:space="4" w:color="auto"/>
        </w:pBdr>
        <w:adjustRightInd w:val="0"/>
        <w:jc w:val="both"/>
        <w:rPr>
          <w:sz w:val="22"/>
          <w:szCs w:val="22"/>
          <w:lang w:val="de-DE"/>
        </w:rPr>
      </w:pPr>
      <w:r w:rsidRPr="00D665B9">
        <w:rPr>
          <w:sz w:val="22"/>
          <w:szCs w:val="22"/>
        </w:rPr>
        <w:t>Rumunsko: Lutrate Depot 22.5 mg pulbere şi solvent pentru suspensie injectabilă cu eliberare prelungită</w:t>
      </w:r>
    </w:p>
    <w:p w:rsidR="00AA36DD" w:rsidRPr="00D665B9" w:rsidRDefault="0056236D" w:rsidP="007D5011">
      <w:pPr>
        <w:pBdr>
          <w:top w:val="single" w:sz="4" w:space="1" w:color="auto"/>
          <w:left w:val="single" w:sz="4" w:space="4" w:color="auto"/>
          <w:bottom w:val="single" w:sz="4" w:space="1" w:color="auto"/>
          <w:right w:val="single" w:sz="4" w:space="4" w:color="auto"/>
        </w:pBdr>
        <w:adjustRightInd w:val="0"/>
        <w:jc w:val="both"/>
        <w:rPr>
          <w:b/>
          <w:sz w:val="22"/>
          <w:szCs w:val="22"/>
          <w:lang w:val="de-DE"/>
        </w:rPr>
      </w:pPr>
      <w:r w:rsidRPr="00D665B9">
        <w:rPr>
          <w:sz w:val="22"/>
          <w:szCs w:val="22"/>
        </w:rPr>
        <w:t xml:space="preserve">Bulharsko: </w:t>
      </w:r>
      <w:r w:rsidR="007D5011" w:rsidRPr="00D551DF">
        <w:rPr>
          <w:sz w:val="22"/>
          <w:szCs w:val="22"/>
          <w:lang w:val="en-US"/>
        </w:rPr>
        <w:t>Лутрат</w:t>
      </w:r>
      <w:r w:rsidR="007D5011" w:rsidRPr="00D551DF">
        <w:rPr>
          <w:sz w:val="22"/>
          <w:szCs w:val="22"/>
          <w:lang w:val="de-DE"/>
        </w:rPr>
        <w:t xml:space="preserve"> </w:t>
      </w:r>
      <w:r w:rsidR="007D5011" w:rsidRPr="00D551DF">
        <w:rPr>
          <w:sz w:val="22"/>
          <w:szCs w:val="22"/>
          <w:lang w:val="en-US"/>
        </w:rPr>
        <w:t>Депо</w:t>
      </w:r>
      <w:r w:rsidR="007D5011" w:rsidRPr="00D551DF">
        <w:rPr>
          <w:sz w:val="22"/>
          <w:szCs w:val="22"/>
          <w:lang w:val="de-DE"/>
        </w:rPr>
        <w:t xml:space="preserve"> 22,5 mg </w:t>
      </w:r>
      <w:r w:rsidR="007D5011" w:rsidRPr="00D551DF">
        <w:rPr>
          <w:sz w:val="22"/>
          <w:szCs w:val="22"/>
          <w:lang w:val="en-US"/>
        </w:rPr>
        <w:t>прах</w:t>
      </w:r>
      <w:r w:rsidR="007D5011" w:rsidRPr="00D551DF">
        <w:rPr>
          <w:sz w:val="22"/>
          <w:szCs w:val="22"/>
          <w:lang w:val="de-DE"/>
        </w:rPr>
        <w:t xml:space="preserve"> </w:t>
      </w:r>
      <w:r w:rsidR="007D5011" w:rsidRPr="00D551DF">
        <w:rPr>
          <w:sz w:val="22"/>
          <w:szCs w:val="22"/>
          <w:lang w:val="en-US"/>
        </w:rPr>
        <w:t>и</w:t>
      </w:r>
      <w:r w:rsidR="007D5011" w:rsidRPr="00D551DF">
        <w:rPr>
          <w:sz w:val="22"/>
          <w:szCs w:val="22"/>
          <w:lang w:val="de-DE"/>
        </w:rPr>
        <w:t xml:space="preserve"> </w:t>
      </w:r>
      <w:r w:rsidR="007D5011" w:rsidRPr="00D551DF">
        <w:rPr>
          <w:sz w:val="22"/>
          <w:szCs w:val="22"/>
          <w:lang w:val="en-US"/>
        </w:rPr>
        <w:t>разтворител</w:t>
      </w:r>
      <w:r w:rsidR="007D5011" w:rsidRPr="00D551DF">
        <w:rPr>
          <w:sz w:val="22"/>
          <w:szCs w:val="22"/>
          <w:lang w:val="de-DE"/>
        </w:rPr>
        <w:t xml:space="preserve"> </w:t>
      </w:r>
      <w:r w:rsidR="007D5011" w:rsidRPr="00D551DF">
        <w:rPr>
          <w:sz w:val="22"/>
          <w:szCs w:val="22"/>
          <w:lang w:val="en-US"/>
        </w:rPr>
        <w:t>за</w:t>
      </w:r>
      <w:r w:rsidR="007D5011" w:rsidRPr="00D551DF">
        <w:rPr>
          <w:sz w:val="22"/>
          <w:szCs w:val="22"/>
          <w:lang w:val="de-DE"/>
        </w:rPr>
        <w:t xml:space="preserve"> </w:t>
      </w:r>
      <w:r w:rsidR="007D5011" w:rsidRPr="00D551DF">
        <w:rPr>
          <w:sz w:val="22"/>
          <w:szCs w:val="22"/>
          <w:lang w:val="en-US"/>
        </w:rPr>
        <w:t>инжекционна</w:t>
      </w:r>
      <w:r w:rsidR="007D5011" w:rsidRPr="00D551DF">
        <w:rPr>
          <w:sz w:val="22"/>
          <w:szCs w:val="22"/>
          <w:lang w:val="de-DE"/>
        </w:rPr>
        <w:t xml:space="preserve"> </w:t>
      </w:r>
      <w:r w:rsidR="007D5011" w:rsidRPr="00D551DF">
        <w:rPr>
          <w:sz w:val="22"/>
          <w:szCs w:val="22"/>
          <w:lang w:val="en-US"/>
        </w:rPr>
        <w:t>суспензия</w:t>
      </w:r>
      <w:r w:rsidR="007D5011" w:rsidRPr="00D551DF">
        <w:rPr>
          <w:sz w:val="22"/>
          <w:szCs w:val="22"/>
          <w:lang w:val="de-DE"/>
        </w:rPr>
        <w:t xml:space="preserve"> </w:t>
      </w:r>
      <w:r w:rsidR="007D5011" w:rsidRPr="00D551DF">
        <w:rPr>
          <w:sz w:val="22"/>
          <w:szCs w:val="22"/>
          <w:lang w:val="en-US"/>
        </w:rPr>
        <w:t>с</w:t>
      </w:r>
      <w:r w:rsidR="007D5011" w:rsidRPr="00D551DF">
        <w:rPr>
          <w:sz w:val="22"/>
          <w:szCs w:val="22"/>
          <w:lang w:val="de-DE"/>
        </w:rPr>
        <w:t xml:space="preserve"> </w:t>
      </w:r>
      <w:r w:rsidR="007D5011" w:rsidRPr="00D551DF">
        <w:rPr>
          <w:sz w:val="22"/>
          <w:szCs w:val="22"/>
          <w:lang w:val="en-US"/>
        </w:rPr>
        <w:t>удължено</w:t>
      </w:r>
      <w:r w:rsidR="007D5011" w:rsidRPr="00D551DF">
        <w:rPr>
          <w:sz w:val="22"/>
          <w:szCs w:val="22"/>
          <w:lang w:val="de-DE"/>
        </w:rPr>
        <w:t xml:space="preserve"> </w:t>
      </w:r>
      <w:r w:rsidR="007D5011" w:rsidRPr="00D551DF">
        <w:rPr>
          <w:sz w:val="22"/>
          <w:szCs w:val="22"/>
          <w:lang w:val="en-US"/>
        </w:rPr>
        <w:t>освобождаване</w:t>
      </w:r>
      <w:r w:rsidR="007D5011" w:rsidRPr="00D665B9" w:rsidDel="007D5011">
        <w:rPr>
          <w:sz w:val="22"/>
          <w:szCs w:val="22"/>
        </w:rPr>
        <w:t xml:space="preserve"> </w:t>
      </w:r>
    </w:p>
    <w:p w:rsidR="00163452" w:rsidRDefault="00163452" w:rsidP="00087362">
      <w:pPr>
        <w:adjustRightInd w:val="0"/>
        <w:jc w:val="both"/>
        <w:rPr>
          <w:b/>
          <w:bCs/>
          <w:sz w:val="22"/>
          <w:szCs w:val="22"/>
        </w:rPr>
      </w:pPr>
    </w:p>
    <w:p w:rsidR="00955B4F" w:rsidRPr="00D665B9" w:rsidRDefault="00955B4F" w:rsidP="00087362">
      <w:pPr>
        <w:adjustRightInd w:val="0"/>
        <w:jc w:val="both"/>
        <w:rPr>
          <w:b/>
          <w:bCs/>
          <w:sz w:val="22"/>
          <w:szCs w:val="22"/>
          <w:lang w:val="de-DE" w:eastAsia="en-US"/>
        </w:rPr>
      </w:pPr>
      <w:r w:rsidRPr="00D665B9">
        <w:rPr>
          <w:b/>
          <w:bCs/>
          <w:sz w:val="22"/>
          <w:szCs w:val="22"/>
        </w:rPr>
        <w:t>Táto písomná informácia bola naposledy aktualizovaná v</w:t>
      </w:r>
      <w:r w:rsidR="00FF4C04">
        <w:rPr>
          <w:b/>
          <w:bCs/>
          <w:sz w:val="22"/>
          <w:szCs w:val="22"/>
        </w:rPr>
        <w:t> decembri 2017</w:t>
      </w:r>
      <w:bookmarkStart w:id="1" w:name="_GoBack"/>
      <w:bookmarkEnd w:id="1"/>
      <w:r w:rsidRPr="00D665B9">
        <w:rPr>
          <w:b/>
          <w:bCs/>
          <w:sz w:val="22"/>
          <w:szCs w:val="22"/>
        </w:rPr>
        <w:t>.</w:t>
      </w:r>
    </w:p>
    <w:p w:rsidR="00955B4F" w:rsidRPr="00D665B9" w:rsidRDefault="00955B4F" w:rsidP="00087362">
      <w:pPr>
        <w:adjustRightInd w:val="0"/>
        <w:jc w:val="both"/>
        <w:rPr>
          <w:sz w:val="22"/>
          <w:szCs w:val="22"/>
          <w:lang w:val="de-DE"/>
        </w:rPr>
      </w:pPr>
    </w:p>
    <w:p w:rsidR="00955B4F" w:rsidRPr="00D665B9" w:rsidRDefault="00955B4F" w:rsidP="00087362">
      <w:pPr>
        <w:jc w:val="both"/>
        <w:rPr>
          <w:sz w:val="22"/>
          <w:szCs w:val="22"/>
          <w:lang w:val="de-DE"/>
        </w:rPr>
      </w:pPr>
      <w:r w:rsidRPr="00D665B9">
        <w:rPr>
          <w:b/>
          <w:sz w:val="22"/>
          <w:szCs w:val="22"/>
        </w:rPr>
        <w:t>Nasledujúce informácie sú určené len pre zdravotníckych pracovníkov:</w:t>
      </w:r>
    </w:p>
    <w:p w:rsidR="008A5FAB" w:rsidRPr="00D665B9" w:rsidRDefault="008A5FAB" w:rsidP="00087362">
      <w:pPr>
        <w:jc w:val="both"/>
        <w:rPr>
          <w:b/>
          <w:sz w:val="22"/>
          <w:szCs w:val="22"/>
          <w:lang w:val="de-DE"/>
        </w:rPr>
      </w:pPr>
    </w:p>
    <w:p w:rsidR="006D2AD4" w:rsidRPr="00D665B9" w:rsidRDefault="00955B4F" w:rsidP="00087362">
      <w:pPr>
        <w:jc w:val="both"/>
        <w:rPr>
          <w:b/>
          <w:sz w:val="22"/>
          <w:szCs w:val="22"/>
          <w:lang w:val="de-DE"/>
        </w:rPr>
      </w:pPr>
      <w:r w:rsidRPr="00D665B9">
        <w:rPr>
          <w:b/>
          <w:sz w:val="22"/>
          <w:szCs w:val="22"/>
        </w:rPr>
        <w:t>Ako pripraviť injekciu?</w:t>
      </w:r>
    </w:p>
    <w:p w:rsidR="006D2AD4" w:rsidRPr="00D665B9" w:rsidRDefault="00955B4F" w:rsidP="00087362">
      <w:pPr>
        <w:jc w:val="both"/>
        <w:rPr>
          <w:sz w:val="22"/>
          <w:szCs w:val="22"/>
          <w:lang w:val="de-DE"/>
        </w:rPr>
      </w:pPr>
      <w:r w:rsidRPr="00D665B9">
        <w:rPr>
          <w:sz w:val="22"/>
          <w:szCs w:val="22"/>
        </w:rPr>
        <w:t>Presne dodržujte tieto pokyny.</w:t>
      </w:r>
    </w:p>
    <w:p w:rsidR="006D2AD4" w:rsidRPr="00D665B9" w:rsidRDefault="00955B4F" w:rsidP="00087362">
      <w:pPr>
        <w:jc w:val="both"/>
        <w:rPr>
          <w:sz w:val="22"/>
          <w:szCs w:val="22"/>
          <w:lang w:val="de-DE"/>
        </w:rPr>
      </w:pPr>
      <w:r w:rsidRPr="00D665B9">
        <w:rPr>
          <w:sz w:val="22"/>
          <w:szCs w:val="22"/>
        </w:rPr>
        <w:t>Pri príprave lieku z prášku dodržiavajte zásady aseptickej techniky prípravy.</w:t>
      </w:r>
    </w:p>
    <w:p w:rsidR="008A5FAB" w:rsidRPr="00D665B9" w:rsidRDefault="008A5FAB" w:rsidP="00087362">
      <w:pPr>
        <w:jc w:val="both"/>
        <w:rPr>
          <w:b/>
          <w:sz w:val="22"/>
          <w:szCs w:val="22"/>
          <w:lang w:val="de-DE"/>
        </w:rPr>
      </w:pPr>
    </w:p>
    <w:p w:rsidR="002A0DF7" w:rsidRPr="00D665B9" w:rsidRDefault="00955B4F" w:rsidP="00087362">
      <w:pPr>
        <w:jc w:val="both"/>
        <w:rPr>
          <w:b/>
          <w:sz w:val="22"/>
          <w:szCs w:val="22"/>
          <w:lang w:val="de-DE"/>
        </w:rPr>
      </w:pPr>
      <w:r w:rsidRPr="00D665B9">
        <w:rPr>
          <w:b/>
          <w:sz w:val="22"/>
          <w:szCs w:val="22"/>
        </w:rPr>
        <w:t xml:space="preserve">Dôležité: </w:t>
      </w:r>
    </w:p>
    <w:p w:rsidR="006D2AD4" w:rsidRPr="00D665B9" w:rsidRDefault="00955B4F" w:rsidP="00087362">
      <w:pPr>
        <w:jc w:val="both"/>
        <w:rPr>
          <w:sz w:val="22"/>
          <w:szCs w:val="22"/>
          <w:lang w:val="de-DE"/>
        </w:rPr>
      </w:pPr>
      <w:r w:rsidRPr="00D665B9">
        <w:rPr>
          <w:sz w:val="22"/>
          <w:szCs w:val="22"/>
        </w:rPr>
        <w:t>Po zmiešaní treba liek ihneď podať.</w:t>
      </w:r>
    </w:p>
    <w:p w:rsidR="006D2AD4" w:rsidRPr="00D665B9" w:rsidRDefault="00955B4F" w:rsidP="00087362">
      <w:pPr>
        <w:jc w:val="both"/>
        <w:rPr>
          <w:sz w:val="22"/>
          <w:szCs w:val="22"/>
          <w:lang w:val="de-DE"/>
        </w:rPr>
      </w:pPr>
      <w:r w:rsidRPr="00D665B9">
        <w:rPr>
          <w:sz w:val="22"/>
          <w:szCs w:val="22"/>
        </w:rPr>
        <w:t>Tento liek je určený iba na jednorázové použitie.</w:t>
      </w:r>
    </w:p>
    <w:p w:rsidR="006D2AD4" w:rsidRPr="00D665B9" w:rsidRDefault="00955B4F" w:rsidP="00087362">
      <w:pPr>
        <w:jc w:val="both"/>
        <w:rPr>
          <w:sz w:val="22"/>
          <w:szCs w:val="22"/>
        </w:rPr>
      </w:pPr>
      <w:r w:rsidRPr="00D665B9">
        <w:rPr>
          <w:sz w:val="22"/>
          <w:szCs w:val="22"/>
        </w:rPr>
        <w:t>Overte obsah súpravy balenia a uistite sa, že obsahuje všetko, čo je uvedené v tejto písomnej informácii pre používateľa.</w:t>
      </w:r>
    </w:p>
    <w:p w:rsidR="00087362" w:rsidRDefault="00087362" w:rsidP="00087362">
      <w:pPr>
        <w:jc w:val="both"/>
        <w:rPr>
          <w:b/>
          <w:sz w:val="22"/>
          <w:szCs w:val="22"/>
        </w:rPr>
      </w:pPr>
    </w:p>
    <w:p w:rsidR="006D2AD4" w:rsidRPr="00D665B9" w:rsidRDefault="00BD1F9D" w:rsidP="00087362">
      <w:pPr>
        <w:jc w:val="both"/>
        <w:rPr>
          <w:b/>
          <w:sz w:val="22"/>
          <w:szCs w:val="22"/>
          <w:lang w:val="de-DE"/>
        </w:rPr>
      </w:pPr>
      <w:r w:rsidRPr="00D665B9">
        <w:rPr>
          <w:b/>
          <w:sz w:val="22"/>
          <w:szCs w:val="22"/>
        </w:rPr>
        <w:t>Obsah balenia:</w:t>
      </w:r>
    </w:p>
    <w:p w:rsidR="00955B4F" w:rsidRPr="00D665B9" w:rsidRDefault="00955B4F" w:rsidP="00087362">
      <w:pPr>
        <w:jc w:val="both"/>
        <w:rPr>
          <w:sz w:val="22"/>
          <w:szCs w:val="22"/>
          <w:lang w:val="de-DE"/>
        </w:rPr>
      </w:pPr>
      <w:r w:rsidRPr="00D665B9">
        <w:rPr>
          <w:sz w:val="22"/>
          <w:szCs w:val="22"/>
        </w:rPr>
        <w:t xml:space="preserve">1 (jedna) injekčná liekovka </w:t>
      </w:r>
      <w:r w:rsidR="004272C1">
        <w:rPr>
          <w:sz w:val="22"/>
          <w:szCs w:val="22"/>
        </w:rPr>
        <w:t xml:space="preserve">lieku </w:t>
      </w:r>
      <w:r w:rsidR="008560FC">
        <w:rPr>
          <w:sz w:val="22"/>
          <w:szCs w:val="22"/>
        </w:rPr>
        <w:t>Lutrate Depot</w:t>
      </w:r>
      <w:r w:rsidRPr="00D665B9">
        <w:rPr>
          <w:sz w:val="22"/>
          <w:szCs w:val="22"/>
        </w:rPr>
        <w:t xml:space="preserve"> 22,5 mg (leuprorelíniumacetát) prášok na injekčnú suspenziu</w:t>
      </w:r>
    </w:p>
    <w:p w:rsidR="00955B4F" w:rsidRPr="00D665B9" w:rsidRDefault="00955B4F" w:rsidP="00087362">
      <w:pPr>
        <w:jc w:val="both"/>
        <w:rPr>
          <w:sz w:val="22"/>
          <w:szCs w:val="22"/>
          <w:lang w:val="de-DE"/>
        </w:rPr>
      </w:pPr>
      <w:r w:rsidRPr="00D665B9">
        <w:rPr>
          <w:sz w:val="22"/>
          <w:szCs w:val="22"/>
        </w:rPr>
        <w:t xml:space="preserve">1 (jedna) naplnená injekčná striekačka obsahujúcu rozpúšťadlo pre suspenziu (0,8 % roztok manitolu na injekciu); </w:t>
      </w:r>
    </w:p>
    <w:p w:rsidR="00955B4F" w:rsidRPr="00D665B9" w:rsidRDefault="00955B4F" w:rsidP="00087362">
      <w:pPr>
        <w:jc w:val="both"/>
        <w:rPr>
          <w:sz w:val="22"/>
          <w:szCs w:val="22"/>
          <w:lang w:val="de-DE"/>
        </w:rPr>
      </w:pPr>
      <w:r w:rsidRPr="00D665B9">
        <w:rPr>
          <w:sz w:val="22"/>
          <w:szCs w:val="22"/>
        </w:rPr>
        <w:t>1 (jedna) pomôck</w:t>
      </w:r>
      <w:r w:rsidR="00845D16" w:rsidRPr="00D665B9">
        <w:rPr>
          <w:sz w:val="22"/>
          <w:szCs w:val="22"/>
        </w:rPr>
        <w:t>a na prípravu roztoku z prášku obsahujúca 1 (jednu</w:t>
      </w:r>
      <w:r w:rsidRPr="00D665B9">
        <w:rPr>
          <w:sz w:val="22"/>
          <w:szCs w:val="22"/>
        </w:rPr>
        <w:t xml:space="preserve">) </w:t>
      </w:r>
      <w:r w:rsidR="008560FC" w:rsidRPr="00D665B9">
        <w:rPr>
          <w:sz w:val="22"/>
          <w:szCs w:val="22"/>
        </w:rPr>
        <w:t>steriln</w:t>
      </w:r>
      <w:r w:rsidR="008560FC">
        <w:rPr>
          <w:sz w:val="22"/>
          <w:szCs w:val="22"/>
        </w:rPr>
        <w:t>ú</w:t>
      </w:r>
      <w:r w:rsidR="008560FC" w:rsidRPr="00D665B9">
        <w:rPr>
          <w:sz w:val="22"/>
          <w:szCs w:val="22"/>
        </w:rPr>
        <w:t xml:space="preserve"> ihl</w:t>
      </w:r>
      <w:r w:rsidR="008560FC">
        <w:rPr>
          <w:sz w:val="22"/>
          <w:szCs w:val="22"/>
        </w:rPr>
        <w:t>u</w:t>
      </w:r>
      <w:r w:rsidR="008560FC" w:rsidRPr="00D665B9">
        <w:rPr>
          <w:sz w:val="22"/>
          <w:szCs w:val="22"/>
        </w:rPr>
        <w:t xml:space="preserve"> </w:t>
      </w:r>
      <w:r w:rsidRPr="00D665B9">
        <w:rPr>
          <w:sz w:val="22"/>
          <w:szCs w:val="22"/>
        </w:rPr>
        <w:t>na jednorázové použitie.</w:t>
      </w:r>
    </w:p>
    <w:p w:rsidR="00BF79EA" w:rsidRPr="00D665B9" w:rsidRDefault="00BF79EA" w:rsidP="00087362">
      <w:pPr>
        <w:jc w:val="both"/>
        <w:rPr>
          <w:sz w:val="22"/>
          <w:szCs w:val="22"/>
          <w:lang w:val="de-DE"/>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283"/>
        <w:gridCol w:w="2778"/>
        <w:gridCol w:w="284"/>
        <w:gridCol w:w="2916"/>
      </w:tblGrid>
      <w:tr w:rsidR="00BF79EA" w:rsidRPr="00D665B9" w:rsidTr="0048669F">
        <w:trPr>
          <w:trHeight w:val="171"/>
        </w:trPr>
        <w:tc>
          <w:tcPr>
            <w:tcW w:w="2778" w:type="dxa"/>
            <w:tcBorders>
              <w:top w:val="single" w:sz="12" w:space="0" w:color="548DD4" w:themeColor="text2" w:themeTint="99"/>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r w:rsidRPr="00D665B9">
              <w:rPr>
                <w:color w:val="548DD4" w:themeColor="text2" w:themeTint="99"/>
                <w:sz w:val="22"/>
                <w:szCs w:val="22"/>
              </w:rPr>
              <w:t>1</w:t>
            </w:r>
          </w:p>
        </w:tc>
        <w:tc>
          <w:tcPr>
            <w:tcW w:w="283" w:type="dxa"/>
            <w:tcBorders>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p>
        </w:tc>
        <w:tc>
          <w:tcPr>
            <w:tcW w:w="2778" w:type="dxa"/>
            <w:tcBorders>
              <w:top w:val="single" w:sz="12" w:space="0" w:color="548DD4" w:themeColor="text2" w:themeTint="99"/>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r w:rsidRPr="00D665B9">
              <w:rPr>
                <w:color w:val="548DD4" w:themeColor="text2" w:themeTint="99"/>
                <w:sz w:val="22"/>
                <w:szCs w:val="22"/>
              </w:rPr>
              <w:t>2</w:t>
            </w:r>
          </w:p>
        </w:tc>
        <w:tc>
          <w:tcPr>
            <w:tcW w:w="284" w:type="dxa"/>
            <w:tcBorders>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p>
        </w:tc>
        <w:tc>
          <w:tcPr>
            <w:tcW w:w="2778" w:type="dxa"/>
            <w:tcBorders>
              <w:top w:val="single" w:sz="12" w:space="0" w:color="548DD4" w:themeColor="text2" w:themeTint="99"/>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r w:rsidRPr="00D665B9">
              <w:rPr>
                <w:color w:val="548DD4" w:themeColor="text2" w:themeTint="99"/>
                <w:sz w:val="22"/>
                <w:szCs w:val="22"/>
              </w:rPr>
              <w:t>3</w:t>
            </w:r>
          </w:p>
        </w:tc>
      </w:tr>
      <w:tr w:rsidR="00BF79EA" w:rsidRPr="00D665B9" w:rsidTr="0048669F">
        <w:tc>
          <w:tcPr>
            <w:tcW w:w="2778" w:type="dxa"/>
            <w:tcBorders>
              <w:left w:val="single" w:sz="12" w:space="0" w:color="548DD4" w:themeColor="text2" w:themeTint="99"/>
              <w:right w:val="single" w:sz="12" w:space="0" w:color="548DD4" w:themeColor="text2" w:themeTint="99"/>
            </w:tcBorders>
            <w:vAlign w:val="center"/>
          </w:tcPr>
          <w:p w:rsidR="00BF79EA" w:rsidRPr="00D665B9" w:rsidRDefault="00BF79EA" w:rsidP="00087362">
            <w:pPr>
              <w:jc w:val="center"/>
              <w:rPr>
                <w:sz w:val="22"/>
                <w:szCs w:val="22"/>
                <w:lang w:val="en-US"/>
              </w:rPr>
            </w:pPr>
            <w:r w:rsidRPr="00D665B9">
              <w:rPr>
                <w:noProof/>
                <w:sz w:val="22"/>
                <w:szCs w:val="22"/>
              </w:rPr>
              <w:drawing>
                <wp:inline distT="0" distB="0" distL="0" distR="0" wp14:anchorId="3EFB1C10" wp14:editId="42705C97">
                  <wp:extent cx="1494155" cy="1026160"/>
                  <wp:effectExtent l="1905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1494155" cy="1026160"/>
                          </a:xfrm>
                          <a:prstGeom prst="rect">
                            <a:avLst/>
                          </a:prstGeom>
                          <a:noFill/>
                          <a:ln w="9525">
                            <a:noFill/>
                            <a:miter lim="800000"/>
                            <a:headEnd/>
                            <a:tailEnd/>
                          </a:ln>
                        </pic:spPr>
                      </pic:pic>
                    </a:graphicData>
                  </a:graphic>
                </wp:inline>
              </w:drawing>
            </w:r>
          </w:p>
        </w:tc>
        <w:tc>
          <w:tcPr>
            <w:tcW w:w="283" w:type="dxa"/>
            <w:tcBorders>
              <w:left w:val="single" w:sz="12" w:space="0" w:color="548DD4" w:themeColor="text2" w:themeTint="99"/>
              <w:right w:val="single" w:sz="12" w:space="0" w:color="548DD4" w:themeColor="text2" w:themeTint="99"/>
            </w:tcBorders>
            <w:vAlign w:val="center"/>
          </w:tcPr>
          <w:p w:rsidR="00BF79EA" w:rsidRPr="00D665B9" w:rsidRDefault="00BF79EA" w:rsidP="00087362">
            <w:pPr>
              <w:jc w:val="center"/>
              <w:rPr>
                <w:sz w:val="22"/>
                <w:szCs w:val="22"/>
                <w:lang w:val="en-US"/>
              </w:rPr>
            </w:pPr>
          </w:p>
        </w:tc>
        <w:tc>
          <w:tcPr>
            <w:tcW w:w="2778" w:type="dxa"/>
            <w:tcBorders>
              <w:left w:val="single" w:sz="12" w:space="0" w:color="548DD4" w:themeColor="text2" w:themeTint="99"/>
              <w:right w:val="single" w:sz="12" w:space="0" w:color="548DD4" w:themeColor="text2" w:themeTint="99"/>
            </w:tcBorders>
            <w:vAlign w:val="center"/>
          </w:tcPr>
          <w:p w:rsidR="00BF79EA" w:rsidRPr="00D665B9" w:rsidRDefault="00BF79EA" w:rsidP="00087362">
            <w:pPr>
              <w:jc w:val="center"/>
              <w:rPr>
                <w:sz w:val="22"/>
                <w:szCs w:val="22"/>
                <w:lang w:val="en-US"/>
              </w:rPr>
            </w:pPr>
            <w:r w:rsidRPr="00D665B9">
              <w:rPr>
                <w:noProof/>
                <w:sz w:val="22"/>
                <w:szCs w:val="22"/>
              </w:rPr>
              <w:drawing>
                <wp:inline distT="0" distB="0" distL="0" distR="0" wp14:anchorId="6B9CF155" wp14:editId="7EE339F8">
                  <wp:extent cx="1538605" cy="1003300"/>
                  <wp:effectExtent l="19050" t="0" r="444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a:stretch>
                            <a:fillRect/>
                          </a:stretch>
                        </pic:blipFill>
                        <pic:spPr bwMode="auto">
                          <a:xfrm>
                            <a:off x="0" y="0"/>
                            <a:ext cx="1538605" cy="1003300"/>
                          </a:xfrm>
                          <a:prstGeom prst="rect">
                            <a:avLst/>
                          </a:prstGeom>
                          <a:noFill/>
                          <a:ln w="9525">
                            <a:noFill/>
                            <a:miter lim="800000"/>
                            <a:headEnd/>
                            <a:tailEnd/>
                          </a:ln>
                        </pic:spPr>
                      </pic:pic>
                    </a:graphicData>
                  </a:graphic>
                </wp:inline>
              </w:drawing>
            </w:r>
          </w:p>
        </w:tc>
        <w:tc>
          <w:tcPr>
            <w:tcW w:w="284" w:type="dxa"/>
            <w:tcBorders>
              <w:left w:val="single" w:sz="12" w:space="0" w:color="548DD4" w:themeColor="text2" w:themeTint="99"/>
              <w:right w:val="single" w:sz="12" w:space="0" w:color="548DD4" w:themeColor="text2" w:themeTint="99"/>
            </w:tcBorders>
            <w:vAlign w:val="center"/>
          </w:tcPr>
          <w:p w:rsidR="00BF79EA" w:rsidRPr="00D665B9" w:rsidRDefault="00BF79EA" w:rsidP="00087362">
            <w:pPr>
              <w:jc w:val="center"/>
              <w:rPr>
                <w:sz w:val="22"/>
                <w:szCs w:val="22"/>
                <w:lang w:val="en-US"/>
              </w:rPr>
            </w:pPr>
          </w:p>
        </w:tc>
        <w:tc>
          <w:tcPr>
            <w:tcW w:w="2778" w:type="dxa"/>
            <w:tcBorders>
              <w:left w:val="single" w:sz="12" w:space="0" w:color="548DD4" w:themeColor="text2" w:themeTint="99"/>
              <w:right w:val="single" w:sz="12" w:space="0" w:color="548DD4" w:themeColor="text2" w:themeTint="99"/>
            </w:tcBorders>
            <w:vAlign w:val="center"/>
          </w:tcPr>
          <w:p w:rsidR="00BF79EA" w:rsidRPr="00D665B9" w:rsidRDefault="00BF79EA" w:rsidP="00087362">
            <w:pPr>
              <w:jc w:val="center"/>
              <w:rPr>
                <w:sz w:val="22"/>
                <w:szCs w:val="22"/>
                <w:lang w:val="en-US"/>
              </w:rPr>
            </w:pPr>
            <w:r w:rsidRPr="00D665B9">
              <w:rPr>
                <w:noProof/>
                <w:sz w:val="22"/>
                <w:szCs w:val="22"/>
              </w:rPr>
              <w:drawing>
                <wp:inline distT="0" distB="0" distL="0" distR="0" wp14:anchorId="6E33D51A" wp14:editId="558349F2">
                  <wp:extent cx="1694815" cy="958850"/>
                  <wp:effectExtent l="19050" t="0" r="63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srcRect/>
                          <a:stretch>
                            <a:fillRect/>
                          </a:stretch>
                        </pic:blipFill>
                        <pic:spPr bwMode="auto">
                          <a:xfrm>
                            <a:off x="0" y="0"/>
                            <a:ext cx="1694815" cy="958850"/>
                          </a:xfrm>
                          <a:prstGeom prst="rect">
                            <a:avLst/>
                          </a:prstGeom>
                          <a:noFill/>
                          <a:ln w="9525">
                            <a:noFill/>
                            <a:miter lim="800000"/>
                            <a:headEnd/>
                            <a:tailEnd/>
                          </a:ln>
                        </pic:spPr>
                      </pic:pic>
                    </a:graphicData>
                  </a:graphic>
                </wp:inline>
              </w:drawing>
            </w:r>
          </w:p>
        </w:tc>
      </w:tr>
      <w:tr w:rsidR="00BF79EA" w:rsidRPr="00D665B9" w:rsidTr="0048669F">
        <w:tc>
          <w:tcPr>
            <w:tcW w:w="2778" w:type="dxa"/>
            <w:tcBorders>
              <w:left w:val="single" w:sz="12" w:space="0" w:color="548DD4" w:themeColor="text2" w:themeTint="99"/>
              <w:bottom w:val="single" w:sz="12" w:space="0" w:color="548DD4" w:themeColor="text2" w:themeTint="99"/>
              <w:right w:val="single" w:sz="12" w:space="0" w:color="548DD4" w:themeColor="text2" w:themeTint="99"/>
            </w:tcBorders>
            <w:vAlign w:val="center"/>
          </w:tcPr>
          <w:p w:rsidR="00B60847" w:rsidRPr="00D665B9" w:rsidRDefault="00BF79EA" w:rsidP="00087362">
            <w:pPr>
              <w:jc w:val="center"/>
              <w:rPr>
                <w:sz w:val="22"/>
                <w:szCs w:val="22"/>
              </w:rPr>
            </w:pPr>
            <w:r w:rsidRPr="00D665B9">
              <w:rPr>
                <w:sz w:val="22"/>
                <w:szCs w:val="22"/>
              </w:rPr>
              <w:t>Odstráňte viečko z injekčnej liekovky.</w:t>
            </w:r>
          </w:p>
        </w:tc>
        <w:tc>
          <w:tcPr>
            <w:tcW w:w="283" w:type="dxa"/>
            <w:tcBorders>
              <w:left w:val="single" w:sz="12" w:space="0" w:color="548DD4" w:themeColor="text2" w:themeTint="99"/>
              <w:bottom w:val="nil"/>
              <w:right w:val="single" w:sz="12" w:space="0" w:color="548DD4" w:themeColor="text2" w:themeTint="99"/>
            </w:tcBorders>
          </w:tcPr>
          <w:p w:rsidR="00BF79EA" w:rsidRPr="00D665B9" w:rsidRDefault="00BF79EA" w:rsidP="00087362">
            <w:pPr>
              <w:jc w:val="both"/>
              <w:rPr>
                <w:sz w:val="22"/>
                <w:szCs w:val="22"/>
              </w:rPr>
            </w:pPr>
          </w:p>
        </w:tc>
        <w:tc>
          <w:tcPr>
            <w:tcW w:w="2778" w:type="dxa"/>
            <w:tcBorders>
              <w:left w:val="single" w:sz="12" w:space="0" w:color="548DD4" w:themeColor="text2" w:themeTint="99"/>
              <w:bottom w:val="single" w:sz="12" w:space="0" w:color="548DD4" w:themeColor="text2" w:themeTint="99"/>
              <w:right w:val="single" w:sz="12" w:space="0" w:color="548DD4" w:themeColor="text2" w:themeTint="99"/>
            </w:tcBorders>
          </w:tcPr>
          <w:p w:rsidR="00BF79EA" w:rsidRPr="00D665B9" w:rsidRDefault="000D5DE4" w:rsidP="00087362">
            <w:pPr>
              <w:jc w:val="both"/>
              <w:rPr>
                <w:sz w:val="22"/>
                <w:szCs w:val="22"/>
              </w:rPr>
            </w:pPr>
            <w:r w:rsidRPr="00D665B9">
              <w:rPr>
                <w:sz w:val="22"/>
                <w:szCs w:val="22"/>
              </w:rPr>
              <w:t>Nasaďte adaptér (fialový) na injekčnú liekovku pokiaľ sa neozve zacvaknutie.</w:t>
            </w:r>
          </w:p>
        </w:tc>
        <w:tc>
          <w:tcPr>
            <w:tcW w:w="284" w:type="dxa"/>
            <w:tcBorders>
              <w:left w:val="single" w:sz="12" w:space="0" w:color="548DD4" w:themeColor="text2" w:themeTint="99"/>
              <w:bottom w:val="nil"/>
              <w:right w:val="single" w:sz="12" w:space="0" w:color="548DD4" w:themeColor="text2" w:themeTint="99"/>
            </w:tcBorders>
          </w:tcPr>
          <w:p w:rsidR="00BF79EA" w:rsidRPr="00D665B9" w:rsidRDefault="00BF79EA" w:rsidP="00087362">
            <w:pPr>
              <w:jc w:val="both"/>
              <w:rPr>
                <w:sz w:val="22"/>
                <w:szCs w:val="22"/>
              </w:rPr>
            </w:pPr>
          </w:p>
        </w:tc>
        <w:tc>
          <w:tcPr>
            <w:tcW w:w="2778" w:type="dxa"/>
            <w:tcBorders>
              <w:left w:val="single" w:sz="12" w:space="0" w:color="548DD4" w:themeColor="text2" w:themeTint="99"/>
              <w:bottom w:val="single" w:sz="12" w:space="0" w:color="548DD4" w:themeColor="text2" w:themeTint="99"/>
              <w:right w:val="single" w:sz="12" w:space="0" w:color="548DD4" w:themeColor="text2" w:themeTint="99"/>
            </w:tcBorders>
          </w:tcPr>
          <w:p w:rsidR="007F76AB" w:rsidRPr="00D665B9" w:rsidRDefault="007F76AB" w:rsidP="00087362">
            <w:pPr>
              <w:jc w:val="both"/>
              <w:rPr>
                <w:sz w:val="22"/>
                <w:szCs w:val="22"/>
              </w:rPr>
            </w:pPr>
            <w:r w:rsidRPr="00D665B9">
              <w:rPr>
                <w:sz w:val="22"/>
                <w:szCs w:val="22"/>
              </w:rPr>
              <w:t>Zafixujte biele držadlo do injekčnej striekačky obsahujúcej riedidlo.</w:t>
            </w:r>
          </w:p>
          <w:p w:rsidR="00BF79EA" w:rsidRPr="00D665B9" w:rsidRDefault="00BF79EA" w:rsidP="00087362">
            <w:pPr>
              <w:jc w:val="both"/>
              <w:rPr>
                <w:sz w:val="22"/>
                <w:szCs w:val="22"/>
              </w:rPr>
            </w:pPr>
            <w:r w:rsidRPr="00D665B9">
              <w:rPr>
                <w:sz w:val="22"/>
                <w:szCs w:val="22"/>
              </w:rPr>
              <w:t>Odstráňte gumený kryt z injekčnej striekačky a pripojte ju k adaptéru.</w:t>
            </w:r>
          </w:p>
        </w:tc>
      </w:tr>
    </w:tbl>
    <w:p w:rsidR="00E901CB" w:rsidRDefault="00E901CB" w:rsidP="00087362">
      <w:pPr>
        <w:jc w:val="both"/>
        <w:rPr>
          <w:sz w:val="22"/>
          <w:szCs w:val="22"/>
        </w:rPr>
      </w:pPr>
    </w:p>
    <w:p w:rsidR="00E901CB" w:rsidRDefault="00E901CB">
      <w:pPr>
        <w:rPr>
          <w:sz w:val="22"/>
          <w:szCs w:val="22"/>
        </w:rPr>
      </w:pPr>
      <w:r>
        <w:rPr>
          <w:sz w:val="22"/>
          <w:szCs w:val="22"/>
        </w:rPr>
        <w:br w:type="page"/>
      </w:r>
    </w:p>
    <w:p w:rsidR="00BF79EA" w:rsidRPr="00D665B9" w:rsidRDefault="00BF79EA" w:rsidP="00087362">
      <w:pPr>
        <w:jc w:val="both"/>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283"/>
        <w:gridCol w:w="2778"/>
        <w:gridCol w:w="284"/>
        <w:gridCol w:w="2778"/>
      </w:tblGrid>
      <w:tr w:rsidR="00BF79EA" w:rsidRPr="00D665B9" w:rsidTr="0048669F">
        <w:trPr>
          <w:trHeight w:val="171"/>
        </w:trPr>
        <w:tc>
          <w:tcPr>
            <w:tcW w:w="2778" w:type="dxa"/>
            <w:tcBorders>
              <w:top w:val="single" w:sz="12" w:space="0" w:color="548DD4" w:themeColor="text2" w:themeTint="99"/>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r w:rsidRPr="00D665B9">
              <w:rPr>
                <w:color w:val="548DD4" w:themeColor="text2" w:themeTint="99"/>
                <w:sz w:val="22"/>
                <w:szCs w:val="22"/>
              </w:rPr>
              <w:t>4</w:t>
            </w:r>
          </w:p>
        </w:tc>
        <w:tc>
          <w:tcPr>
            <w:tcW w:w="283" w:type="dxa"/>
            <w:tcBorders>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p>
        </w:tc>
        <w:tc>
          <w:tcPr>
            <w:tcW w:w="2778" w:type="dxa"/>
            <w:tcBorders>
              <w:top w:val="single" w:sz="12" w:space="0" w:color="548DD4" w:themeColor="text2" w:themeTint="99"/>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r w:rsidRPr="00D665B9">
              <w:rPr>
                <w:color w:val="548DD4" w:themeColor="text2" w:themeTint="99"/>
                <w:sz w:val="22"/>
                <w:szCs w:val="22"/>
              </w:rPr>
              <w:t>5</w:t>
            </w:r>
          </w:p>
        </w:tc>
        <w:tc>
          <w:tcPr>
            <w:tcW w:w="284" w:type="dxa"/>
            <w:tcBorders>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p>
        </w:tc>
        <w:tc>
          <w:tcPr>
            <w:tcW w:w="2778" w:type="dxa"/>
            <w:tcBorders>
              <w:top w:val="single" w:sz="12" w:space="0" w:color="548DD4" w:themeColor="text2" w:themeTint="99"/>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r w:rsidRPr="00D665B9">
              <w:rPr>
                <w:color w:val="548DD4" w:themeColor="text2" w:themeTint="99"/>
                <w:sz w:val="22"/>
                <w:szCs w:val="22"/>
              </w:rPr>
              <w:t>6</w:t>
            </w:r>
          </w:p>
        </w:tc>
      </w:tr>
      <w:tr w:rsidR="00BF79EA" w:rsidRPr="00D665B9" w:rsidTr="0048669F">
        <w:tc>
          <w:tcPr>
            <w:tcW w:w="2778" w:type="dxa"/>
            <w:tcBorders>
              <w:left w:val="single" w:sz="12" w:space="0" w:color="548DD4" w:themeColor="text2" w:themeTint="99"/>
              <w:right w:val="single" w:sz="12" w:space="0" w:color="548DD4" w:themeColor="text2" w:themeTint="99"/>
            </w:tcBorders>
            <w:vAlign w:val="center"/>
          </w:tcPr>
          <w:p w:rsidR="00BF79EA" w:rsidRPr="00D665B9" w:rsidRDefault="00E4370B" w:rsidP="00087362">
            <w:pPr>
              <w:jc w:val="center"/>
              <w:rPr>
                <w:sz w:val="22"/>
                <w:szCs w:val="22"/>
                <w:lang w:val="en-US"/>
              </w:rPr>
            </w:pPr>
            <w:r>
              <w:rPr>
                <w:noProof/>
                <w:sz w:val="22"/>
                <w:szCs w:val="22"/>
              </w:rPr>
              <mc:AlternateContent>
                <mc:Choice Requires="wps">
                  <w:drawing>
                    <wp:anchor distT="0" distB="0" distL="114300" distR="114300" simplePos="0" relativeHeight="251660288" behindDoc="0" locked="0" layoutInCell="1" allowOverlap="1" wp14:anchorId="0B782EB2" wp14:editId="1CA41565">
                      <wp:simplePos x="0" y="0"/>
                      <wp:positionH relativeFrom="column">
                        <wp:posOffset>27940</wp:posOffset>
                      </wp:positionH>
                      <wp:positionV relativeFrom="paragraph">
                        <wp:posOffset>8890</wp:posOffset>
                      </wp:positionV>
                      <wp:extent cx="212725" cy="118110"/>
                      <wp:effectExtent l="0" t="0" r="15875" b="1524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1811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0FE121" id="Rectangle 7" o:spid="_x0000_s1026" style="position:absolute;margin-left:2.2pt;margin-top:.7pt;width:16.7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" strokecolor="white [3212]"/>
                  </w:pict>
                </mc:Fallback>
              </mc:AlternateContent>
            </w:r>
            <w:r w:rsidR="00BF79EA" w:rsidRPr="00D665B9">
              <w:rPr>
                <w:noProof/>
                <w:sz w:val="22"/>
                <w:szCs w:val="22"/>
              </w:rPr>
              <w:drawing>
                <wp:inline distT="0" distB="0" distL="0" distR="0" wp14:anchorId="5DD5760B" wp14:editId="611E603B">
                  <wp:extent cx="1538605" cy="948055"/>
                  <wp:effectExtent l="19050" t="0" r="444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srcRect/>
                          <a:stretch>
                            <a:fillRect/>
                          </a:stretch>
                        </pic:blipFill>
                        <pic:spPr bwMode="auto">
                          <a:xfrm>
                            <a:off x="0" y="0"/>
                            <a:ext cx="1538605" cy="948055"/>
                          </a:xfrm>
                          <a:prstGeom prst="rect">
                            <a:avLst/>
                          </a:prstGeom>
                          <a:noFill/>
                          <a:ln w="9525">
                            <a:noFill/>
                            <a:miter lim="800000"/>
                            <a:headEnd/>
                            <a:tailEnd/>
                          </a:ln>
                        </pic:spPr>
                      </pic:pic>
                    </a:graphicData>
                  </a:graphic>
                </wp:inline>
              </w:drawing>
            </w:r>
          </w:p>
        </w:tc>
        <w:tc>
          <w:tcPr>
            <w:tcW w:w="283" w:type="dxa"/>
            <w:tcBorders>
              <w:left w:val="single" w:sz="12" w:space="0" w:color="548DD4" w:themeColor="text2" w:themeTint="99"/>
              <w:right w:val="single" w:sz="12" w:space="0" w:color="548DD4" w:themeColor="text2" w:themeTint="99"/>
            </w:tcBorders>
            <w:vAlign w:val="center"/>
          </w:tcPr>
          <w:p w:rsidR="00BF79EA" w:rsidRPr="00D665B9" w:rsidRDefault="00BF79EA" w:rsidP="00087362">
            <w:pPr>
              <w:jc w:val="center"/>
              <w:rPr>
                <w:sz w:val="22"/>
                <w:szCs w:val="22"/>
                <w:lang w:val="en-US"/>
              </w:rPr>
            </w:pPr>
          </w:p>
        </w:tc>
        <w:tc>
          <w:tcPr>
            <w:tcW w:w="2778" w:type="dxa"/>
            <w:tcBorders>
              <w:left w:val="single" w:sz="12" w:space="0" w:color="548DD4" w:themeColor="text2" w:themeTint="99"/>
              <w:right w:val="single" w:sz="12" w:space="0" w:color="548DD4" w:themeColor="text2" w:themeTint="99"/>
            </w:tcBorders>
            <w:vAlign w:val="center"/>
          </w:tcPr>
          <w:p w:rsidR="00BF79EA" w:rsidRPr="00D665B9" w:rsidRDefault="00BF79EA" w:rsidP="00087362">
            <w:pPr>
              <w:jc w:val="center"/>
              <w:rPr>
                <w:sz w:val="22"/>
                <w:szCs w:val="22"/>
                <w:lang w:val="en-US"/>
              </w:rPr>
            </w:pPr>
            <w:r w:rsidRPr="00D665B9">
              <w:rPr>
                <w:noProof/>
                <w:sz w:val="22"/>
                <w:szCs w:val="22"/>
              </w:rPr>
              <w:drawing>
                <wp:inline distT="0" distB="0" distL="0" distR="0" wp14:anchorId="655EA846" wp14:editId="7B6A7465">
                  <wp:extent cx="1471930" cy="892175"/>
                  <wp:effectExtent l="1905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srcRect/>
                          <a:stretch>
                            <a:fillRect/>
                          </a:stretch>
                        </pic:blipFill>
                        <pic:spPr bwMode="auto">
                          <a:xfrm>
                            <a:off x="0" y="0"/>
                            <a:ext cx="1471930" cy="892175"/>
                          </a:xfrm>
                          <a:prstGeom prst="rect">
                            <a:avLst/>
                          </a:prstGeom>
                          <a:noFill/>
                          <a:ln w="9525">
                            <a:noFill/>
                            <a:miter lim="800000"/>
                            <a:headEnd/>
                            <a:tailEnd/>
                          </a:ln>
                        </pic:spPr>
                      </pic:pic>
                    </a:graphicData>
                  </a:graphic>
                </wp:inline>
              </w:drawing>
            </w:r>
          </w:p>
        </w:tc>
        <w:tc>
          <w:tcPr>
            <w:tcW w:w="284" w:type="dxa"/>
            <w:tcBorders>
              <w:left w:val="single" w:sz="12" w:space="0" w:color="548DD4" w:themeColor="text2" w:themeTint="99"/>
              <w:right w:val="single" w:sz="12" w:space="0" w:color="548DD4" w:themeColor="text2" w:themeTint="99"/>
            </w:tcBorders>
            <w:vAlign w:val="center"/>
          </w:tcPr>
          <w:p w:rsidR="00BF79EA" w:rsidRPr="00D665B9" w:rsidRDefault="00BF79EA" w:rsidP="00087362">
            <w:pPr>
              <w:jc w:val="center"/>
              <w:rPr>
                <w:sz w:val="22"/>
                <w:szCs w:val="22"/>
                <w:lang w:val="en-US"/>
              </w:rPr>
            </w:pPr>
          </w:p>
        </w:tc>
        <w:tc>
          <w:tcPr>
            <w:tcW w:w="2778" w:type="dxa"/>
            <w:tcBorders>
              <w:left w:val="single" w:sz="12" w:space="0" w:color="548DD4" w:themeColor="text2" w:themeTint="99"/>
              <w:right w:val="single" w:sz="12" w:space="0" w:color="548DD4" w:themeColor="text2" w:themeTint="99"/>
            </w:tcBorders>
            <w:vAlign w:val="center"/>
          </w:tcPr>
          <w:p w:rsidR="00BF79EA" w:rsidRPr="00D665B9" w:rsidRDefault="00BF79EA" w:rsidP="00087362">
            <w:pPr>
              <w:jc w:val="center"/>
              <w:rPr>
                <w:sz w:val="22"/>
                <w:szCs w:val="22"/>
                <w:lang w:val="en-US"/>
              </w:rPr>
            </w:pPr>
            <w:r w:rsidRPr="00D665B9">
              <w:rPr>
                <w:noProof/>
                <w:sz w:val="22"/>
                <w:szCs w:val="22"/>
              </w:rPr>
              <w:drawing>
                <wp:inline distT="0" distB="0" distL="0" distR="0" wp14:anchorId="3E004745" wp14:editId="2BBAF038">
                  <wp:extent cx="1438275" cy="892175"/>
                  <wp:effectExtent l="1905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srcRect/>
                          <a:stretch>
                            <a:fillRect/>
                          </a:stretch>
                        </pic:blipFill>
                        <pic:spPr bwMode="auto">
                          <a:xfrm>
                            <a:off x="0" y="0"/>
                            <a:ext cx="1438275" cy="892175"/>
                          </a:xfrm>
                          <a:prstGeom prst="rect">
                            <a:avLst/>
                          </a:prstGeom>
                          <a:noFill/>
                          <a:ln w="9525">
                            <a:noFill/>
                            <a:miter lim="800000"/>
                            <a:headEnd/>
                            <a:tailEnd/>
                          </a:ln>
                        </pic:spPr>
                      </pic:pic>
                    </a:graphicData>
                  </a:graphic>
                </wp:inline>
              </w:drawing>
            </w:r>
          </w:p>
        </w:tc>
      </w:tr>
      <w:tr w:rsidR="00BF79EA" w:rsidRPr="00D665B9" w:rsidTr="0048669F">
        <w:tc>
          <w:tcPr>
            <w:tcW w:w="2778" w:type="dxa"/>
            <w:tcBorders>
              <w:left w:val="single" w:sz="12" w:space="0" w:color="548DD4" w:themeColor="text2" w:themeTint="99"/>
              <w:bottom w:val="single" w:sz="12" w:space="0" w:color="548DD4" w:themeColor="text2" w:themeTint="99"/>
              <w:right w:val="single" w:sz="12" w:space="0" w:color="548DD4" w:themeColor="text2" w:themeTint="99"/>
            </w:tcBorders>
            <w:vAlign w:val="center"/>
          </w:tcPr>
          <w:p w:rsidR="00BF79EA" w:rsidRPr="00D665B9" w:rsidRDefault="00BF79EA" w:rsidP="00087362">
            <w:pPr>
              <w:jc w:val="both"/>
              <w:rPr>
                <w:sz w:val="22"/>
                <w:szCs w:val="22"/>
              </w:rPr>
            </w:pPr>
            <w:r w:rsidRPr="00D665B9">
              <w:rPr>
                <w:sz w:val="22"/>
                <w:szCs w:val="22"/>
              </w:rPr>
              <w:t>Počas toho ako pridržiavate injekčnú striekačku a injekčnú liekovku pevne spojenú vo zvislej polohe, pomaly zatláčajte piest, aby sa všetko rozpúšťadlo prenieslo do injekčnej liekovky.</w:t>
            </w:r>
          </w:p>
        </w:tc>
        <w:tc>
          <w:tcPr>
            <w:tcW w:w="283" w:type="dxa"/>
            <w:tcBorders>
              <w:left w:val="single" w:sz="12" w:space="0" w:color="548DD4" w:themeColor="text2" w:themeTint="99"/>
              <w:bottom w:val="nil"/>
              <w:right w:val="single" w:sz="12" w:space="0" w:color="548DD4" w:themeColor="text2" w:themeTint="99"/>
            </w:tcBorders>
          </w:tcPr>
          <w:p w:rsidR="00BF79EA" w:rsidRPr="00D665B9" w:rsidRDefault="00BF79EA" w:rsidP="00087362">
            <w:pPr>
              <w:jc w:val="both"/>
              <w:rPr>
                <w:sz w:val="22"/>
                <w:szCs w:val="22"/>
              </w:rPr>
            </w:pPr>
          </w:p>
        </w:tc>
        <w:tc>
          <w:tcPr>
            <w:tcW w:w="2778" w:type="dxa"/>
            <w:tcBorders>
              <w:left w:val="single" w:sz="12" w:space="0" w:color="548DD4" w:themeColor="text2" w:themeTint="99"/>
              <w:bottom w:val="single" w:sz="12" w:space="0" w:color="548DD4" w:themeColor="text2" w:themeTint="99"/>
              <w:right w:val="single" w:sz="12" w:space="0" w:color="548DD4" w:themeColor="text2" w:themeTint="99"/>
            </w:tcBorders>
          </w:tcPr>
          <w:p w:rsidR="00BF79EA" w:rsidRPr="00D665B9" w:rsidRDefault="00BF79EA" w:rsidP="00087362">
            <w:pPr>
              <w:jc w:val="both"/>
              <w:rPr>
                <w:sz w:val="22"/>
                <w:szCs w:val="22"/>
              </w:rPr>
            </w:pPr>
            <w:r w:rsidRPr="00D665B9">
              <w:rPr>
                <w:sz w:val="22"/>
                <w:szCs w:val="22"/>
              </w:rPr>
              <w:t>S injekčnou striekačkou stále pripojenou k injekčnej liekovke opatrne pretrepávajte obsah injekčnej liekovky asi jednu minútu, kým sa nevytvorí rovnomerná mliečnobiela suspenzia</w:t>
            </w:r>
          </w:p>
        </w:tc>
        <w:tc>
          <w:tcPr>
            <w:tcW w:w="284" w:type="dxa"/>
            <w:tcBorders>
              <w:left w:val="single" w:sz="12" w:space="0" w:color="548DD4" w:themeColor="text2" w:themeTint="99"/>
              <w:bottom w:val="nil"/>
              <w:right w:val="single" w:sz="12" w:space="0" w:color="548DD4" w:themeColor="text2" w:themeTint="99"/>
            </w:tcBorders>
          </w:tcPr>
          <w:p w:rsidR="00BF79EA" w:rsidRPr="00D665B9" w:rsidRDefault="00BF79EA" w:rsidP="00087362">
            <w:pPr>
              <w:jc w:val="both"/>
              <w:rPr>
                <w:sz w:val="22"/>
                <w:szCs w:val="22"/>
              </w:rPr>
            </w:pPr>
          </w:p>
        </w:tc>
        <w:tc>
          <w:tcPr>
            <w:tcW w:w="2778" w:type="dxa"/>
            <w:tcBorders>
              <w:left w:val="single" w:sz="12" w:space="0" w:color="548DD4" w:themeColor="text2" w:themeTint="99"/>
              <w:bottom w:val="single" w:sz="12" w:space="0" w:color="548DD4" w:themeColor="text2" w:themeTint="99"/>
              <w:right w:val="single" w:sz="12" w:space="0" w:color="548DD4" w:themeColor="text2" w:themeTint="99"/>
            </w:tcBorders>
          </w:tcPr>
          <w:p w:rsidR="00BF79EA" w:rsidRPr="00D665B9" w:rsidRDefault="00BF79EA" w:rsidP="00087362">
            <w:pPr>
              <w:jc w:val="both"/>
              <w:rPr>
                <w:sz w:val="22"/>
                <w:szCs w:val="22"/>
              </w:rPr>
            </w:pPr>
            <w:r w:rsidRPr="00D665B9">
              <w:rPr>
                <w:sz w:val="22"/>
                <w:szCs w:val="22"/>
              </w:rPr>
              <w:t>Otočte systém dnom nahor a opatrne vyťahujte piest, aby sa resuspendovaný liek natiahol z injekčnej liekovky do injekčnej striekačky</w:t>
            </w:r>
          </w:p>
        </w:tc>
      </w:tr>
    </w:tbl>
    <w:p w:rsidR="00845D16" w:rsidRPr="00D665B9" w:rsidRDefault="00845D16" w:rsidP="00087362">
      <w:pPr>
        <w:jc w:val="both"/>
        <w:rPr>
          <w:sz w:val="22"/>
          <w:szCs w:val="22"/>
        </w:rPr>
      </w:pPr>
    </w:p>
    <w:p w:rsidR="00BF79EA" w:rsidRPr="00D665B9" w:rsidRDefault="00BF79EA" w:rsidP="00087362">
      <w:pPr>
        <w:jc w:val="both"/>
        <w:rPr>
          <w:sz w:val="22"/>
          <w:szCs w:val="22"/>
        </w:rPr>
      </w:pPr>
    </w:p>
    <w:tbl>
      <w:tblPr>
        <w:tblW w:w="0" w:type="auto"/>
        <w:tblInd w:w="1526" w:type="dxa"/>
        <w:tblLook w:val="04A0" w:firstRow="1" w:lastRow="0" w:firstColumn="1" w:lastColumn="0" w:noHBand="0" w:noVBand="1"/>
      </w:tblPr>
      <w:tblGrid>
        <w:gridCol w:w="2887"/>
        <w:gridCol w:w="283"/>
        <w:gridCol w:w="3006"/>
      </w:tblGrid>
      <w:tr w:rsidR="00BF79EA" w:rsidRPr="00D665B9" w:rsidTr="0048669F">
        <w:trPr>
          <w:trHeight w:val="171"/>
        </w:trPr>
        <w:tc>
          <w:tcPr>
            <w:tcW w:w="2887" w:type="dxa"/>
            <w:tcBorders>
              <w:top w:val="single" w:sz="12" w:space="0" w:color="548DD4" w:themeColor="text2" w:themeTint="99"/>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r w:rsidRPr="00D665B9">
              <w:rPr>
                <w:color w:val="548DD4" w:themeColor="text2" w:themeTint="99"/>
                <w:sz w:val="22"/>
                <w:szCs w:val="22"/>
              </w:rPr>
              <w:t>7</w:t>
            </w:r>
          </w:p>
        </w:tc>
        <w:tc>
          <w:tcPr>
            <w:tcW w:w="283" w:type="dxa"/>
            <w:tcBorders>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p>
        </w:tc>
        <w:tc>
          <w:tcPr>
            <w:tcW w:w="2841" w:type="dxa"/>
            <w:tcBorders>
              <w:top w:val="single" w:sz="12" w:space="0" w:color="548DD4" w:themeColor="text2" w:themeTint="99"/>
              <w:left w:val="single" w:sz="12" w:space="0" w:color="548DD4" w:themeColor="text2" w:themeTint="99"/>
              <w:right w:val="single" w:sz="12" w:space="0" w:color="548DD4" w:themeColor="text2" w:themeTint="99"/>
            </w:tcBorders>
          </w:tcPr>
          <w:p w:rsidR="00BF79EA" w:rsidRPr="00D665B9" w:rsidRDefault="00BF79EA" w:rsidP="00087362">
            <w:pPr>
              <w:jc w:val="both"/>
              <w:rPr>
                <w:color w:val="548DD4" w:themeColor="text2" w:themeTint="99"/>
                <w:sz w:val="22"/>
                <w:szCs w:val="22"/>
                <w:lang w:val="en-US"/>
              </w:rPr>
            </w:pPr>
            <w:r w:rsidRPr="00D665B9">
              <w:rPr>
                <w:color w:val="548DD4" w:themeColor="text2" w:themeTint="99"/>
                <w:sz w:val="22"/>
                <w:szCs w:val="22"/>
              </w:rPr>
              <w:t>8</w:t>
            </w:r>
          </w:p>
        </w:tc>
      </w:tr>
      <w:tr w:rsidR="00BF79EA" w:rsidRPr="00D665B9" w:rsidTr="0048669F">
        <w:tc>
          <w:tcPr>
            <w:tcW w:w="2887" w:type="dxa"/>
            <w:tcBorders>
              <w:left w:val="single" w:sz="12" w:space="0" w:color="548DD4" w:themeColor="text2" w:themeTint="99"/>
              <w:right w:val="single" w:sz="12" w:space="0" w:color="548DD4" w:themeColor="text2" w:themeTint="99"/>
            </w:tcBorders>
            <w:vAlign w:val="center"/>
          </w:tcPr>
          <w:p w:rsidR="00BF79EA" w:rsidRPr="00D665B9" w:rsidRDefault="00BF79EA" w:rsidP="00087362">
            <w:pPr>
              <w:jc w:val="center"/>
              <w:rPr>
                <w:sz w:val="22"/>
                <w:szCs w:val="22"/>
                <w:lang w:val="en-US"/>
              </w:rPr>
            </w:pPr>
            <w:r w:rsidRPr="00D665B9">
              <w:rPr>
                <w:noProof/>
                <w:sz w:val="22"/>
                <w:szCs w:val="22"/>
              </w:rPr>
              <w:drawing>
                <wp:inline distT="0" distB="0" distL="0" distR="0" wp14:anchorId="22334441" wp14:editId="23CE2B63">
                  <wp:extent cx="1505585" cy="1014730"/>
                  <wp:effectExtent l="1905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1505585" cy="1014730"/>
                          </a:xfrm>
                          <a:prstGeom prst="rect">
                            <a:avLst/>
                          </a:prstGeom>
                          <a:noFill/>
                          <a:ln w="9525">
                            <a:noFill/>
                            <a:miter lim="800000"/>
                            <a:headEnd/>
                            <a:tailEnd/>
                          </a:ln>
                        </pic:spPr>
                      </pic:pic>
                    </a:graphicData>
                  </a:graphic>
                </wp:inline>
              </w:drawing>
            </w:r>
            <w:r w:rsidR="00E4370B">
              <w:rPr>
                <w:noProof/>
                <w:sz w:val="22"/>
                <w:szCs w:val="22"/>
              </w:rPr>
              <mc:AlternateContent>
                <mc:Choice Requires="wps">
                  <w:drawing>
                    <wp:anchor distT="0" distB="0" distL="114300" distR="114300" simplePos="0" relativeHeight="251661312" behindDoc="0" locked="0" layoutInCell="1" allowOverlap="1" wp14:anchorId="37632A2A" wp14:editId="725565BF">
                      <wp:simplePos x="0" y="0"/>
                      <wp:positionH relativeFrom="column">
                        <wp:posOffset>27940</wp:posOffset>
                      </wp:positionH>
                      <wp:positionV relativeFrom="paragraph">
                        <wp:posOffset>8890</wp:posOffset>
                      </wp:positionV>
                      <wp:extent cx="212725" cy="118110"/>
                      <wp:effectExtent l="0" t="0" r="15875" b="1524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181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B06863" id="Rectangle 8" o:spid="_x0000_s1026" style="position:absolute;margin-left:2.2pt;margin-top:.7pt;width:16.7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" strokecolor="white"/>
                  </w:pict>
                </mc:Fallback>
              </mc:AlternateContent>
            </w:r>
          </w:p>
        </w:tc>
        <w:tc>
          <w:tcPr>
            <w:tcW w:w="283" w:type="dxa"/>
            <w:tcBorders>
              <w:left w:val="single" w:sz="12" w:space="0" w:color="548DD4" w:themeColor="text2" w:themeTint="99"/>
              <w:right w:val="single" w:sz="12" w:space="0" w:color="548DD4" w:themeColor="text2" w:themeTint="99"/>
            </w:tcBorders>
            <w:vAlign w:val="center"/>
          </w:tcPr>
          <w:p w:rsidR="00BF79EA" w:rsidRPr="00D665B9" w:rsidRDefault="00BF79EA" w:rsidP="00087362">
            <w:pPr>
              <w:jc w:val="center"/>
              <w:rPr>
                <w:sz w:val="22"/>
                <w:szCs w:val="22"/>
                <w:lang w:val="en-US"/>
              </w:rPr>
            </w:pPr>
          </w:p>
        </w:tc>
        <w:tc>
          <w:tcPr>
            <w:tcW w:w="2841" w:type="dxa"/>
            <w:tcBorders>
              <w:left w:val="single" w:sz="12" w:space="0" w:color="548DD4" w:themeColor="text2" w:themeTint="99"/>
              <w:right w:val="single" w:sz="12" w:space="0" w:color="548DD4" w:themeColor="text2" w:themeTint="99"/>
            </w:tcBorders>
            <w:vAlign w:val="center"/>
          </w:tcPr>
          <w:p w:rsidR="00BF79EA" w:rsidRPr="00D665B9" w:rsidRDefault="00BF79EA" w:rsidP="00087362">
            <w:pPr>
              <w:jc w:val="center"/>
              <w:rPr>
                <w:sz w:val="22"/>
                <w:szCs w:val="22"/>
                <w:lang w:val="en-US"/>
              </w:rPr>
            </w:pPr>
            <w:r w:rsidRPr="00D665B9">
              <w:rPr>
                <w:noProof/>
                <w:sz w:val="22"/>
                <w:szCs w:val="22"/>
              </w:rPr>
              <w:drawing>
                <wp:inline distT="0" distB="0" distL="0" distR="0" wp14:anchorId="512D3E15" wp14:editId="4FB38278">
                  <wp:extent cx="1750695" cy="758190"/>
                  <wp:effectExtent l="19050" t="0" r="190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srcRect/>
                          <a:stretch>
                            <a:fillRect/>
                          </a:stretch>
                        </pic:blipFill>
                        <pic:spPr bwMode="auto">
                          <a:xfrm>
                            <a:off x="0" y="0"/>
                            <a:ext cx="1750695" cy="758190"/>
                          </a:xfrm>
                          <a:prstGeom prst="rect">
                            <a:avLst/>
                          </a:prstGeom>
                          <a:noFill/>
                          <a:ln w="9525">
                            <a:noFill/>
                            <a:miter lim="800000"/>
                            <a:headEnd/>
                            <a:tailEnd/>
                          </a:ln>
                        </pic:spPr>
                      </pic:pic>
                    </a:graphicData>
                  </a:graphic>
                </wp:inline>
              </w:drawing>
            </w:r>
          </w:p>
        </w:tc>
      </w:tr>
      <w:tr w:rsidR="00BF79EA" w:rsidRPr="00D665B9" w:rsidTr="0048669F">
        <w:tc>
          <w:tcPr>
            <w:tcW w:w="2887" w:type="dxa"/>
            <w:tcBorders>
              <w:left w:val="single" w:sz="12" w:space="0" w:color="548DD4" w:themeColor="text2" w:themeTint="99"/>
              <w:bottom w:val="single" w:sz="12" w:space="0" w:color="548DD4" w:themeColor="text2" w:themeTint="99"/>
              <w:right w:val="single" w:sz="12" w:space="0" w:color="548DD4" w:themeColor="text2" w:themeTint="99"/>
            </w:tcBorders>
            <w:vAlign w:val="center"/>
          </w:tcPr>
          <w:p w:rsidR="00BF79EA" w:rsidRPr="00D665B9" w:rsidRDefault="00BF79EA" w:rsidP="00087362">
            <w:pPr>
              <w:jc w:val="both"/>
              <w:rPr>
                <w:sz w:val="22"/>
                <w:szCs w:val="22"/>
                <w:lang w:val="en-US"/>
              </w:rPr>
            </w:pPr>
            <w:r w:rsidRPr="00D665B9">
              <w:rPr>
                <w:sz w:val="22"/>
                <w:szCs w:val="22"/>
              </w:rPr>
              <w:t>Odpojte injekčnú striekačku a ihlu od adaptéra otáčaním hornej časti adaptéra proti smeru hodinových ručičiek. Liek je pripravený na použitie.</w:t>
            </w:r>
          </w:p>
        </w:tc>
        <w:tc>
          <w:tcPr>
            <w:tcW w:w="283" w:type="dxa"/>
            <w:tcBorders>
              <w:left w:val="single" w:sz="12" w:space="0" w:color="548DD4" w:themeColor="text2" w:themeTint="99"/>
              <w:bottom w:val="nil"/>
              <w:right w:val="single" w:sz="12" w:space="0" w:color="548DD4" w:themeColor="text2" w:themeTint="99"/>
            </w:tcBorders>
          </w:tcPr>
          <w:p w:rsidR="00BF79EA" w:rsidRPr="00D665B9" w:rsidRDefault="00BF79EA" w:rsidP="00087362">
            <w:pPr>
              <w:jc w:val="both"/>
              <w:rPr>
                <w:sz w:val="22"/>
                <w:szCs w:val="22"/>
                <w:lang w:val="en-US"/>
              </w:rPr>
            </w:pPr>
          </w:p>
        </w:tc>
        <w:tc>
          <w:tcPr>
            <w:tcW w:w="2841" w:type="dxa"/>
            <w:tcBorders>
              <w:left w:val="single" w:sz="12" w:space="0" w:color="548DD4" w:themeColor="text2" w:themeTint="99"/>
              <w:bottom w:val="single" w:sz="12" w:space="0" w:color="548DD4" w:themeColor="text2" w:themeTint="99"/>
              <w:right w:val="single" w:sz="12" w:space="0" w:color="548DD4" w:themeColor="text2" w:themeTint="99"/>
            </w:tcBorders>
          </w:tcPr>
          <w:p w:rsidR="00BF79EA" w:rsidRPr="00D665B9" w:rsidRDefault="00BF79EA" w:rsidP="00087362">
            <w:pPr>
              <w:jc w:val="both"/>
              <w:rPr>
                <w:sz w:val="22"/>
                <w:szCs w:val="22"/>
                <w:lang w:val="en-US"/>
              </w:rPr>
            </w:pPr>
            <w:r w:rsidRPr="00D665B9">
              <w:rPr>
                <w:sz w:val="22"/>
                <w:szCs w:val="22"/>
              </w:rPr>
              <w:t>Vyčistite miesto vpichu tampónom namočenom v liehu a nechajte pokožku uschnúť.</w:t>
            </w:r>
          </w:p>
          <w:p w:rsidR="00BF79EA" w:rsidRPr="00D665B9" w:rsidRDefault="00BF79EA" w:rsidP="00087362">
            <w:pPr>
              <w:jc w:val="both"/>
              <w:rPr>
                <w:sz w:val="22"/>
                <w:szCs w:val="22"/>
                <w:lang w:val="en-US"/>
              </w:rPr>
            </w:pPr>
            <w:r w:rsidRPr="00D665B9">
              <w:rPr>
                <w:sz w:val="22"/>
                <w:szCs w:val="22"/>
              </w:rPr>
              <w:t>Podajte injekčne suspenziu intramuskulárne do horného vonkajšieho kvadrantu sedacieho svalu.</w:t>
            </w:r>
          </w:p>
        </w:tc>
      </w:tr>
    </w:tbl>
    <w:p w:rsidR="008B1800" w:rsidRDefault="008B1800" w:rsidP="00087362">
      <w:pPr>
        <w:jc w:val="both"/>
        <w:rPr>
          <w:sz w:val="22"/>
          <w:szCs w:val="22"/>
        </w:rPr>
      </w:pPr>
    </w:p>
    <w:p w:rsidR="00147580" w:rsidRPr="00D665B9" w:rsidRDefault="00147580" w:rsidP="00087362">
      <w:pPr>
        <w:jc w:val="both"/>
        <w:rPr>
          <w:sz w:val="22"/>
          <w:szCs w:val="22"/>
        </w:rPr>
      </w:pPr>
      <w:r w:rsidRPr="00D665B9">
        <w:rPr>
          <w:sz w:val="22"/>
          <w:szCs w:val="22"/>
        </w:rPr>
        <w:t>Časť lieku môže byť zachytená na stene liekovky v podobe stuhnutej vrstvy alebo hrudiek. To sa považuje za normálne. Počas výroby lieku sa liekovka naplní nadbytkom produktu, aby sa zaistilo, že je podaná konečná dávka 22,5 mg leuprorelíniumacetátu.</w:t>
      </w:r>
    </w:p>
    <w:sectPr w:rsidR="00147580" w:rsidRPr="00D665B9" w:rsidSect="00EE2BA1">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EEC" w:rsidRDefault="00291EEC">
      <w:r>
        <w:separator/>
      </w:r>
    </w:p>
  </w:endnote>
  <w:endnote w:type="continuationSeparator" w:id="0">
    <w:p w:rsidR="00291EEC" w:rsidRDefault="0029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4F" w:rsidRDefault="0030274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32367547"/>
      <w:docPartObj>
        <w:docPartGallery w:val="Page Numbers (Bottom of Page)"/>
        <w:docPartUnique/>
      </w:docPartObj>
    </w:sdtPr>
    <w:sdtEndPr/>
    <w:sdtContent>
      <w:p w:rsidR="00FC4870" w:rsidRPr="00BE4644" w:rsidRDefault="00FC4870">
        <w:pPr>
          <w:pStyle w:val="Pta"/>
          <w:jc w:val="center"/>
          <w:rPr>
            <w:sz w:val="18"/>
            <w:szCs w:val="18"/>
          </w:rPr>
        </w:pPr>
        <w:r w:rsidRPr="00BE4644">
          <w:rPr>
            <w:sz w:val="18"/>
            <w:szCs w:val="18"/>
          </w:rPr>
          <w:fldChar w:fldCharType="begin"/>
        </w:r>
        <w:r w:rsidRPr="00BE4644">
          <w:rPr>
            <w:sz w:val="18"/>
            <w:szCs w:val="18"/>
          </w:rPr>
          <w:instrText>PAGE   \* MERGEFORMAT</w:instrText>
        </w:r>
        <w:r w:rsidRPr="00BE4644">
          <w:rPr>
            <w:sz w:val="18"/>
            <w:szCs w:val="18"/>
          </w:rPr>
          <w:fldChar w:fldCharType="separate"/>
        </w:r>
        <w:r w:rsidR="00B414F4">
          <w:rPr>
            <w:noProof/>
            <w:sz w:val="18"/>
            <w:szCs w:val="18"/>
          </w:rPr>
          <w:t>6</w:t>
        </w:r>
        <w:r w:rsidRPr="00BE4644">
          <w:rPr>
            <w:sz w:val="18"/>
            <w:szCs w:val="18"/>
          </w:rPr>
          <w:fldChar w:fldCharType="end"/>
        </w:r>
      </w:p>
    </w:sdtContent>
  </w:sdt>
  <w:p w:rsidR="00FC4870" w:rsidRDefault="00FC4870" w:rsidP="00FC487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025342"/>
      <w:docPartObj>
        <w:docPartGallery w:val="Page Numbers (Bottom of Page)"/>
        <w:docPartUnique/>
      </w:docPartObj>
    </w:sdtPr>
    <w:sdtEndPr>
      <w:rPr>
        <w:sz w:val="18"/>
        <w:szCs w:val="18"/>
      </w:rPr>
    </w:sdtEndPr>
    <w:sdtContent>
      <w:p w:rsidR="00FC4870" w:rsidRPr="00BE4644" w:rsidRDefault="00FC4870">
        <w:pPr>
          <w:pStyle w:val="Pta"/>
          <w:jc w:val="center"/>
          <w:rPr>
            <w:sz w:val="18"/>
            <w:szCs w:val="18"/>
          </w:rPr>
        </w:pPr>
        <w:r w:rsidRPr="00BE4644">
          <w:rPr>
            <w:sz w:val="18"/>
            <w:szCs w:val="18"/>
          </w:rPr>
          <w:fldChar w:fldCharType="begin"/>
        </w:r>
        <w:r w:rsidRPr="00BE4644">
          <w:rPr>
            <w:sz w:val="18"/>
            <w:szCs w:val="18"/>
          </w:rPr>
          <w:instrText>PAGE   \* MERGEFORMAT</w:instrText>
        </w:r>
        <w:r w:rsidRPr="00BE4644">
          <w:rPr>
            <w:sz w:val="18"/>
            <w:szCs w:val="18"/>
          </w:rPr>
          <w:fldChar w:fldCharType="separate"/>
        </w:r>
        <w:r w:rsidR="00B414F4">
          <w:rPr>
            <w:noProof/>
            <w:sz w:val="18"/>
            <w:szCs w:val="18"/>
          </w:rPr>
          <w:t>1</w:t>
        </w:r>
        <w:r w:rsidRPr="00BE4644">
          <w:rPr>
            <w:sz w:val="18"/>
            <w:szCs w:val="18"/>
          </w:rPr>
          <w:fldChar w:fldCharType="end"/>
        </w:r>
      </w:p>
    </w:sdtContent>
  </w:sdt>
  <w:p w:rsidR="00FC4870" w:rsidRDefault="00FC487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EEC" w:rsidRDefault="00291EEC">
      <w:r>
        <w:separator/>
      </w:r>
    </w:p>
  </w:footnote>
  <w:footnote w:type="continuationSeparator" w:id="0">
    <w:p w:rsidR="00291EEC" w:rsidRDefault="00291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4F" w:rsidRDefault="0030274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77" w:rsidRPr="0022053D" w:rsidRDefault="005A6677" w:rsidP="00C7509F">
    <w:pPr>
      <w:pStyle w:val="Hlavika"/>
      <w:rPr>
        <w:sz w:val="2"/>
        <w:szCs w:val="2"/>
      </w:rPr>
    </w:pPr>
  </w:p>
  <w:p w:rsidR="005A6677" w:rsidRPr="00C7509F" w:rsidRDefault="005A6677" w:rsidP="00C7509F">
    <w:pPr>
      <w:pStyle w:val="Hlavika"/>
      <w:rPr>
        <w:rFonts w:eastAsia="MS Mincho"/>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864" w:rsidRPr="00311C5A" w:rsidRDefault="009A7864" w:rsidP="009A7864">
    <w:pPr>
      <w:rPr>
        <w:bCs/>
        <w:sz w:val="18"/>
        <w:szCs w:val="18"/>
      </w:rPr>
    </w:pPr>
    <w:bookmarkStart w:id="2" w:name="_Hlk497148454"/>
    <w:r w:rsidRPr="00311C5A">
      <w:rPr>
        <w:bCs/>
        <w:sz w:val="18"/>
        <w:szCs w:val="18"/>
      </w:rPr>
      <w:t>Schválený text k rozhodnutiu o prevode, ev. č.:</w:t>
    </w:r>
    <w:r>
      <w:rPr>
        <w:bCs/>
        <w:sz w:val="18"/>
        <w:szCs w:val="18"/>
      </w:rPr>
      <w:t xml:space="preserve"> </w:t>
    </w:r>
    <w:r w:rsidR="0030274F" w:rsidRPr="0030274F">
      <w:rPr>
        <w:bCs/>
        <w:sz w:val="18"/>
        <w:szCs w:val="18"/>
      </w:rPr>
      <w:t>2017/05876-TR</w:t>
    </w:r>
  </w:p>
  <w:bookmarkEnd w:id="2"/>
  <w:p w:rsidR="00D665B9" w:rsidRPr="00EE2BA1" w:rsidRDefault="00D665B9" w:rsidP="00D665B9">
    <w:pPr>
      <w:pStyle w:val="Hlavika"/>
      <w:rPr>
        <w:sz w:val="18"/>
        <w:szCs w:val="18"/>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A9EA66"/>
    <w:multiLevelType w:val="hybridMultilevel"/>
    <w:tmpl w:val="F1FB3D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93277E5"/>
    <w:multiLevelType w:val="hybridMultilevel"/>
    <w:tmpl w:val="0034355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17650"/>
    <w:multiLevelType w:val="hybridMultilevel"/>
    <w:tmpl w:val="830ABED8"/>
    <w:lvl w:ilvl="0" w:tplc="3A7AA98A">
      <w:start w:val="2"/>
      <w:numFmt w:val="bullet"/>
      <w:lvlText w:val="-"/>
      <w:lvlJc w:val="left"/>
      <w:pPr>
        <w:ind w:left="1065" w:hanging="360"/>
      </w:pPr>
      <w:rPr>
        <w:rFonts w:ascii="Tahoma" w:eastAsia="Times New Roman" w:hAnsi="Tahoma" w:cs="Tahom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nsid w:val="13D17D58"/>
    <w:multiLevelType w:val="multilevel"/>
    <w:tmpl w:val="D4EA99F0"/>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nsid w:val="15063674"/>
    <w:multiLevelType w:val="hybridMultilevel"/>
    <w:tmpl w:val="B1FC9A62"/>
    <w:lvl w:ilvl="0" w:tplc="0C0A0011">
      <w:start w:val="1"/>
      <w:numFmt w:val="decimal"/>
      <w:lvlText w:val="%1)"/>
      <w:lvlJc w:val="left"/>
      <w:pPr>
        <w:ind w:left="360" w:hanging="360"/>
      </w:pPr>
      <w:rPr>
        <w:rFonts w:hint="default"/>
      </w:rPr>
    </w:lvl>
    <w:lvl w:ilvl="1" w:tplc="1888A0F4">
      <w:start w:val="1"/>
      <w:numFmt w:val="bullet"/>
      <w:lvlText w:val="-"/>
      <w:lvlJc w:val="left"/>
      <w:pPr>
        <w:tabs>
          <w:tab w:val="num" w:pos="1080"/>
        </w:tabs>
        <w:ind w:left="1080" w:hanging="360"/>
      </w:pPr>
      <w:rPr>
        <w:rFonts w:ascii="Times New Roman" w:eastAsia="Times New Roman" w:hAnsi="Times New Roman"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F813D9F"/>
    <w:multiLevelType w:val="hybridMultilevel"/>
    <w:tmpl w:val="136A39A4"/>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1FC0487"/>
    <w:multiLevelType w:val="hybridMultilevel"/>
    <w:tmpl w:val="D17E51F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98216A2"/>
    <w:multiLevelType w:val="multilevel"/>
    <w:tmpl w:val="F0604F3A"/>
    <w:lvl w:ilvl="0">
      <w:start w:val="4"/>
      <w:numFmt w:val="decimal"/>
      <w:lvlText w:val="%1"/>
      <w:lvlJc w:val="left"/>
      <w:pPr>
        <w:ind w:left="375" w:hanging="375"/>
      </w:pPr>
      <w:rPr>
        <w:rFonts w:hint="default"/>
      </w:rPr>
    </w:lvl>
    <w:lvl w:ilvl="1">
      <w:start w:val="6"/>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9">
    <w:nsid w:val="32C01F82"/>
    <w:multiLevelType w:val="hybridMultilevel"/>
    <w:tmpl w:val="DDAA76D0"/>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378E78A1"/>
    <w:multiLevelType w:val="multilevel"/>
    <w:tmpl w:val="1F681B78"/>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3A201F09"/>
    <w:multiLevelType w:val="hybridMultilevel"/>
    <w:tmpl w:val="8BB8A2D2"/>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3CAB2369"/>
    <w:multiLevelType w:val="hybridMultilevel"/>
    <w:tmpl w:val="7A68598C"/>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3E5E69D1"/>
    <w:multiLevelType w:val="hybridMultilevel"/>
    <w:tmpl w:val="84509A12"/>
    <w:lvl w:ilvl="0" w:tplc="FFFFFFFF">
      <w:start w:val="1"/>
      <w:numFmt w:val="bullet"/>
      <w:lvlText w:val="-"/>
      <w:lvlJc w:val="left"/>
      <w:pPr>
        <w:ind w:left="72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6A63D4"/>
    <w:multiLevelType w:val="hybridMultilevel"/>
    <w:tmpl w:val="1BFE2B88"/>
    <w:lvl w:ilvl="0" w:tplc="E5BC225C">
      <w:start w:val="1"/>
      <w:numFmt w:val="decimal"/>
      <w:lvlText w:val="6.%1"/>
      <w:lvlJc w:val="left"/>
      <w:pPr>
        <w:ind w:left="360" w:hanging="360"/>
      </w:pPr>
      <w:rPr>
        <w:rFonts w:hint="default"/>
      </w:rPr>
    </w:lvl>
    <w:lvl w:ilvl="1" w:tplc="8F30BC36">
      <w:start w:val="1"/>
      <w:numFmt w:val="decimal"/>
      <w:lvlText w:val="6.%2"/>
      <w:lvlJc w:val="left"/>
      <w:pPr>
        <w:ind w:left="360" w:hanging="360"/>
      </w:pPr>
      <w:rPr>
        <w:rFonts w:hint="default"/>
      </w:r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15">
    <w:nsid w:val="49C83C69"/>
    <w:multiLevelType w:val="hybridMultilevel"/>
    <w:tmpl w:val="7A685528"/>
    <w:lvl w:ilvl="0" w:tplc="7CDED180">
      <w:start w:val="1"/>
      <w:numFmt w:val="decimal"/>
      <w:lvlText w:val="4.%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54C70AC6"/>
    <w:multiLevelType w:val="hybridMultilevel"/>
    <w:tmpl w:val="70643068"/>
    <w:lvl w:ilvl="0" w:tplc="5A54ACFC">
      <w:start w:val="1"/>
      <w:numFmt w:val="decimal"/>
      <w:lvlText w:val="5.%1"/>
      <w:lvlJc w:val="left"/>
      <w:pPr>
        <w:ind w:left="360" w:hanging="360"/>
      </w:pPr>
      <w:rPr>
        <w:rFonts w:hint="default"/>
      </w:rPr>
    </w:lvl>
    <w:lvl w:ilvl="1" w:tplc="614E7FD4">
      <w:start w:val="1"/>
      <w:numFmt w:val="decimal"/>
      <w:lvlText w:val="5.%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E691ECA"/>
    <w:multiLevelType w:val="multilevel"/>
    <w:tmpl w:val="C0B4504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5751814"/>
    <w:multiLevelType w:val="multilevel"/>
    <w:tmpl w:val="1E9CADF2"/>
    <w:lvl w:ilvl="0">
      <w:numFmt w:val="none"/>
      <w:lvlText w:val="2.5.1"/>
      <w:lvlJc w:val="left"/>
      <w:pPr>
        <w:tabs>
          <w:tab w:val="num" w:pos="1134"/>
        </w:tabs>
        <w:ind w:left="1134" w:hanging="1134"/>
      </w:pPr>
      <w:rPr>
        <w:rFonts w:ascii="Times New Roman" w:hAnsi="Times New Roman" w:hint="default"/>
        <w:b/>
        <w:i w:val="0"/>
        <w:caps/>
        <w:vanish w:val="0"/>
        <w:sz w:val="22"/>
        <w:szCs w:val="22"/>
      </w:rPr>
    </w:lvl>
    <w:lvl w:ilvl="1">
      <w:start w:val="1"/>
      <w:numFmt w:val="decimal"/>
      <w:lvlText w:val="2.5.%2%1"/>
      <w:lvlJc w:val="left"/>
      <w:pPr>
        <w:tabs>
          <w:tab w:val="num" w:pos="1134"/>
        </w:tabs>
        <w:ind w:left="1134" w:hanging="1134"/>
      </w:pPr>
      <w:rPr>
        <w:rFonts w:ascii="Times New Roman" w:hAnsi="Times New Roman" w:hint="default"/>
        <w:b/>
        <w:i w:val="0"/>
        <w:caps/>
        <w:sz w:val="24"/>
        <w:szCs w:val="24"/>
      </w:rPr>
    </w:lvl>
    <w:lvl w:ilvl="2">
      <w:start w:val="1"/>
      <w:numFmt w:val="decimal"/>
      <w:lvlRestart w:val="0"/>
      <w:pStyle w:val="Estilo2"/>
      <w:lvlText w:val="2.5.4.3.%3"/>
      <w:lvlJc w:val="left"/>
      <w:pPr>
        <w:tabs>
          <w:tab w:val="num" w:pos="0"/>
        </w:tabs>
        <w:ind w:left="1134" w:hanging="1134"/>
      </w:pPr>
      <w:rPr>
        <w:rFonts w:ascii="Times New Roman" w:hAnsi="Times New Roman" w:hint="default"/>
        <w:b w:val="0"/>
        <w:i w:val="0"/>
        <w:color w:val="auto"/>
        <w:sz w:val="22"/>
        <w:szCs w:val="22"/>
      </w:rPr>
    </w:lvl>
    <w:lvl w:ilvl="3">
      <w:start w:val="1"/>
      <w:numFmt w:val="decimal"/>
      <w:lvlText w:val="%12.5.%4"/>
      <w:lvlJc w:val="left"/>
      <w:pPr>
        <w:tabs>
          <w:tab w:val="num" w:pos="539"/>
        </w:tabs>
        <w:ind w:left="1674" w:hanging="1134"/>
      </w:pPr>
      <w:rPr>
        <w:rFonts w:ascii="Times New Roman" w:hAnsi="Times New Roman" w:hint="default"/>
        <w:b/>
        <w:i w:val="0"/>
        <w:sz w:val="22"/>
        <w:szCs w:val="22"/>
      </w:rPr>
    </w:lvl>
    <w:lvl w:ilvl="4">
      <w:start w:val="1"/>
      <w:numFmt w:val="decimal"/>
      <w:lvlText w:val="%5%1.2.6.3.2"/>
      <w:lvlJc w:val="left"/>
      <w:pPr>
        <w:tabs>
          <w:tab w:val="num" w:pos="1854"/>
        </w:tabs>
        <w:ind w:left="1854" w:hanging="1134"/>
      </w:pPr>
      <w:rPr>
        <w:rFonts w:ascii="Times New Roman" w:hAnsi="Times New Roman" w:hint="default"/>
        <w:b/>
        <w:i/>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0">
    <w:nsid w:val="6DBA3BAF"/>
    <w:multiLevelType w:val="multilevel"/>
    <w:tmpl w:val="607C058A"/>
    <w:lvl w:ilvl="0">
      <w:start w:val="4"/>
      <w:numFmt w:val="decimal"/>
      <w:lvlText w:val="%1."/>
      <w:lvlJc w:val="left"/>
      <w:pPr>
        <w:tabs>
          <w:tab w:val="num" w:pos="1353"/>
        </w:tabs>
        <w:ind w:left="1353" w:hanging="360"/>
      </w:pPr>
      <w:rPr>
        <w:rFonts w:hint="default"/>
        <w:b/>
        <w:bCs w:val="0"/>
        <w:i w:val="0"/>
        <w:iCs w:val="0"/>
      </w:rPr>
    </w:lvl>
    <w:lvl w:ilvl="1">
      <w:start w:val="1"/>
      <w:numFmt w:val="decimal"/>
      <w:lvlText w:val="%1.%2"/>
      <w:lvlJc w:val="left"/>
      <w:pPr>
        <w:tabs>
          <w:tab w:val="num" w:pos="1983"/>
        </w:tabs>
        <w:ind w:left="1983" w:hanging="990"/>
      </w:pPr>
      <w:rPr>
        <w:rFonts w:hint="default"/>
        <w:b w:val="0"/>
        <w:bCs w:val="0"/>
      </w:rPr>
    </w:lvl>
    <w:lvl w:ilvl="2">
      <w:start w:val="1"/>
      <w:numFmt w:val="decimal"/>
      <w:lvlText w:val="%1.%2.%3"/>
      <w:lvlJc w:val="left"/>
      <w:pPr>
        <w:tabs>
          <w:tab w:val="num" w:pos="1983"/>
        </w:tabs>
        <w:ind w:left="1983" w:hanging="990"/>
      </w:pPr>
      <w:rPr>
        <w:rFonts w:hint="default"/>
        <w:b w:val="0"/>
        <w:bCs w:val="0"/>
      </w:rPr>
    </w:lvl>
    <w:lvl w:ilvl="3">
      <w:start w:val="1"/>
      <w:numFmt w:val="decimal"/>
      <w:lvlText w:val="%1.%2.%3.%4"/>
      <w:lvlJc w:val="left"/>
      <w:pPr>
        <w:tabs>
          <w:tab w:val="num" w:pos="2073"/>
        </w:tabs>
        <w:ind w:left="2073" w:hanging="1080"/>
      </w:pPr>
      <w:rPr>
        <w:rFonts w:hint="default"/>
        <w:b w:val="0"/>
        <w:bCs w:val="0"/>
      </w:rPr>
    </w:lvl>
    <w:lvl w:ilvl="4">
      <w:start w:val="1"/>
      <w:numFmt w:val="decimal"/>
      <w:lvlText w:val="%1.%2.%3.%4.%5"/>
      <w:lvlJc w:val="left"/>
      <w:pPr>
        <w:tabs>
          <w:tab w:val="num" w:pos="2433"/>
        </w:tabs>
        <w:ind w:left="2433" w:hanging="1440"/>
      </w:pPr>
      <w:rPr>
        <w:rFonts w:hint="default"/>
        <w:b w:val="0"/>
        <w:bCs w:val="0"/>
      </w:rPr>
    </w:lvl>
    <w:lvl w:ilvl="5">
      <w:start w:val="1"/>
      <w:numFmt w:val="decimal"/>
      <w:lvlText w:val="%1.%2.%3.%4.%5.%6"/>
      <w:lvlJc w:val="left"/>
      <w:pPr>
        <w:tabs>
          <w:tab w:val="num" w:pos="2793"/>
        </w:tabs>
        <w:ind w:left="2793" w:hanging="1800"/>
      </w:pPr>
      <w:rPr>
        <w:rFonts w:hint="default"/>
        <w:b w:val="0"/>
        <w:bCs w:val="0"/>
      </w:rPr>
    </w:lvl>
    <w:lvl w:ilvl="6">
      <w:start w:val="1"/>
      <w:numFmt w:val="decimal"/>
      <w:lvlText w:val="%1.%2.%3.%4.%5.%6.%7"/>
      <w:lvlJc w:val="left"/>
      <w:pPr>
        <w:tabs>
          <w:tab w:val="num" w:pos="2793"/>
        </w:tabs>
        <w:ind w:left="2793" w:hanging="1800"/>
      </w:pPr>
      <w:rPr>
        <w:rFonts w:hint="default"/>
        <w:b w:val="0"/>
        <w:bCs w:val="0"/>
      </w:rPr>
    </w:lvl>
    <w:lvl w:ilvl="7">
      <w:start w:val="1"/>
      <w:numFmt w:val="decimal"/>
      <w:lvlText w:val="%1.%2.%3.%4.%5.%6.%7.%8"/>
      <w:lvlJc w:val="left"/>
      <w:pPr>
        <w:tabs>
          <w:tab w:val="num" w:pos="3153"/>
        </w:tabs>
        <w:ind w:left="3153" w:hanging="2160"/>
      </w:pPr>
      <w:rPr>
        <w:rFonts w:hint="default"/>
        <w:b w:val="0"/>
        <w:bCs w:val="0"/>
      </w:rPr>
    </w:lvl>
    <w:lvl w:ilvl="8">
      <w:start w:val="1"/>
      <w:numFmt w:val="decimal"/>
      <w:lvlText w:val="%1.%2.%3.%4.%5.%6.%7.%8.%9"/>
      <w:lvlJc w:val="left"/>
      <w:pPr>
        <w:tabs>
          <w:tab w:val="num" w:pos="3513"/>
        </w:tabs>
        <w:ind w:left="3513" w:hanging="2520"/>
      </w:pPr>
      <w:rPr>
        <w:rFonts w:hint="default"/>
        <w:b w:val="0"/>
        <w:bCs w:val="0"/>
      </w:rPr>
    </w:lvl>
  </w:abstractNum>
  <w:abstractNum w:abstractNumId="21">
    <w:nsid w:val="7498465A"/>
    <w:multiLevelType w:val="hybridMultilevel"/>
    <w:tmpl w:val="5E369ED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7"/>
  </w:num>
  <w:num w:numId="4">
    <w:abstractNumId w:val="15"/>
  </w:num>
  <w:num w:numId="5">
    <w:abstractNumId w:val="16"/>
  </w:num>
  <w:num w:numId="6">
    <w:abstractNumId w:val="14"/>
  </w:num>
  <w:num w:numId="7">
    <w:abstractNumId w:val="9"/>
  </w:num>
  <w:num w:numId="8">
    <w:abstractNumId w:val="7"/>
  </w:num>
  <w:num w:numId="9">
    <w:abstractNumId w:val="12"/>
  </w:num>
  <w:num w:numId="10">
    <w:abstractNumId w:val="19"/>
  </w:num>
  <w:num w:numId="11">
    <w:abstractNumId w:val="1"/>
    <w:lvlOverride w:ilvl="0">
      <w:lvl w:ilvl="0">
        <w:start w:val="1"/>
        <w:numFmt w:val="bullet"/>
        <w:lvlText w:val="-"/>
        <w:legacy w:legacy="1" w:legacySpace="0" w:legacyIndent="360"/>
        <w:lvlJc w:val="left"/>
        <w:pPr>
          <w:ind w:left="360" w:hanging="360"/>
        </w:pPr>
      </w:lvl>
    </w:lvlOverride>
  </w:num>
  <w:num w:numId="12">
    <w:abstractNumId w:val="13"/>
  </w:num>
  <w:num w:numId="13">
    <w:abstractNumId w:val="2"/>
  </w:num>
  <w:num w:numId="14">
    <w:abstractNumId w:val="21"/>
  </w:num>
  <w:num w:numId="15">
    <w:abstractNumId w:val="10"/>
  </w:num>
  <w:num w:numId="16">
    <w:abstractNumId w:val="20"/>
  </w:num>
  <w:num w:numId="17">
    <w:abstractNumId w:val="8"/>
  </w:num>
  <w:num w:numId="18">
    <w:abstractNumId w:val="11"/>
  </w:num>
  <w:num w:numId="19">
    <w:abstractNumId w:val="18"/>
  </w:num>
  <w:num w:numId="20">
    <w:abstractNumId w:val="18"/>
    <w:lvlOverride w:ilvl="0">
      <w:lvl w:ilvl="0">
        <w:numFmt w:val="none"/>
        <w:lvlText w:val="2.5.1"/>
        <w:lvlJc w:val="left"/>
        <w:pPr>
          <w:tabs>
            <w:tab w:val="num" w:pos="1134"/>
          </w:tabs>
          <w:ind w:left="1134" w:hanging="1134"/>
        </w:pPr>
        <w:rPr>
          <w:rFonts w:ascii="Times New Roman" w:hAnsi="Times New Roman" w:hint="default"/>
          <w:b/>
          <w:i w:val="0"/>
          <w:caps/>
          <w:vanish w:val="0"/>
          <w:sz w:val="22"/>
          <w:szCs w:val="22"/>
        </w:rPr>
      </w:lvl>
    </w:lvlOverride>
    <w:lvlOverride w:ilvl="1">
      <w:lvl w:ilvl="1">
        <w:start w:val="1"/>
        <w:numFmt w:val="decimal"/>
        <w:lvlText w:val="2.5.%2%1"/>
        <w:lvlJc w:val="left"/>
        <w:pPr>
          <w:tabs>
            <w:tab w:val="num" w:pos="1134"/>
          </w:tabs>
          <w:ind w:left="1134" w:hanging="1134"/>
        </w:pPr>
        <w:rPr>
          <w:rFonts w:ascii="Times New Roman" w:hAnsi="Times New Roman" w:hint="default"/>
          <w:b/>
          <w:i w:val="0"/>
          <w:caps/>
          <w:sz w:val="24"/>
          <w:szCs w:val="24"/>
        </w:rPr>
      </w:lvl>
    </w:lvlOverride>
    <w:lvlOverride w:ilvl="2">
      <w:lvl w:ilvl="2">
        <w:start w:val="1"/>
        <w:numFmt w:val="decimal"/>
        <w:lvlRestart w:val="0"/>
        <w:pStyle w:val="Estilo2"/>
        <w:lvlText w:val="2.5.5.2.%3"/>
        <w:lvlJc w:val="left"/>
        <w:pPr>
          <w:tabs>
            <w:tab w:val="num" w:pos="0"/>
          </w:tabs>
          <w:ind w:left="1134" w:hanging="1134"/>
        </w:pPr>
        <w:rPr>
          <w:rFonts w:ascii="Times New Roman" w:hAnsi="Times New Roman" w:hint="default"/>
          <w:b w:val="0"/>
          <w:i w:val="0"/>
          <w:color w:val="auto"/>
          <w:sz w:val="22"/>
          <w:szCs w:val="22"/>
        </w:rPr>
      </w:lvl>
    </w:lvlOverride>
    <w:lvlOverride w:ilvl="3">
      <w:lvl w:ilvl="3">
        <w:start w:val="1"/>
        <w:numFmt w:val="decimal"/>
        <w:lvlText w:val="%12.5.%4"/>
        <w:lvlJc w:val="left"/>
        <w:pPr>
          <w:tabs>
            <w:tab w:val="num" w:pos="539"/>
          </w:tabs>
          <w:ind w:left="1674" w:hanging="1134"/>
        </w:pPr>
        <w:rPr>
          <w:rFonts w:ascii="Times New Roman" w:hAnsi="Times New Roman" w:hint="default"/>
          <w:b/>
          <w:i w:val="0"/>
          <w:sz w:val="22"/>
          <w:szCs w:val="22"/>
        </w:rPr>
      </w:lvl>
    </w:lvlOverride>
    <w:lvlOverride w:ilvl="4">
      <w:lvl w:ilvl="4">
        <w:start w:val="1"/>
        <w:numFmt w:val="decimal"/>
        <w:lvlText w:val="%5%1.2.6.3.2"/>
        <w:lvlJc w:val="left"/>
        <w:pPr>
          <w:tabs>
            <w:tab w:val="num" w:pos="1854"/>
          </w:tabs>
          <w:ind w:left="1854" w:hanging="1134"/>
        </w:pPr>
        <w:rPr>
          <w:rFonts w:ascii="Times New Roman" w:hAnsi="Times New Roman" w:hint="default"/>
          <w:b/>
          <w:i/>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1">
    <w:abstractNumId w:val="3"/>
  </w:num>
  <w:num w:numId="22">
    <w:abstractNumId w:val="0"/>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ia Herdova">
    <w15:presenceInfo w15:providerId="None" w15:userId="Lucia Herd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84"/>
    <w:rsid w:val="000035F6"/>
    <w:rsid w:val="00003980"/>
    <w:rsid w:val="000054E3"/>
    <w:rsid w:val="00006A91"/>
    <w:rsid w:val="00013800"/>
    <w:rsid w:val="00016E0A"/>
    <w:rsid w:val="00016EEA"/>
    <w:rsid w:val="000254FB"/>
    <w:rsid w:val="000410F3"/>
    <w:rsid w:val="000456D4"/>
    <w:rsid w:val="000501DE"/>
    <w:rsid w:val="00051B18"/>
    <w:rsid w:val="00062AAA"/>
    <w:rsid w:val="00064A86"/>
    <w:rsid w:val="000665FC"/>
    <w:rsid w:val="00067F6B"/>
    <w:rsid w:val="000703AF"/>
    <w:rsid w:val="00071A70"/>
    <w:rsid w:val="000763E9"/>
    <w:rsid w:val="00076E94"/>
    <w:rsid w:val="0008009C"/>
    <w:rsid w:val="0008414E"/>
    <w:rsid w:val="00087362"/>
    <w:rsid w:val="000923F8"/>
    <w:rsid w:val="00095026"/>
    <w:rsid w:val="000A0805"/>
    <w:rsid w:val="000A14C3"/>
    <w:rsid w:val="000A254D"/>
    <w:rsid w:val="000A594C"/>
    <w:rsid w:val="000B0C2B"/>
    <w:rsid w:val="000B500F"/>
    <w:rsid w:val="000C0860"/>
    <w:rsid w:val="000C61F2"/>
    <w:rsid w:val="000D25A4"/>
    <w:rsid w:val="000D4311"/>
    <w:rsid w:val="000D4378"/>
    <w:rsid w:val="000D5DE4"/>
    <w:rsid w:val="000D5FCF"/>
    <w:rsid w:val="000D6234"/>
    <w:rsid w:val="000E4BB8"/>
    <w:rsid w:val="000E71DE"/>
    <w:rsid w:val="000F01BA"/>
    <w:rsid w:val="000F305A"/>
    <w:rsid w:val="000F56C4"/>
    <w:rsid w:val="001002B0"/>
    <w:rsid w:val="00106DB4"/>
    <w:rsid w:val="00106F22"/>
    <w:rsid w:val="00110A06"/>
    <w:rsid w:val="0011327F"/>
    <w:rsid w:val="001230C3"/>
    <w:rsid w:val="00124773"/>
    <w:rsid w:val="00124CB3"/>
    <w:rsid w:val="00126AA1"/>
    <w:rsid w:val="00146B1D"/>
    <w:rsid w:val="00147580"/>
    <w:rsid w:val="001506AD"/>
    <w:rsid w:val="00160466"/>
    <w:rsid w:val="00160A94"/>
    <w:rsid w:val="00161121"/>
    <w:rsid w:val="00161C4A"/>
    <w:rsid w:val="00163452"/>
    <w:rsid w:val="00170E65"/>
    <w:rsid w:val="001712F0"/>
    <w:rsid w:val="0017216E"/>
    <w:rsid w:val="00172F69"/>
    <w:rsid w:val="00180E06"/>
    <w:rsid w:val="00185285"/>
    <w:rsid w:val="001904A6"/>
    <w:rsid w:val="00195144"/>
    <w:rsid w:val="00197BFB"/>
    <w:rsid w:val="001A3732"/>
    <w:rsid w:val="001B1458"/>
    <w:rsid w:val="001B3552"/>
    <w:rsid w:val="001B372C"/>
    <w:rsid w:val="001B51A4"/>
    <w:rsid w:val="001B64E3"/>
    <w:rsid w:val="001C56DB"/>
    <w:rsid w:val="001D2644"/>
    <w:rsid w:val="001D2864"/>
    <w:rsid w:val="001D4FE9"/>
    <w:rsid w:val="001D55FF"/>
    <w:rsid w:val="001E3E00"/>
    <w:rsid w:val="001E63A0"/>
    <w:rsid w:val="001E7A62"/>
    <w:rsid w:val="001F1330"/>
    <w:rsid w:val="001F2757"/>
    <w:rsid w:val="00206C32"/>
    <w:rsid w:val="002147E6"/>
    <w:rsid w:val="00223246"/>
    <w:rsid w:val="002265C2"/>
    <w:rsid w:val="002266AB"/>
    <w:rsid w:val="00227313"/>
    <w:rsid w:val="00235D5B"/>
    <w:rsid w:val="002430F2"/>
    <w:rsid w:val="00243CE7"/>
    <w:rsid w:val="0025050F"/>
    <w:rsid w:val="00255298"/>
    <w:rsid w:val="0025541A"/>
    <w:rsid w:val="00264497"/>
    <w:rsid w:val="00272161"/>
    <w:rsid w:val="002775E0"/>
    <w:rsid w:val="00277A4B"/>
    <w:rsid w:val="00280C48"/>
    <w:rsid w:val="00291EEC"/>
    <w:rsid w:val="002956A6"/>
    <w:rsid w:val="002A0DF7"/>
    <w:rsid w:val="002A414B"/>
    <w:rsid w:val="002A472D"/>
    <w:rsid w:val="002A4B18"/>
    <w:rsid w:val="002A6ECE"/>
    <w:rsid w:val="002B49D1"/>
    <w:rsid w:val="002C392B"/>
    <w:rsid w:val="002C6CED"/>
    <w:rsid w:val="002C7C2D"/>
    <w:rsid w:val="002D2782"/>
    <w:rsid w:val="002D43AE"/>
    <w:rsid w:val="002D59DD"/>
    <w:rsid w:val="002E3B53"/>
    <w:rsid w:val="002E6435"/>
    <w:rsid w:val="002F177A"/>
    <w:rsid w:val="002F2EE1"/>
    <w:rsid w:val="002F48BC"/>
    <w:rsid w:val="002F707B"/>
    <w:rsid w:val="002F77AC"/>
    <w:rsid w:val="0030129A"/>
    <w:rsid w:val="0030274F"/>
    <w:rsid w:val="00304AAD"/>
    <w:rsid w:val="00304CC8"/>
    <w:rsid w:val="003118D3"/>
    <w:rsid w:val="003169BC"/>
    <w:rsid w:val="00322873"/>
    <w:rsid w:val="00325288"/>
    <w:rsid w:val="0033026C"/>
    <w:rsid w:val="00335BDA"/>
    <w:rsid w:val="003476A3"/>
    <w:rsid w:val="0035292B"/>
    <w:rsid w:val="00354A09"/>
    <w:rsid w:val="00364BDA"/>
    <w:rsid w:val="00371D3A"/>
    <w:rsid w:val="00380293"/>
    <w:rsid w:val="003936D6"/>
    <w:rsid w:val="00393E19"/>
    <w:rsid w:val="003943FD"/>
    <w:rsid w:val="003957FB"/>
    <w:rsid w:val="003A4C4A"/>
    <w:rsid w:val="003A5728"/>
    <w:rsid w:val="003A67D5"/>
    <w:rsid w:val="003A7998"/>
    <w:rsid w:val="003B6466"/>
    <w:rsid w:val="003B6B04"/>
    <w:rsid w:val="003C1663"/>
    <w:rsid w:val="003C167F"/>
    <w:rsid w:val="003C2D37"/>
    <w:rsid w:val="003C6248"/>
    <w:rsid w:val="003D2128"/>
    <w:rsid w:val="003D280C"/>
    <w:rsid w:val="003D5681"/>
    <w:rsid w:val="003D6575"/>
    <w:rsid w:val="003D6978"/>
    <w:rsid w:val="003D6C44"/>
    <w:rsid w:val="003D73B6"/>
    <w:rsid w:val="003E0005"/>
    <w:rsid w:val="003E1B0E"/>
    <w:rsid w:val="003E44A0"/>
    <w:rsid w:val="003E5705"/>
    <w:rsid w:val="003F4EF5"/>
    <w:rsid w:val="00402A0A"/>
    <w:rsid w:val="00402E0A"/>
    <w:rsid w:val="0041244A"/>
    <w:rsid w:val="0041320A"/>
    <w:rsid w:val="00414402"/>
    <w:rsid w:val="0041712D"/>
    <w:rsid w:val="00423E8D"/>
    <w:rsid w:val="00425E61"/>
    <w:rsid w:val="00426C8C"/>
    <w:rsid w:val="00426DB1"/>
    <w:rsid w:val="004272C1"/>
    <w:rsid w:val="00432781"/>
    <w:rsid w:val="00432CAB"/>
    <w:rsid w:val="00437F21"/>
    <w:rsid w:val="00444470"/>
    <w:rsid w:val="00444BCF"/>
    <w:rsid w:val="0044522A"/>
    <w:rsid w:val="00450574"/>
    <w:rsid w:val="004512D1"/>
    <w:rsid w:val="00451A39"/>
    <w:rsid w:val="00451CDE"/>
    <w:rsid w:val="0045348B"/>
    <w:rsid w:val="00453978"/>
    <w:rsid w:val="00456358"/>
    <w:rsid w:val="0045638F"/>
    <w:rsid w:val="00462888"/>
    <w:rsid w:val="0046542F"/>
    <w:rsid w:val="004668A0"/>
    <w:rsid w:val="00467042"/>
    <w:rsid w:val="0046729F"/>
    <w:rsid w:val="00473016"/>
    <w:rsid w:val="00473C0C"/>
    <w:rsid w:val="0047427C"/>
    <w:rsid w:val="00475A32"/>
    <w:rsid w:val="0048217B"/>
    <w:rsid w:val="0048327C"/>
    <w:rsid w:val="00484AB0"/>
    <w:rsid w:val="0048669F"/>
    <w:rsid w:val="004900D1"/>
    <w:rsid w:val="00492095"/>
    <w:rsid w:val="004A3A1B"/>
    <w:rsid w:val="004B0A4E"/>
    <w:rsid w:val="004B5EBA"/>
    <w:rsid w:val="004B6493"/>
    <w:rsid w:val="004C0857"/>
    <w:rsid w:val="004C368D"/>
    <w:rsid w:val="004C3700"/>
    <w:rsid w:val="004C5EE5"/>
    <w:rsid w:val="004D0204"/>
    <w:rsid w:val="004D25FE"/>
    <w:rsid w:val="004D6D3C"/>
    <w:rsid w:val="004E5065"/>
    <w:rsid w:val="004F01CD"/>
    <w:rsid w:val="004F0814"/>
    <w:rsid w:val="004F0F34"/>
    <w:rsid w:val="004F1547"/>
    <w:rsid w:val="00501B20"/>
    <w:rsid w:val="0050518B"/>
    <w:rsid w:val="0050729A"/>
    <w:rsid w:val="00507B9B"/>
    <w:rsid w:val="00510C0D"/>
    <w:rsid w:val="00510C7D"/>
    <w:rsid w:val="00516D3A"/>
    <w:rsid w:val="00530637"/>
    <w:rsid w:val="00530B26"/>
    <w:rsid w:val="0053148C"/>
    <w:rsid w:val="00534771"/>
    <w:rsid w:val="00537544"/>
    <w:rsid w:val="00543606"/>
    <w:rsid w:val="0055004E"/>
    <w:rsid w:val="00552404"/>
    <w:rsid w:val="005548A7"/>
    <w:rsid w:val="0055537E"/>
    <w:rsid w:val="005562ED"/>
    <w:rsid w:val="0056236D"/>
    <w:rsid w:val="00565AEA"/>
    <w:rsid w:val="00567AD9"/>
    <w:rsid w:val="00575AAD"/>
    <w:rsid w:val="005763BB"/>
    <w:rsid w:val="00585734"/>
    <w:rsid w:val="005864C5"/>
    <w:rsid w:val="00590CB6"/>
    <w:rsid w:val="005A6677"/>
    <w:rsid w:val="005B51B3"/>
    <w:rsid w:val="005B6642"/>
    <w:rsid w:val="005B6C02"/>
    <w:rsid w:val="005C0F0C"/>
    <w:rsid w:val="005C343F"/>
    <w:rsid w:val="005D3165"/>
    <w:rsid w:val="005E4B6E"/>
    <w:rsid w:val="005E79C3"/>
    <w:rsid w:val="005F720F"/>
    <w:rsid w:val="00600CAE"/>
    <w:rsid w:val="00600F73"/>
    <w:rsid w:val="0060213B"/>
    <w:rsid w:val="0060398B"/>
    <w:rsid w:val="0060497A"/>
    <w:rsid w:val="00605FDA"/>
    <w:rsid w:val="0061167A"/>
    <w:rsid w:val="00615BD2"/>
    <w:rsid w:val="00624CF8"/>
    <w:rsid w:val="00627A61"/>
    <w:rsid w:val="00643D6C"/>
    <w:rsid w:val="00645DC2"/>
    <w:rsid w:val="006505F8"/>
    <w:rsid w:val="00655174"/>
    <w:rsid w:val="006652FE"/>
    <w:rsid w:val="00675077"/>
    <w:rsid w:val="00675BA7"/>
    <w:rsid w:val="00676CAC"/>
    <w:rsid w:val="00677B20"/>
    <w:rsid w:val="00692E3A"/>
    <w:rsid w:val="006A0B94"/>
    <w:rsid w:val="006A32A3"/>
    <w:rsid w:val="006A6BDE"/>
    <w:rsid w:val="006B4561"/>
    <w:rsid w:val="006B4CEB"/>
    <w:rsid w:val="006D10FD"/>
    <w:rsid w:val="006D2AD4"/>
    <w:rsid w:val="006D55BC"/>
    <w:rsid w:val="006E178B"/>
    <w:rsid w:val="006E3033"/>
    <w:rsid w:val="006F0B95"/>
    <w:rsid w:val="006F790F"/>
    <w:rsid w:val="006F7BEA"/>
    <w:rsid w:val="00700355"/>
    <w:rsid w:val="00702279"/>
    <w:rsid w:val="00705E5E"/>
    <w:rsid w:val="007063CD"/>
    <w:rsid w:val="00707CA0"/>
    <w:rsid w:val="00710912"/>
    <w:rsid w:val="00721B41"/>
    <w:rsid w:val="00722A94"/>
    <w:rsid w:val="0072614C"/>
    <w:rsid w:val="0073429D"/>
    <w:rsid w:val="00735A43"/>
    <w:rsid w:val="0073607B"/>
    <w:rsid w:val="00736F53"/>
    <w:rsid w:val="00742FA7"/>
    <w:rsid w:val="007474A5"/>
    <w:rsid w:val="00750BC3"/>
    <w:rsid w:val="007572F8"/>
    <w:rsid w:val="007601B5"/>
    <w:rsid w:val="007658DF"/>
    <w:rsid w:val="00766CD0"/>
    <w:rsid w:val="00772DA3"/>
    <w:rsid w:val="00774EF3"/>
    <w:rsid w:val="00776BDE"/>
    <w:rsid w:val="0079097F"/>
    <w:rsid w:val="007913CD"/>
    <w:rsid w:val="00791987"/>
    <w:rsid w:val="00792529"/>
    <w:rsid w:val="00797DB6"/>
    <w:rsid w:val="007A5F4F"/>
    <w:rsid w:val="007A62A1"/>
    <w:rsid w:val="007A733E"/>
    <w:rsid w:val="007B3C87"/>
    <w:rsid w:val="007B43E4"/>
    <w:rsid w:val="007C0653"/>
    <w:rsid w:val="007C0FF8"/>
    <w:rsid w:val="007C1818"/>
    <w:rsid w:val="007C4205"/>
    <w:rsid w:val="007C4E93"/>
    <w:rsid w:val="007C727B"/>
    <w:rsid w:val="007C7CFF"/>
    <w:rsid w:val="007D1482"/>
    <w:rsid w:val="007D3B92"/>
    <w:rsid w:val="007D5011"/>
    <w:rsid w:val="007D7C2C"/>
    <w:rsid w:val="007E1DC2"/>
    <w:rsid w:val="007E2D74"/>
    <w:rsid w:val="007E2DEE"/>
    <w:rsid w:val="007E315B"/>
    <w:rsid w:val="007E790D"/>
    <w:rsid w:val="007E7B8D"/>
    <w:rsid w:val="007F4A9F"/>
    <w:rsid w:val="007F76AB"/>
    <w:rsid w:val="00806144"/>
    <w:rsid w:val="00806C5A"/>
    <w:rsid w:val="008075F8"/>
    <w:rsid w:val="008078D8"/>
    <w:rsid w:val="008149B8"/>
    <w:rsid w:val="00815D39"/>
    <w:rsid w:val="00820EA4"/>
    <w:rsid w:val="00822390"/>
    <w:rsid w:val="00823F8C"/>
    <w:rsid w:val="00824C0E"/>
    <w:rsid w:val="00826F18"/>
    <w:rsid w:val="00831065"/>
    <w:rsid w:val="008373C5"/>
    <w:rsid w:val="008429C8"/>
    <w:rsid w:val="00842C12"/>
    <w:rsid w:val="008447CF"/>
    <w:rsid w:val="00845D16"/>
    <w:rsid w:val="00846DC5"/>
    <w:rsid w:val="00847559"/>
    <w:rsid w:val="008560FC"/>
    <w:rsid w:val="00856918"/>
    <w:rsid w:val="0086058A"/>
    <w:rsid w:val="00861ACC"/>
    <w:rsid w:val="008624DB"/>
    <w:rsid w:val="00867969"/>
    <w:rsid w:val="00876EA0"/>
    <w:rsid w:val="00877E37"/>
    <w:rsid w:val="0088022A"/>
    <w:rsid w:val="00881C44"/>
    <w:rsid w:val="00882954"/>
    <w:rsid w:val="00884D96"/>
    <w:rsid w:val="008869F3"/>
    <w:rsid w:val="008A1077"/>
    <w:rsid w:val="008A4533"/>
    <w:rsid w:val="008A5231"/>
    <w:rsid w:val="008A5FAB"/>
    <w:rsid w:val="008A60B5"/>
    <w:rsid w:val="008A7BD7"/>
    <w:rsid w:val="008B1800"/>
    <w:rsid w:val="008B39A2"/>
    <w:rsid w:val="008B7492"/>
    <w:rsid w:val="008B76C8"/>
    <w:rsid w:val="008C3B95"/>
    <w:rsid w:val="008C5CEA"/>
    <w:rsid w:val="008C71A8"/>
    <w:rsid w:val="008E260A"/>
    <w:rsid w:val="008E361F"/>
    <w:rsid w:val="008E3752"/>
    <w:rsid w:val="008F23FA"/>
    <w:rsid w:val="008F496B"/>
    <w:rsid w:val="008F788F"/>
    <w:rsid w:val="009038D6"/>
    <w:rsid w:val="00911B63"/>
    <w:rsid w:val="00912F1B"/>
    <w:rsid w:val="00913F6C"/>
    <w:rsid w:val="009265F4"/>
    <w:rsid w:val="00926620"/>
    <w:rsid w:val="00926FF6"/>
    <w:rsid w:val="0092731F"/>
    <w:rsid w:val="00931AA8"/>
    <w:rsid w:val="00936C63"/>
    <w:rsid w:val="00953A3B"/>
    <w:rsid w:val="00955B4F"/>
    <w:rsid w:val="00960004"/>
    <w:rsid w:val="009601CB"/>
    <w:rsid w:val="0096200A"/>
    <w:rsid w:val="00963DDD"/>
    <w:rsid w:val="00964199"/>
    <w:rsid w:val="009657C5"/>
    <w:rsid w:val="00973C1B"/>
    <w:rsid w:val="0097451C"/>
    <w:rsid w:val="009754CF"/>
    <w:rsid w:val="00976F6C"/>
    <w:rsid w:val="00980667"/>
    <w:rsid w:val="00980DE6"/>
    <w:rsid w:val="009871BC"/>
    <w:rsid w:val="00992D44"/>
    <w:rsid w:val="009943F0"/>
    <w:rsid w:val="00997985"/>
    <w:rsid w:val="009A18F9"/>
    <w:rsid w:val="009A76E6"/>
    <w:rsid w:val="009A7864"/>
    <w:rsid w:val="009A78FC"/>
    <w:rsid w:val="009B29B6"/>
    <w:rsid w:val="009B6D29"/>
    <w:rsid w:val="009B7014"/>
    <w:rsid w:val="009C0467"/>
    <w:rsid w:val="009C1384"/>
    <w:rsid w:val="009C3282"/>
    <w:rsid w:val="009D032C"/>
    <w:rsid w:val="009D3463"/>
    <w:rsid w:val="009D73B9"/>
    <w:rsid w:val="009D76E9"/>
    <w:rsid w:val="009E3FE7"/>
    <w:rsid w:val="009F2023"/>
    <w:rsid w:val="009F4E68"/>
    <w:rsid w:val="009F57FA"/>
    <w:rsid w:val="009F7E40"/>
    <w:rsid w:val="00A03DC0"/>
    <w:rsid w:val="00A10571"/>
    <w:rsid w:val="00A27547"/>
    <w:rsid w:val="00A31608"/>
    <w:rsid w:val="00A43B70"/>
    <w:rsid w:val="00A44878"/>
    <w:rsid w:val="00A4681B"/>
    <w:rsid w:val="00A53C92"/>
    <w:rsid w:val="00A5669C"/>
    <w:rsid w:val="00A70BC8"/>
    <w:rsid w:val="00A74A27"/>
    <w:rsid w:val="00A80FEF"/>
    <w:rsid w:val="00A81E41"/>
    <w:rsid w:val="00A908EE"/>
    <w:rsid w:val="00A942B6"/>
    <w:rsid w:val="00AA0DD4"/>
    <w:rsid w:val="00AA2A96"/>
    <w:rsid w:val="00AA36DD"/>
    <w:rsid w:val="00AA5961"/>
    <w:rsid w:val="00AA6CDE"/>
    <w:rsid w:val="00AA7FB3"/>
    <w:rsid w:val="00AB1D3A"/>
    <w:rsid w:val="00AB427B"/>
    <w:rsid w:val="00AB549A"/>
    <w:rsid w:val="00AB5C72"/>
    <w:rsid w:val="00AC2B55"/>
    <w:rsid w:val="00AC7012"/>
    <w:rsid w:val="00AC7ED7"/>
    <w:rsid w:val="00AD510D"/>
    <w:rsid w:val="00AE082F"/>
    <w:rsid w:val="00AE0C25"/>
    <w:rsid w:val="00AE6B0B"/>
    <w:rsid w:val="00AF23CA"/>
    <w:rsid w:val="00AF6074"/>
    <w:rsid w:val="00AF7FEB"/>
    <w:rsid w:val="00B012FD"/>
    <w:rsid w:val="00B01AF2"/>
    <w:rsid w:val="00B06594"/>
    <w:rsid w:val="00B11C9D"/>
    <w:rsid w:val="00B121F7"/>
    <w:rsid w:val="00B17859"/>
    <w:rsid w:val="00B25205"/>
    <w:rsid w:val="00B27929"/>
    <w:rsid w:val="00B32D16"/>
    <w:rsid w:val="00B33E78"/>
    <w:rsid w:val="00B40A61"/>
    <w:rsid w:val="00B414F4"/>
    <w:rsid w:val="00B44C13"/>
    <w:rsid w:val="00B471DB"/>
    <w:rsid w:val="00B60847"/>
    <w:rsid w:val="00B65504"/>
    <w:rsid w:val="00B663E2"/>
    <w:rsid w:val="00B802E2"/>
    <w:rsid w:val="00B81A83"/>
    <w:rsid w:val="00B84584"/>
    <w:rsid w:val="00B8557C"/>
    <w:rsid w:val="00B90714"/>
    <w:rsid w:val="00B93B2B"/>
    <w:rsid w:val="00B94291"/>
    <w:rsid w:val="00B95BCD"/>
    <w:rsid w:val="00BB070E"/>
    <w:rsid w:val="00BB38DB"/>
    <w:rsid w:val="00BB44DB"/>
    <w:rsid w:val="00BB53F3"/>
    <w:rsid w:val="00BD1F9D"/>
    <w:rsid w:val="00BD4935"/>
    <w:rsid w:val="00BD53F1"/>
    <w:rsid w:val="00BE1248"/>
    <w:rsid w:val="00BE4644"/>
    <w:rsid w:val="00BE6F1B"/>
    <w:rsid w:val="00BF024F"/>
    <w:rsid w:val="00BF3499"/>
    <w:rsid w:val="00BF3624"/>
    <w:rsid w:val="00BF79EA"/>
    <w:rsid w:val="00C11343"/>
    <w:rsid w:val="00C24125"/>
    <w:rsid w:val="00C2522A"/>
    <w:rsid w:val="00C252DA"/>
    <w:rsid w:val="00C342B1"/>
    <w:rsid w:val="00C34E34"/>
    <w:rsid w:val="00C35C31"/>
    <w:rsid w:val="00C43110"/>
    <w:rsid w:val="00C475B6"/>
    <w:rsid w:val="00C53E16"/>
    <w:rsid w:val="00C57E16"/>
    <w:rsid w:val="00C65858"/>
    <w:rsid w:val="00C712E5"/>
    <w:rsid w:val="00C7509F"/>
    <w:rsid w:val="00C75EB7"/>
    <w:rsid w:val="00C82B4A"/>
    <w:rsid w:val="00C82BF0"/>
    <w:rsid w:val="00C8578A"/>
    <w:rsid w:val="00C90806"/>
    <w:rsid w:val="00C90AF8"/>
    <w:rsid w:val="00C90D33"/>
    <w:rsid w:val="00C9372E"/>
    <w:rsid w:val="00C95AE6"/>
    <w:rsid w:val="00CA223E"/>
    <w:rsid w:val="00CA42B1"/>
    <w:rsid w:val="00CB20E2"/>
    <w:rsid w:val="00CB227B"/>
    <w:rsid w:val="00CB5A1A"/>
    <w:rsid w:val="00CC6700"/>
    <w:rsid w:val="00CD765C"/>
    <w:rsid w:val="00CE0C16"/>
    <w:rsid w:val="00CE0D35"/>
    <w:rsid w:val="00CE1570"/>
    <w:rsid w:val="00CE3071"/>
    <w:rsid w:val="00CE4EFC"/>
    <w:rsid w:val="00CF1AE0"/>
    <w:rsid w:val="00CF1CC0"/>
    <w:rsid w:val="00CF57BD"/>
    <w:rsid w:val="00CF5B51"/>
    <w:rsid w:val="00D0117C"/>
    <w:rsid w:val="00D07CDB"/>
    <w:rsid w:val="00D1561F"/>
    <w:rsid w:val="00D22709"/>
    <w:rsid w:val="00D260FF"/>
    <w:rsid w:val="00D27F73"/>
    <w:rsid w:val="00D31559"/>
    <w:rsid w:val="00D34F1F"/>
    <w:rsid w:val="00D35A9A"/>
    <w:rsid w:val="00D36A99"/>
    <w:rsid w:val="00D42D8B"/>
    <w:rsid w:val="00D4300E"/>
    <w:rsid w:val="00D455D2"/>
    <w:rsid w:val="00D46A35"/>
    <w:rsid w:val="00D658F1"/>
    <w:rsid w:val="00D65AA0"/>
    <w:rsid w:val="00D663B2"/>
    <w:rsid w:val="00D665B9"/>
    <w:rsid w:val="00D66F84"/>
    <w:rsid w:val="00D77E06"/>
    <w:rsid w:val="00D803F4"/>
    <w:rsid w:val="00D8042A"/>
    <w:rsid w:val="00D81228"/>
    <w:rsid w:val="00D940F7"/>
    <w:rsid w:val="00DA78C4"/>
    <w:rsid w:val="00DB013D"/>
    <w:rsid w:val="00DB16E8"/>
    <w:rsid w:val="00DB42E2"/>
    <w:rsid w:val="00DC31B1"/>
    <w:rsid w:val="00DC6449"/>
    <w:rsid w:val="00DD6DC6"/>
    <w:rsid w:val="00DE074D"/>
    <w:rsid w:val="00DE4023"/>
    <w:rsid w:val="00DE5F45"/>
    <w:rsid w:val="00DE68DF"/>
    <w:rsid w:val="00DE6CD7"/>
    <w:rsid w:val="00DF6CC8"/>
    <w:rsid w:val="00E05359"/>
    <w:rsid w:val="00E12CEE"/>
    <w:rsid w:val="00E17A83"/>
    <w:rsid w:val="00E205B1"/>
    <w:rsid w:val="00E2187C"/>
    <w:rsid w:val="00E22AE7"/>
    <w:rsid w:val="00E330FE"/>
    <w:rsid w:val="00E402F6"/>
    <w:rsid w:val="00E4370B"/>
    <w:rsid w:val="00E5103B"/>
    <w:rsid w:val="00E52C84"/>
    <w:rsid w:val="00E61AC2"/>
    <w:rsid w:val="00E64BE5"/>
    <w:rsid w:val="00E65F88"/>
    <w:rsid w:val="00E71F99"/>
    <w:rsid w:val="00E7247E"/>
    <w:rsid w:val="00E7422A"/>
    <w:rsid w:val="00E75E7B"/>
    <w:rsid w:val="00E76D57"/>
    <w:rsid w:val="00E7700A"/>
    <w:rsid w:val="00E77795"/>
    <w:rsid w:val="00E77B98"/>
    <w:rsid w:val="00E82082"/>
    <w:rsid w:val="00E8327B"/>
    <w:rsid w:val="00E8327D"/>
    <w:rsid w:val="00E901CB"/>
    <w:rsid w:val="00E94220"/>
    <w:rsid w:val="00EA31BA"/>
    <w:rsid w:val="00EB557E"/>
    <w:rsid w:val="00EB6C9B"/>
    <w:rsid w:val="00EC6758"/>
    <w:rsid w:val="00EC6766"/>
    <w:rsid w:val="00EC713A"/>
    <w:rsid w:val="00EC7826"/>
    <w:rsid w:val="00ED23A5"/>
    <w:rsid w:val="00ED40FB"/>
    <w:rsid w:val="00ED4FAB"/>
    <w:rsid w:val="00EE2BA1"/>
    <w:rsid w:val="00EE2E1B"/>
    <w:rsid w:val="00EE493F"/>
    <w:rsid w:val="00EE4A21"/>
    <w:rsid w:val="00EE64C4"/>
    <w:rsid w:val="00EE6A2C"/>
    <w:rsid w:val="00EE6E7E"/>
    <w:rsid w:val="00EF00F8"/>
    <w:rsid w:val="00EF16FE"/>
    <w:rsid w:val="00EF1F84"/>
    <w:rsid w:val="00EF2E2A"/>
    <w:rsid w:val="00F226D8"/>
    <w:rsid w:val="00F22B6C"/>
    <w:rsid w:val="00F22BCA"/>
    <w:rsid w:val="00F240B1"/>
    <w:rsid w:val="00F26B8E"/>
    <w:rsid w:val="00F3330E"/>
    <w:rsid w:val="00F341F4"/>
    <w:rsid w:val="00F3678F"/>
    <w:rsid w:val="00F376B8"/>
    <w:rsid w:val="00F4224D"/>
    <w:rsid w:val="00F46AE9"/>
    <w:rsid w:val="00F479D3"/>
    <w:rsid w:val="00F504BC"/>
    <w:rsid w:val="00F53279"/>
    <w:rsid w:val="00F56629"/>
    <w:rsid w:val="00F57EC3"/>
    <w:rsid w:val="00F642AF"/>
    <w:rsid w:val="00F6611A"/>
    <w:rsid w:val="00F708DE"/>
    <w:rsid w:val="00F72FD0"/>
    <w:rsid w:val="00F75105"/>
    <w:rsid w:val="00F837F0"/>
    <w:rsid w:val="00F87C8A"/>
    <w:rsid w:val="00F90EAC"/>
    <w:rsid w:val="00F9306D"/>
    <w:rsid w:val="00F96A75"/>
    <w:rsid w:val="00F97BA6"/>
    <w:rsid w:val="00FA2CC2"/>
    <w:rsid w:val="00FA37D9"/>
    <w:rsid w:val="00FA3AD4"/>
    <w:rsid w:val="00FA4A2E"/>
    <w:rsid w:val="00FB5628"/>
    <w:rsid w:val="00FB598D"/>
    <w:rsid w:val="00FB6BB3"/>
    <w:rsid w:val="00FC172F"/>
    <w:rsid w:val="00FC4870"/>
    <w:rsid w:val="00FC4967"/>
    <w:rsid w:val="00FD15B4"/>
    <w:rsid w:val="00FE0E42"/>
    <w:rsid w:val="00FE381D"/>
    <w:rsid w:val="00FF4C04"/>
    <w:rsid w:val="00FF69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1F84"/>
    <w:rPr>
      <w:rFonts w:eastAsia="Times New Roman"/>
      <w:sz w:val="24"/>
      <w:szCs w:val="24"/>
    </w:rPr>
  </w:style>
  <w:style w:type="paragraph" w:styleId="Nadpis2">
    <w:name w:val="heading 2"/>
    <w:basedOn w:val="Normlny"/>
    <w:next w:val="Normlny"/>
    <w:qFormat/>
    <w:rsid w:val="00EF1F84"/>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EF1F84"/>
    <w:pPr>
      <w:tabs>
        <w:tab w:val="center" w:pos="4252"/>
        <w:tab w:val="right" w:pos="8504"/>
      </w:tabs>
    </w:pPr>
  </w:style>
  <w:style w:type="paragraph" w:styleId="Zarkazkladnhotextu">
    <w:name w:val="Body Text Indent"/>
    <w:basedOn w:val="Normlny"/>
    <w:rsid w:val="00EF1F84"/>
    <w:pPr>
      <w:spacing w:after="120"/>
      <w:ind w:left="283"/>
    </w:pPr>
  </w:style>
  <w:style w:type="paragraph" w:customStyle="1" w:styleId="Absatz">
    <w:name w:val="Absatz"/>
    <w:basedOn w:val="Normlny"/>
    <w:rsid w:val="00EF1F84"/>
    <w:pPr>
      <w:ind w:left="709"/>
    </w:pPr>
  </w:style>
  <w:style w:type="paragraph" w:customStyle="1" w:styleId="Titulo1">
    <w:name w:val="Titulo 1"/>
    <w:basedOn w:val="Hlavika"/>
    <w:rsid w:val="00EF1F84"/>
    <w:pPr>
      <w:shd w:val="clear" w:color="auto" w:fill="E0E0E0"/>
      <w:tabs>
        <w:tab w:val="clear" w:pos="4252"/>
        <w:tab w:val="clear" w:pos="8504"/>
      </w:tabs>
      <w:ind w:left="540" w:right="361"/>
    </w:pPr>
    <w:rPr>
      <w:b/>
      <w:bCs/>
    </w:rPr>
  </w:style>
  <w:style w:type="paragraph" w:customStyle="1" w:styleId="Titulo3">
    <w:name w:val="Titulo 3"/>
    <w:basedOn w:val="Nadpis2"/>
    <w:rsid w:val="00EF1F84"/>
    <w:pPr>
      <w:ind w:firstLine="540"/>
    </w:pPr>
    <w:rPr>
      <w:rFonts w:ascii="Times New Roman" w:hAnsi="Times New Roman" w:cs="Times New Roman"/>
      <w:b w:val="0"/>
      <w:sz w:val="24"/>
      <w:szCs w:val="24"/>
    </w:rPr>
  </w:style>
  <w:style w:type="paragraph" w:styleId="Pta">
    <w:name w:val="footer"/>
    <w:basedOn w:val="Normlny"/>
    <w:link w:val="PtaChar"/>
    <w:uiPriority w:val="99"/>
    <w:rsid w:val="00EF1F84"/>
    <w:pPr>
      <w:tabs>
        <w:tab w:val="center" w:pos="4252"/>
        <w:tab w:val="right" w:pos="8504"/>
      </w:tabs>
    </w:pPr>
  </w:style>
  <w:style w:type="character" w:styleId="slostrany">
    <w:name w:val="page number"/>
    <w:basedOn w:val="Predvolenpsmoodseku"/>
    <w:rsid w:val="00EF1F84"/>
  </w:style>
  <w:style w:type="paragraph" w:styleId="Zkladntext">
    <w:name w:val="Body Text"/>
    <w:basedOn w:val="Normlny"/>
    <w:rsid w:val="00B663E2"/>
    <w:pPr>
      <w:spacing w:after="120"/>
    </w:pPr>
  </w:style>
  <w:style w:type="paragraph" w:styleId="Textbubliny">
    <w:name w:val="Balloon Text"/>
    <w:basedOn w:val="Normlny"/>
    <w:semiHidden/>
    <w:rsid w:val="00AA0DD4"/>
    <w:rPr>
      <w:rFonts w:ascii="Tahoma" w:hAnsi="Tahoma" w:cs="Tahoma"/>
      <w:sz w:val="16"/>
      <w:szCs w:val="16"/>
    </w:rPr>
  </w:style>
  <w:style w:type="paragraph" w:customStyle="1" w:styleId="knZulassung02">
    <w:name w:val="knZulassung02"/>
    <w:rsid w:val="003943FD"/>
    <w:pPr>
      <w:autoSpaceDE w:val="0"/>
      <w:autoSpaceDN w:val="0"/>
      <w:ind w:left="1843" w:right="284"/>
    </w:pPr>
    <w:rPr>
      <w:rFonts w:ascii="Courier" w:eastAsia="Times New Roman" w:hAnsi="Courier" w:cs="Courier"/>
      <w:sz w:val="24"/>
      <w:szCs w:val="24"/>
    </w:rPr>
  </w:style>
  <w:style w:type="paragraph" w:customStyle="1" w:styleId="paragraph">
    <w:name w:val="paragraph"/>
    <w:basedOn w:val="Normlny"/>
    <w:rsid w:val="003943FD"/>
  </w:style>
  <w:style w:type="paragraph" w:customStyle="1" w:styleId="knZulassung01">
    <w:name w:val="knZulassung01"/>
    <w:basedOn w:val="Normlny"/>
    <w:rsid w:val="002A6ECE"/>
    <w:pPr>
      <w:tabs>
        <w:tab w:val="left" w:pos="567"/>
      </w:tabs>
      <w:autoSpaceDE w:val="0"/>
      <w:autoSpaceDN w:val="0"/>
      <w:ind w:left="1843" w:right="284" w:hanging="1843"/>
    </w:pPr>
    <w:rPr>
      <w:rFonts w:ascii="Courier" w:hAnsi="Courier" w:cs="Courier"/>
    </w:rPr>
  </w:style>
  <w:style w:type="paragraph" w:styleId="Normlnywebov">
    <w:name w:val="Normal (Web)"/>
    <w:basedOn w:val="Normlny"/>
    <w:unhideWhenUsed/>
    <w:rsid w:val="00955B4F"/>
    <w:pPr>
      <w:spacing w:before="100" w:beforeAutospacing="1" w:after="100" w:afterAutospacing="1"/>
    </w:pPr>
    <w:rPr>
      <w:color w:val="000000"/>
    </w:rPr>
  </w:style>
  <w:style w:type="character" w:styleId="Odkaznakomentr">
    <w:name w:val="annotation reference"/>
    <w:basedOn w:val="Predvolenpsmoodseku"/>
    <w:uiPriority w:val="99"/>
    <w:rsid w:val="0092731F"/>
    <w:rPr>
      <w:sz w:val="16"/>
      <w:szCs w:val="16"/>
    </w:rPr>
  </w:style>
  <w:style w:type="paragraph" w:styleId="Textkomentra">
    <w:name w:val="annotation text"/>
    <w:basedOn w:val="Normlny"/>
    <w:link w:val="TextkomentraChar"/>
    <w:uiPriority w:val="99"/>
    <w:rsid w:val="0092731F"/>
    <w:rPr>
      <w:sz w:val="20"/>
      <w:szCs w:val="20"/>
    </w:rPr>
  </w:style>
  <w:style w:type="character" w:customStyle="1" w:styleId="TextkomentraChar">
    <w:name w:val="Text komentára Char"/>
    <w:basedOn w:val="Predvolenpsmoodseku"/>
    <w:link w:val="Textkomentra"/>
    <w:uiPriority w:val="99"/>
    <w:rsid w:val="0092731F"/>
    <w:rPr>
      <w:rFonts w:eastAsia="Times New Roman"/>
    </w:rPr>
  </w:style>
  <w:style w:type="paragraph" w:styleId="Predmetkomentra">
    <w:name w:val="annotation subject"/>
    <w:basedOn w:val="Textkomentra"/>
    <w:next w:val="Textkomentra"/>
    <w:link w:val="PredmetkomentraChar"/>
    <w:rsid w:val="0092731F"/>
    <w:rPr>
      <w:b/>
      <w:bCs/>
    </w:rPr>
  </w:style>
  <w:style w:type="character" w:customStyle="1" w:styleId="PredmetkomentraChar">
    <w:name w:val="Predmet komentára Char"/>
    <w:basedOn w:val="TextkomentraChar"/>
    <w:link w:val="Predmetkomentra"/>
    <w:rsid w:val="0092731F"/>
    <w:rPr>
      <w:rFonts w:eastAsia="Times New Roman"/>
      <w:b/>
      <w:bCs/>
    </w:rPr>
  </w:style>
  <w:style w:type="paragraph" w:customStyle="1" w:styleId="In-textfiguretitle">
    <w:name w:val="In-text figure title"/>
    <w:basedOn w:val="Normlny"/>
    <w:next w:val="Normlny"/>
    <w:rsid w:val="0072614C"/>
    <w:pPr>
      <w:tabs>
        <w:tab w:val="left" w:pos="2304"/>
      </w:tabs>
      <w:spacing w:after="240"/>
      <w:ind w:left="1151" w:hanging="1151"/>
      <w:jc w:val="both"/>
    </w:pPr>
    <w:rPr>
      <w:b/>
      <w:sz w:val="16"/>
      <w:szCs w:val="20"/>
    </w:rPr>
  </w:style>
  <w:style w:type="paragraph" w:customStyle="1" w:styleId="Estilo2">
    <w:name w:val="Estilo2"/>
    <w:basedOn w:val="Normlny"/>
    <w:rsid w:val="009D3463"/>
    <w:pPr>
      <w:numPr>
        <w:ilvl w:val="2"/>
        <w:numId w:val="19"/>
      </w:numPr>
      <w:spacing w:line="360" w:lineRule="auto"/>
      <w:jc w:val="both"/>
    </w:pPr>
    <w:rPr>
      <w:rFonts w:ascii="Tahoma" w:hAnsi="Tahoma" w:cs="Tahoma"/>
      <w:sz w:val="22"/>
    </w:rPr>
  </w:style>
  <w:style w:type="character" w:customStyle="1" w:styleId="hps">
    <w:name w:val="hps"/>
    <w:basedOn w:val="Predvolenpsmoodseku"/>
    <w:rsid w:val="009B6D29"/>
  </w:style>
  <w:style w:type="character" w:customStyle="1" w:styleId="shorttext">
    <w:name w:val="short_text"/>
    <w:basedOn w:val="Predvolenpsmoodseku"/>
    <w:rsid w:val="00A942B6"/>
  </w:style>
  <w:style w:type="character" w:customStyle="1" w:styleId="hpsatn">
    <w:name w:val="hps atn"/>
    <w:basedOn w:val="Predvolenpsmoodseku"/>
    <w:rsid w:val="00B32D16"/>
  </w:style>
  <w:style w:type="paragraph" w:customStyle="1" w:styleId="Default">
    <w:name w:val="Default"/>
    <w:rsid w:val="00CF5B51"/>
    <w:pPr>
      <w:autoSpaceDE w:val="0"/>
      <w:autoSpaceDN w:val="0"/>
      <w:adjustRightInd w:val="0"/>
    </w:pPr>
    <w:rPr>
      <w:rFonts w:ascii="Book Antiqua" w:hAnsi="Book Antiqua" w:cs="Book Antiqua"/>
      <w:color w:val="000000"/>
      <w:sz w:val="24"/>
      <w:szCs w:val="24"/>
    </w:rPr>
  </w:style>
  <w:style w:type="paragraph" w:styleId="Revzia">
    <w:name w:val="Revision"/>
    <w:hidden/>
    <w:uiPriority w:val="99"/>
    <w:semiHidden/>
    <w:rsid w:val="00980667"/>
    <w:rPr>
      <w:rFonts w:eastAsia="Times New Roman"/>
      <w:sz w:val="24"/>
      <w:szCs w:val="24"/>
    </w:rPr>
  </w:style>
  <w:style w:type="table" w:styleId="Mriekatabuky">
    <w:name w:val="Table Grid"/>
    <w:basedOn w:val="Normlnatabuka"/>
    <w:rsid w:val="00BF79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taChar">
    <w:name w:val="Päta Char"/>
    <w:basedOn w:val="Predvolenpsmoodseku"/>
    <w:link w:val="Pta"/>
    <w:uiPriority w:val="99"/>
    <w:rsid w:val="00BF79EA"/>
    <w:rPr>
      <w:rFonts w:eastAsia="Times New Roman"/>
      <w:sz w:val="24"/>
      <w:szCs w:val="24"/>
    </w:rPr>
  </w:style>
  <w:style w:type="character" w:styleId="Hypertextovprepojenie">
    <w:name w:val="Hyperlink"/>
    <w:basedOn w:val="Predvolenpsmoodseku"/>
    <w:rsid w:val="0055004E"/>
    <w:rPr>
      <w:color w:val="0000FF" w:themeColor="hyperlink"/>
      <w:u w:val="single"/>
    </w:rPr>
  </w:style>
  <w:style w:type="character" w:customStyle="1" w:styleId="HlavikaChar">
    <w:name w:val="Hlavička Char"/>
    <w:basedOn w:val="Predvolenpsmoodseku"/>
    <w:link w:val="Hlavika"/>
    <w:rsid w:val="00C7509F"/>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1F84"/>
    <w:rPr>
      <w:rFonts w:eastAsia="Times New Roman"/>
      <w:sz w:val="24"/>
      <w:szCs w:val="24"/>
    </w:rPr>
  </w:style>
  <w:style w:type="paragraph" w:styleId="Nadpis2">
    <w:name w:val="heading 2"/>
    <w:basedOn w:val="Normlny"/>
    <w:next w:val="Normlny"/>
    <w:qFormat/>
    <w:rsid w:val="00EF1F84"/>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EF1F84"/>
    <w:pPr>
      <w:tabs>
        <w:tab w:val="center" w:pos="4252"/>
        <w:tab w:val="right" w:pos="8504"/>
      </w:tabs>
    </w:pPr>
  </w:style>
  <w:style w:type="paragraph" w:styleId="Zarkazkladnhotextu">
    <w:name w:val="Body Text Indent"/>
    <w:basedOn w:val="Normlny"/>
    <w:rsid w:val="00EF1F84"/>
    <w:pPr>
      <w:spacing w:after="120"/>
      <w:ind w:left="283"/>
    </w:pPr>
  </w:style>
  <w:style w:type="paragraph" w:customStyle="1" w:styleId="Absatz">
    <w:name w:val="Absatz"/>
    <w:basedOn w:val="Normlny"/>
    <w:rsid w:val="00EF1F84"/>
    <w:pPr>
      <w:ind w:left="709"/>
    </w:pPr>
  </w:style>
  <w:style w:type="paragraph" w:customStyle="1" w:styleId="Titulo1">
    <w:name w:val="Titulo 1"/>
    <w:basedOn w:val="Hlavika"/>
    <w:rsid w:val="00EF1F84"/>
    <w:pPr>
      <w:shd w:val="clear" w:color="auto" w:fill="E0E0E0"/>
      <w:tabs>
        <w:tab w:val="clear" w:pos="4252"/>
        <w:tab w:val="clear" w:pos="8504"/>
      </w:tabs>
      <w:ind w:left="540" w:right="361"/>
    </w:pPr>
    <w:rPr>
      <w:b/>
      <w:bCs/>
    </w:rPr>
  </w:style>
  <w:style w:type="paragraph" w:customStyle="1" w:styleId="Titulo3">
    <w:name w:val="Titulo 3"/>
    <w:basedOn w:val="Nadpis2"/>
    <w:rsid w:val="00EF1F84"/>
    <w:pPr>
      <w:ind w:firstLine="540"/>
    </w:pPr>
    <w:rPr>
      <w:rFonts w:ascii="Times New Roman" w:hAnsi="Times New Roman" w:cs="Times New Roman"/>
      <w:b w:val="0"/>
      <w:sz w:val="24"/>
      <w:szCs w:val="24"/>
    </w:rPr>
  </w:style>
  <w:style w:type="paragraph" w:styleId="Pta">
    <w:name w:val="footer"/>
    <w:basedOn w:val="Normlny"/>
    <w:link w:val="PtaChar"/>
    <w:uiPriority w:val="99"/>
    <w:rsid w:val="00EF1F84"/>
    <w:pPr>
      <w:tabs>
        <w:tab w:val="center" w:pos="4252"/>
        <w:tab w:val="right" w:pos="8504"/>
      </w:tabs>
    </w:pPr>
  </w:style>
  <w:style w:type="character" w:styleId="slostrany">
    <w:name w:val="page number"/>
    <w:basedOn w:val="Predvolenpsmoodseku"/>
    <w:rsid w:val="00EF1F84"/>
  </w:style>
  <w:style w:type="paragraph" w:styleId="Zkladntext">
    <w:name w:val="Body Text"/>
    <w:basedOn w:val="Normlny"/>
    <w:rsid w:val="00B663E2"/>
    <w:pPr>
      <w:spacing w:after="120"/>
    </w:pPr>
  </w:style>
  <w:style w:type="paragraph" w:styleId="Textbubliny">
    <w:name w:val="Balloon Text"/>
    <w:basedOn w:val="Normlny"/>
    <w:semiHidden/>
    <w:rsid w:val="00AA0DD4"/>
    <w:rPr>
      <w:rFonts w:ascii="Tahoma" w:hAnsi="Tahoma" w:cs="Tahoma"/>
      <w:sz w:val="16"/>
      <w:szCs w:val="16"/>
    </w:rPr>
  </w:style>
  <w:style w:type="paragraph" w:customStyle="1" w:styleId="knZulassung02">
    <w:name w:val="knZulassung02"/>
    <w:rsid w:val="003943FD"/>
    <w:pPr>
      <w:autoSpaceDE w:val="0"/>
      <w:autoSpaceDN w:val="0"/>
      <w:ind w:left="1843" w:right="284"/>
    </w:pPr>
    <w:rPr>
      <w:rFonts w:ascii="Courier" w:eastAsia="Times New Roman" w:hAnsi="Courier" w:cs="Courier"/>
      <w:sz w:val="24"/>
      <w:szCs w:val="24"/>
    </w:rPr>
  </w:style>
  <w:style w:type="paragraph" w:customStyle="1" w:styleId="paragraph">
    <w:name w:val="paragraph"/>
    <w:basedOn w:val="Normlny"/>
    <w:rsid w:val="003943FD"/>
  </w:style>
  <w:style w:type="paragraph" w:customStyle="1" w:styleId="knZulassung01">
    <w:name w:val="knZulassung01"/>
    <w:basedOn w:val="Normlny"/>
    <w:rsid w:val="002A6ECE"/>
    <w:pPr>
      <w:tabs>
        <w:tab w:val="left" w:pos="567"/>
      </w:tabs>
      <w:autoSpaceDE w:val="0"/>
      <w:autoSpaceDN w:val="0"/>
      <w:ind w:left="1843" w:right="284" w:hanging="1843"/>
    </w:pPr>
    <w:rPr>
      <w:rFonts w:ascii="Courier" w:hAnsi="Courier" w:cs="Courier"/>
    </w:rPr>
  </w:style>
  <w:style w:type="paragraph" w:styleId="Normlnywebov">
    <w:name w:val="Normal (Web)"/>
    <w:basedOn w:val="Normlny"/>
    <w:unhideWhenUsed/>
    <w:rsid w:val="00955B4F"/>
    <w:pPr>
      <w:spacing w:before="100" w:beforeAutospacing="1" w:after="100" w:afterAutospacing="1"/>
    </w:pPr>
    <w:rPr>
      <w:color w:val="000000"/>
    </w:rPr>
  </w:style>
  <w:style w:type="character" w:styleId="Odkaznakomentr">
    <w:name w:val="annotation reference"/>
    <w:basedOn w:val="Predvolenpsmoodseku"/>
    <w:uiPriority w:val="99"/>
    <w:rsid w:val="0092731F"/>
    <w:rPr>
      <w:sz w:val="16"/>
      <w:szCs w:val="16"/>
    </w:rPr>
  </w:style>
  <w:style w:type="paragraph" w:styleId="Textkomentra">
    <w:name w:val="annotation text"/>
    <w:basedOn w:val="Normlny"/>
    <w:link w:val="TextkomentraChar"/>
    <w:uiPriority w:val="99"/>
    <w:rsid w:val="0092731F"/>
    <w:rPr>
      <w:sz w:val="20"/>
      <w:szCs w:val="20"/>
    </w:rPr>
  </w:style>
  <w:style w:type="character" w:customStyle="1" w:styleId="TextkomentraChar">
    <w:name w:val="Text komentára Char"/>
    <w:basedOn w:val="Predvolenpsmoodseku"/>
    <w:link w:val="Textkomentra"/>
    <w:uiPriority w:val="99"/>
    <w:rsid w:val="0092731F"/>
    <w:rPr>
      <w:rFonts w:eastAsia="Times New Roman"/>
    </w:rPr>
  </w:style>
  <w:style w:type="paragraph" w:styleId="Predmetkomentra">
    <w:name w:val="annotation subject"/>
    <w:basedOn w:val="Textkomentra"/>
    <w:next w:val="Textkomentra"/>
    <w:link w:val="PredmetkomentraChar"/>
    <w:rsid w:val="0092731F"/>
    <w:rPr>
      <w:b/>
      <w:bCs/>
    </w:rPr>
  </w:style>
  <w:style w:type="character" w:customStyle="1" w:styleId="PredmetkomentraChar">
    <w:name w:val="Predmet komentára Char"/>
    <w:basedOn w:val="TextkomentraChar"/>
    <w:link w:val="Predmetkomentra"/>
    <w:rsid w:val="0092731F"/>
    <w:rPr>
      <w:rFonts w:eastAsia="Times New Roman"/>
      <w:b/>
      <w:bCs/>
    </w:rPr>
  </w:style>
  <w:style w:type="paragraph" w:customStyle="1" w:styleId="In-textfiguretitle">
    <w:name w:val="In-text figure title"/>
    <w:basedOn w:val="Normlny"/>
    <w:next w:val="Normlny"/>
    <w:rsid w:val="0072614C"/>
    <w:pPr>
      <w:tabs>
        <w:tab w:val="left" w:pos="2304"/>
      </w:tabs>
      <w:spacing w:after="240"/>
      <w:ind w:left="1151" w:hanging="1151"/>
      <w:jc w:val="both"/>
    </w:pPr>
    <w:rPr>
      <w:b/>
      <w:sz w:val="16"/>
      <w:szCs w:val="20"/>
    </w:rPr>
  </w:style>
  <w:style w:type="paragraph" w:customStyle="1" w:styleId="Estilo2">
    <w:name w:val="Estilo2"/>
    <w:basedOn w:val="Normlny"/>
    <w:rsid w:val="009D3463"/>
    <w:pPr>
      <w:numPr>
        <w:ilvl w:val="2"/>
        <w:numId w:val="19"/>
      </w:numPr>
      <w:spacing w:line="360" w:lineRule="auto"/>
      <w:jc w:val="both"/>
    </w:pPr>
    <w:rPr>
      <w:rFonts w:ascii="Tahoma" w:hAnsi="Tahoma" w:cs="Tahoma"/>
      <w:sz w:val="22"/>
    </w:rPr>
  </w:style>
  <w:style w:type="character" w:customStyle="1" w:styleId="hps">
    <w:name w:val="hps"/>
    <w:basedOn w:val="Predvolenpsmoodseku"/>
    <w:rsid w:val="009B6D29"/>
  </w:style>
  <w:style w:type="character" w:customStyle="1" w:styleId="shorttext">
    <w:name w:val="short_text"/>
    <w:basedOn w:val="Predvolenpsmoodseku"/>
    <w:rsid w:val="00A942B6"/>
  </w:style>
  <w:style w:type="character" w:customStyle="1" w:styleId="hpsatn">
    <w:name w:val="hps atn"/>
    <w:basedOn w:val="Predvolenpsmoodseku"/>
    <w:rsid w:val="00B32D16"/>
  </w:style>
  <w:style w:type="paragraph" w:customStyle="1" w:styleId="Default">
    <w:name w:val="Default"/>
    <w:rsid w:val="00CF5B51"/>
    <w:pPr>
      <w:autoSpaceDE w:val="0"/>
      <w:autoSpaceDN w:val="0"/>
      <w:adjustRightInd w:val="0"/>
    </w:pPr>
    <w:rPr>
      <w:rFonts w:ascii="Book Antiqua" w:hAnsi="Book Antiqua" w:cs="Book Antiqua"/>
      <w:color w:val="000000"/>
      <w:sz w:val="24"/>
      <w:szCs w:val="24"/>
    </w:rPr>
  </w:style>
  <w:style w:type="paragraph" w:styleId="Revzia">
    <w:name w:val="Revision"/>
    <w:hidden/>
    <w:uiPriority w:val="99"/>
    <w:semiHidden/>
    <w:rsid w:val="00980667"/>
    <w:rPr>
      <w:rFonts w:eastAsia="Times New Roman"/>
      <w:sz w:val="24"/>
      <w:szCs w:val="24"/>
    </w:rPr>
  </w:style>
  <w:style w:type="table" w:styleId="Mriekatabuky">
    <w:name w:val="Table Grid"/>
    <w:basedOn w:val="Normlnatabuka"/>
    <w:rsid w:val="00BF79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taChar">
    <w:name w:val="Päta Char"/>
    <w:basedOn w:val="Predvolenpsmoodseku"/>
    <w:link w:val="Pta"/>
    <w:uiPriority w:val="99"/>
    <w:rsid w:val="00BF79EA"/>
    <w:rPr>
      <w:rFonts w:eastAsia="Times New Roman"/>
      <w:sz w:val="24"/>
      <w:szCs w:val="24"/>
    </w:rPr>
  </w:style>
  <w:style w:type="character" w:styleId="Hypertextovprepojenie">
    <w:name w:val="Hyperlink"/>
    <w:basedOn w:val="Predvolenpsmoodseku"/>
    <w:rsid w:val="0055004E"/>
    <w:rPr>
      <w:color w:val="0000FF" w:themeColor="hyperlink"/>
      <w:u w:val="single"/>
    </w:rPr>
  </w:style>
  <w:style w:type="character" w:customStyle="1" w:styleId="HlavikaChar">
    <w:name w:val="Hlavička Char"/>
    <w:basedOn w:val="Predvolenpsmoodseku"/>
    <w:link w:val="Hlavika"/>
    <w:rsid w:val="00C7509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216">
      <w:bodyDiv w:val="1"/>
      <w:marLeft w:val="0"/>
      <w:marRight w:val="0"/>
      <w:marTop w:val="0"/>
      <w:marBottom w:val="0"/>
      <w:divBdr>
        <w:top w:val="none" w:sz="0" w:space="0" w:color="auto"/>
        <w:left w:val="none" w:sz="0" w:space="0" w:color="auto"/>
        <w:bottom w:val="none" w:sz="0" w:space="0" w:color="auto"/>
        <w:right w:val="none" w:sz="0" w:space="0" w:color="auto"/>
      </w:divBdr>
    </w:div>
    <w:div w:id="399837684">
      <w:bodyDiv w:val="1"/>
      <w:marLeft w:val="0"/>
      <w:marRight w:val="0"/>
      <w:marTop w:val="0"/>
      <w:marBottom w:val="0"/>
      <w:divBdr>
        <w:top w:val="none" w:sz="0" w:space="0" w:color="auto"/>
        <w:left w:val="none" w:sz="0" w:space="0" w:color="auto"/>
        <w:bottom w:val="none" w:sz="0" w:space="0" w:color="auto"/>
        <w:right w:val="none" w:sz="0" w:space="0" w:color="auto"/>
      </w:divBdr>
    </w:div>
    <w:div w:id="496266726">
      <w:bodyDiv w:val="1"/>
      <w:marLeft w:val="0"/>
      <w:marRight w:val="0"/>
      <w:marTop w:val="0"/>
      <w:marBottom w:val="0"/>
      <w:divBdr>
        <w:top w:val="none" w:sz="0" w:space="0" w:color="auto"/>
        <w:left w:val="none" w:sz="0" w:space="0" w:color="auto"/>
        <w:bottom w:val="none" w:sz="0" w:space="0" w:color="auto"/>
        <w:right w:val="none" w:sz="0" w:space="0" w:color="auto"/>
      </w:divBdr>
    </w:div>
    <w:div w:id="611741784">
      <w:bodyDiv w:val="1"/>
      <w:marLeft w:val="0"/>
      <w:marRight w:val="0"/>
      <w:marTop w:val="0"/>
      <w:marBottom w:val="0"/>
      <w:divBdr>
        <w:top w:val="none" w:sz="0" w:space="0" w:color="auto"/>
        <w:left w:val="none" w:sz="0" w:space="0" w:color="auto"/>
        <w:bottom w:val="none" w:sz="0" w:space="0" w:color="auto"/>
        <w:right w:val="none" w:sz="0" w:space="0" w:color="auto"/>
      </w:divBdr>
    </w:div>
    <w:div w:id="914514499">
      <w:bodyDiv w:val="1"/>
      <w:marLeft w:val="0"/>
      <w:marRight w:val="0"/>
      <w:marTop w:val="0"/>
      <w:marBottom w:val="0"/>
      <w:divBdr>
        <w:top w:val="none" w:sz="0" w:space="0" w:color="auto"/>
        <w:left w:val="none" w:sz="0" w:space="0" w:color="auto"/>
        <w:bottom w:val="none" w:sz="0" w:space="0" w:color="auto"/>
        <w:right w:val="none" w:sz="0" w:space="0" w:color="auto"/>
      </w:divBdr>
    </w:div>
    <w:div w:id="962808972">
      <w:bodyDiv w:val="1"/>
      <w:marLeft w:val="0"/>
      <w:marRight w:val="0"/>
      <w:marTop w:val="0"/>
      <w:marBottom w:val="0"/>
      <w:divBdr>
        <w:top w:val="none" w:sz="0" w:space="0" w:color="auto"/>
        <w:left w:val="none" w:sz="0" w:space="0" w:color="auto"/>
        <w:bottom w:val="none" w:sz="0" w:space="0" w:color="auto"/>
        <w:right w:val="none" w:sz="0" w:space="0" w:color="auto"/>
      </w:divBdr>
      <w:divsChild>
        <w:div w:id="1351637713">
          <w:marLeft w:val="0"/>
          <w:marRight w:val="0"/>
          <w:marTop w:val="0"/>
          <w:marBottom w:val="0"/>
          <w:divBdr>
            <w:top w:val="none" w:sz="0" w:space="0" w:color="auto"/>
            <w:left w:val="none" w:sz="0" w:space="0" w:color="auto"/>
            <w:bottom w:val="none" w:sz="0" w:space="0" w:color="auto"/>
            <w:right w:val="none" w:sz="0" w:space="0" w:color="auto"/>
          </w:divBdr>
          <w:divsChild>
            <w:div w:id="484979437">
              <w:marLeft w:val="0"/>
              <w:marRight w:val="0"/>
              <w:marTop w:val="0"/>
              <w:marBottom w:val="0"/>
              <w:divBdr>
                <w:top w:val="none" w:sz="0" w:space="0" w:color="auto"/>
                <w:left w:val="none" w:sz="0" w:space="0" w:color="auto"/>
                <w:bottom w:val="none" w:sz="0" w:space="0" w:color="auto"/>
                <w:right w:val="none" w:sz="0" w:space="0" w:color="auto"/>
              </w:divBdr>
              <w:divsChild>
                <w:div w:id="1831291036">
                  <w:marLeft w:val="0"/>
                  <w:marRight w:val="0"/>
                  <w:marTop w:val="0"/>
                  <w:marBottom w:val="0"/>
                  <w:divBdr>
                    <w:top w:val="none" w:sz="0" w:space="0" w:color="auto"/>
                    <w:left w:val="none" w:sz="0" w:space="0" w:color="auto"/>
                    <w:bottom w:val="none" w:sz="0" w:space="0" w:color="auto"/>
                    <w:right w:val="none" w:sz="0" w:space="0" w:color="auto"/>
                  </w:divBdr>
                  <w:divsChild>
                    <w:div w:id="58020636">
                      <w:marLeft w:val="0"/>
                      <w:marRight w:val="0"/>
                      <w:marTop w:val="0"/>
                      <w:marBottom w:val="0"/>
                      <w:divBdr>
                        <w:top w:val="none" w:sz="0" w:space="0" w:color="auto"/>
                        <w:left w:val="none" w:sz="0" w:space="0" w:color="auto"/>
                        <w:bottom w:val="none" w:sz="0" w:space="0" w:color="auto"/>
                        <w:right w:val="none" w:sz="0" w:space="0" w:color="auto"/>
                      </w:divBdr>
                      <w:divsChild>
                        <w:div w:id="1706323342">
                          <w:marLeft w:val="0"/>
                          <w:marRight w:val="0"/>
                          <w:marTop w:val="0"/>
                          <w:marBottom w:val="0"/>
                          <w:divBdr>
                            <w:top w:val="none" w:sz="0" w:space="0" w:color="auto"/>
                            <w:left w:val="none" w:sz="0" w:space="0" w:color="auto"/>
                            <w:bottom w:val="none" w:sz="0" w:space="0" w:color="auto"/>
                            <w:right w:val="none" w:sz="0" w:space="0" w:color="auto"/>
                          </w:divBdr>
                          <w:divsChild>
                            <w:div w:id="2075158678">
                              <w:marLeft w:val="0"/>
                              <w:marRight w:val="0"/>
                              <w:marTop w:val="0"/>
                              <w:marBottom w:val="0"/>
                              <w:divBdr>
                                <w:top w:val="none" w:sz="0" w:space="0" w:color="auto"/>
                                <w:left w:val="none" w:sz="0" w:space="0" w:color="auto"/>
                                <w:bottom w:val="none" w:sz="0" w:space="0" w:color="auto"/>
                                <w:right w:val="none" w:sz="0" w:space="0" w:color="auto"/>
                              </w:divBdr>
                              <w:divsChild>
                                <w:div w:id="6294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257071">
      <w:bodyDiv w:val="1"/>
      <w:marLeft w:val="0"/>
      <w:marRight w:val="0"/>
      <w:marTop w:val="0"/>
      <w:marBottom w:val="0"/>
      <w:divBdr>
        <w:top w:val="none" w:sz="0" w:space="0" w:color="auto"/>
        <w:left w:val="none" w:sz="0" w:space="0" w:color="auto"/>
        <w:bottom w:val="none" w:sz="0" w:space="0" w:color="auto"/>
        <w:right w:val="none" w:sz="0" w:space="0" w:color="auto"/>
      </w:divBdr>
    </w:div>
    <w:div w:id="1076585632">
      <w:bodyDiv w:val="1"/>
      <w:marLeft w:val="0"/>
      <w:marRight w:val="0"/>
      <w:marTop w:val="0"/>
      <w:marBottom w:val="0"/>
      <w:divBdr>
        <w:top w:val="none" w:sz="0" w:space="0" w:color="auto"/>
        <w:left w:val="none" w:sz="0" w:space="0" w:color="auto"/>
        <w:bottom w:val="none" w:sz="0" w:space="0" w:color="auto"/>
        <w:right w:val="none" w:sz="0" w:space="0" w:color="auto"/>
      </w:divBdr>
    </w:div>
    <w:div w:id="1584878932">
      <w:bodyDiv w:val="1"/>
      <w:marLeft w:val="180"/>
      <w:marRight w:val="0"/>
      <w:marTop w:val="120"/>
      <w:marBottom w:val="0"/>
      <w:divBdr>
        <w:top w:val="none" w:sz="0" w:space="0" w:color="auto"/>
        <w:left w:val="none" w:sz="0" w:space="0" w:color="auto"/>
        <w:bottom w:val="none" w:sz="0" w:space="0" w:color="auto"/>
        <w:right w:val="none" w:sz="0" w:space="0" w:color="auto"/>
      </w:divBdr>
      <w:divsChild>
        <w:div w:id="1494762216">
          <w:marLeft w:val="0"/>
          <w:marRight w:val="0"/>
          <w:marTop w:val="0"/>
          <w:marBottom w:val="0"/>
          <w:divBdr>
            <w:top w:val="none" w:sz="0" w:space="0" w:color="auto"/>
            <w:left w:val="none" w:sz="0" w:space="0" w:color="auto"/>
            <w:bottom w:val="none" w:sz="0" w:space="0" w:color="auto"/>
            <w:right w:val="none" w:sz="0" w:space="0" w:color="auto"/>
          </w:divBdr>
          <w:divsChild>
            <w:div w:id="1107385876">
              <w:marLeft w:val="0"/>
              <w:marRight w:val="0"/>
              <w:marTop w:val="0"/>
              <w:marBottom w:val="0"/>
              <w:divBdr>
                <w:top w:val="none" w:sz="0" w:space="0" w:color="auto"/>
                <w:left w:val="none" w:sz="0" w:space="0" w:color="auto"/>
                <w:bottom w:val="none" w:sz="0" w:space="0" w:color="auto"/>
                <w:right w:val="none" w:sz="0" w:space="0" w:color="auto"/>
              </w:divBdr>
              <w:divsChild>
                <w:div w:id="823551425">
                  <w:marLeft w:val="0"/>
                  <w:marRight w:val="0"/>
                  <w:marTop w:val="0"/>
                  <w:marBottom w:val="0"/>
                  <w:divBdr>
                    <w:top w:val="none" w:sz="0" w:space="0" w:color="auto"/>
                    <w:left w:val="none" w:sz="0" w:space="0" w:color="auto"/>
                    <w:bottom w:val="none" w:sz="0" w:space="0" w:color="auto"/>
                    <w:right w:val="none" w:sz="0" w:space="0" w:color="auto"/>
                  </w:divBdr>
                  <w:divsChild>
                    <w:div w:id="234049820">
                      <w:marLeft w:val="0"/>
                      <w:marRight w:val="0"/>
                      <w:marTop w:val="0"/>
                      <w:marBottom w:val="0"/>
                      <w:divBdr>
                        <w:top w:val="none" w:sz="0" w:space="0" w:color="auto"/>
                        <w:left w:val="none" w:sz="0" w:space="0" w:color="auto"/>
                        <w:bottom w:val="none" w:sz="0" w:space="0" w:color="auto"/>
                        <w:right w:val="none" w:sz="0" w:space="0" w:color="auto"/>
                      </w:divBdr>
                    </w:div>
                    <w:div w:id="455297682">
                      <w:marLeft w:val="0"/>
                      <w:marRight w:val="0"/>
                      <w:marTop w:val="0"/>
                      <w:marBottom w:val="0"/>
                      <w:divBdr>
                        <w:top w:val="none" w:sz="0" w:space="0" w:color="auto"/>
                        <w:left w:val="none" w:sz="0" w:space="0" w:color="auto"/>
                        <w:bottom w:val="none" w:sz="0" w:space="0" w:color="auto"/>
                        <w:right w:val="none" w:sz="0" w:space="0" w:color="auto"/>
                      </w:divBdr>
                    </w:div>
                    <w:div w:id="1384253678">
                      <w:marLeft w:val="0"/>
                      <w:marRight w:val="0"/>
                      <w:marTop w:val="0"/>
                      <w:marBottom w:val="0"/>
                      <w:divBdr>
                        <w:top w:val="none" w:sz="0" w:space="0" w:color="auto"/>
                        <w:left w:val="none" w:sz="0" w:space="0" w:color="auto"/>
                        <w:bottom w:val="none" w:sz="0" w:space="0" w:color="auto"/>
                        <w:right w:val="none" w:sz="0" w:space="0" w:color="auto"/>
                      </w:divBdr>
                    </w:div>
                    <w:div w:id="1523939775">
                      <w:marLeft w:val="0"/>
                      <w:marRight w:val="0"/>
                      <w:marTop w:val="0"/>
                      <w:marBottom w:val="0"/>
                      <w:divBdr>
                        <w:top w:val="none" w:sz="0" w:space="0" w:color="auto"/>
                        <w:left w:val="none" w:sz="0" w:space="0" w:color="auto"/>
                        <w:bottom w:val="none" w:sz="0" w:space="0" w:color="auto"/>
                        <w:right w:val="none" w:sz="0" w:space="0" w:color="auto"/>
                      </w:divBdr>
                    </w:div>
                    <w:div w:id="1690447507">
                      <w:marLeft w:val="0"/>
                      <w:marRight w:val="0"/>
                      <w:marTop w:val="0"/>
                      <w:marBottom w:val="0"/>
                      <w:divBdr>
                        <w:top w:val="none" w:sz="0" w:space="0" w:color="auto"/>
                        <w:left w:val="none" w:sz="0" w:space="0" w:color="auto"/>
                        <w:bottom w:val="none" w:sz="0" w:space="0" w:color="auto"/>
                        <w:right w:val="none" w:sz="0" w:space="0" w:color="auto"/>
                      </w:divBdr>
                    </w:div>
                    <w:div w:id="21303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87210">
      <w:bodyDiv w:val="1"/>
      <w:marLeft w:val="0"/>
      <w:marRight w:val="0"/>
      <w:marTop w:val="0"/>
      <w:marBottom w:val="0"/>
      <w:divBdr>
        <w:top w:val="none" w:sz="0" w:space="0" w:color="auto"/>
        <w:left w:val="none" w:sz="0" w:space="0" w:color="auto"/>
        <w:bottom w:val="none" w:sz="0" w:space="0" w:color="auto"/>
        <w:right w:val="none" w:sz="0" w:space="0" w:color="auto"/>
      </w:divBdr>
    </w:div>
    <w:div w:id="1753627587">
      <w:bodyDiv w:val="1"/>
      <w:marLeft w:val="0"/>
      <w:marRight w:val="0"/>
      <w:marTop w:val="0"/>
      <w:marBottom w:val="0"/>
      <w:divBdr>
        <w:top w:val="none" w:sz="0" w:space="0" w:color="auto"/>
        <w:left w:val="none" w:sz="0" w:space="0" w:color="auto"/>
        <w:bottom w:val="none" w:sz="0" w:space="0" w:color="auto"/>
        <w:right w:val="none" w:sz="0" w:space="0" w:color="auto"/>
      </w:divBdr>
    </w:div>
    <w:div w:id="19141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5.emf"/><Relationship Id="rId23" Type="http://schemas.openxmlformats.org/officeDocument/2006/relationships/header" Target="header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92BAB-1818-4CE1-8058-C44856190330}">
  <ds:schemaRefs>
    <ds:schemaRef ds:uri="http://schemas.openxmlformats.org/officeDocument/2006/bibliography"/>
  </ds:schemaRefs>
</ds:datastoreItem>
</file>

<file path=customXml/itemProps2.xml><?xml version="1.0" encoding="utf-8"?>
<ds:datastoreItem xmlns:ds="http://schemas.openxmlformats.org/officeDocument/2006/customXml" ds:itemID="{245B5EC3-AD1C-47F3-AA9A-8F54F7DA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2489</Words>
  <Characters>15174</Characters>
  <Application>Microsoft Office Word</Application>
  <DocSecurity>0</DocSecurity>
  <Lines>126</Lines>
  <Paragraphs>35</Paragraphs>
  <ScaleCrop>false</ScaleCrop>
  <HeadingPairs>
    <vt:vector size="6" baseType="variant">
      <vt:variant>
        <vt:lpstr>Názov</vt:lpstr>
      </vt:variant>
      <vt:variant>
        <vt:i4>1</vt:i4>
      </vt:variant>
      <vt:variant>
        <vt:lpstr>Title</vt:lpstr>
      </vt:variant>
      <vt:variant>
        <vt:i4>1</vt:i4>
      </vt:variant>
      <vt:variant>
        <vt:lpstr>Título</vt:lpstr>
      </vt:variant>
      <vt:variant>
        <vt:i4>1</vt:i4>
      </vt:variant>
    </vt:vector>
  </HeadingPairs>
  <TitlesOfParts>
    <vt:vector size="3" baseType="lpstr">
      <vt:lpstr>1</vt:lpstr>
      <vt:lpstr>1</vt:lpstr>
      <vt:lpstr>1</vt:lpstr>
    </vt:vector>
  </TitlesOfParts>
  <Company>Microsoft</Company>
  <LinksUpToDate>false</LinksUpToDate>
  <CharactersWithSpaces>17628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jsegui</dc:creator>
  <cp:lastModifiedBy>Miroslava Slahúčková</cp:lastModifiedBy>
  <cp:revision>2</cp:revision>
  <cp:lastPrinted>2015-06-29T11:26:00Z</cp:lastPrinted>
  <dcterms:created xsi:type="dcterms:W3CDTF">2017-11-29T07:50:00Z</dcterms:created>
  <dcterms:modified xsi:type="dcterms:W3CDTF">2017-11-29T07:50:00Z</dcterms:modified>
</cp:coreProperties>
</file>