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D5" w:rsidRDefault="00FA78D5" w:rsidP="00FA78D5">
      <w:pPr>
        <w:spacing w:after="0" w:line="240" w:lineRule="auto"/>
        <w:rPr>
          <w:rFonts w:ascii="Times New Roman" w:hAnsi="Times New Roman" w:cs="Times New Roman"/>
          <w:b/>
          <w:highlight w:val="yellow"/>
        </w:rPr>
      </w:pPr>
    </w:p>
    <w:p w:rsidR="00FA3D37" w:rsidRPr="007976CB" w:rsidRDefault="00FA3D37" w:rsidP="00FA3D37">
      <w:pPr>
        <w:spacing w:after="0" w:line="240" w:lineRule="auto"/>
        <w:jc w:val="center"/>
        <w:rPr>
          <w:rFonts w:ascii="Times New Roman" w:hAnsi="Times New Roman" w:cs="Times New Roman"/>
          <w:b/>
        </w:rPr>
      </w:pPr>
      <w:r w:rsidRPr="007976CB">
        <w:rPr>
          <w:rFonts w:ascii="Times New Roman" w:hAnsi="Times New Roman" w:cs="Times New Roman"/>
          <w:b/>
        </w:rPr>
        <w:t>Písomná informácia pre používateľa</w:t>
      </w:r>
    </w:p>
    <w:p w:rsidR="00FA3D37" w:rsidRPr="007976CB" w:rsidRDefault="00FA3D37" w:rsidP="00FA3D37">
      <w:pPr>
        <w:spacing w:after="0" w:line="240" w:lineRule="auto"/>
        <w:jc w:val="center"/>
        <w:rPr>
          <w:rFonts w:ascii="Times New Roman" w:hAnsi="Times New Roman" w:cs="Times New Roman"/>
          <w:b/>
        </w:rPr>
      </w:pPr>
    </w:p>
    <w:p w:rsidR="00F95CF0" w:rsidRPr="007976CB" w:rsidRDefault="00FA78D5" w:rsidP="00F95CF0">
      <w:pPr>
        <w:spacing w:after="0" w:line="240" w:lineRule="auto"/>
        <w:jc w:val="center"/>
        <w:rPr>
          <w:rFonts w:ascii="Times New Roman" w:hAnsi="Times New Roman" w:cs="Times New Roman"/>
          <w:b/>
        </w:rPr>
      </w:pPr>
      <w:r w:rsidRPr="00FA78D5">
        <w:rPr>
          <w:rFonts w:ascii="Times New Roman" w:hAnsi="Times New Roman" w:cs="Times New Roman"/>
          <w:b/>
        </w:rPr>
        <w:t>Dexadol 25 mg perorálny roztok vo vrecku</w:t>
      </w:r>
    </w:p>
    <w:p w:rsidR="00FA3D37" w:rsidRPr="007976CB" w:rsidRDefault="00FA3D37" w:rsidP="00FA3D37">
      <w:pPr>
        <w:spacing w:after="0" w:line="240" w:lineRule="auto"/>
        <w:jc w:val="center"/>
        <w:rPr>
          <w:rFonts w:ascii="Times New Roman" w:hAnsi="Times New Roman" w:cs="Times New Roman"/>
        </w:rPr>
      </w:pPr>
    </w:p>
    <w:p w:rsidR="00FA3D37" w:rsidRPr="007976CB" w:rsidRDefault="00FA78D5" w:rsidP="00FA3D37">
      <w:pPr>
        <w:spacing w:after="0" w:line="240" w:lineRule="auto"/>
        <w:jc w:val="center"/>
        <w:rPr>
          <w:rFonts w:ascii="Times New Roman" w:hAnsi="Times New Roman" w:cs="Times New Roman"/>
        </w:rPr>
      </w:pPr>
      <w:r w:rsidRPr="00FA78D5">
        <w:rPr>
          <w:rFonts w:ascii="Times New Roman" w:hAnsi="Times New Roman" w:cs="Times New Roman"/>
        </w:rPr>
        <w:t>dexketoprofén</w:t>
      </w:r>
    </w:p>
    <w:p w:rsidR="00FA3D37" w:rsidRPr="007976CB" w:rsidRDefault="00FA3D37" w:rsidP="00FA3D37">
      <w:pPr>
        <w:spacing w:after="0" w:line="240" w:lineRule="auto"/>
        <w:rPr>
          <w:rFonts w:ascii="Times New Roman" w:hAnsi="Times New Roman" w:cs="Times New Roman"/>
        </w:rPr>
      </w:pPr>
    </w:p>
    <w:p w:rsidR="00721A74" w:rsidRPr="007976CB" w:rsidRDefault="00FA78D5" w:rsidP="00721A74">
      <w:pPr>
        <w:spacing w:after="0" w:line="240" w:lineRule="auto"/>
        <w:rPr>
          <w:rFonts w:ascii="Times New Roman" w:hAnsi="Times New Roman" w:cs="Times New Roman"/>
          <w:b/>
        </w:rPr>
      </w:pPr>
      <w:r w:rsidRPr="00FA78D5">
        <w:rPr>
          <w:rFonts w:ascii="Times New Roman" w:hAnsi="Times New Roman" w:cs="Times New Roman"/>
          <w:b/>
        </w:rPr>
        <w:t>Pozorne si prečítajte celú písomnú informáciu predtým, ako začnete užívať tento liek, pretože obsahuje pre vás dôležité informácie.</w:t>
      </w:r>
    </w:p>
    <w:p w:rsidR="00721A74" w:rsidRPr="007976CB" w:rsidRDefault="00FA78D5" w:rsidP="00721A74">
      <w:pPr>
        <w:spacing w:after="0" w:line="240" w:lineRule="auto"/>
        <w:ind w:left="180" w:hanging="180"/>
        <w:rPr>
          <w:rFonts w:ascii="Times New Roman" w:hAnsi="Times New Roman" w:cs="Times New Roman"/>
        </w:rPr>
      </w:pPr>
      <w:r w:rsidRPr="00FA78D5">
        <w:rPr>
          <w:rFonts w:ascii="Times New Roman" w:hAnsi="Times New Roman" w:cs="Times New Roman"/>
          <w:b/>
        </w:rPr>
        <w:t xml:space="preserve">- </w:t>
      </w:r>
      <w:r w:rsidRPr="00FA78D5">
        <w:rPr>
          <w:rFonts w:ascii="Times New Roman" w:hAnsi="Times New Roman" w:cs="Times New Roman"/>
        </w:rPr>
        <w:t xml:space="preserve">Túto písomnú informáciu si uschovajte. Možno bude potrebné, aby ste si ju znovu prečítali. </w:t>
      </w:r>
    </w:p>
    <w:p w:rsidR="00721A74" w:rsidRPr="007976CB" w:rsidRDefault="00FA78D5" w:rsidP="00721A74">
      <w:pPr>
        <w:spacing w:after="0" w:line="240" w:lineRule="auto"/>
        <w:ind w:left="180" w:hanging="180"/>
        <w:rPr>
          <w:rFonts w:ascii="Times New Roman" w:hAnsi="Times New Roman" w:cs="Times New Roman"/>
          <w:b/>
        </w:rPr>
      </w:pPr>
      <w:r w:rsidRPr="00FA78D5">
        <w:rPr>
          <w:rFonts w:ascii="Times New Roman" w:hAnsi="Times New Roman" w:cs="Times New Roman"/>
          <w:b/>
        </w:rPr>
        <w:t>-</w:t>
      </w:r>
      <w:r w:rsidRPr="00FA78D5">
        <w:rPr>
          <w:rFonts w:ascii="Times New Roman" w:hAnsi="Times New Roman" w:cs="Times New Roman"/>
        </w:rPr>
        <w:t xml:space="preserve"> Ak máte akékoľvek ďalšie otázky, obráťte sa na svojho lekára alebo lekárnika. </w:t>
      </w:r>
      <w:r w:rsidRPr="00FA78D5">
        <w:rPr>
          <w:rFonts w:ascii="Times New Roman" w:hAnsi="Times New Roman" w:cs="Times New Roman"/>
          <w:b/>
        </w:rPr>
        <w:t xml:space="preserve"> </w:t>
      </w:r>
    </w:p>
    <w:p w:rsidR="00721A74" w:rsidRPr="007976CB" w:rsidRDefault="00FA78D5" w:rsidP="00721A74">
      <w:pPr>
        <w:spacing w:after="0" w:line="240" w:lineRule="auto"/>
        <w:ind w:left="180" w:hanging="180"/>
        <w:rPr>
          <w:rFonts w:ascii="Times New Roman" w:hAnsi="Times New Roman" w:cs="Times New Roman"/>
        </w:rPr>
      </w:pPr>
      <w:r w:rsidRPr="00FA78D5">
        <w:rPr>
          <w:rFonts w:ascii="Times New Roman" w:hAnsi="Times New Roman" w:cs="Times New Roman"/>
          <w:b/>
        </w:rPr>
        <w:t xml:space="preserve">- </w:t>
      </w:r>
      <w:r w:rsidRPr="00FA78D5">
        <w:rPr>
          <w:rFonts w:ascii="Times New Roman" w:hAnsi="Times New Roman" w:cs="Times New Roman"/>
        </w:rPr>
        <w:t>Tento liek bol predpísaný iba vám. Nedávajte ho nikomu inému. Môže mu uškodiť, dokonca aj vtedy, ak má rovnaké prejavy ochorenia ako vy.</w:t>
      </w:r>
    </w:p>
    <w:p w:rsidR="00FA3D37" w:rsidRPr="007976CB" w:rsidRDefault="00FA78D5" w:rsidP="00C20A4E">
      <w:pPr>
        <w:spacing w:after="0" w:line="240" w:lineRule="auto"/>
        <w:ind w:left="142" w:hanging="142"/>
        <w:rPr>
          <w:rFonts w:ascii="Times New Roman" w:hAnsi="Times New Roman" w:cs="Times New Roman"/>
        </w:rPr>
      </w:pPr>
      <w:r w:rsidRPr="00FA78D5">
        <w:rPr>
          <w:rFonts w:ascii="Times New Roman" w:hAnsi="Times New Roman" w:cs="Times New Roman"/>
          <w:b/>
        </w:rPr>
        <w:t>-</w:t>
      </w:r>
      <w:r w:rsidRPr="00FA78D5">
        <w:rPr>
          <w:rFonts w:ascii="Times New Roman" w:hAnsi="Times New Roman" w:cs="Times New Roman"/>
        </w:rPr>
        <w:t xml:space="preserve"> Ak sa u vás vyskytne akýkoľvek vedľajší účinok, obráťte sa na svojho lekára alebo lekárnika. To sa týka aj akýchkoľvek vedľajších účinkov, ktoré nie sú uvedené v tejto písomnej informácii. Pozri časť 4.</w:t>
      </w:r>
    </w:p>
    <w:p w:rsidR="00721A74" w:rsidRPr="007976CB" w:rsidRDefault="00721A74" w:rsidP="00721A74">
      <w:pPr>
        <w:spacing w:after="0" w:line="240" w:lineRule="auto"/>
        <w:rPr>
          <w:rFonts w:ascii="Times New Roman" w:hAnsi="Times New Roman" w:cs="Times New Roman"/>
          <w:b/>
        </w:rPr>
      </w:pPr>
    </w:p>
    <w:p w:rsidR="00FA3D37" w:rsidRPr="007976CB" w:rsidRDefault="00FA78D5" w:rsidP="00FA3D37">
      <w:pPr>
        <w:spacing w:after="0" w:line="240" w:lineRule="auto"/>
        <w:rPr>
          <w:rFonts w:ascii="Times New Roman" w:hAnsi="Times New Roman" w:cs="Times New Roman"/>
          <w:b/>
        </w:rPr>
      </w:pPr>
      <w:r w:rsidRPr="00FA78D5">
        <w:rPr>
          <w:rFonts w:ascii="Times New Roman" w:hAnsi="Times New Roman" w:cs="Times New Roman"/>
          <w:b/>
        </w:rPr>
        <w:t>V tejto písomnej informácii sa dozviete:</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1. </w:t>
      </w:r>
      <w:r w:rsidRPr="00FA78D5">
        <w:rPr>
          <w:rFonts w:ascii="Times New Roman" w:hAnsi="Times New Roman" w:cs="Times New Roman"/>
        </w:rPr>
        <w:tab/>
        <w:t>Čo je Dexadol a na čo sa používa</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2. </w:t>
      </w:r>
      <w:r w:rsidRPr="00FA78D5">
        <w:rPr>
          <w:rFonts w:ascii="Times New Roman" w:hAnsi="Times New Roman" w:cs="Times New Roman"/>
        </w:rPr>
        <w:tab/>
        <w:t>Čo potrebujete vedieť predtým, ako užijete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3. </w:t>
      </w:r>
      <w:r w:rsidRPr="00FA78D5">
        <w:rPr>
          <w:rFonts w:ascii="Times New Roman" w:hAnsi="Times New Roman" w:cs="Times New Roman"/>
        </w:rPr>
        <w:tab/>
        <w:t>Ako užívať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4. </w:t>
      </w:r>
      <w:r w:rsidRPr="00FA78D5">
        <w:rPr>
          <w:rFonts w:ascii="Times New Roman" w:hAnsi="Times New Roman" w:cs="Times New Roman"/>
        </w:rPr>
        <w:tab/>
        <w:t>Možné vedľajšie účinky</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5. </w:t>
      </w:r>
      <w:r w:rsidRPr="00FA78D5">
        <w:rPr>
          <w:rFonts w:ascii="Times New Roman" w:hAnsi="Times New Roman" w:cs="Times New Roman"/>
        </w:rPr>
        <w:tab/>
        <w:t>Ako uchovávať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6. </w:t>
      </w:r>
      <w:r w:rsidRPr="00FA78D5">
        <w:rPr>
          <w:rFonts w:ascii="Times New Roman" w:hAnsi="Times New Roman" w:cs="Times New Roman"/>
        </w:rPr>
        <w:tab/>
        <w:t>Obsah balenia a ďalšie informácie</w:t>
      </w:r>
    </w:p>
    <w:p w:rsidR="00FA3D37" w:rsidRPr="007976CB" w:rsidRDefault="00FA3D37" w:rsidP="00FA3D37">
      <w:pPr>
        <w:spacing w:after="0" w:line="240" w:lineRule="auto"/>
        <w:rPr>
          <w:rFonts w:ascii="Times New Roman" w:hAnsi="Times New Roman" w:cs="Times New Roman"/>
          <w:b/>
        </w:rPr>
      </w:pPr>
    </w:p>
    <w:p w:rsidR="00D7192D" w:rsidRPr="007976CB" w:rsidRDefault="00FA78D5" w:rsidP="00016E64">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1. </w:t>
      </w:r>
      <w:r w:rsidRPr="00FA78D5">
        <w:rPr>
          <w:rFonts w:ascii="Times New Roman" w:hAnsi="Times New Roman" w:cs="Times New Roman"/>
          <w:b/>
        </w:rPr>
        <w:tab/>
        <w:t>Čo je Dexadol a na čo sa používa</w:t>
      </w:r>
    </w:p>
    <w:p w:rsidR="00B052B1" w:rsidRPr="007976CB" w:rsidRDefault="00B052B1" w:rsidP="00B052B1">
      <w:pPr>
        <w:spacing w:after="0" w:line="240" w:lineRule="auto"/>
        <w:rPr>
          <w:rFonts w:ascii="Times New Roman" w:eastAsia="Calibri" w:hAnsi="Times New Roman" w:cs="Times New Roman"/>
          <w:b/>
          <w:noProof w:val="0"/>
        </w:rPr>
      </w:pPr>
    </w:p>
    <w:p w:rsidR="00B052B1" w:rsidRPr="007976CB" w:rsidRDefault="00FA78D5" w:rsidP="00520D39">
      <w:pPr>
        <w:spacing w:after="0" w:line="240" w:lineRule="auto"/>
        <w:rPr>
          <w:rFonts w:ascii="Times New Roman" w:hAnsi="Times New Roman" w:cs="Times New Roman"/>
        </w:rPr>
      </w:pPr>
      <w:r w:rsidRPr="00FA78D5">
        <w:rPr>
          <w:rFonts w:ascii="Times New Roman" w:hAnsi="Times New Roman" w:cs="Times New Roman"/>
        </w:rPr>
        <w:t>Dexadol je liek proti bolesti, ktorý patrí do skupiny liekov nazývanej nesteroidové protizápalové lieky (NSAID).</w:t>
      </w:r>
    </w:p>
    <w:p w:rsidR="00520D39" w:rsidRPr="007976CB" w:rsidRDefault="00FA78D5" w:rsidP="00520D39">
      <w:pPr>
        <w:spacing w:after="0" w:line="240" w:lineRule="auto"/>
        <w:rPr>
          <w:rFonts w:ascii="Times New Roman" w:hAnsi="Times New Roman" w:cs="Times New Roman"/>
        </w:rPr>
      </w:pPr>
      <w:r w:rsidRPr="00FA78D5">
        <w:rPr>
          <w:rFonts w:ascii="Times New Roman" w:hAnsi="Times New Roman" w:cs="Times New Roman"/>
        </w:rPr>
        <w:t xml:space="preserve">Používa sa na krátkodobú symptomatickú liečbu akútnej bolesti miernej až stredne silnej intenzity, ako je akútna bolesť svalov alebo bolesť kĺbov, bolestivá menštruácia (dysmenorea), bolesť zubov. </w:t>
      </w:r>
      <w:r>
        <w:rPr>
          <w:rFonts w:ascii="Times New Roman" w:hAnsi="Times New Roman" w:cs="Times New Roman"/>
        </w:rPr>
        <w:t>Dexadol je indikovaný dospelým.</w:t>
      </w:r>
    </w:p>
    <w:p w:rsidR="00B052B1" w:rsidRPr="007976CB" w:rsidRDefault="00B052B1" w:rsidP="00520D39">
      <w:pPr>
        <w:spacing w:after="0" w:line="240" w:lineRule="auto"/>
        <w:rPr>
          <w:rFonts w:ascii="Times New Roman" w:hAnsi="Times New Roman" w:cs="Times New Roman"/>
        </w:rPr>
      </w:pPr>
    </w:p>
    <w:p w:rsidR="00B20FF2" w:rsidRPr="007976CB" w:rsidRDefault="00FA78D5" w:rsidP="00016E64">
      <w:pP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 xml:space="preserve">2. </w:t>
      </w:r>
      <w:r>
        <w:rPr>
          <w:rFonts w:ascii="Times New Roman" w:eastAsia="Calibri" w:hAnsi="Times New Roman" w:cs="Times New Roman"/>
          <w:b/>
          <w:noProof w:val="0"/>
        </w:rPr>
        <w:tab/>
        <w:t>Čo potrebuje vedieť predtým, ako užijete Dexadol</w:t>
      </w:r>
    </w:p>
    <w:p w:rsidR="00B052B1" w:rsidRPr="007976CB" w:rsidRDefault="00B052B1" w:rsidP="00B052B1">
      <w:pPr>
        <w:spacing w:after="0" w:line="240" w:lineRule="auto"/>
        <w:rPr>
          <w:rFonts w:ascii="Times New Roman" w:eastAsia="Calibri" w:hAnsi="Times New Roman" w:cs="Times New Roman"/>
          <w:b/>
          <w:noProof w:val="0"/>
        </w:rPr>
      </w:pPr>
    </w:p>
    <w:p w:rsidR="00B052B1" w:rsidRPr="007976CB" w:rsidRDefault="00FA78D5" w:rsidP="00B052B1">
      <w:pPr>
        <w:spacing w:after="0" w:line="240" w:lineRule="auto"/>
        <w:rPr>
          <w:rFonts w:ascii="Times New Roman" w:hAnsi="Times New Roman" w:cs="Times New Roman"/>
          <w:b/>
        </w:rPr>
      </w:pPr>
      <w:r w:rsidRPr="00FA78D5">
        <w:rPr>
          <w:rFonts w:ascii="Times New Roman" w:hAnsi="Times New Roman" w:cs="Times New Roman"/>
          <w:b/>
        </w:rPr>
        <w:t>Neužívajte Dexadol</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 xml:space="preserve">ak ste alergický na dexketoprofén alebo na ktorúkoľvek z ďalších zložiek tohto lieku (uvedených v časti 6); </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ak ste alergický na kyselinu acetylsalicylovú alebo na iné nesteroidové protizápalové lieky;</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ak máte astmu alebo astmatické záchvaty, akútnu alergickú rinitídu (krátkodobý zápal nosovej sliznice), nosové polypy (útvary v nose spôsobené alergiou), žihľavku (kožná vyrážka), angioedém (opuch tváre, očí, pier alebo jazyka alebo ťažkosti s dýchaním) alebo pískanie na hrudníku po užití lieku, ktorý obsahuje kyselinu acetylsalicylovú alebo iných nesteroidových protizápalových liekov;</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 xml:space="preserve">ak sa u vás vyskytli fotoalergické alebo fototoxické reakcie (určitá forma začervenania kože a/alebo pľuzgierov na koži po vystavení kože slnečnému žiareniu) počas užívania ketoprofénu (nesteroidový protizápalový liek) alebo fibrátov (lieky znižujúce hladinu tukov v krvi); </w:t>
      </w:r>
    </w:p>
    <w:p w:rsidR="00B052B1" w:rsidRPr="007976CB" w:rsidRDefault="00FA78D5" w:rsidP="00B052B1">
      <w:pPr>
        <w:numPr>
          <w:ilvl w:val="0"/>
          <w:numId w:val="9"/>
        </w:numPr>
        <w:spacing w:after="0" w:line="240" w:lineRule="auto"/>
        <w:ind w:left="180" w:hanging="180"/>
        <w:rPr>
          <w:rFonts w:ascii="Times New Roman" w:hAnsi="Times New Roman" w:cs="Times New Roman"/>
        </w:rPr>
      </w:pPr>
      <w:r w:rsidRPr="00FA78D5">
        <w:rPr>
          <w:rFonts w:ascii="Times New Roman" w:hAnsi="Times New Roman" w:cs="Times New Roman"/>
        </w:rPr>
        <w:t>ak máte alebo ste v minulosti mali peptické vredy (žalúdočné vredy)/krvácanie zo žalúdka alebo čriev, ulceráciu (tvorbu vredov, vredovatenie) alebo perforáciu (prederavenie);</w:t>
      </w:r>
    </w:p>
    <w:p w:rsidR="00B052B1" w:rsidRPr="007976CB" w:rsidRDefault="00FA78D5" w:rsidP="00B052B1">
      <w:pPr>
        <w:numPr>
          <w:ilvl w:val="0"/>
          <w:numId w:val="9"/>
        </w:numPr>
        <w:spacing w:after="0" w:line="240" w:lineRule="auto"/>
        <w:ind w:left="180" w:hanging="180"/>
        <w:rPr>
          <w:rFonts w:ascii="Times New Roman" w:hAnsi="Times New Roman" w:cs="Times New Roman"/>
        </w:rPr>
      </w:pPr>
      <w:r w:rsidRPr="00FA78D5">
        <w:rPr>
          <w:rFonts w:ascii="Times New Roman" w:hAnsi="Times New Roman" w:cs="Times New Roman"/>
        </w:rPr>
        <w:t>ak máte chronické problémy s trávením (napr. ťažkosti s trávením, pálenie záhy);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mali v minulosti žalúdočné alebo črevné krvácanie alebo perforáciu (prederavenie) v dôsledku predchádzajúceho užívania nesteroidových protizápalových liekov (NSAID) proti bolesti;</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máte ochorenie čriev s chronickým zápalom (Crohnova choroba alebo ulcerózna (vredová) kolitída);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máte závažné zlyhávanie  srdca, stredne závažné alebo závažné problémy s obličkami alebo závažné problémy s pečeňou;</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lastRenderedPageBreak/>
        <w:t>-</w:t>
      </w:r>
      <w:r w:rsidRPr="00FA78D5">
        <w:rPr>
          <w:rFonts w:ascii="Times New Roman" w:hAnsi="Times New Roman" w:cs="Times New Roman"/>
        </w:rPr>
        <w:tab/>
        <w:t>ak máte poruchu krvácania alebo poruchu zrážania krvi;</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závažne dehydratovaný (stratili ste veľa telesných tekutín) v dôsledku vracania, hnačky alebo nedostatočného príjmu tekutín;</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v posledných troch mesiacoch tehotenstva alebo dojčíte.</w:t>
      </w:r>
    </w:p>
    <w:p w:rsidR="00B052B1" w:rsidRPr="007976CB" w:rsidRDefault="00B052B1" w:rsidP="00B052B1">
      <w:pPr>
        <w:spacing w:after="0" w:line="240" w:lineRule="auto"/>
        <w:ind w:left="180" w:hanging="180"/>
        <w:rPr>
          <w:rFonts w:ascii="Times New Roman" w:hAnsi="Times New Roman" w:cs="Times New Roman"/>
        </w:rPr>
      </w:pPr>
    </w:p>
    <w:p w:rsidR="00B052B1" w:rsidRPr="007976CB" w:rsidRDefault="00FA78D5" w:rsidP="00B052B1">
      <w:pPr>
        <w:spacing w:after="0" w:line="240" w:lineRule="auto"/>
        <w:ind w:left="180" w:hanging="180"/>
        <w:rPr>
          <w:rFonts w:ascii="Times New Roman" w:hAnsi="Times New Roman" w:cs="Times New Roman"/>
          <w:b/>
        </w:rPr>
      </w:pPr>
      <w:r w:rsidRPr="00FA78D5">
        <w:rPr>
          <w:rFonts w:ascii="Times New Roman" w:hAnsi="Times New Roman" w:cs="Times New Roman"/>
          <w:b/>
        </w:rPr>
        <w:t>Upozornenia a opatrenia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Predtým, ako začnete užívať Dexadol, obráťte sa na svojho lekára alebo lekárnika: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b/>
        </w:rPr>
        <w:t xml:space="preserve"> </w:t>
      </w:r>
      <w:r w:rsidRPr="00FA78D5">
        <w:rPr>
          <w:rFonts w:ascii="Times New Roman" w:hAnsi="Times New Roman" w:cs="Times New Roman"/>
        </w:rPr>
        <w:t>ak máte alebo ste v minulosti mali alergiu;</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b/>
        </w:rPr>
        <w:t xml:space="preserve"> </w:t>
      </w:r>
      <w:r w:rsidRPr="00FA78D5">
        <w:rPr>
          <w:rFonts w:ascii="Times New Roman" w:hAnsi="Times New Roman" w:cs="Times New Roman"/>
        </w:rPr>
        <w:t>ak máte problémy s obličkami, pečeňou alebo so srdcom (vysoký krvný tlak a/alebo zlyhávanie srdca) rovnako ako zadržiavanie tekutín, alebo ste v minulosti mali niektorý z týchto problémov;</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užívate diuretiká (močopudné lieky) alebo máte veľmi slabú hydratáciu organizmu a znížený objem krvi v dôsledku nadmernej straty tekutín (napr. z nadmerného močenia, hnačky alebo vracania;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problémy so srdcom, mali ste mozgovú príhodu alebo si myslíte, že u vás existuje riziko vzniku týchto stavov (napr. ak máte vysoký krvný tlak, cukrovku alebo vysoký cholesterol alebo ste fajčiar), poraďte sa o svojej liečbe so svojím lekárom alebo lekárnikom. Lieky ako Dexadol môžu byť spojené s miernym zvýšením rizika srdcového záchvatu ("infarkt myokardu") alebo cerebrovaskulárnej príhody (mŕtvica). Akékoľvek riziko je pravdepodobnejšie pri vysokých dávkach a dlhodobej liečbe. Neprekračujte odporúčanú dávku alebo dĺžku liečby;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v staršom veku: môže byť u vás pravdepodobnejší výskyt vedľajších účinkov (pozri časť 4). V prípade výskytu akéhokoľvek vedľajšieho účinku ihneď kontaktujte lekára;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žena a máte problémy s plodnosťou (Dexadol môže znížiť vašu plodnosť, preto ho neužívajte, ak plánujete otehotnieť, alebo ak podstupujete testy na plodnosť);</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poruchu tvorby krvi a krvných buniek;</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xml:space="preserve">- ak máte systémový </w:t>
      </w:r>
      <w:r w:rsidRPr="00FA78D5">
        <w:rPr>
          <w:rFonts w:ascii="Times New Roman" w:hAnsi="Times New Roman" w:cs="Times New Roman"/>
          <w:i/>
        </w:rPr>
        <w:t>lupus erythematosus</w:t>
      </w:r>
      <w:r w:rsidRPr="00FA78D5">
        <w:rPr>
          <w:rFonts w:ascii="Times New Roman" w:hAnsi="Times New Roman" w:cs="Times New Roman"/>
        </w:rPr>
        <w:t xml:space="preserve"> alebo zmiešané ochorenie spojivového tkaniva (porucha imunitného systému, ktorá postihuje spojivové tkanivo);</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v minulosti mali chronické zápalové ochorenie čreva (vredová kolitída, Crohnova choroba);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alebo ste v minulosti mali iné žalúdočné alebo črevné problémy;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ovčie kiahne, pretože NSAID môžu výnimočne zhoršovať infekciu;</w:t>
      </w:r>
    </w:p>
    <w:p w:rsidR="00B052B1" w:rsidRPr="007976CB" w:rsidRDefault="00FA78D5" w:rsidP="00B052B1">
      <w:pPr>
        <w:numPr>
          <w:ilvl w:val="0"/>
          <w:numId w:val="9"/>
        </w:numPr>
        <w:spacing w:after="0" w:line="240" w:lineRule="auto"/>
        <w:ind w:left="180" w:right="-2" w:hanging="180"/>
        <w:rPr>
          <w:rFonts w:ascii="Times New Roman" w:hAnsi="Times New Roman" w:cs="Times New Roman"/>
        </w:rPr>
      </w:pPr>
      <w:r w:rsidRPr="00FA78D5">
        <w:rPr>
          <w:rFonts w:ascii="Times New Roman" w:hAnsi="Times New Roman" w:cs="Times New Roman"/>
        </w:rPr>
        <w:t xml:space="preserve">ak užívate iné lieky, ktoré zvyšujú riziko žalúdočného vredu alebo krvácania, napr. ústami užívané steroidy, niektoré antidepresíva (typu SSRI, t.j. selektívne inhibítory spätného vychytávania sérotonínu), liečivá zabraňujúce vzniku krvných zrazenín, ako je aspirín (kyselina acetylsalicylová) alebo antikoagulanciá, ako warfarín. V týchto prípadoch sa pred užitím Dexadolu poraďte so svojím lekárom: možno bude potrebné, aby ste užívali ďalšie lieky na ochranu sliznice žalúdka (napr. misoprostol alebo lieky, ktoré zabraňujú tvorbe žalúdočnej kyseliny). </w:t>
      </w:r>
    </w:p>
    <w:p w:rsidR="00B052B1" w:rsidRPr="007976CB" w:rsidRDefault="00FA78D5" w:rsidP="00B052B1">
      <w:pPr>
        <w:numPr>
          <w:ilvl w:val="0"/>
          <w:numId w:val="9"/>
        </w:numPr>
        <w:spacing w:after="0" w:line="240" w:lineRule="auto"/>
        <w:ind w:left="180" w:right="-2" w:hanging="180"/>
        <w:rPr>
          <w:rFonts w:ascii="Times New Roman" w:hAnsi="Times New Roman" w:cs="Times New Roman"/>
        </w:rPr>
      </w:pPr>
      <w:r w:rsidRPr="00FA78D5">
        <w:rPr>
          <w:rFonts w:ascii="Times New Roman" w:hAnsi="Times New Roman" w:cs="Times New Roman"/>
        </w:rPr>
        <w:t>ak máte astmu kombinovanú s chronickým zápalom nosovej sliznice, chronickým zápalom prinosových dutín a/alebo nosovými polypmi, máte vyššie riziko alergie na kyselinu acetylsalicylovú a/alebo iné NSAID ako ostatná populácia. Užívanie tohto lieku môže vyvolať astmatické záchvaty alebo kŕče svalstva priedušiek, najmä u ľudí alergických na kyselinu acetylsalicylovú alebo NSAID.</w:t>
      </w:r>
    </w:p>
    <w:p w:rsidR="00B052B1" w:rsidRPr="007976CB" w:rsidRDefault="00B052B1" w:rsidP="00B052B1">
      <w:pPr>
        <w:spacing w:after="0" w:line="240" w:lineRule="auto"/>
        <w:ind w:right="-2"/>
        <w:rPr>
          <w:rFonts w:ascii="Times New Roman" w:hAnsi="Times New Roman" w:cs="Times New Roman"/>
        </w:rPr>
      </w:pPr>
    </w:p>
    <w:p w:rsidR="00B052B1" w:rsidRPr="007976CB" w:rsidRDefault="00FA78D5" w:rsidP="00B052B1">
      <w:pPr>
        <w:spacing w:after="0" w:line="240" w:lineRule="auto"/>
        <w:ind w:right="-2"/>
        <w:rPr>
          <w:rFonts w:ascii="Times New Roman" w:hAnsi="Times New Roman" w:cs="Times New Roman"/>
          <w:b/>
        </w:rPr>
      </w:pPr>
      <w:r w:rsidRPr="00FA78D5">
        <w:rPr>
          <w:rFonts w:ascii="Times New Roman" w:hAnsi="Times New Roman" w:cs="Times New Roman"/>
          <w:b/>
        </w:rPr>
        <w:t>Deti a dospievajúci</w:t>
      </w:r>
    </w:p>
    <w:p w:rsidR="00B052B1" w:rsidRPr="007976CB" w:rsidRDefault="00FA78D5" w:rsidP="00B052B1">
      <w:pPr>
        <w:spacing w:after="0" w:line="240" w:lineRule="auto"/>
        <w:ind w:right="-2"/>
        <w:rPr>
          <w:rFonts w:ascii="Times New Roman" w:hAnsi="Times New Roman" w:cs="Times New Roman"/>
        </w:rPr>
      </w:pPr>
      <w:r w:rsidRPr="00FA78D5">
        <w:rPr>
          <w:rFonts w:ascii="Times New Roman" w:hAnsi="Times New Roman" w:cs="Times New Roman"/>
        </w:rPr>
        <w:t>Dexadol nebol študovaný u detí a dospievajúcich. Bezpečnosť a účinnosť preto nebola doteraz stanovená a liek nemajú používať deti a dospievajúci.</w:t>
      </w:r>
    </w:p>
    <w:p w:rsidR="00A00865" w:rsidRPr="007976CB" w:rsidRDefault="00A00865" w:rsidP="00A00865">
      <w:pPr>
        <w:spacing w:after="0" w:line="240" w:lineRule="auto"/>
        <w:ind w:right="-2"/>
        <w:rPr>
          <w:rFonts w:ascii="Times New Roman" w:hAnsi="Times New Roman" w:cs="Times New Roman"/>
          <w:b/>
        </w:rPr>
      </w:pPr>
    </w:p>
    <w:p w:rsidR="00A00865" w:rsidRPr="007976CB" w:rsidRDefault="00FA78D5" w:rsidP="00A00865">
      <w:pPr>
        <w:spacing w:after="0" w:line="240" w:lineRule="auto"/>
        <w:ind w:right="-2"/>
        <w:rPr>
          <w:rFonts w:ascii="Times New Roman" w:hAnsi="Times New Roman" w:cs="Times New Roman"/>
          <w:b/>
        </w:rPr>
      </w:pPr>
      <w:r w:rsidRPr="00FA78D5">
        <w:rPr>
          <w:rFonts w:ascii="Times New Roman" w:hAnsi="Times New Roman" w:cs="Times New Roman"/>
          <w:b/>
        </w:rPr>
        <w:t>Iné lieky a Dexadol</w:t>
      </w:r>
    </w:p>
    <w:p w:rsidR="00A00865" w:rsidRPr="007976CB" w:rsidRDefault="00FA78D5" w:rsidP="00A00865">
      <w:pPr>
        <w:spacing w:after="0" w:line="240" w:lineRule="auto"/>
        <w:ind w:right="-2"/>
        <w:rPr>
          <w:rFonts w:ascii="Times New Roman" w:hAnsi="Times New Roman" w:cs="Times New Roman"/>
        </w:rPr>
      </w:pPr>
      <w:r w:rsidRPr="00FA78D5">
        <w:rPr>
          <w:rFonts w:ascii="Times New Roman" w:hAnsi="Times New Roman" w:cs="Times New Roman"/>
        </w:rPr>
        <w:t>Ak teraz užívate, alebo ste v poslednom čase užívali, či práve budete užívať ďalšie lieky na alebo bez predpisu, povedzte to svojmu lekárovi alebo lekárnikovi. Niektoré lieky sa nemajú užívať súbežne a iné môžu vyžadovať úpravu dávkovania, ak sa užívajú súbežne.</w:t>
      </w:r>
    </w:p>
    <w:p w:rsidR="00B052B1" w:rsidRPr="007976CB" w:rsidRDefault="00B052B1" w:rsidP="00B052B1">
      <w:pPr>
        <w:spacing w:after="0" w:line="240" w:lineRule="auto"/>
        <w:rPr>
          <w:rFonts w:ascii="Times New Roman" w:hAnsi="Times New Roman" w:cs="Times New Roman"/>
        </w:rPr>
      </w:pPr>
    </w:p>
    <w:p w:rsidR="00E32553" w:rsidRPr="007976CB" w:rsidRDefault="00FA78D5" w:rsidP="00E32553">
      <w:pPr>
        <w:spacing w:after="0" w:line="240" w:lineRule="auto"/>
        <w:ind w:right="-2"/>
        <w:rPr>
          <w:rFonts w:ascii="Times New Roman" w:hAnsi="Times New Roman" w:cs="Times New Roman"/>
        </w:rPr>
      </w:pPr>
      <w:r w:rsidRPr="00FA78D5">
        <w:rPr>
          <w:rFonts w:ascii="Times New Roman" w:hAnsi="Times New Roman" w:cs="Times New Roman"/>
        </w:rPr>
        <w:t>Vždy informujte svojho lekára, zubára alebo lekárnika, ak užívate, alebo vám je podávaný spolu s Dexadolom akýkoľvek z nasledujúcich liekov:</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sa neodporúčajú:</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Kyselina acetylsalicylová (aspirín), kortikosteroidy alebo iné protizápalové lieky</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lastRenderedPageBreak/>
        <w:t>Warfarín, heparín alebo iné lieky používané na prevenciu vzniku krvných zrazenín</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Lítium, používané na liečbu určitých porúch nálady</w:t>
      </w:r>
    </w:p>
    <w:p w:rsidR="00093CA2" w:rsidRPr="007976CB" w:rsidRDefault="00FA78D5" w:rsidP="00093CA2">
      <w:pPr>
        <w:numPr>
          <w:ilvl w:val="0"/>
          <w:numId w:val="10"/>
        </w:numPr>
        <w:tabs>
          <w:tab w:val="left" w:pos="180"/>
        </w:tabs>
        <w:spacing w:after="0" w:line="240" w:lineRule="auto"/>
        <w:ind w:left="182" w:right="-2" w:hanging="182"/>
        <w:rPr>
          <w:rFonts w:ascii="Times New Roman" w:hAnsi="Times New Roman" w:cs="Times New Roman"/>
        </w:rPr>
      </w:pPr>
      <w:r w:rsidRPr="00FA78D5">
        <w:rPr>
          <w:rFonts w:ascii="Times New Roman" w:hAnsi="Times New Roman" w:cs="Times New Roman"/>
        </w:rPr>
        <w:t xml:space="preserve">Metotrexát (liek proti rakovine alebo na potlačenie imunitnej odpovede), používaný vo vysokých dávkach 15 mg/týždeň </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Hydantoíny a fenytoín, používané na liečbu epilepsie</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Sulfametoxazol, používaný na liečbu bakteriálnych infekcií</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vyžadujú opatrnosť:</w:t>
      </w:r>
    </w:p>
    <w:p w:rsidR="00093CA2" w:rsidRPr="007976CB" w:rsidRDefault="00FA78D5" w:rsidP="00093CA2">
      <w:pPr>
        <w:numPr>
          <w:ilvl w:val="0"/>
          <w:numId w:val="11"/>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ACE inhibítory, diuretiká, betablokátory a antagonisty angiotenzínu II, používané na liečbu vysokého krvného tlaku a problémov so srdcom</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Pentoxyfilín a oxpentifilín, používané na liečbu chronických žilových vredov</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Zidovudín, používaný na liečbu vírusových infekcií</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Aminoglykozidové antibiotiká, používané na liečbu bakteriálnych infekcií</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Chlórpropamid a glibenklamid, používaný na liečbu cukrovky</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Metotrexát, používaný v nízkych dávkach, menej ako 15 mg/týždeň</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je potrebné starostlivo zvážiť:</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Chinolónové antibiotiká (napr. ciprofloxacín, levofloxacín), používané na liečbu bakteriálnych infekcií</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Cyklosporín alebo takrolimus, používané na liečbu ochorení imunitného systému a pri transplantácii orgánov</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Streptokináza a iné trombolytiká alebo fibrinolytiká, t.j. lieky používané na rozklad krvných zrazenín</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Probenecid, používaný pri dne</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Digoxín, používaný na liečbu chronického zlyhávania srdca</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Mifepriston, používaný na ukončenie tehotenstva</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Antidepresíva typu selektívnych inhibítorov spätného vychytávania sérotonínu (SSRI)</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Lieky proti zhlukovaniu krvných doštičiek, používané na zníženie agregácie (zhlukovania) krvných doštičiek a tvorby krvných zrazenín</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Betablokátory používané na liečbu vysokého krvného tlaku a problémov so srdcom.</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Ak máte akékoľvek pochybnosti o užívaní iných liekov súčasne s Dexadolom, poraďte sa so svojím lekárom alebo lekárnikom.</w:t>
      </w:r>
    </w:p>
    <w:p w:rsidR="00532F5C" w:rsidRPr="007976CB" w:rsidRDefault="00532F5C" w:rsidP="00093CA2">
      <w:pPr>
        <w:spacing w:after="0" w:line="240" w:lineRule="auto"/>
        <w:ind w:right="-2"/>
        <w:rPr>
          <w:rFonts w:ascii="Times New Roman" w:hAnsi="Times New Roman" w:cs="Times New Roman"/>
        </w:rPr>
      </w:pPr>
    </w:p>
    <w:p w:rsidR="00532F5C" w:rsidRPr="007976CB" w:rsidRDefault="00FA78D5" w:rsidP="00532F5C">
      <w:pPr>
        <w:spacing w:after="0" w:line="240" w:lineRule="auto"/>
        <w:ind w:right="-2"/>
        <w:rPr>
          <w:rFonts w:ascii="Times New Roman" w:hAnsi="Times New Roman" w:cs="Times New Roman"/>
          <w:b/>
        </w:rPr>
      </w:pPr>
      <w:r w:rsidRPr="00FA78D5">
        <w:rPr>
          <w:rFonts w:ascii="Times New Roman" w:hAnsi="Times New Roman" w:cs="Times New Roman"/>
          <w:b/>
        </w:rPr>
        <w:t>Dexadol a jedlo a nápoje</w:t>
      </w:r>
    </w:p>
    <w:p w:rsidR="00AE1520" w:rsidRPr="007976CB" w:rsidRDefault="00FA78D5" w:rsidP="00621B73">
      <w:pPr>
        <w:spacing w:after="0" w:line="240" w:lineRule="auto"/>
        <w:ind w:right="-2"/>
        <w:rPr>
          <w:rFonts w:ascii="Times New Roman" w:hAnsi="Times New Roman" w:cs="Times New Roman"/>
        </w:rPr>
      </w:pPr>
      <w:r w:rsidRPr="00FA78D5">
        <w:rPr>
          <w:rFonts w:ascii="Times New Roman" w:hAnsi="Times New Roman" w:cs="Times New Roman"/>
        </w:rPr>
        <w:t>Užite obsah vrecka s jedlom, to pomôže znížiť riziko vedľajších účinkov na žalúdok a črevá. Ak však máte akútnu bolesť, užite obsah vrecka na prázdny žalúdok t.j. najmenej 15 minút pred jedlom, to pomôže aby liek začal účinkovať o trochu rýchlejšie.</w:t>
      </w:r>
    </w:p>
    <w:p w:rsidR="00621B73" w:rsidRPr="007976CB" w:rsidRDefault="00621B73" w:rsidP="00621B73">
      <w:pPr>
        <w:spacing w:after="0" w:line="240" w:lineRule="auto"/>
        <w:ind w:right="-2"/>
        <w:rPr>
          <w:rFonts w:ascii="Times New Roman" w:hAnsi="Times New Roman" w:cs="Times New Roman"/>
        </w:rPr>
      </w:pPr>
    </w:p>
    <w:p w:rsidR="00621B73" w:rsidRPr="007976CB" w:rsidRDefault="00FA78D5" w:rsidP="00621B73">
      <w:pPr>
        <w:spacing w:after="0" w:line="240" w:lineRule="auto"/>
        <w:ind w:right="-2"/>
        <w:rPr>
          <w:rFonts w:ascii="Times New Roman" w:hAnsi="Times New Roman" w:cs="Times New Roman"/>
          <w:b/>
        </w:rPr>
      </w:pPr>
      <w:r w:rsidRPr="00FA78D5">
        <w:rPr>
          <w:rFonts w:ascii="Times New Roman" w:hAnsi="Times New Roman" w:cs="Times New Roman"/>
          <w:b/>
        </w:rPr>
        <w:t>Tehotenstvo, dojčenie a plodnosť</w:t>
      </w:r>
    </w:p>
    <w:p w:rsidR="00621B73" w:rsidRPr="007976CB" w:rsidRDefault="00FA78D5" w:rsidP="00621B73">
      <w:pPr>
        <w:spacing w:after="0" w:line="240" w:lineRule="auto"/>
        <w:ind w:right="-2"/>
        <w:rPr>
          <w:rFonts w:ascii="Times New Roman" w:hAnsi="Times New Roman" w:cs="Times New Roman"/>
        </w:rPr>
      </w:pPr>
      <w:r w:rsidRPr="00FA78D5">
        <w:rPr>
          <w:rFonts w:ascii="Times New Roman" w:hAnsi="Times New Roman" w:cs="Times New Roman"/>
        </w:rPr>
        <w:t>Neužívajte Dexadol počas posledných troch mesiacov tehotenstva, alebo ak dojčíte.</w:t>
      </w:r>
    </w:p>
    <w:p w:rsidR="00621B73" w:rsidRPr="007976CB" w:rsidRDefault="00FA78D5" w:rsidP="00621B73">
      <w:pPr>
        <w:spacing w:after="0" w:line="240" w:lineRule="auto"/>
        <w:ind w:right="-2"/>
        <w:rPr>
          <w:rFonts w:ascii="Times New Roman" w:hAnsi="Times New Roman" w:cs="Times New Roman"/>
        </w:rPr>
      </w:pPr>
      <w:r w:rsidRPr="00FA78D5">
        <w:rPr>
          <w:rFonts w:ascii="Times New Roman" w:hAnsi="Times New Roman" w:cs="Times New Roman"/>
        </w:rPr>
        <w:t>Ak ste tehotná, ak si myslíte, že ste tehotná alebo ak plánujete otehotnieť, poraďte sa so svojím lekárom alebo lekárnikom predtým, ako začnete užívať tento liek.</w:t>
      </w:r>
    </w:p>
    <w:p w:rsidR="00621B73" w:rsidRPr="007976CB" w:rsidRDefault="00FA78D5" w:rsidP="00621B73">
      <w:pPr>
        <w:tabs>
          <w:tab w:val="left" w:pos="180"/>
          <w:tab w:val="left" w:pos="720"/>
        </w:tabs>
        <w:spacing w:after="0" w:line="240" w:lineRule="auto"/>
        <w:ind w:right="-2"/>
        <w:rPr>
          <w:rFonts w:ascii="Times New Roman" w:hAnsi="Times New Roman" w:cs="Times New Roman"/>
        </w:rPr>
      </w:pPr>
      <w:r w:rsidRPr="00FA78D5">
        <w:rPr>
          <w:rStyle w:val="hps"/>
          <w:rFonts w:ascii="Times New Roman" w:hAnsi="Times New Roman" w:cs="Times New Roman"/>
          <w:color w:val="222222"/>
        </w:rPr>
        <w:t>S ohľadom</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možné účinky na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plodnosť</w:t>
      </w:r>
      <w:r w:rsidRPr="00FA78D5">
        <w:rPr>
          <w:rFonts w:ascii="Times New Roman" w:hAnsi="Times New Roman" w:cs="Times New Roman"/>
          <w:color w:val="222222"/>
        </w:rPr>
        <w:t xml:space="preserve"> žien, </w:t>
      </w:r>
      <w:r w:rsidRPr="00FA78D5">
        <w:rPr>
          <w:rStyle w:val="hps"/>
          <w:rFonts w:ascii="Times New Roman" w:hAnsi="Times New Roman" w:cs="Times New Roman"/>
          <w:color w:val="222222"/>
        </w:rPr>
        <w:t>pozri</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tiež časť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2</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w:t>
      </w:r>
      <w:r w:rsidRPr="00FA78D5">
        <w:rPr>
          <w:rFonts w:ascii="Times New Roman" w:hAnsi="Times New Roman" w:cs="Times New Roman"/>
          <w:color w:val="222222"/>
        </w:rPr>
        <w:t xml:space="preserve">Upozornenia </w:t>
      </w:r>
      <w:r w:rsidRPr="00FA78D5">
        <w:rPr>
          <w:rStyle w:val="hps"/>
          <w:rFonts w:ascii="Times New Roman" w:hAnsi="Times New Roman" w:cs="Times New Roman"/>
          <w:color w:val="222222"/>
        </w:rPr>
        <w:t>a</w:t>
      </w:r>
      <w:r w:rsidRPr="00FA78D5">
        <w:rPr>
          <w:rFonts w:ascii="Times New Roman" w:hAnsi="Times New Roman" w:cs="Times New Roman"/>
          <w:color w:val="222222"/>
        </w:rPr>
        <w:t> </w:t>
      </w:r>
      <w:r w:rsidRPr="00FA78D5">
        <w:rPr>
          <w:rStyle w:val="hps"/>
          <w:rFonts w:ascii="Times New Roman" w:hAnsi="Times New Roman" w:cs="Times New Roman"/>
          <w:color w:val="222222"/>
        </w:rPr>
        <w:t>opatrenia</w:t>
      </w:r>
      <w:r w:rsidRPr="00FA78D5">
        <w:rPr>
          <w:rFonts w:ascii="Times New Roman" w:hAnsi="Times New Roman" w:cs="Times New Roman"/>
          <w:color w:val="222222"/>
        </w:rPr>
        <w:t>“.</w:t>
      </w:r>
    </w:p>
    <w:p w:rsidR="00B0116E" w:rsidRPr="007976CB" w:rsidRDefault="00B0116E" w:rsidP="00B0116E">
      <w:pPr>
        <w:spacing w:after="0" w:line="240" w:lineRule="auto"/>
        <w:ind w:right="-2"/>
        <w:rPr>
          <w:rFonts w:ascii="Times New Roman" w:hAnsi="Times New Roman" w:cs="Times New Roman"/>
          <w:b/>
        </w:rPr>
      </w:pPr>
    </w:p>
    <w:p w:rsidR="00B0116E" w:rsidRPr="007976CB" w:rsidRDefault="00FA78D5" w:rsidP="00B0116E">
      <w:pPr>
        <w:spacing w:after="0" w:line="240" w:lineRule="auto"/>
        <w:ind w:right="-2"/>
        <w:rPr>
          <w:rFonts w:ascii="Times New Roman" w:hAnsi="Times New Roman" w:cs="Times New Roman"/>
          <w:b/>
        </w:rPr>
      </w:pPr>
      <w:r w:rsidRPr="00FA78D5">
        <w:rPr>
          <w:rFonts w:ascii="Times New Roman" w:hAnsi="Times New Roman" w:cs="Times New Roman"/>
          <w:b/>
        </w:rPr>
        <w:t>Vedenie vozidiel a obsluha strojov</w:t>
      </w:r>
    </w:p>
    <w:p w:rsidR="00B0116E" w:rsidRPr="007976CB" w:rsidRDefault="00FA78D5" w:rsidP="00B0116E">
      <w:pPr>
        <w:spacing w:after="0" w:line="240" w:lineRule="auto"/>
        <w:ind w:right="-2"/>
        <w:rPr>
          <w:rFonts w:ascii="Times New Roman" w:hAnsi="Times New Roman" w:cs="Times New Roman"/>
        </w:rPr>
      </w:pPr>
      <w:r w:rsidRPr="00FA78D5">
        <w:rPr>
          <w:rFonts w:ascii="Times New Roman" w:hAnsi="Times New Roman" w:cs="Times New Roman"/>
        </w:rPr>
        <w:t>Dexadol môže mierne ovplyvniť vašu schopnosť viesť vozidlá a obsluhovať stroje z dôvodu možných vedľajších účinkov liečby, ako sú závraty alebo ospalosť a poruchy videnia. Ak spozorujete tieto nežiaduce účinky, neveďte vozidlá alebo neobsluhujte stroje pokiaľ príznaky nevymiznú. Poraďte sa s lekárom.</w:t>
      </w:r>
    </w:p>
    <w:p w:rsidR="00B0116E" w:rsidRPr="007976CB" w:rsidRDefault="00B0116E" w:rsidP="00B0116E">
      <w:pPr>
        <w:spacing w:after="0" w:line="240" w:lineRule="auto"/>
        <w:ind w:right="-2"/>
        <w:rPr>
          <w:rFonts w:ascii="Times New Roman" w:hAnsi="Times New Roman" w:cs="Times New Roman"/>
        </w:rPr>
      </w:pPr>
    </w:p>
    <w:p w:rsidR="004A12CD" w:rsidRPr="007976CB" w:rsidRDefault="00FA78D5" w:rsidP="00E60FD0">
      <w:pPr>
        <w:spacing w:after="0" w:line="240" w:lineRule="auto"/>
        <w:ind w:right="-2"/>
        <w:rPr>
          <w:rFonts w:ascii="Times New Roman" w:hAnsi="Times New Roman" w:cs="Times New Roman"/>
          <w:b/>
        </w:rPr>
      </w:pPr>
      <w:r w:rsidRPr="00FA78D5">
        <w:rPr>
          <w:rFonts w:ascii="Times New Roman" w:hAnsi="Times New Roman" w:cs="Times New Roman"/>
          <w:b/>
        </w:rPr>
        <w:t>Dexadol obsahuje metylparahydroxybenzoát</w:t>
      </w:r>
    </w:p>
    <w:p w:rsidR="00E60FD0" w:rsidRPr="007976CB" w:rsidRDefault="00FA78D5" w:rsidP="00E60FD0">
      <w:pPr>
        <w:spacing w:after="0" w:line="240" w:lineRule="auto"/>
        <w:ind w:right="-2"/>
        <w:rPr>
          <w:rFonts w:ascii="Times New Roman" w:hAnsi="Times New Roman" w:cs="Times New Roman"/>
        </w:rPr>
      </w:pPr>
      <w:r w:rsidRPr="00FA78D5">
        <w:rPr>
          <w:rFonts w:ascii="Times New Roman" w:hAnsi="Times New Roman" w:cs="Times New Roman"/>
        </w:rPr>
        <w:t>Tento liek môže vyvolať alergické reakcie (možno oneskorené), pretože obsahuje metylparahydroxybenzoát.</w:t>
      </w:r>
    </w:p>
    <w:p w:rsidR="00A51944" w:rsidRPr="007976CB" w:rsidRDefault="00A51944" w:rsidP="00E60FD0">
      <w:pPr>
        <w:spacing w:after="0" w:line="240" w:lineRule="auto"/>
        <w:ind w:right="-2"/>
        <w:rPr>
          <w:rFonts w:ascii="Times New Roman" w:hAnsi="Times New Roman" w:cs="Times New Roman"/>
        </w:rPr>
      </w:pPr>
    </w:p>
    <w:p w:rsidR="00E60FD0" w:rsidRPr="007976CB" w:rsidRDefault="00FA78D5" w:rsidP="00E60FD0">
      <w:pPr>
        <w:spacing w:after="0" w:line="240" w:lineRule="auto"/>
        <w:ind w:right="-2"/>
        <w:rPr>
          <w:rFonts w:ascii="Times New Roman" w:hAnsi="Times New Roman" w:cs="Times New Roman"/>
          <w:b/>
        </w:rPr>
      </w:pPr>
      <w:r w:rsidRPr="00FA78D5">
        <w:rPr>
          <w:rFonts w:ascii="Times New Roman" w:hAnsi="Times New Roman" w:cs="Times New Roman"/>
          <w:b/>
        </w:rPr>
        <w:t>Dexadol obsahuje sacharózu</w:t>
      </w:r>
    </w:p>
    <w:p w:rsidR="00E60FD0" w:rsidRPr="007976CB" w:rsidRDefault="00FA78D5" w:rsidP="00E60FD0">
      <w:pPr>
        <w:spacing w:after="0" w:line="240" w:lineRule="auto"/>
        <w:ind w:right="-2"/>
        <w:rPr>
          <w:rFonts w:ascii="Times New Roman" w:hAnsi="Times New Roman" w:cs="Times New Roman"/>
        </w:rPr>
      </w:pPr>
      <w:r w:rsidRPr="00FA78D5">
        <w:rPr>
          <w:rFonts w:ascii="Times New Roman" w:hAnsi="Times New Roman" w:cs="Times New Roman"/>
        </w:rPr>
        <w:t>Ak vám váš lekár povedal, že neznášate niektoré cukry, kontaktujte svojho lekára pred užitím tohto lieku.</w:t>
      </w:r>
    </w:p>
    <w:p w:rsidR="00E60FD0" w:rsidRPr="007976CB" w:rsidRDefault="00FA78D5" w:rsidP="00E60FD0">
      <w:pPr>
        <w:spacing w:after="0" w:line="240" w:lineRule="auto"/>
        <w:ind w:right="-2"/>
        <w:rPr>
          <w:rFonts w:ascii="Times New Roman" w:hAnsi="Times New Roman" w:cs="Times New Roman"/>
        </w:rPr>
      </w:pPr>
      <w:r w:rsidRPr="00FA78D5">
        <w:rPr>
          <w:rFonts w:ascii="Times New Roman" w:hAnsi="Times New Roman" w:cs="Times New Roman"/>
        </w:rPr>
        <w:t>Tento liek obsahuje 2,0 g sacharózy v dávke. Musí sa to vziať do úvahy u pacientov s </w:t>
      </w:r>
      <w:r w:rsidRPr="00FA78D5">
        <w:rPr>
          <w:rFonts w:ascii="Times New Roman" w:hAnsi="Times New Roman" w:cs="Times New Roman"/>
          <w:i/>
        </w:rPr>
        <w:t>diabetom mellitus</w:t>
      </w:r>
      <w:r w:rsidRPr="00FA78D5">
        <w:rPr>
          <w:rFonts w:ascii="Times New Roman" w:hAnsi="Times New Roman" w:cs="Times New Roman"/>
        </w:rPr>
        <w:t xml:space="preserve">.  </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3. </w:t>
      </w:r>
      <w:r w:rsidRPr="00FA78D5">
        <w:rPr>
          <w:rFonts w:ascii="Times New Roman" w:hAnsi="Times New Roman" w:cs="Times New Roman"/>
          <w:b/>
        </w:rPr>
        <w:tab/>
        <w:t>Ako užívať Dexadol</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Vždy užívajte tento liek presne tak, ako vám povedal váš lekár. Ak si nie ste niečím istý, overte si to u svojho lekára. Dávka Dexadolu, ktorú potrebujete, závisí od typu, intenzity a doby trvania vašej bolesti. Váš lekár vám povie koľko vreciek lieku musíte denne užívať a ako dlho.</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i/>
        </w:rPr>
      </w:pPr>
      <w:r w:rsidRPr="00FA78D5">
        <w:rPr>
          <w:rFonts w:ascii="Times New Roman" w:hAnsi="Times New Roman" w:cs="Times New Roman"/>
          <w:i/>
        </w:rPr>
        <w:t>Dospelí starší ako 18 rokov</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Odporúčaná dávka je zvyčajne 1 vrecko (25 mg dexketoprofenu) každých 8 hodín, pričom sa nesmú prekročiť 3 vrecká denne (75 mg).</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ste starší, alebo ak máte problémy s obličkami alebo s pečeňou, máte začať liečbu s celkovou dennou dávkou, ktorá nemá prekročiť 2 vrecúška denne (50 mg dexketoprofenu).</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 xml:space="preserve">U starších pacientov, ak je Dexadol dobre znášaný, môže byť táto začiatočná dávka neskôr zvýšená na zvyčajne odporúčanú dávku (75 mg dexketoprofenu).  </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je vaša bolesť intenzívna a potrebujete rýchlejšiu úľavu od bolesti, užite liek na prázdny žalúdok (najmenej 15 minút pred jedlom), pretože liek sa bude ľahšie vstrebávať (pozri časť 2 „Dexadol a jedlo a nápoje“).</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Použitie u detí a dospievajúcich</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Tento liek sa nemá používať u detí a dospievajúcich (mladších ako 18 rokov).</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Pokyny na správne použitie</w:t>
      </w:r>
    </w:p>
    <w:p w:rsidR="006A678E" w:rsidRPr="007976CB" w:rsidRDefault="00FA78D5" w:rsidP="006A678E">
      <w:pPr>
        <w:pStyle w:val="Odsekzoznamu"/>
        <w:spacing w:after="0" w:line="240" w:lineRule="auto"/>
        <w:ind w:left="0"/>
        <w:jc w:val="both"/>
        <w:rPr>
          <w:rFonts w:ascii="Times New Roman" w:hAnsi="Times New Roman" w:cs="Times New Roman"/>
        </w:rPr>
      </w:pPr>
      <w:r>
        <w:rPr>
          <w:rFonts w:ascii="Times New Roman" w:hAnsi="Times New Roman" w:cs="Times New Roman"/>
        </w:rPr>
        <w:t>Perorálny roztok sa môže užiť priamo z vrecka alebo po zamiešaní celého obsahu do pohára s vodou. Po otvorení vrecka, užite celý obsah.</w:t>
      </w:r>
    </w:p>
    <w:p w:rsidR="00C6601A" w:rsidRPr="007976CB" w:rsidRDefault="00C6601A"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Ak užijete viac Dexadolu, ako máte</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užijete príliš veľa lieku, ihneď kontaktujte svojho lekára alebo lekárnika, alebo choďte na pohotovosť do najbližšej nemocnice. Prosím, nezabudnite si so sebou vziať balenie tohto lieku alebo túto písomnú informáciu.</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Ak zabudnete užiť Dexadol</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Neužívajte dvojnásobnú dávku, aby ste nahradili vynechanú dávku. Ďalšiu pravidelnú dávku užite podľa predpisu (podľa časti 3 „Ako užívať Dexadol“).</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máte akékoľvek ďalšie otázky týkajúce sa použitia tohto lieku, opýtajte sa svojho lekára alebo lekárnika.</w:t>
      </w:r>
    </w:p>
    <w:p w:rsidR="00016E64" w:rsidRPr="007976CB" w:rsidRDefault="00016E64" w:rsidP="00016E64">
      <w:pPr>
        <w:spacing w:after="0" w:line="240" w:lineRule="auto"/>
        <w:ind w:left="284" w:right="-2"/>
        <w:rPr>
          <w:rFonts w:ascii="Times New Roman" w:hAnsi="Times New Roman" w:cs="Times New Roman"/>
        </w:rPr>
      </w:pPr>
    </w:p>
    <w:p w:rsidR="00E42C87" w:rsidRPr="007976CB" w:rsidRDefault="00E42C87" w:rsidP="00E42C87">
      <w:pPr>
        <w:spacing w:after="0" w:line="240" w:lineRule="auto"/>
        <w:ind w:left="284" w:right="-2"/>
        <w:rPr>
          <w:rFonts w:ascii="Times New Roman" w:hAnsi="Times New Roman" w:cs="Times New Roman"/>
        </w:rPr>
      </w:pPr>
    </w:p>
    <w:p w:rsidR="00E42C87" w:rsidRPr="007976CB" w:rsidRDefault="00FA78D5" w:rsidP="00E42C87">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4. </w:t>
      </w:r>
      <w:r w:rsidRPr="00FA78D5">
        <w:rPr>
          <w:rFonts w:ascii="Times New Roman" w:hAnsi="Times New Roman" w:cs="Times New Roman"/>
          <w:b/>
        </w:rPr>
        <w:tab/>
        <w:t>Možné vedľajšie účinky</w:t>
      </w:r>
    </w:p>
    <w:p w:rsidR="00E42C87" w:rsidRPr="007976CB" w:rsidRDefault="00E42C87" w:rsidP="00E42C87">
      <w:pPr>
        <w:spacing w:after="0" w:line="240" w:lineRule="auto"/>
        <w:ind w:right="-2"/>
        <w:rPr>
          <w:rFonts w:ascii="Times New Roman" w:hAnsi="Times New Roman" w:cs="Times New Roman"/>
          <w:b/>
        </w:rPr>
      </w:pPr>
    </w:p>
    <w:p w:rsidR="00E42C87" w:rsidRPr="007976CB" w:rsidRDefault="00FA78D5" w:rsidP="00E42C87">
      <w:pPr>
        <w:spacing w:after="0" w:line="240" w:lineRule="auto"/>
        <w:ind w:right="-2"/>
        <w:rPr>
          <w:rFonts w:ascii="Times New Roman" w:hAnsi="Times New Roman" w:cs="Times New Roman"/>
        </w:rPr>
      </w:pPr>
      <w:r w:rsidRPr="00FA78D5">
        <w:rPr>
          <w:rFonts w:ascii="Times New Roman" w:hAnsi="Times New Roman" w:cs="Times New Roman"/>
        </w:rPr>
        <w:t xml:space="preserve">Tak ako všetky lieky, aj tento liek môže spôsobovať vedľajšie účinky, hoci sa neprejavia u každého. </w:t>
      </w:r>
    </w:p>
    <w:p w:rsidR="00E42C87" w:rsidRPr="007976CB" w:rsidRDefault="00FA78D5" w:rsidP="00E42C87">
      <w:pPr>
        <w:spacing w:after="0" w:line="240" w:lineRule="auto"/>
        <w:ind w:right="-2"/>
        <w:rPr>
          <w:rFonts w:ascii="Times New Roman" w:hAnsi="Times New Roman" w:cs="Times New Roman"/>
        </w:rPr>
      </w:pPr>
      <w:r w:rsidRPr="00FA78D5">
        <w:rPr>
          <w:rFonts w:ascii="Times New Roman" w:hAnsi="Times New Roman" w:cs="Times New Roman"/>
        </w:rPr>
        <w:t>Možné vedľajšie účinky sú uvedené nižšie podľa častosti výskytu. Vzhľadom na to, že maximálne plazmatické hladiny dexketoprofenu po podaní perorálneho roztoku sú vyššie, ako tie ktoré boli pozorované po tabletovej liekovej forme, nemožno vylúčiť možné zvýšené riziko vedľajších (žalúdočno-črevných) účinkov.</w:t>
      </w: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Časté vedľajšie účinky (môžu postihovať menej ako 1 z 10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lastRenderedPageBreak/>
        <w:t>Nevoľnosť a/alebo vracanie, bolesť hlavne v hornej časti brucha, hnačka, problémy s trávením (dyspepsia).</w:t>
      </w:r>
    </w:p>
    <w:p w:rsidR="003E7DC2" w:rsidRPr="007976CB" w:rsidRDefault="003E7DC2" w:rsidP="003E7DC2">
      <w:pPr>
        <w:spacing w:after="0" w:line="240" w:lineRule="auto"/>
        <w:ind w:left="284"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Menej časté vedľajšie účinky (môžu postihovať menej ako 1 zo 100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Pocit točenia hlavy (vertigo), závraty, ospalosť, porucha spánku, nervozita, bolesť hlavy, palpitácie (búšenie srdca), sčervenenie, zápal žalúdočnej sliznice (gastritída), zápcha, sucho v ústach, plynatosť, kožná vyrážka, únava, bolesť, pocit horúčky a triašky, celkový pocit choroby (nevoľnosť).</w:t>
      </w:r>
    </w:p>
    <w:p w:rsidR="003E7DC2" w:rsidRPr="007976CB" w:rsidRDefault="003E7DC2" w:rsidP="003E7DC2">
      <w:pPr>
        <w:spacing w:after="0" w:line="240" w:lineRule="auto"/>
        <w:ind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Zriedkavé vedľajšie účinky (môžu postihovať menej ako 1 z 1 000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Žalúdočný vred, perforácia žalúdočného vredu alebo krvácanie (ktoré sa môže pozorovať ako vracanie krvi alebo čierna stolica), mdloby, vysoký krvný tlak, príliš pomalé dýchanie, zadržiavanie vody a periférny opuch (napr. opuchnuté členky), opuch hrtanu, strata chuti do jedla (anorexia), zmenená citlivosť, svrbiaca vyrážka, akné, zvýšené potenie, bolesť chrbta, časté močenie, poruchy menštruácie, problémy s prostatou, hodnoty testov funkcie pečene mimo normy (krvné testy), poškodenie pečeňových buniek (hepatitída), akútne zlyhanie obličiek.</w:t>
      </w:r>
    </w:p>
    <w:p w:rsidR="003E7DC2" w:rsidRPr="007976CB" w:rsidRDefault="003E7DC2" w:rsidP="003E7DC2">
      <w:pPr>
        <w:spacing w:after="0" w:line="240" w:lineRule="auto"/>
        <w:ind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Veľmi zriedkavé vedľajšie účinky (môžu postihovať menej ako 1 z 10 000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 xml:space="preserve">Anafylaktická reakcia (reakcia precitlivenosti, ktorá môže viesť ku kolapsu), otvorené rany na koži, v ústach, očiach a v oblasti genitálií (Stevensov-Johnsonov syndróm a Lyellov syndróm), opuch tváre alebo opuch pier a hrdla (angioedém), dýchavica v dôsledku zúženia dýchacích ciest (bronchospazmus), krátky dych, rýchly tep, nízky krvný tlak, zápal pankreasu (podžalúdkovej žľazy), rozmazané videnie, zvonenie v ušiach (tinitus), citlivá koža, citlivosť na svetlo, svrbenie, problémy s obličkami. Zníženie počtu bielych krviniek (neutropénia), zníženie počtu krvných doštičiek v krvi (trombocytopénia). </w:t>
      </w:r>
    </w:p>
    <w:p w:rsidR="001A44CA" w:rsidRPr="007976CB" w:rsidRDefault="001A44CA" w:rsidP="003E7DC2">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Ihneď informujte svojho lekára, ak na začiatku liečby spozorujete akýkoľvek vedľajší účinok súvisiaci so žalúdkom/črevami (napr. bolesť žalúdka, pálenie záhy alebo krvácanie), ak ste v minulosti zažili takéto vedľajšie účinky v dôsledku dlhodobého užívania protizápalových liekov a najmä ak ste starší.</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Ak spozorujete výskyt kožnej vyrážky alebo akejkoľvek lézie (rany) v ústach alebo na genitáliách alebo akýkoľvek príznak alergie, ihneď prestaňte užívať Dexadol.</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Počas liečby nesteroidovými protizápalovými liekmi bolo hlásené zadržiavanie tekutín a opuch (najmä členkov a nôh), zvýšený krvný tlak a zlyhávanie srdca.</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Lieky ako Dexadol môžu byť spojené s miernym zvýšeným rizikom srdcového infarktu ("infarkt myokardu") alebo cerebrovaskulárnej príhody (mŕtvica).</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 xml:space="preserve">Protizápalové lieky môžu u pacientov s poruchami imunitného systému postihujúcimi spojivové tkanivo (systémový </w:t>
      </w:r>
      <w:r w:rsidRPr="00FA78D5">
        <w:rPr>
          <w:rFonts w:ascii="Times New Roman" w:hAnsi="Times New Roman" w:cs="Times New Roman"/>
          <w:i/>
        </w:rPr>
        <w:t>lupus erythematosus</w:t>
      </w:r>
      <w:r w:rsidRPr="00FA78D5">
        <w:rPr>
          <w:rFonts w:ascii="Times New Roman" w:hAnsi="Times New Roman" w:cs="Times New Roman"/>
        </w:rPr>
        <w:t xml:space="preserve"> alebo zmiešané ochorenie spojivového tkaniva) zriedkavo spôsobovať horúčku, bolesť hlavy a stuhnutosť krku.</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Style w:val="hps"/>
          <w:rFonts w:ascii="Times New Roman" w:hAnsi="Times New Roman" w:cs="Times New Roman"/>
          <w:color w:val="222222"/>
        </w:rPr>
      </w:pPr>
      <w:r w:rsidRPr="00FA78D5">
        <w:rPr>
          <w:rStyle w:val="hps"/>
          <w:rFonts w:ascii="Times New Roman" w:hAnsi="Times New Roman" w:cs="Times New Roman"/>
          <w:color w:val="222222"/>
        </w:rPr>
        <w:t>Najčastejšie pozorované</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vedľajšie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účinky sú</w:t>
      </w:r>
      <w:r w:rsidRPr="00FA78D5">
        <w:rPr>
          <w:rFonts w:ascii="Times New Roman" w:hAnsi="Times New Roman" w:cs="Times New Roman"/>
          <w:color w:val="222222"/>
        </w:rPr>
        <w:t xml:space="preserve"> žalúdočno-črevného charakteru. M</w:t>
      </w:r>
      <w:r w:rsidRPr="00FA78D5">
        <w:rPr>
          <w:rStyle w:val="hps"/>
          <w:rFonts w:ascii="Times New Roman" w:hAnsi="Times New Roman" w:cs="Times New Roman"/>
          <w:color w:val="222222"/>
        </w:rPr>
        <w:t>ôžu</w:t>
      </w:r>
      <w:r w:rsidRPr="00FA78D5">
        <w:rPr>
          <w:rFonts w:ascii="Times New Roman" w:hAnsi="Times New Roman" w:cs="Times New Roman"/>
          <w:color w:val="222222"/>
        </w:rPr>
        <w:t xml:space="preserve"> sa </w:t>
      </w:r>
      <w:r w:rsidRPr="00FA78D5">
        <w:rPr>
          <w:rStyle w:val="hps"/>
          <w:rFonts w:ascii="Times New Roman" w:hAnsi="Times New Roman" w:cs="Times New Roman"/>
          <w:color w:val="222222"/>
        </w:rPr>
        <w:t>objaviť</w:t>
      </w:r>
      <w:r w:rsidRPr="00FA78D5">
        <w:rPr>
          <w:rFonts w:ascii="Times New Roman" w:hAnsi="Times New Roman" w:cs="Times New Roman"/>
          <w:color w:val="222222"/>
        </w:rPr>
        <w:t xml:space="preserve"> žalúdočné </w:t>
      </w:r>
      <w:r w:rsidRPr="00FA78D5">
        <w:rPr>
          <w:rStyle w:val="hps"/>
          <w:rFonts w:ascii="Times New Roman" w:hAnsi="Times New Roman" w:cs="Times New Roman"/>
          <w:color w:val="222222"/>
        </w:rPr>
        <w:t>vredy</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prederavenie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alebo</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krvácanie zo žalúdka a čriev</w:t>
      </w:r>
      <w:r w:rsidRPr="00FA78D5">
        <w:rPr>
          <w:rFonts w:ascii="Times New Roman" w:hAnsi="Times New Roman" w:cs="Times New Roman"/>
          <w:color w:val="222222"/>
        </w:rPr>
        <w:t xml:space="preserve">, ktoré hlavne u starších </w:t>
      </w:r>
      <w:r w:rsidRPr="00FA78D5">
        <w:rPr>
          <w:rStyle w:val="hps"/>
          <w:rFonts w:ascii="Times New Roman" w:hAnsi="Times New Roman" w:cs="Times New Roman"/>
          <w:color w:val="222222"/>
        </w:rPr>
        <w:t xml:space="preserve">ľudí môžu byť </w:t>
      </w:r>
      <w:r w:rsidRPr="00FA78D5">
        <w:rPr>
          <w:rFonts w:ascii="Times New Roman" w:hAnsi="Times New Roman" w:cs="Times New Roman"/>
          <w:color w:val="222222"/>
        </w:rPr>
        <w:t>aj smrteľné</w:t>
      </w:r>
      <w:r w:rsidRPr="00FA78D5">
        <w:rPr>
          <w:rStyle w:val="hps"/>
          <w:rFonts w:ascii="Times New Roman" w:hAnsi="Times New Roman" w:cs="Times New Roman"/>
          <w:color w:val="222222"/>
        </w:rPr>
        <w:t>.</w:t>
      </w:r>
    </w:p>
    <w:p w:rsidR="001A44CA" w:rsidRPr="007976CB" w:rsidRDefault="00FA78D5" w:rsidP="001A44CA">
      <w:pPr>
        <w:spacing w:after="0" w:line="240" w:lineRule="auto"/>
        <w:ind w:right="-2"/>
        <w:rPr>
          <w:rFonts w:ascii="Times New Roman" w:hAnsi="Times New Roman" w:cs="Times New Roman"/>
          <w:color w:val="222222"/>
        </w:rPr>
      </w:pPr>
      <w:r w:rsidRPr="00FA78D5">
        <w:rPr>
          <w:rStyle w:val="hps"/>
          <w:rFonts w:ascii="Times New Roman" w:hAnsi="Times New Roman" w:cs="Times New Roman"/>
          <w:color w:val="222222"/>
        </w:rPr>
        <w:t>Po podaní lieku boli</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hlásené</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nevoľnosť</w:t>
      </w:r>
      <w:r w:rsidRPr="00FA78D5">
        <w:rPr>
          <w:rFonts w:ascii="Times New Roman" w:hAnsi="Times New Roman" w:cs="Times New Roman"/>
          <w:color w:val="222222"/>
        </w:rPr>
        <w:t xml:space="preserve">, vracanie, </w:t>
      </w:r>
      <w:r w:rsidRPr="00FA78D5">
        <w:rPr>
          <w:rStyle w:val="hps"/>
          <w:rFonts w:ascii="Times New Roman" w:hAnsi="Times New Roman" w:cs="Times New Roman"/>
          <w:color w:val="222222"/>
        </w:rPr>
        <w:t>hnačka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plynatosť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zápcha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porucha trávenia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bolesť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brucha</w:t>
      </w:r>
      <w:r w:rsidRPr="00FA78D5">
        <w:rPr>
          <w:rFonts w:ascii="Times New Roman" w:hAnsi="Times New Roman" w:cs="Times New Roman"/>
          <w:color w:val="222222"/>
        </w:rPr>
        <w:t>, č</w:t>
      </w:r>
      <w:r w:rsidRPr="00FA78D5">
        <w:rPr>
          <w:rStyle w:val="hps"/>
          <w:rFonts w:ascii="Times New Roman" w:hAnsi="Times New Roman" w:cs="Times New Roman"/>
          <w:color w:val="222222"/>
        </w:rPr>
        <w:t>ierna stolica</w:t>
      </w:r>
      <w:r w:rsidRPr="00FA78D5">
        <w:rPr>
          <w:rFonts w:ascii="Times New Roman" w:hAnsi="Times New Roman" w:cs="Times New Roman"/>
          <w:color w:val="222222"/>
        </w:rPr>
        <w:t xml:space="preserve">, vracanie krvi, zápal sliznice ústnej dutiny s tvorbou vredov, </w:t>
      </w:r>
      <w:r w:rsidRPr="00FA78D5">
        <w:rPr>
          <w:rStyle w:val="hps"/>
          <w:rFonts w:ascii="Times New Roman" w:hAnsi="Times New Roman" w:cs="Times New Roman"/>
          <w:color w:val="222222"/>
        </w:rPr>
        <w:t>zhoršenie</w:t>
      </w:r>
      <w:r w:rsidRPr="00FA78D5">
        <w:rPr>
          <w:rFonts w:ascii="Times New Roman" w:hAnsi="Times New Roman" w:cs="Times New Roman"/>
          <w:color w:val="222222"/>
        </w:rPr>
        <w:t xml:space="preserve"> zápalu hrubého čreva </w:t>
      </w:r>
      <w:r w:rsidRPr="00FA78D5">
        <w:rPr>
          <w:rStyle w:val="hps"/>
          <w:rFonts w:ascii="Times New Roman" w:hAnsi="Times New Roman" w:cs="Times New Roman"/>
          <w:color w:val="222222"/>
        </w:rPr>
        <w:t>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Crohnovej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choroby</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Menej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často</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bol</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pozorovaný</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zápal</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žalúdočnej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sliznice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w:t>
      </w:r>
      <w:r w:rsidRPr="00FA78D5">
        <w:rPr>
          <w:rFonts w:ascii="Times New Roman" w:hAnsi="Times New Roman" w:cs="Times New Roman"/>
          <w:color w:val="222222"/>
        </w:rPr>
        <w:t>gastritída).</w:t>
      </w:r>
    </w:p>
    <w:p w:rsidR="00DD4DF3" w:rsidRPr="007976CB" w:rsidRDefault="00DD4DF3" w:rsidP="001A44CA">
      <w:pPr>
        <w:spacing w:after="0" w:line="240" w:lineRule="auto"/>
        <w:ind w:right="-2"/>
        <w:rPr>
          <w:rFonts w:ascii="Times New Roman" w:hAnsi="Times New Roman" w:cs="Times New Roman"/>
          <w:color w:val="222222"/>
        </w:rPr>
      </w:pPr>
    </w:p>
    <w:p w:rsidR="00DD4DF3" w:rsidRPr="007976CB" w:rsidRDefault="00FA78D5" w:rsidP="00DD4DF3">
      <w:pPr>
        <w:spacing w:after="0" w:line="240" w:lineRule="auto"/>
        <w:ind w:right="-2"/>
        <w:rPr>
          <w:rFonts w:ascii="Times New Roman" w:hAnsi="Times New Roman" w:cs="Times New Roman"/>
          <w:color w:val="222222"/>
        </w:rPr>
      </w:pPr>
      <w:r w:rsidRPr="00FA78D5">
        <w:rPr>
          <w:rStyle w:val="hps"/>
          <w:rFonts w:ascii="Times New Roman" w:hAnsi="Times New Roman" w:cs="Times New Roman"/>
          <w:color w:val="222222"/>
        </w:rPr>
        <w:t>Tak ako u</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iných</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NSAID môže sa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objaviť aseptická meningitída (</w:t>
      </w:r>
      <w:r>
        <w:rPr>
          <w:rFonts w:ascii="Times New Roman" w:hAnsi="Times New Roman" w:cs="Times New Roman"/>
        </w:rPr>
        <w:t>horúčka, bolesť hlavy a stuhnutosť v zadnej časti krku)</w:t>
      </w:r>
      <w:r w:rsidRPr="00FA78D5">
        <w:rPr>
          <w:rStyle w:val="hps"/>
          <w:rFonts w:ascii="Times New Roman" w:hAnsi="Times New Roman" w:cs="Times New Roman"/>
          <w:color w:val="222222"/>
        </w:rPr>
        <w:t xml:space="preserve">, </w:t>
      </w:r>
      <w:r>
        <w:rPr>
          <w:rFonts w:ascii="Times New Roman" w:hAnsi="Times New Roman" w:cs="Times New Roman"/>
        </w:rPr>
        <w:t xml:space="preserve">ktorá sa môže vyskytnúť predovšetkým u pacientov so systémovým </w:t>
      </w:r>
      <w:r>
        <w:rPr>
          <w:rFonts w:ascii="Times New Roman" w:hAnsi="Times New Roman" w:cs="Times New Roman"/>
          <w:i/>
        </w:rPr>
        <w:t>lupus erythematosus</w:t>
      </w:r>
      <w:r>
        <w:rPr>
          <w:rFonts w:ascii="Times New Roman" w:hAnsi="Times New Roman" w:cs="Times New Roman"/>
        </w:rPr>
        <w:t xml:space="preserve"> alebo zmiešanými ochoreniami spojivových tkanív (poruchy imunitného systému, ktoré postihujú spojivové tkanivá) a môžu sa objaviť</w:t>
      </w:r>
      <w:r w:rsidRPr="00FA78D5">
        <w:rPr>
          <w:rStyle w:val="slostrnky"/>
          <w:rFonts w:ascii="Times New Roman" w:hAnsi="Times New Roman"/>
          <w:color w:val="222222"/>
          <w:lang w:val="sk-SK"/>
        </w:rPr>
        <w:t xml:space="preserve"> </w:t>
      </w:r>
      <w:r w:rsidR="00DD4DF3" w:rsidRPr="007976CB">
        <w:rPr>
          <w:rStyle w:val="hps"/>
          <w:rFonts w:ascii="Times New Roman" w:hAnsi="Times New Roman" w:cs="Times New Roman"/>
          <w:color w:val="222222"/>
        </w:rPr>
        <w:t>rôzne poruchy krvi</w:t>
      </w:r>
      <w:r w:rsidR="00DD4DF3" w:rsidRPr="007976CB">
        <w:rPr>
          <w:rFonts w:ascii="Times New Roman" w:hAnsi="Times New Roman" w:cs="Times New Roman"/>
          <w:color w:val="222222"/>
        </w:rPr>
        <w:t xml:space="preserve"> </w:t>
      </w:r>
      <w:r w:rsidR="00DD4DF3" w:rsidRPr="007976CB">
        <w:rPr>
          <w:rStyle w:val="hps"/>
          <w:rFonts w:ascii="Times New Roman" w:hAnsi="Times New Roman" w:cs="Times New Roman"/>
          <w:color w:val="222222"/>
        </w:rPr>
        <w:t>(</w:t>
      </w:r>
      <w:r w:rsidR="00DD4DF3" w:rsidRPr="007976CB">
        <w:rPr>
          <w:rFonts w:ascii="Times New Roman" w:hAnsi="Times New Roman" w:cs="Times New Roman"/>
          <w:color w:val="222222"/>
        </w:rPr>
        <w:t xml:space="preserve">početné bodkovité krvácanie, </w:t>
      </w:r>
      <w:r w:rsidR="00D14913" w:rsidRPr="007976CB">
        <w:rPr>
          <w:rFonts w:ascii="Times New Roman" w:hAnsi="Times New Roman" w:cs="Times New Roman"/>
          <w:color w:val="222222"/>
        </w:rPr>
        <w:lastRenderedPageBreak/>
        <w:t xml:space="preserve">málokrvnosť </w:t>
      </w:r>
      <w:r w:rsidRPr="00FA78D5">
        <w:rPr>
          <w:rFonts w:ascii="Times New Roman" w:hAnsi="Times New Roman" w:cs="Times New Roman"/>
          <w:color w:val="222222"/>
        </w:rPr>
        <w:t>z nedostatočnej tvorby alebo rozpadu krviniek, výrazné zníženie počtu bielych krviniek, útlm kostnej drene).</w:t>
      </w:r>
    </w:p>
    <w:p w:rsidR="00DD4DF3" w:rsidRPr="007976CB" w:rsidRDefault="00DD4DF3" w:rsidP="00DD4DF3">
      <w:pPr>
        <w:spacing w:after="0" w:line="240" w:lineRule="auto"/>
        <w:ind w:right="-2"/>
        <w:rPr>
          <w:rFonts w:ascii="Times New Roman" w:hAnsi="Times New Roman" w:cs="Times New Roman"/>
        </w:rPr>
      </w:pPr>
    </w:p>
    <w:p w:rsidR="00DD4DF3" w:rsidRPr="007976CB" w:rsidRDefault="00FA78D5" w:rsidP="00DD4DF3">
      <w:pPr>
        <w:numPr>
          <w:ilvl w:val="12"/>
          <w:numId w:val="0"/>
        </w:numPr>
        <w:tabs>
          <w:tab w:val="left" w:pos="720"/>
        </w:tabs>
        <w:spacing w:after="0" w:line="240" w:lineRule="auto"/>
        <w:rPr>
          <w:rFonts w:ascii="Times New Roman" w:hAnsi="Times New Roman" w:cs="Times New Roman"/>
          <w:b/>
        </w:rPr>
      </w:pPr>
      <w:r w:rsidRPr="00FA78D5">
        <w:rPr>
          <w:rFonts w:ascii="Times New Roman" w:hAnsi="Times New Roman" w:cs="Times New Roman"/>
          <w:b/>
        </w:rPr>
        <w:t>Hlásenie vedľajších účinkov</w:t>
      </w:r>
    </w:p>
    <w:p w:rsidR="00DD4DF3" w:rsidRPr="007976CB" w:rsidRDefault="00FA78D5" w:rsidP="00DD4DF3">
      <w:pPr>
        <w:numPr>
          <w:ilvl w:val="12"/>
          <w:numId w:val="0"/>
        </w:numPr>
        <w:spacing w:after="0" w:line="240" w:lineRule="auto"/>
        <w:ind w:right="-2"/>
        <w:rPr>
          <w:rFonts w:ascii="Times New Roman" w:hAnsi="Times New Roman" w:cs="Times New Roman"/>
        </w:rPr>
      </w:pPr>
      <w:r w:rsidRPr="00FA78D5">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FA78D5">
        <w:rPr>
          <w:rFonts w:ascii="Times New Roman" w:hAnsi="Times New Roman" w:cs="Times New Roman"/>
          <w:highlight w:val="lightGray"/>
        </w:rPr>
        <w:t>národné centrum hlásenia uvedené v </w:t>
      </w:r>
      <w:hyperlink r:id="rId8" w:history="1">
        <w:r w:rsidRPr="00FA78D5">
          <w:rPr>
            <w:rStyle w:val="Hypertextovprepojenie"/>
            <w:rFonts w:ascii="Times New Roman" w:hAnsi="Times New Roman" w:cs="Times New Roman"/>
            <w:highlight w:val="lightGray"/>
          </w:rPr>
          <w:t>Prílohe V</w:t>
        </w:r>
      </w:hyperlink>
      <w:r w:rsidR="00DD4DF3" w:rsidRPr="007976CB">
        <w:rPr>
          <w:rFonts w:ascii="Times New Roman" w:hAnsi="Times New Roman" w:cs="Times New Roman"/>
        </w:rPr>
        <w:t>. Hlásením vedľajších účinkov môžete prispieť k získaniu ďalších informácií o bezpečnosti tohto lieku.</w:t>
      </w:r>
    </w:p>
    <w:p w:rsidR="00DD4DF3" w:rsidRPr="007976CB" w:rsidRDefault="00DD4DF3" w:rsidP="00DD4DF3">
      <w:pPr>
        <w:spacing w:after="0" w:line="240" w:lineRule="auto"/>
        <w:ind w:right="-2"/>
        <w:rPr>
          <w:rFonts w:ascii="Times New Roman" w:hAnsi="Times New Roman" w:cs="Times New Roman"/>
        </w:rPr>
      </w:pPr>
    </w:p>
    <w:p w:rsidR="000066F8" w:rsidRPr="007976CB" w:rsidRDefault="000066F8" w:rsidP="006C628D">
      <w:pPr>
        <w:numPr>
          <w:ilvl w:val="12"/>
          <w:numId w:val="0"/>
        </w:numPr>
        <w:spacing w:after="0"/>
        <w:ind w:right="-29"/>
        <w:jc w:val="both"/>
        <w:outlineLvl w:val="0"/>
        <w:rPr>
          <w:rFonts w:ascii="Times New Roman" w:hAnsi="Times New Roman" w:cs="Times New Roman"/>
        </w:rPr>
      </w:pPr>
    </w:p>
    <w:p w:rsidR="004C2FC7" w:rsidRPr="007976CB" w:rsidRDefault="004C2FC7" w:rsidP="004C2FC7">
      <w:pPr>
        <w:spacing w:after="0" w:line="240" w:lineRule="auto"/>
        <w:ind w:right="-2"/>
        <w:rPr>
          <w:rFonts w:ascii="Times New Roman" w:hAnsi="Times New Roman" w:cs="Times New Roman"/>
          <w:b/>
        </w:rPr>
      </w:pPr>
      <w:r w:rsidRPr="007976CB">
        <w:rPr>
          <w:rFonts w:ascii="Times New Roman" w:hAnsi="Times New Roman" w:cs="Times New Roman"/>
          <w:b/>
        </w:rPr>
        <w:t xml:space="preserve">5. </w:t>
      </w:r>
      <w:r w:rsidRPr="007976CB">
        <w:rPr>
          <w:rFonts w:ascii="Times New Roman" w:hAnsi="Times New Roman" w:cs="Times New Roman"/>
          <w:b/>
        </w:rPr>
        <w:tab/>
        <w:t xml:space="preserve">Ako uchovávať </w:t>
      </w:r>
      <w:r w:rsidR="00F55119" w:rsidRPr="007976CB">
        <w:rPr>
          <w:rFonts w:ascii="Times New Roman" w:hAnsi="Times New Roman" w:cs="Times New Roman"/>
          <w:b/>
        </w:rPr>
        <w:t>Dexadol</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Tento liek uchovávajte mimo dohľadu a dosahu detí.</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 xml:space="preserve">Neužívajte tento liek po dátume exspirácie, ktorý je uvedený na škatuľke alebo na vrecúškach po EXP. Dátum exspirácie sa vzťahuje na posledný deň v danom mesiaci. </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Tento liek nevyžaduje žiadne zvláštne podmienky na uchovávanie.</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Nelikvidujte lieky odpadovou vodou alebo domovým odpadom. Nepoužitý liek vráťte do lekárne. Tieto opatrenia pomôžu chrániť životné prostredie.</w:t>
      </w:r>
    </w:p>
    <w:p w:rsidR="00C95DC1" w:rsidRPr="007976CB" w:rsidRDefault="00C95DC1" w:rsidP="00C95DC1">
      <w:pPr>
        <w:spacing w:after="0" w:line="240" w:lineRule="auto"/>
        <w:ind w:right="-2"/>
        <w:rPr>
          <w:rFonts w:ascii="Times New Roman" w:hAnsi="Times New Roman" w:cs="Times New Roman"/>
        </w:rPr>
      </w:pPr>
    </w:p>
    <w:p w:rsidR="00C95DC1" w:rsidRPr="007976CB" w:rsidRDefault="00FA78D5" w:rsidP="00C95DC1">
      <w:pPr>
        <w:spacing w:after="0" w:line="240" w:lineRule="auto"/>
        <w:ind w:right="-2"/>
        <w:rPr>
          <w:rFonts w:ascii="Times New Roman" w:hAnsi="Times New Roman" w:cs="Times New Roman"/>
          <w:b/>
        </w:rPr>
      </w:pPr>
      <w:r w:rsidRPr="00FA78D5">
        <w:rPr>
          <w:rFonts w:ascii="Times New Roman" w:hAnsi="Times New Roman" w:cs="Times New Roman"/>
          <w:b/>
        </w:rPr>
        <w:t xml:space="preserve">6. </w:t>
      </w:r>
      <w:r w:rsidRPr="00FA78D5">
        <w:rPr>
          <w:rFonts w:ascii="Times New Roman" w:hAnsi="Times New Roman" w:cs="Times New Roman"/>
          <w:b/>
        </w:rPr>
        <w:tab/>
        <w:t>Obsah balenia a ďalšie informácie</w:t>
      </w:r>
    </w:p>
    <w:p w:rsidR="00C95DC1" w:rsidRPr="007976CB" w:rsidRDefault="00C95DC1" w:rsidP="00C95DC1">
      <w:pPr>
        <w:spacing w:after="0" w:line="240" w:lineRule="auto"/>
        <w:ind w:right="-2"/>
        <w:rPr>
          <w:rFonts w:ascii="Times New Roman" w:hAnsi="Times New Roman" w:cs="Times New Roman"/>
          <w:b/>
        </w:rPr>
      </w:pPr>
    </w:p>
    <w:p w:rsidR="00C95DC1" w:rsidRPr="007976CB" w:rsidRDefault="00FA78D5" w:rsidP="00C95DC1">
      <w:pPr>
        <w:spacing w:after="0" w:line="240" w:lineRule="auto"/>
        <w:ind w:right="-2"/>
        <w:rPr>
          <w:rFonts w:ascii="Times New Roman" w:hAnsi="Times New Roman" w:cs="Times New Roman"/>
          <w:b/>
        </w:rPr>
      </w:pPr>
      <w:r w:rsidRPr="00FA78D5">
        <w:rPr>
          <w:rFonts w:ascii="Times New Roman" w:hAnsi="Times New Roman" w:cs="Times New Roman"/>
          <w:b/>
        </w:rPr>
        <w:t>Čo Dexadol obsahuje</w:t>
      </w:r>
    </w:p>
    <w:p w:rsidR="00A33FCC" w:rsidRPr="007976CB" w:rsidRDefault="00A33FCC" w:rsidP="00A33FCC">
      <w:pPr>
        <w:spacing w:after="0" w:line="240" w:lineRule="auto"/>
        <w:ind w:right="-2"/>
        <w:rPr>
          <w:rFonts w:ascii="Times New Roman" w:hAnsi="Times New Roman" w:cs="Times New Roman"/>
        </w:rPr>
      </w:pPr>
    </w:p>
    <w:p w:rsidR="00D4051B" w:rsidRPr="007976CB" w:rsidRDefault="00FA78D5" w:rsidP="003D75EA">
      <w:pPr>
        <w:spacing w:after="0" w:line="240" w:lineRule="auto"/>
        <w:ind w:left="142" w:right="-2" w:hanging="142"/>
        <w:rPr>
          <w:rFonts w:ascii="Times New Roman" w:eastAsia="Calibri" w:hAnsi="Times New Roman" w:cs="Times New Roman"/>
          <w:noProof w:val="0"/>
        </w:rPr>
      </w:pPr>
      <w:r w:rsidRPr="00FA78D5">
        <w:rPr>
          <w:rFonts w:ascii="Times New Roman" w:eastAsia="Calibri" w:hAnsi="Times New Roman" w:cs="Times New Roman"/>
          <w:noProof w:val="0"/>
        </w:rPr>
        <w:t xml:space="preserve">- Liečivo je dexketoprofén </w:t>
      </w:r>
      <w:r w:rsidRPr="00FA78D5">
        <w:rPr>
          <w:rFonts w:ascii="Times New Roman" w:hAnsi="Times New Roman" w:cs="Times New Roman"/>
        </w:rPr>
        <w:t>(vo forme dexketoprofén trometamolu).</w:t>
      </w:r>
      <w:r w:rsidRPr="00FA78D5">
        <w:rPr>
          <w:rFonts w:ascii="Times New Roman" w:eastAsia="Calibri" w:hAnsi="Times New Roman" w:cs="Times New Roman"/>
          <w:noProof w:val="0"/>
        </w:rPr>
        <w:t xml:space="preserve"> </w:t>
      </w:r>
    </w:p>
    <w:p w:rsidR="00FA78D5" w:rsidRDefault="00FA78D5" w:rsidP="00FA78D5">
      <w:pPr>
        <w:spacing w:after="0" w:line="240" w:lineRule="auto"/>
        <w:ind w:left="142" w:right="-2"/>
        <w:rPr>
          <w:rFonts w:ascii="Times New Roman" w:eastAsia="Calibri" w:hAnsi="Times New Roman" w:cs="Times New Roman"/>
          <w:noProof w:val="0"/>
        </w:rPr>
      </w:pPr>
      <w:bookmarkStart w:id="0" w:name="_GoBack"/>
      <w:bookmarkEnd w:id="0"/>
      <w:r w:rsidRPr="00FA78D5">
        <w:rPr>
          <w:rFonts w:ascii="Times New Roman" w:eastAsia="Calibri" w:hAnsi="Times New Roman" w:cs="Times New Roman"/>
          <w:noProof w:val="0"/>
        </w:rPr>
        <w:t>Každé vrecko s perorálnym roztokom obsahuje 25 mg dexketoprofénu ako dexketoprofén trometamol.</w:t>
      </w:r>
    </w:p>
    <w:p w:rsidR="003C233A" w:rsidRPr="007976CB" w:rsidRDefault="00FA78D5" w:rsidP="005609B2">
      <w:pPr>
        <w:pStyle w:val="Vchoz"/>
        <w:tabs>
          <w:tab w:val="left" w:pos="567"/>
        </w:tabs>
        <w:ind w:left="142" w:hanging="142"/>
        <w:jc w:val="left"/>
        <w:rPr>
          <w:rFonts w:ascii="Times New Roman" w:eastAsia="Calibri" w:hAnsi="Times New Roman" w:cs="Times New Roman"/>
          <w:sz w:val="22"/>
          <w:szCs w:val="22"/>
          <w:lang w:val="sk-SK"/>
        </w:rPr>
      </w:pPr>
      <w:r w:rsidRPr="00FA78D5">
        <w:rPr>
          <w:rFonts w:ascii="Times New Roman" w:eastAsia="Calibri" w:hAnsi="Times New Roman" w:cs="Times New Roman"/>
          <w:sz w:val="22"/>
          <w:szCs w:val="22"/>
          <w:lang w:val="sk-SK"/>
        </w:rPr>
        <w:t xml:space="preserve">- </w:t>
      </w:r>
      <w:r w:rsidR="00555172" w:rsidRPr="007976CB">
        <w:rPr>
          <w:rFonts w:ascii="Times New Roman" w:hAnsi="Times New Roman" w:cs="Times New Roman"/>
          <w:sz w:val="22"/>
          <w:szCs w:val="22"/>
          <w:lang w:val="sk-SK"/>
        </w:rPr>
        <w:t>Ďalšie zložky sú</w:t>
      </w:r>
      <w:r w:rsidRPr="00FA78D5">
        <w:rPr>
          <w:rFonts w:ascii="Times New Roman" w:eastAsia="Calibri" w:hAnsi="Times New Roman" w:cs="Times New Roman"/>
          <w:sz w:val="22"/>
          <w:szCs w:val="22"/>
          <w:lang w:val="sk-SK"/>
        </w:rPr>
        <w:t xml:space="preserve">: </w:t>
      </w:r>
      <w:r w:rsidR="00FF61A0" w:rsidRPr="007976CB">
        <w:rPr>
          <w:rFonts w:ascii="Times New Roman" w:hAnsi="Times New Roman" w:cs="Times New Roman"/>
          <w:sz w:val="22"/>
          <w:szCs w:val="22"/>
          <w:lang w:val="sk-SK"/>
        </w:rPr>
        <w:t xml:space="preserve">amóniumglycyrizát, dihydrochalkón neohesperidínu, </w:t>
      </w:r>
      <w:r w:rsidRPr="00FA78D5">
        <w:rPr>
          <w:rFonts w:ascii="Times New Roman" w:eastAsia="Calibri" w:hAnsi="Times New Roman" w:cs="Times New Roman"/>
          <w:sz w:val="22"/>
          <w:szCs w:val="22"/>
          <w:lang w:val="sk-SK"/>
        </w:rPr>
        <w:t xml:space="preserve">metylparahydroxybenzoát (E-218), sodná soľ sacharínu, sacharóza, makrogol 400, citrónová aróma, povidón K-90, </w:t>
      </w:r>
      <w:r w:rsidRPr="00FA78D5">
        <w:rPr>
          <w:rFonts w:ascii="Times New Roman" w:hAnsi="Times New Roman" w:cs="Times New Roman"/>
          <w:sz w:val="22"/>
          <w:szCs w:val="22"/>
          <w:lang w:val="sk-SK"/>
        </w:rPr>
        <w:t>fosforečnan sodný bezvodý</w:t>
      </w:r>
      <w:r w:rsidRPr="00FA78D5">
        <w:rPr>
          <w:rFonts w:ascii="Times New Roman" w:eastAsia="Calibri" w:hAnsi="Times New Roman" w:cs="Times New Roman"/>
          <w:sz w:val="22"/>
          <w:szCs w:val="22"/>
          <w:lang w:val="sk-SK"/>
        </w:rPr>
        <w:t xml:space="preserve">; </w:t>
      </w:r>
      <w:r w:rsidRPr="00FA78D5">
        <w:rPr>
          <w:rFonts w:ascii="Times New Roman" w:hAnsi="Times New Roman" w:cs="Times New Roman"/>
          <w:color w:val="222222"/>
          <w:sz w:val="22"/>
          <w:szCs w:val="22"/>
          <w:lang w:val="sk-SK"/>
        </w:rPr>
        <w:t>dihydrogenfosforečnan sodný</w:t>
      </w:r>
      <w:r w:rsidRPr="00FA78D5">
        <w:rPr>
          <w:rFonts w:ascii="Times New Roman" w:eastAsia="Calibri" w:hAnsi="Times New Roman" w:cs="Times New Roman"/>
          <w:sz w:val="22"/>
          <w:szCs w:val="22"/>
          <w:lang w:val="sk-SK"/>
        </w:rPr>
        <w:t xml:space="preserve"> dihydrát; čistená voda.</w:t>
      </w:r>
    </w:p>
    <w:p w:rsidR="00C95DC1" w:rsidRPr="007976CB" w:rsidRDefault="00C95DC1" w:rsidP="00C95DC1">
      <w:pPr>
        <w:spacing w:after="0" w:line="240" w:lineRule="auto"/>
        <w:ind w:right="-2"/>
        <w:rPr>
          <w:rFonts w:ascii="Times New Roman" w:eastAsia="Calibri" w:hAnsi="Times New Roman" w:cs="Times New Roman"/>
          <w:noProof w:val="0"/>
        </w:rPr>
      </w:pPr>
    </w:p>
    <w:p w:rsidR="00DE2391" w:rsidRPr="007976CB" w:rsidRDefault="00DE2391" w:rsidP="00DE2391">
      <w:pPr>
        <w:spacing w:after="0" w:line="240" w:lineRule="auto"/>
        <w:ind w:right="-2"/>
        <w:rPr>
          <w:rFonts w:ascii="Times New Roman" w:hAnsi="Times New Roman" w:cs="Times New Roman"/>
          <w:b/>
        </w:rPr>
      </w:pPr>
      <w:r w:rsidRPr="007976CB">
        <w:rPr>
          <w:rFonts w:ascii="Times New Roman" w:hAnsi="Times New Roman" w:cs="Times New Roman"/>
          <w:b/>
        </w:rPr>
        <w:t xml:space="preserve">Ako vyzerá </w:t>
      </w:r>
      <w:r w:rsidR="00FA78D5" w:rsidRPr="00FA78D5">
        <w:rPr>
          <w:rFonts w:ascii="Times New Roman" w:hAnsi="Times New Roman" w:cs="Times New Roman"/>
          <w:b/>
        </w:rPr>
        <w:t>Dexadol a obsah balenia</w:t>
      </w:r>
    </w:p>
    <w:p w:rsidR="00062F1C" w:rsidRPr="007976CB" w:rsidRDefault="00FA78D5" w:rsidP="00062F1C">
      <w:pPr>
        <w:spacing w:after="0" w:line="240" w:lineRule="auto"/>
        <w:jc w:val="both"/>
        <w:rPr>
          <w:rFonts w:ascii="Times New Roman" w:hAnsi="Times New Roman" w:cs="Times New Roman"/>
        </w:rPr>
      </w:pPr>
      <w:r w:rsidRPr="00FA78D5">
        <w:rPr>
          <w:rFonts w:ascii="Times New Roman" w:hAnsi="Times New Roman" w:cs="Times New Roman"/>
        </w:rPr>
        <w:t>Jemne sfarbený roztok s citrónovou vôňou a sladkou citrónovo-citrusovou chuťou.</w:t>
      </w:r>
    </w:p>
    <w:p w:rsidR="00A1306F" w:rsidRPr="007976CB" w:rsidRDefault="00FA78D5" w:rsidP="004A143C">
      <w:pPr>
        <w:spacing w:after="0" w:line="240" w:lineRule="auto"/>
        <w:jc w:val="both"/>
        <w:rPr>
          <w:rFonts w:ascii="Times New Roman" w:hAnsi="Times New Roman" w:cs="Times New Roman"/>
        </w:rPr>
      </w:pPr>
      <w:r w:rsidRPr="00FA78D5">
        <w:rPr>
          <w:rFonts w:ascii="Times New Roman" w:hAnsi="Times New Roman" w:cs="Times New Roman"/>
        </w:rPr>
        <w:t xml:space="preserve">Dexadol 25 mg perorálny roztok vo vrecku sa dodáva v baleniach obsahujúcich 2, 4, 10 alebo 20 vreciek. </w:t>
      </w:r>
    </w:p>
    <w:p w:rsidR="006727CA" w:rsidRPr="007976CB" w:rsidRDefault="00FA78D5" w:rsidP="00A1306F">
      <w:pPr>
        <w:spacing w:after="0" w:line="240" w:lineRule="auto"/>
        <w:ind w:right="-2"/>
        <w:rPr>
          <w:rFonts w:ascii="Times New Roman" w:hAnsi="Times New Roman" w:cs="Times New Roman"/>
        </w:rPr>
      </w:pPr>
      <w:r w:rsidRPr="00FA78D5">
        <w:rPr>
          <w:rFonts w:ascii="Times New Roman" w:hAnsi="Times New Roman" w:cs="Times New Roman"/>
        </w:rPr>
        <w:t>Na trh nemusia byť uvedené všetky veľkosti balenia.</w:t>
      </w:r>
    </w:p>
    <w:p w:rsidR="00572734" w:rsidRPr="007976CB" w:rsidRDefault="00572734" w:rsidP="00A1306F">
      <w:pPr>
        <w:spacing w:after="0" w:line="240" w:lineRule="auto"/>
        <w:ind w:right="-2"/>
        <w:rPr>
          <w:rFonts w:ascii="Times New Roman" w:hAnsi="Times New Roman" w:cs="Times New Roman"/>
        </w:rPr>
      </w:pPr>
    </w:p>
    <w:p w:rsidR="00684C20" w:rsidRPr="007976CB" w:rsidRDefault="00FA78D5" w:rsidP="00684C20">
      <w:pPr>
        <w:spacing w:after="0" w:line="240" w:lineRule="auto"/>
        <w:ind w:right="-2"/>
        <w:rPr>
          <w:rFonts w:ascii="Times New Roman" w:hAnsi="Times New Roman" w:cs="Times New Roman"/>
          <w:b/>
        </w:rPr>
      </w:pPr>
      <w:r w:rsidRPr="00FA78D5">
        <w:rPr>
          <w:rFonts w:ascii="Times New Roman" w:hAnsi="Times New Roman" w:cs="Times New Roman"/>
          <w:b/>
        </w:rPr>
        <w:t>Držiteľ rozhodnutia o registrácii a výrobca</w:t>
      </w:r>
    </w:p>
    <w:p w:rsidR="00684C20" w:rsidRPr="007976CB" w:rsidRDefault="00684C20" w:rsidP="00684C20">
      <w:pPr>
        <w:spacing w:after="0" w:line="240" w:lineRule="auto"/>
        <w:ind w:right="-2"/>
        <w:rPr>
          <w:rFonts w:ascii="Times New Roman" w:hAnsi="Times New Roman" w:cs="Times New Roman"/>
          <w:b/>
        </w:rPr>
      </w:pPr>
    </w:p>
    <w:p w:rsidR="00684C20" w:rsidRPr="007976CB" w:rsidRDefault="00FA78D5" w:rsidP="00684C20">
      <w:pPr>
        <w:spacing w:after="0" w:line="240" w:lineRule="auto"/>
        <w:ind w:right="-2"/>
        <w:rPr>
          <w:rFonts w:ascii="Times New Roman" w:hAnsi="Times New Roman" w:cs="Times New Roman"/>
          <w:u w:val="single"/>
        </w:rPr>
      </w:pPr>
      <w:r w:rsidRPr="00FA78D5">
        <w:rPr>
          <w:rFonts w:ascii="Times New Roman" w:hAnsi="Times New Roman" w:cs="Times New Roman"/>
          <w:u w:val="single"/>
        </w:rPr>
        <w:t>Držiteľ rozhodnutia o registrácii:</w:t>
      </w:r>
    </w:p>
    <w:p w:rsidR="00DF0F97"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 xml:space="preserve">Menarini International Operations Luxembourg S.A., </w:t>
      </w:r>
    </w:p>
    <w:p w:rsidR="00DF0F97"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 xml:space="preserve">1, Avenue de la Gare, L-1611 Luxemburg, </w:t>
      </w:r>
    </w:p>
    <w:p w:rsidR="00684C20"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Luxembursko</w:t>
      </w:r>
    </w:p>
    <w:p w:rsidR="00684C20" w:rsidRPr="007976CB" w:rsidRDefault="00684C20" w:rsidP="00684C20">
      <w:pPr>
        <w:spacing w:after="0" w:line="240" w:lineRule="auto"/>
        <w:ind w:right="-2"/>
        <w:rPr>
          <w:rFonts w:ascii="Times New Roman" w:hAnsi="Times New Roman" w:cs="Times New Roman"/>
        </w:rPr>
      </w:pPr>
    </w:p>
    <w:p w:rsidR="00684C20" w:rsidRPr="007976CB" w:rsidRDefault="00FA78D5" w:rsidP="00684C20">
      <w:pPr>
        <w:spacing w:after="0" w:line="240" w:lineRule="auto"/>
        <w:ind w:right="-2"/>
        <w:rPr>
          <w:rFonts w:ascii="Times New Roman" w:hAnsi="Times New Roman" w:cs="Times New Roman"/>
          <w:u w:val="single"/>
        </w:rPr>
      </w:pPr>
      <w:r w:rsidRPr="00FA78D5">
        <w:rPr>
          <w:rFonts w:ascii="Times New Roman" w:hAnsi="Times New Roman" w:cs="Times New Roman"/>
          <w:u w:val="single"/>
        </w:rPr>
        <w:t>Výrobca:</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t xml:space="preserve">Laboratorios Menarini S.A., </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t>Alfonso XII 587, 08918-Badalona (Barcelona),</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t>Španielsko</w:t>
      </w:r>
    </w:p>
    <w:p w:rsidR="00684C20" w:rsidRPr="007976CB" w:rsidRDefault="00684C20" w:rsidP="00684C20">
      <w:pPr>
        <w:autoSpaceDE w:val="0"/>
        <w:spacing w:after="0" w:line="240" w:lineRule="auto"/>
        <w:rPr>
          <w:rFonts w:ascii="Times New Roman" w:hAnsi="Times New Roman" w:cs="Times New Roman"/>
        </w:rPr>
      </w:pPr>
    </w:p>
    <w:p w:rsidR="00684C20" w:rsidRPr="007976CB" w:rsidRDefault="00FA78D5" w:rsidP="00684C20">
      <w:pPr>
        <w:pStyle w:val="Zkladntext"/>
        <w:autoSpaceDE w:val="0"/>
        <w:autoSpaceDN w:val="0"/>
        <w:adjustRightInd w:val="0"/>
        <w:jc w:val="left"/>
        <w:rPr>
          <w:rFonts w:ascii="Times New Roman" w:hAnsi="Times New Roman"/>
          <w:b/>
          <w:bCs/>
          <w:sz w:val="22"/>
          <w:szCs w:val="22"/>
          <w:lang w:val="sk-SK" w:eastAsia="en-US"/>
        </w:rPr>
      </w:pPr>
      <w:r w:rsidRPr="00FA78D5">
        <w:rPr>
          <w:rFonts w:ascii="Times New Roman" w:hAnsi="Times New Roman"/>
          <w:b/>
          <w:bCs/>
          <w:sz w:val="22"/>
          <w:szCs w:val="22"/>
          <w:lang w:val="sk-SK" w:eastAsia="en-US"/>
        </w:rPr>
        <w:t>Liek je schválený v členských štátoch Európskeho hospodárskeho priestoru (EHP) pod nasledovnými názvami:</w:t>
      </w:r>
    </w:p>
    <w:p w:rsidR="00684C20" w:rsidRPr="007976CB" w:rsidRDefault="00684C20" w:rsidP="00684C20">
      <w:pPr>
        <w:pStyle w:val="Zkladntext"/>
        <w:autoSpaceDE w:val="0"/>
        <w:autoSpaceDN w:val="0"/>
        <w:adjustRightInd w:val="0"/>
        <w:jc w:val="left"/>
        <w:rPr>
          <w:rFonts w:ascii="Times New Roman" w:hAnsi="Times New Roman"/>
          <w:b/>
          <w:bCs/>
          <w:sz w:val="22"/>
          <w:szCs w:val="22"/>
          <w:lang w:val="sk-SK" w:eastAsia="en-US"/>
        </w:rPr>
      </w:pPr>
    </w:p>
    <w:p w:rsidR="008A1C2D"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lastRenderedPageBreak/>
        <w:t>Rakúsko, Belgicko, Dánsko, Fínsko, Francúzsko, Island, Taliansko, Luxembursko, Nórsko, Portugalsko, Španielsko, Švédsko: Ketesse</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Cyprus, Grécko: Nosatel</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Česká republika: Dexoket</w:t>
      </w:r>
    </w:p>
    <w:p w:rsidR="008A1C2D"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Estónsko, Lotyšsko, Litva: Dolmen</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Nemecko: Sympal</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Maďarsko: Ketodex</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Írsko, Malta, Veľká Británia: Keral</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Holandsko: Stadium</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Poľsko: Dexak</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Slovenská republika: Dexadol</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Slovinsko: Menadex</w:t>
      </w:r>
    </w:p>
    <w:p w:rsidR="00485C17" w:rsidRPr="007976CB" w:rsidRDefault="00485C17" w:rsidP="006C628D">
      <w:pPr>
        <w:pStyle w:val="Odsekzoznamu"/>
        <w:spacing w:line="240" w:lineRule="auto"/>
        <w:ind w:left="0"/>
        <w:jc w:val="both"/>
        <w:rPr>
          <w:rFonts w:ascii="Times New Roman" w:hAnsi="Times New Roman" w:cs="Times New Roman"/>
        </w:rPr>
      </w:pPr>
    </w:p>
    <w:p w:rsidR="004625E4" w:rsidRPr="007976CB" w:rsidRDefault="004625E4" w:rsidP="004625E4">
      <w:pPr>
        <w:spacing w:after="0" w:line="240" w:lineRule="auto"/>
        <w:ind w:right="-2"/>
        <w:rPr>
          <w:rFonts w:ascii="Times New Roman" w:hAnsi="Times New Roman" w:cs="Times New Roman"/>
          <w:b/>
        </w:rPr>
      </w:pPr>
      <w:r w:rsidRPr="007976CB">
        <w:rPr>
          <w:rFonts w:ascii="Times New Roman" w:hAnsi="Times New Roman" w:cs="Times New Roman"/>
          <w:b/>
        </w:rPr>
        <w:t>Táto písomná informácia bola naposledy aktualizovaná v</w:t>
      </w:r>
      <w:r w:rsidR="007976CB" w:rsidRPr="007976CB">
        <w:rPr>
          <w:rFonts w:ascii="Times New Roman" w:hAnsi="Times New Roman" w:cs="Times New Roman"/>
          <w:b/>
        </w:rPr>
        <w:t> de</w:t>
      </w:r>
      <w:r w:rsidR="00FA78D5" w:rsidRPr="00FA78D5">
        <w:rPr>
          <w:rFonts w:ascii="Times New Roman" w:hAnsi="Times New Roman" w:cs="Times New Roman"/>
          <w:b/>
        </w:rPr>
        <w:t>cembri 2017.</w:t>
      </w:r>
    </w:p>
    <w:p w:rsidR="004625E4" w:rsidRPr="007976CB" w:rsidRDefault="004625E4" w:rsidP="006C628D">
      <w:pPr>
        <w:pStyle w:val="Odsekzoznamu"/>
        <w:spacing w:line="240" w:lineRule="auto"/>
        <w:ind w:left="0"/>
        <w:jc w:val="both"/>
        <w:rPr>
          <w:rFonts w:ascii="Times New Roman" w:hAnsi="Times New Roman" w:cs="Times New Roman"/>
        </w:rPr>
      </w:pPr>
    </w:p>
    <w:sectPr w:rsidR="004625E4" w:rsidRPr="007976CB" w:rsidSect="007976CB">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BFB" w:rsidRDefault="00CE5BFB" w:rsidP="00F17B7C">
      <w:pPr>
        <w:spacing w:after="0" w:line="240" w:lineRule="auto"/>
      </w:pPr>
      <w:r>
        <w:separator/>
      </w:r>
    </w:p>
  </w:endnote>
  <w:endnote w:type="continuationSeparator" w:id="0">
    <w:p w:rsidR="00CE5BFB" w:rsidRDefault="00CE5BFB" w:rsidP="00F17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EE"/>
    <w:family w:val="swiss"/>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307981"/>
      <w:docPartObj>
        <w:docPartGallery w:val="Page Numbers (Bottom of Page)"/>
        <w:docPartUnique/>
      </w:docPartObj>
    </w:sdtPr>
    <w:sdtContent>
      <w:p w:rsidR="000E2951" w:rsidRDefault="008A336D">
        <w:pPr>
          <w:pStyle w:val="Pta"/>
          <w:jc w:val="center"/>
        </w:pPr>
        <w:r>
          <w:fldChar w:fldCharType="begin"/>
        </w:r>
        <w:r w:rsidR="000E2951">
          <w:instrText>PAGE   \* MERGEFORMAT</w:instrText>
        </w:r>
        <w:r>
          <w:fldChar w:fldCharType="separate"/>
        </w:r>
        <w:r w:rsidR="00FF4EFA">
          <w:rPr>
            <w:noProof/>
          </w:rPr>
          <w:t>7</w:t>
        </w:r>
        <w:r>
          <w:fldChar w:fldCharType="end"/>
        </w:r>
      </w:p>
    </w:sdtContent>
  </w:sdt>
  <w:p w:rsidR="000E2951" w:rsidRDefault="000E295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969"/>
      <w:docPartObj>
        <w:docPartGallery w:val="Page Numbers (Bottom of Page)"/>
        <w:docPartUnique/>
      </w:docPartObj>
    </w:sdtPr>
    <w:sdtEndPr>
      <w:rPr>
        <w:rFonts w:ascii="Times New Roman" w:hAnsi="Times New Roman"/>
        <w:sz w:val="18"/>
        <w:szCs w:val="18"/>
      </w:rPr>
    </w:sdtEndPr>
    <w:sdtContent>
      <w:p w:rsidR="007976CB" w:rsidRPr="007976CB" w:rsidRDefault="008A336D">
        <w:pPr>
          <w:pStyle w:val="Pta"/>
          <w:jc w:val="center"/>
          <w:rPr>
            <w:rFonts w:ascii="Times New Roman" w:hAnsi="Times New Roman"/>
            <w:sz w:val="18"/>
            <w:szCs w:val="18"/>
          </w:rPr>
        </w:pPr>
        <w:r w:rsidRPr="00FA78D5">
          <w:rPr>
            <w:rFonts w:ascii="Times New Roman" w:hAnsi="Times New Roman"/>
            <w:sz w:val="18"/>
            <w:szCs w:val="18"/>
          </w:rPr>
          <w:fldChar w:fldCharType="begin"/>
        </w:r>
        <w:r w:rsidR="00FA78D5" w:rsidRPr="00FA78D5">
          <w:rPr>
            <w:rFonts w:ascii="Times New Roman" w:hAnsi="Times New Roman"/>
            <w:sz w:val="18"/>
            <w:szCs w:val="18"/>
          </w:rPr>
          <w:instrText xml:space="preserve"> PAGE   \* MERGEFORMAT </w:instrText>
        </w:r>
        <w:r w:rsidRPr="00FA78D5">
          <w:rPr>
            <w:rFonts w:ascii="Times New Roman" w:hAnsi="Times New Roman"/>
            <w:sz w:val="18"/>
            <w:szCs w:val="18"/>
          </w:rPr>
          <w:fldChar w:fldCharType="separate"/>
        </w:r>
        <w:r w:rsidR="00FF4EFA">
          <w:rPr>
            <w:rFonts w:ascii="Times New Roman" w:hAnsi="Times New Roman"/>
            <w:noProof/>
            <w:sz w:val="18"/>
            <w:szCs w:val="18"/>
          </w:rPr>
          <w:t>1</w:t>
        </w:r>
        <w:r w:rsidRPr="00FA78D5">
          <w:rPr>
            <w:rFonts w:ascii="Times New Roman" w:hAnsi="Times New Roman"/>
            <w:sz w:val="18"/>
            <w:szCs w:val="18"/>
          </w:rPr>
          <w:fldChar w:fldCharType="end"/>
        </w:r>
      </w:p>
    </w:sdtContent>
  </w:sdt>
  <w:p w:rsidR="007976CB" w:rsidRDefault="007976C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BFB" w:rsidRDefault="00CE5BFB" w:rsidP="00F17B7C">
      <w:pPr>
        <w:spacing w:after="0" w:line="240" w:lineRule="auto"/>
      </w:pPr>
      <w:r>
        <w:separator/>
      </w:r>
    </w:p>
  </w:footnote>
  <w:footnote w:type="continuationSeparator" w:id="0">
    <w:p w:rsidR="00CE5BFB" w:rsidRDefault="00CE5BFB" w:rsidP="00F17B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CB" w:rsidRPr="007976CB" w:rsidRDefault="007976CB">
    <w:pPr>
      <w:pStyle w:val="Hlavika"/>
      <w:rPr>
        <w:rFonts w:ascii="Times New Roman" w:hAnsi="Times New Roman" w:cs="Times New Roman"/>
        <w:sz w:val="18"/>
        <w:szCs w:val="18"/>
      </w:rPr>
    </w:pPr>
    <w:r>
      <w:rPr>
        <w:rFonts w:ascii="Times New Roman" w:hAnsi="Times New Roman" w:cs="Times New Roman"/>
        <w:sz w:val="18"/>
        <w:szCs w:val="18"/>
      </w:rPr>
      <w:t xml:space="preserve">Príloha č. </w:t>
    </w:r>
    <w:r w:rsidR="00FF4EFA">
      <w:rPr>
        <w:rFonts w:ascii="Times New Roman" w:hAnsi="Times New Roman" w:cs="Times New Roman"/>
        <w:sz w:val="18"/>
        <w:szCs w:val="18"/>
      </w:rPr>
      <w:t>3</w:t>
    </w:r>
    <w:r>
      <w:rPr>
        <w:rFonts w:ascii="Times New Roman" w:hAnsi="Times New Roman" w:cs="Times New Roman"/>
        <w:sz w:val="18"/>
        <w:szCs w:val="18"/>
      </w:rPr>
      <w:t xml:space="preserve"> k notifikácii o zmene, ev. č.: 2017/03214-Z1B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784"/>
    <w:multiLevelType w:val="multilevel"/>
    <w:tmpl w:val="041B001D"/>
    <w:numStyleLink w:val="tl1"/>
  </w:abstractNum>
  <w:abstractNum w:abstractNumId="1">
    <w:nsid w:val="21A61216"/>
    <w:multiLevelType w:val="multilevel"/>
    <w:tmpl w:val="041B001D"/>
    <w:numStyleLink w:val="tl1"/>
  </w:abstractNum>
  <w:abstractNum w:abstractNumId="2">
    <w:nsid w:val="30FC6081"/>
    <w:multiLevelType w:val="hybridMultilevel"/>
    <w:tmpl w:val="38DCA9BC"/>
    <w:lvl w:ilvl="0" w:tplc="68669270">
      <w:start w:val="2"/>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3B016E1"/>
    <w:multiLevelType w:val="multilevel"/>
    <w:tmpl w:val="041B001D"/>
    <w:numStyleLink w:val="tl1"/>
  </w:abstractNum>
  <w:abstractNum w:abstractNumId="4">
    <w:nsid w:val="38DB57AA"/>
    <w:multiLevelType w:val="hybridMultilevel"/>
    <w:tmpl w:val="DFE28F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3F8A5E26"/>
    <w:multiLevelType w:val="multilevel"/>
    <w:tmpl w:val="041B001D"/>
    <w:numStyleLink w:val="tl1"/>
  </w:abstractNum>
  <w:abstractNum w:abstractNumId="6">
    <w:nsid w:val="553C23D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66195A"/>
    <w:multiLevelType w:val="hybridMultilevel"/>
    <w:tmpl w:val="69486AA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186101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82228BD"/>
    <w:multiLevelType w:val="hybridMultilevel"/>
    <w:tmpl w:val="4E8A8F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A895BCB"/>
    <w:multiLevelType w:val="multilevel"/>
    <w:tmpl w:val="041B001D"/>
    <w:numStyleLink w:val="tl1"/>
  </w:abstractNum>
  <w:abstractNum w:abstractNumId="11">
    <w:nsid w:val="7CE07B6D"/>
    <w:multiLevelType w:val="multilevel"/>
    <w:tmpl w:val="041B001D"/>
    <w:styleLink w:val="t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8"/>
  </w:num>
  <w:num w:numId="4">
    <w:abstractNumId w:val="0"/>
  </w:num>
  <w:num w:numId="5">
    <w:abstractNumId w:val="10"/>
  </w:num>
  <w:num w:numId="6">
    <w:abstractNumId w:val="5"/>
  </w:num>
  <w:num w:numId="7">
    <w:abstractNumId w:val="6"/>
  </w:num>
  <w:num w:numId="8">
    <w:abstractNumId w:val="3"/>
  </w:num>
  <w:num w:numId="9">
    <w:abstractNumId w:val="2"/>
  </w:num>
  <w:num w:numId="10">
    <w:abstractNumId w:val="4"/>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19265B"/>
    <w:rsid w:val="00000E4C"/>
    <w:rsid w:val="00002843"/>
    <w:rsid w:val="0000345E"/>
    <w:rsid w:val="00005C2C"/>
    <w:rsid w:val="000066F8"/>
    <w:rsid w:val="000112B8"/>
    <w:rsid w:val="000133C1"/>
    <w:rsid w:val="00016E64"/>
    <w:rsid w:val="00037B92"/>
    <w:rsid w:val="00042A9E"/>
    <w:rsid w:val="00052057"/>
    <w:rsid w:val="00056E02"/>
    <w:rsid w:val="00062F1C"/>
    <w:rsid w:val="000840F4"/>
    <w:rsid w:val="00087C25"/>
    <w:rsid w:val="000902F1"/>
    <w:rsid w:val="00093CA2"/>
    <w:rsid w:val="000949DC"/>
    <w:rsid w:val="000B1DAF"/>
    <w:rsid w:val="000B4F8D"/>
    <w:rsid w:val="000B6D0D"/>
    <w:rsid w:val="000D5EF0"/>
    <w:rsid w:val="000D779D"/>
    <w:rsid w:val="000E16CC"/>
    <w:rsid w:val="000E2951"/>
    <w:rsid w:val="00102905"/>
    <w:rsid w:val="00105E7E"/>
    <w:rsid w:val="0010751F"/>
    <w:rsid w:val="00107EC7"/>
    <w:rsid w:val="00112810"/>
    <w:rsid w:val="00113A7E"/>
    <w:rsid w:val="001233F6"/>
    <w:rsid w:val="001248EB"/>
    <w:rsid w:val="00145543"/>
    <w:rsid w:val="0017565C"/>
    <w:rsid w:val="00181219"/>
    <w:rsid w:val="0019265B"/>
    <w:rsid w:val="001A44CA"/>
    <w:rsid w:val="001A5A22"/>
    <w:rsid w:val="001A5EA4"/>
    <w:rsid w:val="001B51AC"/>
    <w:rsid w:val="001B7DCF"/>
    <w:rsid w:val="001C0B9F"/>
    <w:rsid w:val="001C4E50"/>
    <w:rsid w:val="001C7BDD"/>
    <w:rsid w:val="001D34D6"/>
    <w:rsid w:val="001D61B5"/>
    <w:rsid w:val="001E0A45"/>
    <w:rsid w:val="001E67AB"/>
    <w:rsid w:val="001E6C4F"/>
    <w:rsid w:val="001F56E1"/>
    <w:rsid w:val="00202933"/>
    <w:rsid w:val="00206F6E"/>
    <w:rsid w:val="00213BE6"/>
    <w:rsid w:val="00221B28"/>
    <w:rsid w:val="0022478B"/>
    <w:rsid w:val="00227B7B"/>
    <w:rsid w:val="002300C1"/>
    <w:rsid w:val="00243F55"/>
    <w:rsid w:val="002474E3"/>
    <w:rsid w:val="002501DF"/>
    <w:rsid w:val="0025343D"/>
    <w:rsid w:val="00254E4F"/>
    <w:rsid w:val="00263808"/>
    <w:rsid w:val="002720C6"/>
    <w:rsid w:val="00275E8A"/>
    <w:rsid w:val="00281F0D"/>
    <w:rsid w:val="00287730"/>
    <w:rsid w:val="00294E1A"/>
    <w:rsid w:val="00295EAE"/>
    <w:rsid w:val="002A06A5"/>
    <w:rsid w:val="002A26ED"/>
    <w:rsid w:val="002A45B1"/>
    <w:rsid w:val="002C3B3A"/>
    <w:rsid w:val="002D082F"/>
    <w:rsid w:val="002F2DF4"/>
    <w:rsid w:val="00302ABF"/>
    <w:rsid w:val="00317D27"/>
    <w:rsid w:val="003201D1"/>
    <w:rsid w:val="003504CA"/>
    <w:rsid w:val="00366A48"/>
    <w:rsid w:val="0037006C"/>
    <w:rsid w:val="003714DF"/>
    <w:rsid w:val="00373436"/>
    <w:rsid w:val="00381499"/>
    <w:rsid w:val="0038177F"/>
    <w:rsid w:val="00391A4D"/>
    <w:rsid w:val="003A125C"/>
    <w:rsid w:val="003C233A"/>
    <w:rsid w:val="003C33E8"/>
    <w:rsid w:val="003C4D4E"/>
    <w:rsid w:val="003C7BB1"/>
    <w:rsid w:val="003D50D7"/>
    <w:rsid w:val="003D6925"/>
    <w:rsid w:val="003D75EA"/>
    <w:rsid w:val="003E14C9"/>
    <w:rsid w:val="003E7DC2"/>
    <w:rsid w:val="003F20A2"/>
    <w:rsid w:val="00401E90"/>
    <w:rsid w:val="00404017"/>
    <w:rsid w:val="004178FA"/>
    <w:rsid w:val="00426AD2"/>
    <w:rsid w:val="00427E25"/>
    <w:rsid w:val="00435A3B"/>
    <w:rsid w:val="00437B0C"/>
    <w:rsid w:val="00442C6C"/>
    <w:rsid w:val="00443650"/>
    <w:rsid w:val="00443C55"/>
    <w:rsid w:val="004612BD"/>
    <w:rsid w:val="004625E4"/>
    <w:rsid w:val="00465C00"/>
    <w:rsid w:val="00483352"/>
    <w:rsid w:val="00483A3C"/>
    <w:rsid w:val="00485C17"/>
    <w:rsid w:val="004907BC"/>
    <w:rsid w:val="00495E0E"/>
    <w:rsid w:val="004A12CD"/>
    <w:rsid w:val="004A143C"/>
    <w:rsid w:val="004A70A2"/>
    <w:rsid w:val="004B2013"/>
    <w:rsid w:val="004C2FC7"/>
    <w:rsid w:val="004C7866"/>
    <w:rsid w:val="004D35CC"/>
    <w:rsid w:val="004D5719"/>
    <w:rsid w:val="004D68BE"/>
    <w:rsid w:val="00506D8D"/>
    <w:rsid w:val="00520D39"/>
    <w:rsid w:val="0053019F"/>
    <w:rsid w:val="00531A98"/>
    <w:rsid w:val="00532F5C"/>
    <w:rsid w:val="00541708"/>
    <w:rsid w:val="00541BD8"/>
    <w:rsid w:val="005459CE"/>
    <w:rsid w:val="00552F41"/>
    <w:rsid w:val="00555172"/>
    <w:rsid w:val="005559BA"/>
    <w:rsid w:val="00557469"/>
    <w:rsid w:val="005609B2"/>
    <w:rsid w:val="00562FB8"/>
    <w:rsid w:val="00571C69"/>
    <w:rsid w:val="00572734"/>
    <w:rsid w:val="00576233"/>
    <w:rsid w:val="00596505"/>
    <w:rsid w:val="005A19B0"/>
    <w:rsid w:val="005A2D3A"/>
    <w:rsid w:val="005B379F"/>
    <w:rsid w:val="005C1A97"/>
    <w:rsid w:val="005C4C8B"/>
    <w:rsid w:val="005E18FE"/>
    <w:rsid w:val="005F0B2C"/>
    <w:rsid w:val="00600F61"/>
    <w:rsid w:val="006021DD"/>
    <w:rsid w:val="00613029"/>
    <w:rsid w:val="00614425"/>
    <w:rsid w:val="00621B73"/>
    <w:rsid w:val="00631C5F"/>
    <w:rsid w:val="00642EAA"/>
    <w:rsid w:val="00651767"/>
    <w:rsid w:val="00652824"/>
    <w:rsid w:val="0065549C"/>
    <w:rsid w:val="00665864"/>
    <w:rsid w:val="00666C98"/>
    <w:rsid w:val="006727CA"/>
    <w:rsid w:val="006759E6"/>
    <w:rsid w:val="006770EA"/>
    <w:rsid w:val="00680849"/>
    <w:rsid w:val="00682B18"/>
    <w:rsid w:val="00684C20"/>
    <w:rsid w:val="00693AD1"/>
    <w:rsid w:val="006A0ADA"/>
    <w:rsid w:val="006A2FEC"/>
    <w:rsid w:val="006A43DA"/>
    <w:rsid w:val="006A601E"/>
    <w:rsid w:val="006A678E"/>
    <w:rsid w:val="006A79CC"/>
    <w:rsid w:val="006B07C3"/>
    <w:rsid w:val="006B2891"/>
    <w:rsid w:val="006B5EB1"/>
    <w:rsid w:val="006C628D"/>
    <w:rsid w:val="006E024C"/>
    <w:rsid w:val="006F4769"/>
    <w:rsid w:val="006F55EA"/>
    <w:rsid w:val="007000F6"/>
    <w:rsid w:val="00701F66"/>
    <w:rsid w:val="0072090E"/>
    <w:rsid w:val="00721A74"/>
    <w:rsid w:val="00723FFC"/>
    <w:rsid w:val="00730E60"/>
    <w:rsid w:val="00736E80"/>
    <w:rsid w:val="00746F53"/>
    <w:rsid w:val="0074742F"/>
    <w:rsid w:val="00752C16"/>
    <w:rsid w:val="00770162"/>
    <w:rsid w:val="00774E4D"/>
    <w:rsid w:val="0077582E"/>
    <w:rsid w:val="00781625"/>
    <w:rsid w:val="0079487B"/>
    <w:rsid w:val="007976CB"/>
    <w:rsid w:val="007A2E28"/>
    <w:rsid w:val="007A6F81"/>
    <w:rsid w:val="007B3E2C"/>
    <w:rsid w:val="007B5F8C"/>
    <w:rsid w:val="007C1097"/>
    <w:rsid w:val="007C1914"/>
    <w:rsid w:val="007E1017"/>
    <w:rsid w:val="007E4878"/>
    <w:rsid w:val="007E5003"/>
    <w:rsid w:val="007F4744"/>
    <w:rsid w:val="00813FA6"/>
    <w:rsid w:val="00836BE9"/>
    <w:rsid w:val="00837BA6"/>
    <w:rsid w:val="008449DF"/>
    <w:rsid w:val="00845719"/>
    <w:rsid w:val="00851911"/>
    <w:rsid w:val="00856A52"/>
    <w:rsid w:val="00857720"/>
    <w:rsid w:val="00863A12"/>
    <w:rsid w:val="00871CDE"/>
    <w:rsid w:val="00875EF1"/>
    <w:rsid w:val="008862BB"/>
    <w:rsid w:val="00892B2D"/>
    <w:rsid w:val="00892DE2"/>
    <w:rsid w:val="008A1C2D"/>
    <w:rsid w:val="008A1FD7"/>
    <w:rsid w:val="008A336D"/>
    <w:rsid w:val="008B26C7"/>
    <w:rsid w:val="008C1599"/>
    <w:rsid w:val="008D2710"/>
    <w:rsid w:val="008F094D"/>
    <w:rsid w:val="008F18FA"/>
    <w:rsid w:val="008F1A2E"/>
    <w:rsid w:val="00906B39"/>
    <w:rsid w:val="00912708"/>
    <w:rsid w:val="00924AD5"/>
    <w:rsid w:val="00926A74"/>
    <w:rsid w:val="00942FFB"/>
    <w:rsid w:val="00953ADA"/>
    <w:rsid w:val="009540EA"/>
    <w:rsid w:val="00967C30"/>
    <w:rsid w:val="0097151A"/>
    <w:rsid w:val="00972019"/>
    <w:rsid w:val="00973327"/>
    <w:rsid w:val="0097422C"/>
    <w:rsid w:val="00975472"/>
    <w:rsid w:val="009767FC"/>
    <w:rsid w:val="00981040"/>
    <w:rsid w:val="00996118"/>
    <w:rsid w:val="0099695E"/>
    <w:rsid w:val="009A36A9"/>
    <w:rsid w:val="009B20D8"/>
    <w:rsid w:val="009B69E0"/>
    <w:rsid w:val="009B7D16"/>
    <w:rsid w:val="009C304A"/>
    <w:rsid w:val="009E426B"/>
    <w:rsid w:val="009F5C69"/>
    <w:rsid w:val="00A00865"/>
    <w:rsid w:val="00A07A44"/>
    <w:rsid w:val="00A1306F"/>
    <w:rsid w:val="00A26D11"/>
    <w:rsid w:val="00A30550"/>
    <w:rsid w:val="00A3174B"/>
    <w:rsid w:val="00A33FCC"/>
    <w:rsid w:val="00A51944"/>
    <w:rsid w:val="00A55ECD"/>
    <w:rsid w:val="00A56B04"/>
    <w:rsid w:val="00A63EED"/>
    <w:rsid w:val="00A66D29"/>
    <w:rsid w:val="00A67F03"/>
    <w:rsid w:val="00A84928"/>
    <w:rsid w:val="00A84C25"/>
    <w:rsid w:val="00A87E7F"/>
    <w:rsid w:val="00A90729"/>
    <w:rsid w:val="00A909D2"/>
    <w:rsid w:val="00A96FCD"/>
    <w:rsid w:val="00AB608C"/>
    <w:rsid w:val="00AC2BDA"/>
    <w:rsid w:val="00AD11CA"/>
    <w:rsid w:val="00AD78A4"/>
    <w:rsid w:val="00AD7A9B"/>
    <w:rsid w:val="00AE0011"/>
    <w:rsid w:val="00AE1520"/>
    <w:rsid w:val="00AF3126"/>
    <w:rsid w:val="00B0044E"/>
    <w:rsid w:val="00B0116E"/>
    <w:rsid w:val="00B052B1"/>
    <w:rsid w:val="00B11638"/>
    <w:rsid w:val="00B17D0D"/>
    <w:rsid w:val="00B20FF2"/>
    <w:rsid w:val="00B2442A"/>
    <w:rsid w:val="00B318DD"/>
    <w:rsid w:val="00B403BB"/>
    <w:rsid w:val="00B41373"/>
    <w:rsid w:val="00B45A30"/>
    <w:rsid w:val="00B466A1"/>
    <w:rsid w:val="00B676D3"/>
    <w:rsid w:val="00B71910"/>
    <w:rsid w:val="00B84E8E"/>
    <w:rsid w:val="00BA01E8"/>
    <w:rsid w:val="00BA3355"/>
    <w:rsid w:val="00BA375B"/>
    <w:rsid w:val="00BB56D3"/>
    <w:rsid w:val="00BB613A"/>
    <w:rsid w:val="00BC3921"/>
    <w:rsid w:val="00BC3CDE"/>
    <w:rsid w:val="00BC5FAF"/>
    <w:rsid w:val="00BC6840"/>
    <w:rsid w:val="00BD56DA"/>
    <w:rsid w:val="00BE0AE4"/>
    <w:rsid w:val="00BE1D34"/>
    <w:rsid w:val="00C0166E"/>
    <w:rsid w:val="00C111CE"/>
    <w:rsid w:val="00C13332"/>
    <w:rsid w:val="00C1795E"/>
    <w:rsid w:val="00C20A4E"/>
    <w:rsid w:val="00C220DF"/>
    <w:rsid w:val="00C25E2D"/>
    <w:rsid w:val="00C40821"/>
    <w:rsid w:val="00C460CC"/>
    <w:rsid w:val="00C6601A"/>
    <w:rsid w:val="00C7215A"/>
    <w:rsid w:val="00C77997"/>
    <w:rsid w:val="00C86018"/>
    <w:rsid w:val="00C94CB9"/>
    <w:rsid w:val="00C95DC1"/>
    <w:rsid w:val="00CA139C"/>
    <w:rsid w:val="00CC333E"/>
    <w:rsid w:val="00CD535C"/>
    <w:rsid w:val="00CE5BFB"/>
    <w:rsid w:val="00CF554B"/>
    <w:rsid w:val="00D01562"/>
    <w:rsid w:val="00D12945"/>
    <w:rsid w:val="00D14913"/>
    <w:rsid w:val="00D25EEF"/>
    <w:rsid w:val="00D345C1"/>
    <w:rsid w:val="00D4051B"/>
    <w:rsid w:val="00D640E2"/>
    <w:rsid w:val="00D7192D"/>
    <w:rsid w:val="00D8472A"/>
    <w:rsid w:val="00D864A5"/>
    <w:rsid w:val="00D91FCB"/>
    <w:rsid w:val="00DB2E13"/>
    <w:rsid w:val="00DB3A55"/>
    <w:rsid w:val="00DC7CB5"/>
    <w:rsid w:val="00DD48AB"/>
    <w:rsid w:val="00DD4DF3"/>
    <w:rsid w:val="00DE2391"/>
    <w:rsid w:val="00DE70EA"/>
    <w:rsid w:val="00DF0F97"/>
    <w:rsid w:val="00DF312B"/>
    <w:rsid w:val="00E02ECA"/>
    <w:rsid w:val="00E06564"/>
    <w:rsid w:val="00E10F00"/>
    <w:rsid w:val="00E13F74"/>
    <w:rsid w:val="00E208CC"/>
    <w:rsid w:val="00E32553"/>
    <w:rsid w:val="00E367F5"/>
    <w:rsid w:val="00E41379"/>
    <w:rsid w:val="00E42C87"/>
    <w:rsid w:val="00E42D3E"/>
    <w:rsid w:val="00E51233"/>
    <w:rsid w:val="00E551F3"/>
    <w:rsid w:val="00E56F02"/>
    <w:rsid w:val="00E60FD0"/>
    <w:rsid w:val="00E63775"/>
    <w:rsid w:val="00E67431"/>
    <w:rsid w:val="00E75872"/>
    <w:rsid w:val="00E75943"/>
    <w:rsid w:val="00E90178"/>
    <w:rsid w:val="00EA3384"/>
    <w:rsid w:val="00EB0689"/>
    <w:rsid w:val="00EC1BC9"/>
    <w:rsid w:val="00EC5D24"/>
    <w:rsid w:val="00ED074B"/>
    <w:rsid w:val="00ED2FBD"/>
    <w:rsid w:val="00ED3B15"/>
    <w:rsid w:val="00ED4D8B"/>
    <w:rsid w:val="00EE10D3"/>
    <w:rsid w:val="00EF2911"/>
    <w:rsid w:val="00F00F3B"/>
    <w:rsid w:val="00F03994"/>
    <w:rsid w:val="00F17B7C"/>
    <w:rsid w:val="00F34202"/>
    <w:rsid w:val="00F55119"/>
    <w:rsid w:val="00F72A40"/>
    <w:rsid w:val="00F74DD5"/>
    <w:rsid w:val="00F82325"/>
    <w:rsid w:val="00F85576"/>
    <w:rsid w:val="00F86C2C"/>
    <w:rsid w:val="00F9209B"/>
    <w:rsid w:val="00F940C9"/>
    <w:rsid w:val="00F95CF0"/>
    <w:rsid w:val="00F97F81"/>
    <w:rsid w:val="00FA1404"/>
    <w:rsid w:val="00FA3D37"/>
    <w:rsid w:val="00FA78D5"/>
    <w:rsid w:val="00FB0488"/>
    <w:rsid w:val="00FC27D2"/>
    <w:rsid w:val="00FC7EA8"/>
    <w:rsid w:val="00FE3F05"/>
    <w:rsid w:val="00FF4EFA"/>
    <w:rsid w:val="00FF61A0"/>
    <w:rsid w:val="00FF6AD0"/>
  </w:rsids>
  <m:mathPr>
    <m:mathFont m:val="Cambria Math"/>
    <m:brkBin m:val="before"/>
    <m:brkBinSub m:val="--"/>
    <m:smallFrac m:val="off"/>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708"/>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B20FF2"/>
    <w:pPr>
      <w:numPr>
        <w:numId w:val="1"/>
      </w:numPr>
    </w:pPr>
  </w:style>
  <w:style w:type="paragraph" w:styleId="Odsekzoznamu">
    <w:name w:val="List Paragraph"/>
    <w:basedOn w:val="Normlny"/>
    <w:uiPriority w:val="34"/>
    <w:qFormat/>
    <w:rsid w:val="00B20FF2"/>
    <w:pPr>
      <w:ind w:left="720"/>
      <w:contextualSpacing/>
    </w:pPr>
  </w:style>
  <w:style w:type="paragraph" w:styleId="Pta">
    <w:name w:val="footer"/>
    <w:basedOn w:val="Normlny"/>
    <w:link w:val="PtaChar"/>
    <w:uiPriority w:val="99"/>
    <w:rsid w:val="00E42D3E"/>
    <w:pPr>
      <w:tabs>
        <w:tab w:val="left" w:pos="567"/>
        <w:tab w:val="center" w:pos="4536"/>
        <w:tab w:val="center" w:pos="8930"/>
      </w:tabs>
      <w:spacing w:after="0" w:line="240" w:lineRule="auto"/>
    </w:pPr>
    <w:rPr>
      <w:rFonts w:ascii="Helvetica" w:eastAsia="Times New Roman" w:hAnsi="Helvetica" w:cs="Times New Roman"/>
      <w:noProof w:val="0"/>
      <w:sz w:val="16"/>
      <w:szCs w:val="20"/>
      <w:lang w:val="cs-CZ"/>
    </w:rPr>
  </w:style>
  <w:style w:type="character" w:customStyle="1" w:styleId="PtaChar">
    <w:name w:val="Päta Char"/>
    <w:basedOn w:val="Predvolenpsmoodseku"/>
    <w:link w:val="Pta"/>
    <w:uiPriority w:val="99"/>
    <w:rsid w:val="00E42D3E"/>
    <w:rPr>
      <w:rFonts w:ascii="Helvetica" w:eastAsia="Times New Roman" w:hAnsi="Helvetica" w:cs="Times New Roman"/>
      <w:sz w:val="16"/>
      <w:szCs w:val="20"/>
      <w:lang w:val="cs-CZ"/>
    </w:rPr>
  </w:style>
  <w:style w:type="character" w:styleId="Hypertextovprepojenie">
    <w:name w:val="Hyperlink"/>
    <w:rsid w:val="000066F8"/>
    <w:rPr>
      <w:color w:val="0000FF"/>
      <w:u w:val="single"/>
    </w:rPr>
  </w:style>
  <w:style w:type="character" w:customStyle="1" w:styleId="c8">
    <w:name w:val="c8"/>
    <w:basedOn w:val="Predvolenpsmoodseku"/>
    <w:rsid w:val="00973327"/>
  </w:style>
  <w:style w:type="paragraph" w:styleId="Hlavika">
    <w:name w:val="header"/>
    <w:basedOn w:val="Normlny"/>
    <w:link w:val="HlavikaChar"/>
    <w:uiPriority w:val="99"/>
    <w:unhideWhenUsed/>
    <w:rsid w:val="00F17B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7B7C"/>
    <w:rPr>
      <w:noProof/>
    </w:rPr>
  </w:style>
  <w:style w:type="paragraph" w:styleId="Textbubliny">
    <w:name w:val="Balloon Text"/>
    <w:basedOn w:val="Normlny"/>
    <w:link w:val="TextbublinyChar"/>
    <w:uiPriority w:val="99"/>
    <w:semiHidden/>
    <w:unhideWhenUsed/>
    <w:rsid w:val="00F17B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B7C"/>
    <w:rPr>
      <w:rFonts w:ascii="Tahoma" w:hAnsi="Tahoma" w:cs="Tahoma"/>
      <w:noProof/>
      <w:sz w:val="16"/>
      <w:szCs w:val="16"/>
    </w:rPr>
  </w:style>
  <w:style w:type="character" w:styleId="Odkaznakomentr">
    <w:name w:val="annotation reference"/>
    <w:basedOn w:val="Predvolenpsmoodseku"/>
    <w:uiPriority w:val="99"/>
    <w:semiHidden/>
    <w:unhideWhenUsed/>
    <w:rsid w:val="00F17B7C"/>
    <w:rPr>
      <w:sz w:val="16"/>
      <w:szCs w:val="16"/>
    </w:rPr>
  </w:style>
  <w:style w:type="paragraph" w:styleId="Textkomentra">
    <w:name w:val="annotation text"/>
    <w:basedOn w:val="Normlny"/>
    <w:link w:val="TextkomentraChar"/>
    <w:uiPriority w:val="99"/>
    <w:semiHidden/>
    <w:unhideWhenUsed/>
    <w:rsid w:val="00F17B7C"/>
    <w:pPr>
      <w:spacing w:line="240" w:lineRule="auto"/>
    </w:pPr>
    <w:rPr>
      <w:sz w:val="20"/>
      <w:szCs w:val="20"/>
    </w:rPr>
  </w:style>
  <w:style w:type="character" w:customStyle="1" w:styleId="TextkomentraChar">
    <w:name w:val="Text komentára Char"/>
    <w:basedOn w:val="Predvolenpsmoodseku"/>
    <w:link w:val="Textkomentra"/>
    <w:uiPriority w:val="99"/>
    <w:semiHidden/>
    <w:rsid w:val="00F17B7C"/>
    <w:rPr>
      <w:noProof/>
      <w:sz w:val="20"/>
      <w:szCs w:val="20"/>
    </w:rPr>
  </w:style>
  <w:style w:type="paragraph" w:styleId="Predmetkomentra">
    <w:name w:val="annotation subject"/>
    <w:basedOn w:val="Textkomentra"/>
    <w:next w:val="Textkomentra"/>
    <w:link w:val="PredmetkomentraChar"/>
    <w:uiPriority w:val="99"/>
    <w:semiHidden/>
    <w:unhideWhenUsed/>
    <w:rsid w:val="00F17B7C"/>
    <w:rPr>
      <w:b/>
      <w:bCs/>
    </w:rPr>
  </w:style>
  <w:style w:type="character" w:customStyle="1" w:styleId="PredmetkomentraChar">
    <w:name w:val="Predmet komentára Char"/>
    <w:basedOn w:val="TextkomentraChar"/>
    <w:link w:val="Predmetkomentra"/>
    <w:uiPriority w:val="99"/>
    <w:semiHidden/>
    <w:rsid w:val="00F17B7C"/>
    <w:rPr>
      <w:b/>
      <w:bCs/>
      <w:noProof/>
      <w:sz w:val="20"/>
      <w:szCs w:val="20"/>
    </w:rPr>
  </w:style>
  <w:style w:type="character" w:customStyle="1" w:styleId="rtl">
    <w:name w:val="rtl"/>
    <w:basedOn w:val="Predvolenpsmoodseku"/>
    <w:rsid w:val="00680849"/>
  </w:style>
  <w:style w:type="character" w:customStyle="1" w:styleId="nott">
    <w:name w:val="nott"/>
    <w:basedOn w:val="Predvolenpsmoodseku"/>
    <w:rsid w:val="00680849"/>
  </w:style>
  <w:style w:type="paragraph" w:styleId="Zkladntext">
    <w:name w:val="Body Text"/>
    <w:basedOn w:val="Normlny"/>
    <w:link w:val="ZkladntextChar"/>
    <w:rsid w:val="00684C20"/>
    <w:pPr>
      <w:spacing w:after="0" w:line="240" w:lineRule="auto"/>
      <w:jc w:val="both"/>
    </w:pPr>
    <w:rPr>
      <w:rFonts w:ascii="Univers" w:eastAsia="Times New Roman" w:hAnsi="Univers" w:cs="Times New Roman"/>
      <w:noProof w:val="0"/>
      <w:sz w:val="20"/>
      <w:szCs w:val="20"/>
      <w:lang w:val="en-GB" w:eastAsia="it-IT"/>
    </w:rPr>
  </w:style>
  <w:style w:type="character" w:customStyle="1" w:styleId="ZkladntextChar">
    <w:name w:val="Základný text Char"/>
    <w:basedOn w:val="Predvolenpsmoodseku"/>
    <w:link w:val="Zkladntext"/>
    <w:rsid w:val="00684C20"/>
    <w:rPr>
      <w:rFonts w:ascii="Univers" w:eastAsia="Times New Roman" w:hAnsi="Univers" w:cs="Times New Roman"/>
      <w:sz w:val="20"/>
      <w:szCs w:val="20"/>
      <w:lang w:val="en-GB" w:eastAsia="it-IT"/>
    </w:rPr>
  </w:style>
  <w:style w:type="paragraph" w:customStyle="1" w:styleId="Vchoz">
    <w:name w:val="Výchozí"/>
    <w:uiPriority w:val="99"/>
    <w:rsid w:val="00684C20"/>
    <w:pPr>
      <w:widowControl w:val="0"/>
      <w:autoSpaceDE w:val="0"/>
      <w:autoSpaceDN w:val="0"/>
      <w:adjustRightInd w:val="0"/>
      <w:spacing w:after="0" w:line="240" w:lineRule="auto"/>
      <w:ind w:left="567" w:firstLine="1"/>
      <w:jc w:val="both"/>
    </w:pPr>
    <w:rPr>
      <w:rFonts w:ascii="Arial" w:eastAsia="Times New Roman" w:hAnsi="Arial" w:cs="Arial"/>
      <w:sz w:val="20"/>
      <w:szCs w:val="20"/>
      <w:lang w:val="de-DE" w:eastAsia="sk-SK"/>
    </w:rPr>
  </w:style>
  <w:style w:type="character" w:customStyle="1" w:styleId="hps">
    <w:name w:val="hps"/>
    <w:rsid w:val="00621B73"/>
  </w:style>
  <w:style w:type="character" w:customStyle="1" w:styleId="slostrnky">
    <w:name w:val="?íslo stránky"/>
    <w:basedOn w:val="Predvolenpsmoodseku"/>
    <w:uiPriority w:val="99"/>
    <w:rsid w:val="001B7DCF"/>
    <w:rPr>
      <w:rFonts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l1">
    <w:name w:val="tl1"/>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C6018-0C2B-42E9-8947-6F279D0C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2774</Words>
  <Characters>15812</Characters>
  <Application>Microsoft Office Word</Application>
  <DocSecurity>0</DocSecurity>
  <Lines>131</Lines>
  <Paragraphs>37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18549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2017-05-02T10:23:00Z</dcterms:created>
  <dcterms:modified xsi:type="dcterms:W3CDTF">2017-12-08T07:52:00Z</dcterms:modified>
</cp:coreProperties>
</file>