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69" w:rsidRDefault="00BC0855" w:rsidP="00F41F69">
      <w:pPr>
        <w:pStyle w:val="Hlavika"/>
        <w:rPr>
          <w:rFonts w:ascii="Times New Roman" w:hAnsi="Times New Roman"/>
          <w:sz w:val="18"/>
          <w:szCs w:val="18"/>
          <w:lang w:val="sk-SK"/>
        </w:rPr>
      </w:pPr>
      <w:bookmarkStart w:id="0" w:name="_GoBack"/>
      <w:bookmarkEnd w:id="0"/>
      <w:r w:rsidRPr="00521039">
        <w:rPr>
          <w:rFonts w:ascii="Times New Roman" w:hAnsi="Times New Roman"/>
          <w:sz w:val="18"/>
          <w:szCs w:val="18"/>
          <w:lang w:val="sk-SK"/>
        </w:rPr>
        <w:t xml:space="preserve">Príloha č. </w:t>
      </w:r>
      <w:r w:rsidR="00490D5E">
        <w:rPr>
          <w:rFonts w:ascii="Times New Roman" w:hAnsi="Times New Roman"/>
          <w:sz w:val="18"/>
          <w:szCs w:val="18"/>
          <w:lang w:val="sk-SK"/>
        </w:rPr>
        <w:t>2</w:t>
      </w:r>
      <w:r w:rsidRPr="00521039">
        <w:rPr>
          <w:rFonts w:ascii="Times New Roman" w:hAnsi="Times New Roman"/>
          <w:sz w:val="18"/>
          <w:szCs w:val="18"/>
          <w:lang w:val="sk-SK"/>
        </w:rPr>
        <w:t xml:space="preserve"> k notifikácii o zmene, ev. č.: </w:t>
      </w:r>
      <w:r w:rsidR="007D222A">
        <w:rPr>
          <w:rFonts w:ascii="Times New Roman" w:hAnsi="Times New Roman"/>
          <w:sz w:val="18"/>
          <w:szCs w:val="18"/>
          <w:lang w:val="sk-SK"/>
        </w:rPr>
        <w:t>2017/06366-Z1A</w:t>
      </w:r>
    </w:p>
    <w:p w:rsidR="0035734E" w:rsidRPr="00521039" w:rsidRDefault="0035734E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35734E" w:rsidRPr="00521039" w:rsidRDefault="0035734E" w:rsidP="00A17905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Písomná informácia p</w:t>
      </w:r>
      <w:r w:rsidR="006F77D2" w:rsidRPr="00521039">
        <w:rPr>
          <w:rFonts w:ascii="Times New Roman" w:hAnsi="Times New Roman"/>
          <w:sz w:val="22"/>
          <w:szCs w:val="22"/>
        </w:rPr>
        <w:t>re používateľa</w:t>
      </w:r>
    </w:p>
    <w:p w:rsidR="006F77D2" w:rsidRPr="00521039" w:rsidRDefault="006F77D2">
      <w:pPr>
        <w:pStyle w:val="Zkladntext"/>
        <w:jc w:val="both"/>
        <w:rPr>
          <w:rFonts w:ascii="Times New Roman" w:hAnsi="Times New Roman"/>
          <w:sz w:val="22"/>
          <w:szCs w:val="22"/>
          <w:u w:val="single"/>
        </w:rPr>
      </w:pPr>
    </w:p>
    <w:p w:rsidR="0035734E" w:rsidRPr="00521039" w:rsidRDefault="0035734E" w:rsidP="00CC2690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AMPICILIN 0,5 BIOTIKA</w:t>
      </w:r>
    </w:p>
    <w:p w:rsidR="0035734E" w:rsidRPr="00521039" w:rsidRDefault="0035734E" w:rsidP="00CC2690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AMPICILIN 1,0 BIOTIKA</w:t>
      </w:r>
    </w:p>
    <w:p w:rsidR="0035734E" w:rsidRPr="00521039" w:rsidRDefault="00B74470" w:rsidP="00CC2690">
      <w:pPr>
        <w:pStyle w:val="Zkladntex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>p</w:t>
      </w:r>
      <w:r w:rsidR="006F77D2" w:rsidRPr="00521039">
        <w:rPr>
          <w:rFonts w:ascii="Times New Roman" w:hAnsi="Times New Roman"/>
          <w:b w:val="0"/>
          <w:sz w:val="22"/>
          <w:szCs w:val="22"/>
        </w:rPr>
        <w:t>rášo</w:t>
      </w:r>
      <w:r w:rsidR="009F4CE5" w:rsidRPr="00521039">
        <w:rPr>
          <w:rFonts w:ascii="Times New Roman" w:hAnsi="Times New Roman"/>
          <w:b w:val="0"/>
          <w:sz w:val="22"/>
          <w:szCs w:val="22"/>
        </w:rPr>
        <w:t xml:space="preserve">k na injekčný </w:t>
      </w:r>
      <w:r w:rsidR="009A1F30">
        <w:rPr>
          <w:rFonts w:ascii="Times New Roman" w:hAnsi="Times New Roman"/>
          <w:b w:val="0"/>
          <w:sz w:val="22"/>
          <w:szCs w:val="22"/>
        </w:rPr>
        <w:t xml:space="preserve">alebo </w:t>
      </w:r>
      <w:proofErr w:type="spellStart"/>
      <w:r w:rsidR="009A1F30">
        <w:rPr>
          <w:rFonts w:ascii="Times New Roman" w:hAnsi="Times New Roman"/>
          <w:b w:val="0"/>
          <w:sz w:val="22"/>
          <w:szCs w:val="22"/>
        </w:rPr>
        <w:t>infúzny</w:t>
      </w:r>
      <w:proofErr w:type="spellEnd"/>
      <w:r w:rsidR="009A1F30">
        <w:rPr>
          <w:rFonts w:ascii="Times New Roman" w:hAnsi="Times New Roman"/>
          <w:b w:val="0"/>
          <w:sz w:val="22"/>
          <w:szCs w:val="22"/>
        </w:rPr>
        <w:t xml:space="preserve"> </w:t>
      </w:r>
      <w:r w:rsidR="009F4CE5" w:rsidRPr="00521039">
        <w:rPr>
          <w:rFonts w:ascii="Times New Roman" w:hAnsi="Times New Roman"/>
          <w:b w:val="0"/>
          <w:sz w:val="22"/>
          <w:szCs w:val="22"/>
        </w:rPr>
        <w:t>roztok</w:t>
      </w:r>
    </w:p>
    <w:p w:rsidR="0035734E" w:rsidRPr="00521039" w:rsidRDefault="00037500" w:rsidP="00CC2690">
      <w:pPr>
        <w:pStyle w:val="Zkladntext"/>
        <w:rPr>
          <w:rFonts w:ascii="Times New Roman" w:hAnsi="Times New Roman"/>
          <w:b w:val="0"/>
          <w:sz w:val="22"/>
          <w:szCs w:val="22"/>
        </w:rPr>
      </w:pP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, sodná soľ</w:t>
      </w:r>
    </w:p>
    <w:p w:rsidR="00072F58" w:rsidRPr="00521039" w:rsidRDefault="00072F58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669B5" w:rsidRPr="00A669B5" w:rsidRDefault="00A669B5" w:rsidP="00A669B5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color w:val="000000"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Ak máte akékoľvek ďalšie otázky, obráťte sa na svojho lekára, lekárnika alebo zdravotnú sestru.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0614C9">
        <w:rPr>
          <w:rFonts w:ascii="Times New Roman" w:hAnsi="Times New Roman"/>
          <w:sz w:val="22"/>
          <w:szCs w:val="22"/>
          <w:lang w:val="sk-SK"/>
        </w:rPr>
        <w:t>prejavy</w:t>
      </w:r>
      <w:r w:rsidR="000614C9" w:rsidRPr="00A669B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669B5">
        <w:rPr>
          <w:rFonts w:ascii="Times New Roman" w:hAnsi="Times New Roman"/>
          <w:sz w:val="22"/>
          <w:szCs w:val="22"/>
          <w:lang w:val="sk-SK"/>
        </w:rPr>
        <w:t xml:space="preserve">ochorenia ako vy. 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hAnsi="Times New Roman"/>
          <w:b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sz w:val="22"/>
          <w:szCs w:val="22"/>
          <w:lang w:val="sk-SK"/>
        </w:rPr>
        <w:t>V tejto písomnej informácii pre používateľa sa dozviete: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Čo je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  <w:r w:rsidRPr="00A669B5">
        <w:rPr>
          <w:rFonts w:ascii="Times New Roman" w:hAnsi="Times New Roman"/>
          <w:sz w:val="22"/>
          <w:szCs w:val="22"/>
          <w:lang w:val="sk-SK"/>
        </w:rPr>
        <w:t xml:space="preserve"> a na čo sa používa 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Čo potrebujete vedieť predtým, ako použijete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Ako používať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Možné vedľajšie účinky 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Ako uchovávať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Obsah balenia a ďalšie informácie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sz w:val="22"/>
          <w:szCs w:val="22"/>
          <w:lang w:val="sk-SK"/>
        </w:rPr>
        <w:t xml:space="preserve">Čo je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  <w:r w:rsidRPr="00A669B5">
        <w:rPr>
          <w:rFonts w:ascii="Times New Roman" w:hAnsi="Times New Roman"/>
          <w:b/>
          <w:sz w:val="22"/>
          <w:szCs w:val="22"/>
          <w:lang w:val="sk-SK"/>
        </w:rPr>
        <w:t xml:space="preserve"> a na čo sa používa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Penicilínové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polosyntetické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baktericídne širokospektrálne antibiotikum, citlivé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zlatých stafylokokov. Mechanizmus baktericídneho účinku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spočíva v blokáde syntézy bunkovej steny baktérie s následnou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bakteriolýzou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spektrum: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pôsobí na všetky kmene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hemolytických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streptokokov (vrátane streptokokov skupiny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B),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viridujúce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streptokoky,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pneumokoky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enterokoky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(80 - 98 %), ďalej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korynebaktérie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listérie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Erysipelothrix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insidiosa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bacil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antraxu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tiež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aktinomycéty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menej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klostrídie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Zo stafylokokov pôsobí len na kmene, ktoré netvoria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, t.j. asi na 10 - 20 % kmeňov.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Z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baktérií účinkuje dobre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gonokoky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meningokoky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na salmonely (asi na 90 % kmeňov). Menej citlivé sú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hemofily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bordetely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(asi 60 - 70 % kmeňov),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Escherichia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coli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(60 %),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shigely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(40 - 90 %),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klebsiely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enterobaktery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(15 %),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providencie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citrobaktery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(30 %); z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proteov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pôsobí asi na 60 % kmeňov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mirabilis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, ale len na 5 - 20 % kmeňov iných biotypov (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vulgaris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morgani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rettgeri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). Z ostatných kmeňov sú citlivé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brucely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leptospiry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treponémy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Z anaeróbov je citlivá väčšina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grampozitívnych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kokov a baktérií s výnimkou </w:t>
      </w:r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B.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fragilis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Nepôsobí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yersínie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francisely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pseudomonády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mykoplazmy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rickettsie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bedsonie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huby a prvoky. 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Po </w:t>
      </w:r>
      <w:proofErr w:type="spellStart"/>
      <w:r w:rsidR="00B71B4D">
        <w:rPr>
          <w:rFonts w:ascii="Times New Roman" w:hAnsi="Times New Roman"/>
          <w:sz w:val="22"/>
          <w:szCs w:val="22"/>
          <w:lang w:val="sk-SK"/>
        </w:rPr>
        <w:t>vnútrosvalovom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ale predovšetkým po </w:t>
      </w:r>
      <w:proofErr w:type="spellStart"/>
      <w:r w:rsidR="00B71B4D">
        <w:rPr>
          <w:rFonts w:ascii="Times New Roman" w:hAnsi="Times New Roman"/>
          <w:sz w:val="22"/>
          <w:szCs w:val="22"/>
          <w:lang w:val="sk-SK"/>
        </w:rPr>
        <w:t>vnútrožilovom</w:t>
      </w:r>
      <w:proofErr w:type="spellEnd"/>
      <w:r w:rsidR="00B71B4D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podaní sa dosiahne maximálna plazmatická koncentrácia o ½ - 1 hodinu a je 2 až 4 krát vyššia ako pri perorálnom podaní rovnakej dávky.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preniká dobre do väčšiny tkanív a telesných dutín; minimálne preniká do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cerebrospinálneho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likvoru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632C8F">
        <w:rPr>
          <w:rFonts w:ascii="Times New Roman" w:hAnsi="Times New Roman"/>
          <w:sz w:val="22"/>
          <w:szCs w:val="22"/>
          <w:lang w:val="sk-SK"/>
        </w:rPr>
        <w:t>mozgo</w:t>
      </w:r>
      <w:r w:rsidR="00DF5F14">
        <w:rPr>
          <w:rFonts w:ascii="Times New Roman" w:hAnsi="Times New Roman"/>
          <w:sz w:val="22"/>
          <w:szCs w:val="22"/>
          <w:lang w:val="sk-SK"/>
        </w:rPr>
        <w:t>vo</w:t>
      </w:r>
      <w:r w:rsidR="00632C8F">
        <w:rPr>
          <w:rFonts w:ascii="Times New Roman" w:hAnsi="Times New Roman"/>
          <w:sz w:val="22"/>
          <w:szCs w:val="22"/>
          <w:lang w:val="sk-SK"/>
        </w:rPr>
        <w:t>miešna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tekutina)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zdravých osôb, ale pri zápale mozgových blán je jeho hladina v</w:t>
      </w:r>
      <w:r w:rsidR="00632C8F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likvore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632C8F">
        <w:rPr>
          <w:rFonts w:ascii="Times New Roman" w:hAnsi="Times New Roman"/>
          <w:sz w:val="22"/>
          <w:szCs w:val="22"/>
          <w:lang w:val="sk-SK"/>
        </w:rPr>
        <w:t>mozgo</w:t>
      </w:r>
      <w:r w:rsidR="00DF5F14">
        <w:rPr>
          <w:rFonts w:ascii="Times New Roman" w:hAnsi="Times New Roman"/>
          <w:sz w:val="22"/>
          <w:szCs w:val="22"/>
          <w:lang w:val="sk-SK"/>
        </w:rPr>
        <w:t>vo</w:t>
      </w:r>
      <w:r w:rsidR="00632C8F">
        <w:rPr>
          <w:rFonts w:ascii="Times New Roman" w:hAnsi="Times New Roman"/>
          <w:sz w:val="22"/>
          <w:szCs w:val="22"/>
          <w:lang w:val="sk-SK"/>
        </w:rPr>
        <w:t>miešnej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tekutine)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podstatne vyššia. Koncentrácie porovnateľné s plazmatickými dosahuje v pečeni a v obličkách. Prechádza placentárnou bariérou a v nízkych koncentráciách sa vylučuje do materského mlieka.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sa dobre vylučuje do žlče, kde vytvára terapeuticky účinné koncentrácie.</w:t>
      </w:r>
    </w:p>
    <w:p w:rsidR="00037500" w:rsidRPr="00521039" w:rsidRDefault="00C42D1E" w:rsidP="000375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Vylučuje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sa obličkami, hlavne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tubulárnou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sekréciou, len veľmi málo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glomerulárnou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filtráciou. Inhibítor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tubulárnej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sekrécie –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predlžuje polčas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v organizme a zvyšuje jeho plazmatickú koncentráciu. Do 24 hodín sa vylúči močom po </w:t>
      </w:r>
      <w:proofErr w:type="spellStart"/>
      <w:r w:rsidR="00AC64F2">
        <w:rPr>
          <w:rFonts w:ascii="Times New Roman" w:hAnsi="Times New Roman"/>
          <w:sz w:val="22"/>
          <w:szCs w:val="22"/>
          <w:lang w:val="sk-SK"/>
        </w:rPr>
        <w:t>vnútrosvalovom</w:t>
      </w:r>
      <w:proofErr w:type="spellEnd"/>
      <w:r w:rsidR="00AC64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podaní 64 %, po </w:t>
      </w:r>
      <w:proofErr w:type="spellStart"/>
      <w:r w:rsidR="00AC64F2">
        <w:rPr>
          <w:rFonts w:ascii="Times New Roman" w:hAnsi="Times New Roman"/>
          <w:sz w:val="22"/>
          <w:szCs w:val="22"/>
          <w:lang w:val="sk-SK"/>
        </w:rPr>
        <w:t>vnútrožilovom</w:t>
      </w:r>
      <w:proofErr w:type="spellEnd"/>
      <w:r w:rsidR="00AC64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70 % podanej dávky. Biologický polčas je asi 1 hodina. Pri obličkovom zlyhaní sa biologický polčas predlžuje na 12</w:t>
      </w:r>
      <w:r w:rsidR="0066456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66456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20 hodín.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je možné odstrániť hemodialýzou</w:t>
      </w:r>
      <w:r w:rsidR="00AB6B82">
        <w:rPr>
          <w:rFonts w:ascii="Times New Roman" w:hAnsi="Times New Roman"/>
          <w:sz w:val="22"/>
          <w:szCs w:val="22"/>
          <w:lang w:val="sk-SK"/>
        </w:rPr>
        <w:t xml:space="preserve"> (čistenie krvi v mimotelovom obehu)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037500" w:rsidRPr="00521039" w:rsidRDefault="00037500" w:rsidP="00B70A3F">
      <w:pPr>
        <w:widowControl w:val="0"/>
        <w:tabs>
          <w:tab w:val="left" w:pos="5414"/>
        </w:tabs>
        <w:rPr>
          <w:rFonts w:ascii="Times New Roman" w:hAnsi="Times New Roman"/>
          <w:sz w:val="22"/>
          <w:szCs w:val="22"/>
          <w:lang w:val="sk-SK"/>
        </w:rPr>
      </w:pP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je antibiotikum prvej voľby u infekcií dolných dýchacích ciest s hnisavou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expektoráciou</w:t>
      </w:r>
      <w:proofErr w:type="spellEnd"/>
      <w:r w:rsidR="00AC64F2">
        <w:rPr>
          <w:rFonts w:ascii="Times New Roman" w:hAnsi="Times New Roman"/>
          <w:b w:val="0"/>
          <w:sz w:val="22"/>
          <w:szCs w:val="22"/>
        </w:rPr>
        <w:t xml:space="preserve"> </w:t>
      </w:r>
      <w:r w:rsidR="00234362">
        <w:rPr>
          <w:rFonts w:ascii="Times New Roman" w:hAnsi="Times New Roman"/>
          <w:b w:val="0"/>
          <w:sz w:val="22"/>
          <w:szCs w:val="22"/>
        </w:rPr>
        <w:t>(</w:t>
      </w:r>
      <w:r w:rsidR="00AC64F2">
        <w:rPr>
          <w:rFonts w:ascii="Times New Roman" w:hAnsi="Times New Roman"/>
          <w:b w:val="0"/>
          <w:sz w:val="22"/>
          <w:szCs w:val="22"/>
        </w:rPr>
        <w:t>vykašliavaním)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vyvolaných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hemofilmi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alebo zmiešanou mikroflórou; pri akútnej bronchitíde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(</w:t>
      </w:r>
      <w:r w:rsidR="00311BAF">
        <w:rPr>
          <w:rFonts w:ascii="Times New Roman" w:hAnsi="Times New Roman"/>
          <w:b w:val="0"/>
          <w:sz w:val="22"/>
          <w:szCs w:val="22"/>
        </w:rPr>
        <w:t xml:space="preserve">zápal priedušiek s </w:t>
      </w:r>
      <w:r w:rsidR="006A2328">
        <w:rPr>
          <w:rFonts w:ascii="Times New Roman" w:hAnsi="Times New Roman"/>
          <w:b w:val="0"/>
          <w:sz w:val="22"/>
          <w:szCs w:val="22"/>
        </w:rPr>
        <w:t>čast</w:t>
      </w:r>
      <w:r w:rsidR="00311BAF">
        <w:rPr>
          <w:rFonts w:ascii="Times New Roman" w:hAnsi="Times New Roman"/>
          <w:b w:val="0"/>
          <w:sz w:val="22"/>
          <w:szCs w:val="22"/>
        </w:rPr>
        <w:t>ými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záchvat</w:t>
      </w:r>
      <w:r w:rsidR="00311BAF">
        <w:rPr>
          <w:rFonts w:ascii="Times New Roman" w:hAnsi="Times New Roman"/>
          <w:b w:val="0"/>
          <w:sz w:val="22"/>
          <w:szCs w:val="22"/>
        </w:rPr>
        <w:t>mi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kašľa s tvorbou hlienu)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bronchiolitíde</w:t>
      </w:r>
      <w:proofErr w:type="spellEnd"/>
      <w:r w:rsidR="002D1894">
        <w:rPr>
          <w:rFonts w:ascii="Times New Roman" w:hAnsi="Times New Roman"/>
          <w:b w:val="0"/>
          <w:sz w:val="22"/>
          <w:szCs w:val="22"/>
        </w:rPr>
        <w:t xml:space="preserve"> (zápal priedušničiek)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a pri zápaloch pľúc u detí (pokiaľ nie je dôkaz samostatn</w:t>
      </w:r>
      <w:r w:rsidR="0040790C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stafylokokov</w:t>
      </w:r>
      <w:r w:rsidR="002D1894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2D1894">
        <w:rPr>
          <w:rFonts w:ascii="Times New Roman" w:hAnsi="Times New Roman"/>
          <w:b w:val="0"/>
          <w:sz w:val="22"/>
          <w:szCs w:val="22"/>
        </w:rPr>
        <w:t>pôvodu</w:t>
      </w:r>
      <w:r w:rsidRPr="00521039">
        <w:rPr>
          <w:rFonts w:ascii="Times New Roman" w:hAnsi="Times New Roman"/>
          <w:b w:val="0"/>
          <w:sz w:val="22"/>
          <w:szCs w:val="22"/>
        </w:rPr>
        <w:t>, prípadne v kombinácii s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oxacilínom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), pri akútnej</w:t>
      </w:r>
      <w:r w:rsidR="006A22A5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epiglotitíde</w:t>
      </w:r>
      <w:proofErr w:type="spellEnd"/>
      <w:r w:rsidR="002D1894">
        <w:rPr>
          <w:rFonts w:ascii="Times New Roman" w:hAnsi="Times New Roman"/>
          <w:b w:val="0"/>
          <w:sz w:val="22"/>
          <w:szCs w:val="22"/>
        </w:rPr>
        <w:t xml:space="preserve"> (zápal hrtanovej príchlopky)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pri zápaloch stredného ucha novorodencov a detí predškolského veku; pri zápaloch vedľajších nosových dutín. Pri liečbe akútnych </w:t>
      </w:r>
      <w:r w:rsidR="002D1894">
        <w:rPr>
          <w:rFonts w:ascii="Times New Roman" w:hAnsi="Times New Roman"/>
          <w:b w:val="0"/>
          <w:sz w:val="22"/>
          <w:szCs w:val="22"/>
        </w:rPr>
        <w:t>zhoršen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í chronickej bronchitídy </w:t>
      </w:r>
      <w:r w:rsidR="00D2547E">
        <w:rPr>
          <w:rFonts w:ascii="Times New Roman" w:hAnsi="Times New Roman"/>
          <w:b w:val="0"/>
          <w:sz w:val="22"/>
          <w:szCs w:val="22"/>
        </w:rPr>
        <w:t>(</w:t>
      </w:r>
      <w:r w:rsidR="00F20EF1">
        <w:rPr>
          <w:rFonts w:ascii="Times New Roman" w:hAnsi="Times New Roman"/>
          <w:b w:val="0"/>
          <w:sz w:val="22"/>
          <w:szCs w:val="22"/>
        </w:rPr>
        <w:t xml:space="preserve">chronický </w:t>
      </w:r>
      <w:r w:rsidR="00D2547E">
        <w:rPr>
          <w:rFonts w:ascii="Times New Roman" w:hAnsi="Times New Roman"/>
          <w:b w:val="0"/>
          <w:sz w:val="22"/>
          <w:szCs w:val="22"/>
        </w:rPr>
        <w:t>zápal priedušiek</w:t>
      </w:r>
      <w:r w:rsidR="00F20EF1">
        <w:rPr>
          <w:rFonts w:ascii="Times New Roman" w:hAnsi="Times New Roman"/>
          <w:b w:val="0"/>
          <w:sz w:val="22"/>
          <w:szCs w:val="22"/>
        </w:rPr>
        <w:t>)</w:t>
      </w:r>
      <w:r w:rsidR="004B0200">
        <w:rPr>
          <w:rFonts w:ascii="Times New Roman" w:hAnsi="Times New Roman"/>
          <w:b w:val="0"/>
          <w:sz w:val="22"/>
          <w:szCs w:val="22"/>
        </w:rPr>
        <w:t xml:space="preserve"> 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je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D2547E">
        <w:rPr>
          <w:rFonts w:ascii="Times New Roman" w:hAnsi="Times New Roman"/>
          <w:b w:val="0"/>
          <w:sz w:val="22"/>
          <w:szCs w:val="22"/>
        </w:rPr>
        <w:t>podávaný</w:t>
      </w:r>
      <w:r w:rsidR="00AC43A3"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v prvom rade pri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monoinfekcii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.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infekciách močových ciest sa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ordinuje až v druhom rade, pokiaľ nie je vhodnejšie použiť krátkodobé sulfónamidy,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kotrimoxazol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oxytetracyklín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. Ak je mikroorganizmus citlivý, </w:t>
      </w:r>
      <w:r w:rsidR="002D1894">
        <w:rPr>
          <w:rFonts w:ascii="Times New Roman" w:hAnsi="Times New Roman"/>
          <w:b w:val="0"/>
          <w:sz w:val="22"/>
          <w:szCs w:val="22"/>
        </w:rPr>
        <w:t>používa sa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pri infekciách žlčových ciest, zažívacieho traktu, pri hnisavých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meningitídach</w:t>
      </w:r>
      <w:proofErr w:type="spellEnd"/>
      <w:r w:rsidR="002D1894">
        <w:rPr>
          <w:rFonts w:ascii="Times New Roman" w:hAnsi="Times New Roman"/>
          <w:b w:val="0"/>
          <w:sz w:val="22"/>
          <w:szCs w:val="22"/>
        </w:rPr>
        <w:t xml:space="preserve"> (zápal mozgových</w:t>
      </w:r>
      <w:r w:rsidR="005A3DC1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5A3DC1">
        <w:rPr>
          <w:rFonts w:ascii="Times New Roman" w:hAnsi="Times New Roman"/>
          <w:b w:val="0"/>
          <w:sz w:val="22"/>
          <w:szCs w:val="22"/>
        </w:rPr>
        <w:t>plien</w:t>
      </w:r>
      <w:proofErr w:type="spellEnd"/>
      <w:r w:rsidR="004B0200">
        <w:rPr>
          <w:rFonts w:ascii="Times New Roman" w:hAnsi="Times New Roman"/>
          <w:b w:val="0"/>
          <w:sz w:val="22"/>
          <w:szCs w:val="22"/>
        </w:rPr>
        <w:t xml:space="preserve"> </w:t>
      </w:r>
      <w:r w:rsidR="002D0CEA">
        <w:rPr>
          <w:rFonts w:ascii="Times New Roman" w:hAnsi="Times New Roman"/>
          <w:b w:val="0"/>
          <w:sz w:val="22"/>
          <w:szCs w:val="22"/>
        </w:rPr>
        <w:t xml:space="preserve">- 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predovšetkým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hemofilov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pneumokokov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meningokokov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, streptokokov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enterokokov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5A3DC1">
        <w:rPr>
          <w:rFonts w:ascii="Times New Roman" w:hAnsi="Times New Roman"/>
          <w:b w:val="0"/>
          <w:sz w:val="22"/>
          <w:szCs w:val="22"/>
        </w:rPr>
        <w:t>pôvodu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), pri bakteriálnych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endokarditídach</w:t>
      </w:r>
      <w:proofErr w:type="spellEnd"/>
      <w:r w:rsidR="005A3DC1">
        <w:rPr>
          <w:rFonts w:ascii="Times New Roman" w:hAnsi="Times New Roman"/>
          <w:b w:val="0"/>
          <w:sz w:val="22"/>
          <w:szCs w:val="22"/>
        </w:rPr>
        <w:t xml:space="preserve"> (zápal vnútornej srdcovej blany)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pri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septikémiách</w:t>
      </w:r>
      <w:proofErr w:type="spellEnd"/>
      <w:r w:rsidR="005A3DC1">
        <w:rPr>
          <w:rFonts w:ascii="Times New Roman" w:hAnsi="Times New Roman"/>
          <w:b w:val="0"/>
          <w:sz w:val="22"/>
          <w:szCs w:val="22"/>
        </w:rPr>
        <w:t xml:space="preserve"> (prítomnosť baktér</w:t>
      </w:r>
      <w:r w:rsidR="002D518C">
        <w:rPr>
          <w:rFonts w:ascii="Times New Roman" w:hAnsi="Times New Roman"/>
          <w:b w:val="0"/>
          <w:sz w:val="22"/>
          <w:szCs w:val="22"/>
        </w:rPr>
        <w:t>ií</w:t>
      </w:r>
      <w:r w:rsidR="005A3DC1">
        <w:rPr>
          <w:rFonts w:ascii="Times New Roman" w:hAnsi="Times New Roman"/>
          <w:b w:val="0"/>
          <w:sz w:val="22"/>
          <w:szCs w:val="22"/>
        </w:rPr>
        <w:t xml:space="preserve"> v</w:t>
      </w:r>
      <w:r w:rsidR="002D518C">
        <w:rPr>
          <w:rFonts w:ascii="Times New Roman" w:hAnsi="Times New Roman"/>
          <w:b w:val="0"/>
          <w:sz w:val="22"/>
          <w:szCs w:val="22"/>
        </w:rPr>
        <w:t> </w:t>
      </w:r>
      <w:r w:rsidR="005A3DC1">
        <w:rPr>
          <w:rFonts w:ascii="Times New Roman" w:hAnsi="Times New Roman"/>
          <w:b w:val="0"/>
          <w:sz w:val="22"/>
          <w:szCs w:val="22"/>
        </w:rPr>
        <w:t>krv</w:t>
      </w:r>
      <w:r w:rsidR="002D518C">
        <w:rPr>
          <w:rFonts w:ascii="Times New Roman" w:hAnsi="Times New Roman"/>
          <w:b w:val="0"/>
          <w:sz w:val="22"/>
          <w:szCs w:val="22"/>
        </w:rPr>
        <w:t>i)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prípadne tiež pri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peritonitídach</w:t>
      </w:r>
      <w:proofErr w:type="spellEnd"/>
      <w:r w:rsidR="002D518C">
        <w:rPr>
          <w:rFonts w:ascii="Times New Roman" w:hAnsi="Times New Roman"/>
          <w:b w:val="0"/>
          <w:sz w:val="22"/>
          <w:szCs w:val="22"/>
        </w:rPr>
        <w:t xml:space="preserve"> (zápal pobrušnice)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sa používa tiež na liečbu brušného týfusu alebo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paratýfusu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(pokiaľ nemožno použiť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chloramfenikol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) a na </w:t>
      </w:r>
      <w:r w:rsidR="00AC4D28">
        <w:rPr>
          <w:rFonts w:ascii="Times New Roman" w:hAnsi="Times New Roman"/>
          <w:b w:val="0"/>
          <w:sz w:val="22"/>
          <w:szCs w:val="22"/>
        </w:rPr>
        <w:t>liečbu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nosičov salmonel v žlčníku a</w:t>
      </w:r>
      <w:r w:rsidR="00B21A8F">
        <w:rPr>
          <w:rFonts w:ascii="Times New Roman" w:hAnsi="Times New Roman"/>
          <w:b w:val="0"/>
          <w:sz w:val="22"/>
          <w:szCs w:val="22"/>
        </w:rPr>
        <w:t xml:space="preserve"> v </w:t>
      </w:r>
      <w:r w:rsidRPr="00521039">
        <w:rPr>
          <w:rFonts w:ascii="Times New Roman" w:hAnsi="Times New Roman"/>
          <w:b w:val="0"/>
          <w:sz w:val="22"/>
          <w:szCs w:val="22"/>
        </w:rPr>
        <w:t>žlčových cestách v rámci komplexnej antibioticko-chirurgickej liečby.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ťažkých zmiešaných infekciách (napríklad pri </w:t>
      </w:r>
      <w:r w:rsidR="00E87DB9">
        <w:rPr>
          <w:rFonts w:ascii="Times New Roman" w:hAnsi="Times New Roman"/>
          <w:b w:val="0"/>
          <w:sz w:val="22"/>
          <w:szCs w:val="22"/>
        </w:rPr>
        <w:t>zápaloch pobrušnice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) možno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výhodne kombinovať s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aminoglykozidovými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antibiotikami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gentamycínového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typu.</w:t>
      </w:r>
    </w:p>
    <w:p w:rsidR="00A669B5" w:rsidRPr="00521039" w:rsidRDefault="00A669B5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86B1B" w:rsidRPr="00F86B1B" w:rsidRDefault="00F86B1B" w:rsidP="00F86B1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F86B1B" w:rsidRPr="00F86B1B" w:rsidRDefault="00F86B1B" w:rsidP="00F86B1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b/>
          <w:sz w:val="22"/>
          <w:szCs w:val="22"/>
          <w:lang w:val="sk-SK"/>
        </w:rPr>
        <w:t xml:space="preserve">Čo potrebujete vedieť predtým, ako použijete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F86B1B" w:rsidRPr="00F86B1B" w:rsidRDefault="00F86B1B" w:rsidP="00F86B1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F86B1B" w:rsidRPr="00F86B1B" w:rsidRDefault="00F86B1B" w:rsidP="00F86B1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b/>
          <w:sz w:val="22"/>
          <w:szCs w:val="22"/>
          <w:lang w:val="sk-SK"/>
        </w:rPr>
        <w:t>Ne</w:t>
      </w:r>
      <w:r w:rsidR="00625DA4">
        <w:rPr>
          <w:rFonts w:ascii="Times New Roman" w:hAnsi="Times New Roman"/>
          <w:b/>
          <w:sz w:val="22"/>
          <w:szCs w:val="22"/>
          <w:lang w:val="sk-SK"/>
        </w:rPr>
        <w:t>po</w:t>
      </w:r>
      <w:r w:rsidRPr="00F86B1B">
        <w:rPr>
          <w:rFonts w:ascii="Times New Roman" w:hAnsi="Times New Roman"/>
          <w:b/>
          <w:sz w:val="22"/>
          <w:szCs w:val="22"/>
          <w:lang w:val="sk-SK"/>
        </w:rPr>
        <w:t xml:space="preserve">užívajte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F86B1B" w:rsidRPr="00521039" w:rsidRDefault="00F86B1B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sz w:val="22"/>
          <w:szCs w:val="22"/>
          <w:lang w:val="sk-SK"/>
        </w:rPr>
        <w:t>ak ste alergický na penicilín</w:t>
      </w:r>
      <w:r w:rsidR="00660CB1" w:rsidRPr="00521039">
        <w:rPr>
          <w:rFonts w:ascii="Times New Roman" w:hAnsi="Times New Roman"/>
          <w:sz w:val="22"/>
          <w:szCs w:val="22"/>
          <w:lang w:val="sk-SK"/>
        </w:rPr>
        <w:t>y</w:t>
      </w:r>
      <w:r w:rsidRPr="00F86B1B">
        <w:rPr>
          <w:rFonts w:ascii="Times New Roman" w:hAnsi="Times New Roman"/>
          <w:sz w:val="22"/>
          <w:szCs w:val="22"/>
          <w:lang w:val="sk-SK"/>
        </w:rPr>
        <w:t xml:space="preserve"> alebo na ktorúkoľvek z ďalších zložiek tohto lieku (uvedených v časti 6),</w:t>
      </w:r>
    </w:p>
    <w:p w:rsidR="00465F7F" w:rsidRPr="00521039" w:rsidRDefault="002D518C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máte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závažnú poruchu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funkcie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pečene, </w:t>
      </w:r>
    </w:p>
    <w:p w:rsidR="00465F7F" w:rsidRPr="00F86B1B" w:rsidRDefault="00465F7F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infekčnom ochorení vyvolanom kmeňmi </w:t>
      </w:r>
      <w:r w:rsidR="002D518C">
        <w:rPr>
          <w:rFonts w:ascii="Times New Roman" w:hAnsi="Times New Roman"/>
          <w:sz w:val="22"/>
          <w:szCs w:val="22"/>
          <w:lang w:val="sk-SK"/>
        </w:rPr>
        <w:t>odolnými voči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r w:rsidR="002D518C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predovšetkým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pseudomonádami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 stafylokokmi.</w:t>
      </w:r>
    </w:p>
    <w:p w:rsidR="00660CB1" w:rsidRPr="00521039" w:rsidRDefault="00660CB1" w:rsidP="00660CB1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Pre možnosť vzniku precitlivenosti sú relatívnymi kontraindikáciami </w:t>
      </w:r>
      <w:r w:rsidR="002D518C">
        <w:rPr>
          <w:rFonts w:ascii="Times New Roman" w:hAnsi="Times New Roman"/>
          <w:sz w:val="22"/>
          <w:szCs w:val="22"/>
          <w:lang w:val="sk-SK"/>
        </w:rPr>
        <w:t>precitlivenosť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cefalosporíny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akákoľvek alergia v anamnéze, bronchiálna astma, senná nádcha alebo žihľavka, sekundárna infekcia pri infekčnej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mononukleóze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, lymfatickej leukémii.</w:t>
      </w:r>
    </w:p>
    <w:p w:rsidR="00A669B5" w:rsidRPr="00521039" w:rsidRDefault="00A669B5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98428C" w:rsidRPr="0098428C" w:rsidRDefault="0098428C" w:rsidP="0098428C">
      <w:pPr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8428C">
        <w:rPr>
          <w:rFonts w:ascii="Times New Roman" w:hAnsi="Times New Roman"/>
          <w:b/>
          <w:bCs/>
          <w:sz w:val="22"/>
          <w:szCs w:val="22"/>
          <w:lang w:val="sk-SK"/>
        </w:rPr>
        <w:t>Upozornenia a opatrenia</w:t>
      </w:r>
    </w:p>
    <w:p w:rsidR="00E2007E" w:rsidRPr="00521039" w:rsidRDefault="00E2007E" w:rsidP="00E2007E">
      <w:pPr>
        <w:pStyle w:val="Zarkazkladnhotextu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 xml:space="preserve">Vyžaduje sa, aby sa pred použitím lieku laboratórne dokázala citlivosť infekčného agens. Pri podávaní vysokých dávok </w:t>
      </w:r>
      <w:proofErr w:type="spellStart"/>
      <w:r w:rsidRPr="00521039">
        <w:rPr>
          <w:rFonts w:ascii="Times New Roman" w:hAnsi="Times New Roman"/>
          <w:sz w:val="22"/>
          <w:szCs w:val="22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</w:rPr>
        <w:t xml:space="preserve">, najmä dlhšiu dobu je potrebné kontrolovať funkciu pečene, predovšetkým zmeny S-AST, krvný obraz a moč. </w:t>
      </w:r>
    </w:p>
    <w:p w:rsidR="00EC1403" w:rsidRDefault="00E2007E" w:rsidP="00E2007E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A</w:t>
      </w:r>
      <w:r w:rsidR="005D3B22">
        <w:rPr>
          <w:rFonts w:ascii="Times New Roman" w:hAnsi="Times New Roman"/>
          <w:sz w:val="22"/>
          <w:szCs w:val="22"/>
          <w:lang w:val="sk-SK"/>
        </w:rPr>
        <w:t>k sa u vás vyskytne alergická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reakcia</w:t>
      </w:r>
      <w:r w:rsidR="00F16E55">
        <w:rPr>
          <w:rFonts w:ascii="Times New Roman" w:hAnsi="Times New Roman"/>
          <w:sz w:val="22"/>
          <w:szCs w:val="22"/>
          <w:lang w:val="sk-SK"/>
        </w:rPr>
        <w:t>,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D3B22">
        <w:rPr>
          <w:rFonts w:ascii="Times New Roman" w:hAnsi="Times New Roman"/>
          <w:sz w:val="22"/>
          <w:szCs w:val="22"/>
          <w:lang w:val="sk-SK"/>
        </w:rPr>
        <w:t>lekár vám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preruš</w:t>
      </w:r>
      <w:r w:rsidR="005D3B22">
        <w:rPr>
          <w:rFonts w:ascii="Times New Roman" w:hAnsi="Times New Roman"/>
          <w:sz w:val="22"/>
          <w:szCs w:val="22"/>
          <w:lang w:val="sk-SK"/>
        </w:rPr>
        <w:t>í liečbu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Pri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anafylaktickom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 šoku </w:t>
      </w:r>
      <w:r w:rsidR="006524CC">
        <w:rPr>
          <w:rFonts w:ascii="Times New Roman" w:hAnsi="Times New Roman"/>
          <w:sz w:val="22"/>
          <w:szCs w:val="22"/>
          <w:lang w:val="sk-SK"/>
        </w:rPr>
        <w:t xml:space="preserve">(náhlej alergickej reakcie) </w:t>
      </w:r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je potrebné predovšetkým zvládnuť zlyhanie obehu krvi a porúch dýchania adrenalínom,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noradrenalínom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hydrokortizónom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, podať vápnik a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antihistaminiká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>. Postupuje sa podľa zásad na zvládnutie týchto reakcií.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2007E" w:rsidRDefault="00E2007E" w:rsidP="00E2007E">
      <w:pPr>
        <w:rPr>
          <w:rFonts w:ascii="Times New Roman" w:hAnsi="Times New Roman"/>
          <w:sz w:val="22"/>
          <w:szCs w:val="22"/>
          <w:lang w:val="sk-SK"/>
        </w:rPr>
      </w:pPr>
      <w:r w:rsidRPr="00B515CD">
        <w:rPr>
          <w:rFonts w:ascii="Times New Roman" w:hAnsi="Times New Roman"/>
          <w:sz w:val="22"/>
          <w:szCs w:val="22"/>
          <w:lang w:val="sk-SK"/>
        </w:rPr>
        <w:t>Pacientky, ktoré užívajú perorálnu</w:t>
      </w:r>
      <w:r w:rsidR="00B515CD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9C64FC">
        <w:rPr>
          <w:rFonts w:ascii="Times New Roman" w:hAnsi="Times New Roman"/>
          <w:sz w:val="22"/>
          <w:szCs w:val="22"/>
          <w:lang w:val="sk-SK"/>
        </w:rPr>
        <w:t>ústami</w:t>
      </w:r>
      <w:r w:rsidR="00D82BB2">
        <w:rPr>
          <w:rFonts w:ascii="Times New Roman" w:hAnsi="Times New Roman"/>
          <w:sz w:val="22"/>
          <w:szCs w:val="22"/>
          <w:lang w:val="sk-SK"/>
        </w:rPr>
        <w:t xml:space="preserve"> užívanú</w:t>
      </w:r>
      <w:r w:rsidR="00B515CD" w:rsidRPr="009C64FC">
        <w:rPr>
          <w:rFonts w:ascii="Times New Roman" w:hAnsi="Times New Roman"/>
          <w:sz w:val="22"/>
          <w:szCs w:val="22"/>
          <w:lang w:val="sk-SK"/>
        </w:rPr>
        <w:t>)</w:t>
      </w:r>
      <w:r w:rsidRPr="00B515CD">
        <w:rPr>
          <w:rFonts w:ascii="Times New Roman" w:hAnsi="Times New Roman"/>
          <w:sz w:val="22"/>
          <w:szCs w:val="22"/>
          <w:lang w:val="sk-SK"/>
        </w:rPr>
        <w:t xml:space="preserve"> hormonálnu antikoncepciu, by mali byť upozornené na nutnosť </w:t>
      </w:r>
      <w:r w:rsidR="00F87C65">
        <w:rPr>
          <w:rFonts w:ascii="Times New Roman" w:hAnsi="Times New Roman"/>
          <w:sz w:val="22"/>
          <w:szCs w:val="22"/>
          <w:lang w:val="sk-SK"/>
        </w:rPr>
        <w:t>náhradnej antikoncepcie</w:t>
      </w:r>
      <w:r w:rsidRPr="00B515CD">
        <w:rPr>
          <w:rFonts w:ascii="Times New Roman" w:hAnsi="Times New Roman"/>
          <w:sz w:val="22"/>
          <w:szCs w:val="22"/>
          <w:lang w:val="sk-SK"/>
        </w:rPr>
        <w:t>.</w:t>
      </w:r>
    </w:p>
    <w:p w:rsidR="003D3E49" w:rsidRPr="00521039" w:rsidRDefault="003D3E49" w:rsidP="00E2007E">
      <w:pPr>
        <w:rPr>
          <w:rFonts w:ascii="Times New Roman" w:hAnsi="Times New Roman"/>
          <w:sz w:val="22"/>
          <w:szCs w:val="22"/>
          <w:lang w:val="sk-SK"/>
        </w:rPr>
      </w:pPr>
    </w:p>
    <w:p w:rsidR="00020EFF" w:rsidRPr="00020EFF" w:rsidRDefault="00020EFF" w:rsidP="00020E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020EFF">
        <w:rPr>
          <w:rFonts w:ascii="Times New Roman" w:hAnsi="Times New Roman"/>
          <w:b/>
          <w:sz w:val="22"/>
          <w:szCs w:val="22"/>
          <w:lang w:val="sk-SK"/>
        </w:rPr>
        <w:t>Iné lieky a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 AMPICILIN BIOTIKA</w:t>
      </w:r>
    </w:p>
    <w:p w:rsidR="00020EFF" w:rsidRPr="00020EFF" w:rsidRDefault="00020EFF" w:rsidP="00020E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020EFF" w:rsidRPr="00020EFF" w:rsidRDefault="00020EFF" w:rsidP="00020EFF">
      <w:pPr>
        <w:rPr>
          <w:rFonts w:ascii="Times New Roman" w:hAnsi="Times New Roman"/>
          <w:sz w:val="22"/>
          <w:szCs w:val="22"/>
          <w:lang w:val="sk-SK"/>
        </w:rPr>
      </w:pPr>
      <w:r w:rsidRPr="00020EFF">
        <w:rPr>
          <w:rFonts w:ascii="Times New Roman" w:hAnsi="Times New Roman"/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lastRenderedPageBreak/>
        <w:t xml:space="preserve">Skrížená </w:t>
      </w:r>
      <w:r w:rsidR="00875D57">
        <w:rPr>
          <w:rFonts w:ascii="Times New Roman" w:hAnsi="Times New Roman"/>
          <w:sz w:val="22"/>
          <w:szCs w:val="22"/>
          <w:lang w:val="sk-SK"/>
        </w:rPr>
        <w:t>citlivosť</w:t>
      </w:r>
      <w:r w:rsidR="00875D57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penicilínov a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cefalosporínov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Pri súčasnom podávaní s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bakteriostatickými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antibiotikami (tetracyklínmi,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chloramfenikolom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erytromycínom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ďalšími) dochádza k</w:t>
      </w:r>
      <w:r w:rsidR="00B9610E">
        <w:rPr>
          <w:rFonts w:ascii="Times New Roman" w:hAnsi="Times New Roman"/>
          <w:sz w:val="22"/>
          <w:szCs w:val="22"/>
          <w:lang w:val="sk-SK"/>
        </w:rPr>
        <w:t> </w:t>
      </w:r>
      <w:r w:rsidRPr="00521039">
        <w:rPr>
          <w:rFonts w:ascii="Times New Roman" w:hAnsi="Times New Roman"/>
          <w:sz w:val="22"/>
          <w:szCs w:val="22"/>
          <w:lang w:val="sk-SK"/>
        </w:rPr>
        <w:t>antagonizmu</w:t>
      </w:r>
      <w:r w:rsidR="00B9610E">
        <w:rPr>
          <w:rFonts w:ascii="Times New Roman" w:hAnsi="Times New Roman"/>
          <w:sz w:val="22"/>
          <w:szCs w:val="22"/>
          <w:lang w:val="sk-SK"/>
        </w:rPr>
        <w:t xml:space="preserve"> (protichodné pôsobenie)</w:t>
      </w:r>
      <w:r w:rsidRPr="00521039">
        <w:rPr>
          <w:rFonts w:ascii="Times New Roman" w:hAnsi="Times New Roman"/>
          <w:sz w:val="22"/>
          <w:szCs w:val="22"/>
          <w:lang w:val="sk-SK"/>
        </w:rPr>
        <w:t>. Kombinácia s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aminoglykozidmi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naopak </w:t>
      </w:r>
      <w:r w:rsidR="00F87C65">
        <w:rPr>
          <w:rFonts w:ascii="Times New Roman" w:hAnsi="Times New Roman"/>
          <w:sz w:val="22"/>
          <w:szCs w:val="22"/>
          <w:lang w:val="sk-SK"/>
        </w:rPr>
        <w:t>zosilňuje účinok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a rozširuje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spektrum, čo sa využíva v </w:t>
      </w:r>
      <w:r w:rsidR="00F87C65">
        <w:rPr>
          <w:rFonts w:ascii="Times New Roman" w:hAnsi="Times New Roman"/>
          <w:sz w:val="22"/>
          <w:szCs w:val="22"/>
          <w:lang w:val="sk-SK"/>
        </w:rPr>
        <w:t>liečbe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. Súčasné podávanie diuretík </w:t>
      </w:r>
      <w:r w:rsidR="00EC1403">
        <w:rPr>
          <w:rFonts w:ascii="Times New Roman" w:hAnsi="Times New Roman"/>
          <w:sz w:val="22"/>
          <w:szCs w:val="22"/>
          <w:lang w:val="sk-SK"/>
        </w:rPr>
        <w:t xml:space="preserve">(lieky na odvodenie)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znižuje plazmatickú koncentráciu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môže znižovať účinok </w:t>
      </w:r>
      <w:r w:rsidR="00B9610E">
        <w:rPr>
          <w:rFonts w:ascii="Times New Roman" w:hAnsi="Times New Roman"/>
          <w:sz w:val="22"/>
          <w:szCs w:val="22"/>
          <w:lang w:val="sk-SK"/>
        </w:rPr>
        <w:t>ústami</w:t>
      </w:r>
      <w:r w:rsidR="005A08B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9610E">
        <w:rPr>
          <w:rFonts w:ascii="Times New Roman" w:hAnsi="Times New Roman"/>
          <w:sz w:val="22"/>
          <w:szCs w:val="22"/>
          <w:lang w:val="sk-SK"/>
        </w:rPr>
        <w:t>užívanej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antikoncepcie obsahujúcej estrogén vzhľadom k svojmu vplyvu na bakteriálnu flóru </w:t>
      </w:r>
      <w:r w:rsidRPr="002851D6">
        <w:rPr>
          <w:rFonts w:ascii="Times New Roman" w:hAnsi="Times New Roman"/>
          <w:sz w:val="22"/>
          <w:szCs w:val="22"/>
          <w:lang w:val="sk-SK"/>
        </w:rPr>
        <w:t>zažívacie</w:t>
      </w:r>
      <w:r w:rsidR="002851D6">
        <w:rPr>
          <w:rFonts w:ascii="Times New Roman" w:hAnsi="Times New Roman"/>
          <w:sz w:val="22"/>
          <w:szCs w:val="22"/>
          <w:lang w:val="sk-SK"/>
        </w:rPr>
        <w:t>ho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traktu.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podávaní s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allopurinolom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vzrastá frekvencia výskytu alergických kožných reakcií.</w:t>
      </w:r>
    </w:p>
    <w:p w:rsidR="00EE3F98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Súčasné podávanie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spomaľuje vylučovanie; u detí do 2 rokov je však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kontraindikovaný. U pacientov liečených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antikoagulanciami</w:t>
      </w:r>
      <w:proofErr w:type="spellEnd"/>
      <w:r w:rsidR="00EC1403">
        <w:rPr>
          <w:rFonts w:ascii="Times New Roman" w:hAnsi="Times New Roman"/>
          <w:sz w:val="22"/>
          <w:szCs w:val="22"/>
          <w:lang w:val="sk-SK"/>
        </w:rPr>
        <w:t xml:space="preserve"> (lieky proti zrážaniu krvi)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je možnosť predĺženia krvácavosti.</w:t>
      </w:r>
    </w:p>
    <w:p w:rsidR="00A07F9E" w:rsidRDefault="00A07F9E" w:rsidP="00EE3F98">
      <w:pPr>
        <w:rPr>
          <w:rFonts w:ascii="Times New Roman" w:hAnsi="Times New Roman"/>
          <w:sz w:val="22"/>
          <w:szCs w:val="22"/>
          <w:lang w:val="sk-SK"/>
        </w:rPr>
      </w:pPr>
    </w:p>
    <w:p w:rsidR="00A07F9E" w:rsidRPr="00521039" w:rsidRDefault="00A07F9E" w:rsidP="00A07F9E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súčasnom </w:t>
      </w:r>
      <w:proofErr w:type="spellStart"/>
      <w:r w:rsidR="00183837">
        <w:rPr>
          <w:rFonts w:ascii="Times New Roman" w:hAnsi="Times New Roman"/>
          <w:b w:val="0"/>
          <w:sz w:val="22"/>
          <w:szCs w:val="22"/>
        </w:rPr>
        <w:t>vnútrožilovom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podaní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betalaktámových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antibiotík a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aminoglykozidov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môže </w:t>
      </w:r>
      <w:r w:rsidR="00183837">
        <w:rPr>
          <w:rFonts w:ascii="Times New Roman" w:hAnsi="Times New Roman"/>
          <w:b w:val="0"/>
          <w:sz w:val="22"/>
          <w:szCs w:val="22"/>
        </w:rPr>
        <w:t>dôjsť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k vzájomn</w:t>
      </w:r>
      <w:r w:rsidR="00183837">
        <w:rPr>
          <w:rFonts w:ascii="Times New Roman" w:hAnsi="Times New Roman"/>
          <w:b w:val="0"/>
          <w:sz w:val="22"/>
          <w:szCs w:val="22"/>
        </w:rPr>
        <w:t>ému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183837">
        <w:rPr>
          <w:rFonts w:ascii="Times New Roman" w:hAnsi="Times New Roman"/>
          <w:b w:val="0"/>
          <w:sz w:val="22"/>
          <w:szCs w:val="22"/>
        </w:rPr>
        <w:t xml:space="preserve">rušeniu ich </w:t>
      </w:r>
      <w:r w:rsidR="000F2870">
        <w:rPr>
          <w:rFonts w:ascii="Times New Roman" w:hAnsi="Times New Roman"/>
          <w:b w:val="0"/>
          <w:sz w:val="22"/>
          <w:szCs w:val="22"/>
        </w:rPr>
        <w:t>účinku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. Pokiaľ sú tieto antibakteriálne látky </w:t>
      </w:r>
      <w:r w:rsidR="00183837">
        <w:rPr>
          <w:rFonts w:ascii="Times New Roman" w:hAnsi="Times New Roman"/>
          <w:b w:val="0"/>
          <w:sz w:val="22"/>
          <w:szCs w:val="22"/>
        </w:rPr>
        <w:t>podané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následne po sebe, mali by byť </w:t>
      </w:r>
      <w:r w:rsidR="00183837">
        <w:rPr>
          <w:rFonts w:ascii="Times New Roman" w:hAnsi="Times New Roman"/>
          <w:b w:val="0"/>
          <w:sz w:val="22"/>
          <w:szCs w:val="22"/>
        </w:rPr>
        <w:t>podané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na rôzne miesta v odstupe aspoň 1 hodiny. Tieto skupiny antibiotík by sa nemali miešať v rovnakej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infúznej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fľaši či podávať rovnakou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infúznou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hadičkou.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by nemal byť pridávaný do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infúznych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roztokov, pretože je zásaditý a môže zvyšovať pH na hodnotu 8,0 a viac.</w:t>
      </w:r>
    </w:p>
    <w:p w:rsidR="00020EFF" w:rsidRPr="00020EFF" w:rsidRDefault="00020EFF" w:rsidP="00020EFF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98428C" w:rsidRPr="002851D6" w:rsidRDefault="00BE544E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AMPICILIN BIOTIKA a jedlo, nápoje a alkohol</w:t>
      </w:r>
    </w:p>
    <w:p w:rsidR="00BE544E" w:rsidRPr="00521039" w:rsidRDefault="00BE544E" w:rsidP="00BE544E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Po dobu podávania lieku sa nesmú konzumovať alkoholické nápoje.</w:t>
      </w:r>
    </w:p>
    <w:p w:rsidR="0098428C" w:rsidRPr="00521039" w:rsidRDefault="0098428C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37FB0" w:rsidRPr="00F37FB0" w:rsidRDefault="00F37FB0" w:rsidP="00F37FB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37FB0">
        <w:rPr>
          <w:rFonts w:ascii="Times New Roman" w:hAnsi="Times New Roman"/>
          <w:b/>
          <w:sz w:val="22"/>
          <w:szCs w:val="22"/>
          <w:lang w:val="sk-SK"/>
        </w:rPr>
        <w:t>Tehotenstvo, dojčenie a plodnosť</w:t>
      </w:r>
    </w:p>
    <w:p w:rsidR="00F37FB0" w:rsidRDefault="00F37FB0" w:rsidP="00F37FB0">
      <w:pPr>
        <w:rPr>
          <w:rFonts w:ascii="Times New Roman" w:hAnsi="Times New Roman"/>
          <w:sz w:val="22"/>
          <w:szCs w:val="22"/>
          <w:lang w:val="sk-SK"/>
        </w:rPr>
      </w:pPr>
      <w:r w:rsidRPr="00F37FB0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tehotná, alebo ak plánujete otehotnieť, poraďte sa so svojím lekárom alebo lekárnikom predtým, ako začnete užívať tento liek.</w:t>
      </w:r>
    </w:p>
    <w:p w:rsidR="00183837" w:rsidRDefault="00183837" w:rsidP="00183837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Penicilíny prechádzajú placentárnou bariérou a v malom množstve sa vylučujú do </w:t>
      </w:r>
      <w:r>
        <w:rPr>
          <w:rFonts w:ascii="Times New Roman" w:hAnsi="Times New Roman"/>
          <w:b w:val="0"/>
          <w:sz w:val="22"/>
          <w:szCs w:val="22"/>
        </w:rPr>
        <w:t>materského</w:t>
      </w: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 mlieka.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Aj keď reprodukčné štúdie u cicavcov nepreukázali žiadne známky poruchy </w:t>
      </w:r>
      <w:r>
        <w:rPr>
          <w:rFonts w:ascii="Times New Roman" w:hAnsi="Times New Roman"/>
          <w:b w:val="0"/>
          <w:sz w:val="22"/>
          <w:szCs w:val="22"/>
        </w:rPr>
        <w:t>plodnosti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alebo poškodenia plodu, mal by byť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používaný počas tehotenstva len keď je to nevyhnutné. </w:t>
      </w:r>
    </w:p>
    <w:p w:rsidR="00BE544E" w:rsidRPr="00521039" w:rsidRDefault="00BE544E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455A3" w:rsidRPr="001455A3" w:rsidRDefault="001455A3" w:rsidP="00145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1455A3">
        <w:rPr>
          <w:rFonts w:ascii="Times New Roman" w:hAnsi="Times New Roman"/>
          <w:b/>
          <w:sz w:val="22"/>
          <w:szCs w:val="22"/>
          <w:lang w:val="sk-SK"/>
        </w:rPr>
        <w:t>Vedenie vozidiel a obsluha strojov</w:t>
      </w:r>
    </w:p>
    <w:p w:rsidR="00474787" w:rsidRPr="00474787" w:rsidRDefault="002F58D5" w:rsidP="0047478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  <w:lang w:val="sk-SK"/>
        </w:rPr>
      </w:pP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>Údaj</w:t>
      </w:r>
      <w:r w:rsidR="0023245B">
        <w:rPr>
          <w:rFonts w:ascii="Times New Roman" w:hAnsi="Times New Roman"/>
          <w:color w:val="000000"/>
          <w:sz w:val="22"/>
          <w:szCs w:val="24"/>
          <w:lang w:val="sk-SK"/>
        </w:rPr>
        <w:t>e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o vplyv</w:t>
      </w:r>
      <w:r w:rsidR="0023245B">
        <w:rPr>
          <w:rFonts w:ascii="Times New Roman" w:hAnsi="Times New Roman"/>
          <w:color w:val="000000"/>
          <w:sz w:val="22"/>
          <w:szCs w:val="24"/>
          <w:lang w:val="sk-SK"/>
        </w:rPr>
        <w:t>e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</w:t>
      </w:r>
      <w:proofErr w:type="spellStart"/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>ampicilínu</w:t>
      </w:r>
      <w:proofErr w:type="spellEnd"/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na schopnos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vies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vozidlá a obsluhova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stroje nie sú k dispozícii.</w:t>
      </w:r>
    </w:p>
    <w:p w:rsidR="001455A3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64164" w:rsidRPr="00A64164" w:rsidRDefault="00CD24DA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CD24DA">
        <w:rPr>
          <w:rFonts w:ascii="Times New Roman" w:hAnsi="Times New Roman"/>
          <w:sz w:val="22"/>
          <w:szCs w:val="22"/>
        </w:rPr>
        <w:t>AMPICILIN BIOTIKA obsahuje sodík</w:t>
      </w:r>
    </w:p>
    <w:p w:rsidR="00474787" w:rsidRPr="00474787" w:rsidRDefault="00474787" w:rsidP="0047478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Tento liek obsahuje 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2,7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mmol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sodíka v dávke </w:t>
      </w:r>
      <w:smartTag w:uri="urn:schemas-microsoft-com:office:smarttags" w:element="metricconverter">
        <w:smartTagPr>
          <w:attr w:name="ProductID" w:val="1 g"/>
        </w:smartTagPr>
        <w:r w:rsidRPr="00474787">
          <w:rPr>
            <w:rFonts w:ascii="Times New Roman" w:hAnsi="Times New Roman"/>
            <w:color w:val="000000"/>
            <w:sz w:val="22"/>
            <w:szCs w:val="22"/>
            <w:lang w:val="sk-SK"/>
          </w:rPr>
          <w:t>1 g</w:t>
        </w:r>
      </w:smartTag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093194">
        <w:rPr>
          <w:rFonts w:ascii="Times New Roman" w:hAnsi="Times New Roman"/>
          <w:color w:val="000000"/>
          <w:sz w:val="22"/>
          <w:szCs w:val="22"/>
          <w:lang w:val="sk-SK"/>
        </w:rPr>
        <w:t>AMPICILIN BIOTIKA</w:t>
      </w: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>. Má sa vziať do úvahy u pacientov so zníženou funkciou obličiek alebo u pacientov na diéte s kontrolovaným obsahom sodíka.</w:t>
      </w:r>
    </w:p>
    <w:p w:rsidR="00474787" w:rsidRPr="00521039" w:rsidRDefault="00474787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455A3" w:rsidRPr="00521039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AC6D9B" w:rsidRDefault="00AC6D9B" w:rsidP="00AC6D9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AC6D9B">
        <w:rPr>
          <w:rFonts w:ascii="Times New Roman" w:hAnsi="Times New Roman"/>
          <w:b/>
          <w:sz w:val="22"/>
          <w:szCs w:val="22"/>
          <w:lang w:val="sk-SK"/>
        </w:rPr>
        <w:t xml:space="preserve">Ako používať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AC6D9B" w:rsidRPr="00AC6D9B" w:rsidRDefault="00AC6D9B" w:rsidP="00AC6D9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C6D9B" w:rsidRPr="00AC6D9B" w:rsidRDefault="00AC6D9B" w:rsidP="00AC6D9B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AC6D9B">
        <w:rPr>
          <w:rFonts w:ascii="Times New Roman" w:hAnsi="Times New Roman"/>
          <w:noProof/>
          <w:sz w:val="22"/>
          <w:szCs w:val="22"/>
          <w:lang w:val="sk-SK"/>
        </w:rPr>
        <w:t>Vždy používajte tento liek presne tak, ako vám povedal váš lekár alebo lekárnik. Ak si nie ste niečím istý, overte si to u svojho lekára alebo lekárnika.</w:t>
      </w:r>
    </w:p>
    <w:p w:rsidR="001455A3" w:rsidRPr="00521039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521039" w:rsidRDefault="002F58D5" w:rsidP="00AC6D9B">
      <w:pPr>
        <w:pStyle w:val="Zarkazkladnhotextu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Injekčne</w:t>
      </w:r>
      <w:r w:rsidRPr="00521039">
        <w:rPr>
          <w:rFonts w:ascii="Times New Roman" w:hAnsi="Times New Roman"/>
          <w:sz w:val="22"/>
          <w:szCs w:val="22"/>
        </w:rPr>
        <w:t xml:space="preserve"> </w:t>
      </w:r>
      <w:r w:rsidR="00AC6D9B" w:rsidRPr="00521039">
        <w:rPr>
          <w:rFonts w:ascii="Times New Roman" w:hAnsi="Times New Roman"/>
          <w:sz w:val="22"/>
          <w:szCs w:val="22"/>
        </w:rPr>
        <w:t xml:space="preserve">sa podáva </w:t>
      </w:r>
      <w:proofErr w:type="spellStart"/>
      <w:r w:rsidR="00AC6D9B" w:rsidRPr="00521039">
        <w:rPr>
          <w:rFonts w:ascii="Times New Roman" w:hAnsi="Times New Roman"/>
          <w:sz w:val="22"/>
          <w:szCs w:val="22"/>
        </w:rPr>
        <w:t>ampicilín</w:t>
      </w:r>
      <w:proofErr w:type="spellEnd"/>
      <w:r w:rsidR="00AC6D9B" w:rsidRPr="00521039">
        <w:rPr>
          <w:rFonts w:ascii="Times New Roman" w:hAnsi="Times New Roman"/>
          <w:sz w:val="22"/>
          <w:szCs w:val="22"/>
        </w:rPr>
        <w:t xml:space="preserve"> predovšetkým pri ťažkých infekciách, kedy sa musia použiť vysoké dávky, prípadne na začatie liečby, v ktorej sa pokračuje </w:t>
      </w:r>
      <w:r w:rsidR="00A24CF2">
        <w:rPr>
          <w:rFonts w:ascii="Times New Roman" w:hAnsi="Times New Roman"/>
          <w:sz w:val="22"/>
          <w:szCs w:val="22"/>
        </w:rPr>
        <w:t>ústnym</w:t>
      </w:r>
      <w:r w:rsidR="00A24CF2" w:rsidRPr="00521039">
        <w:rPr>
          <w:rFonts w:ascii="Times New Roman" w:hAnsi="Times New Roman"/>
          <w:sz w:val="22"/>
          <w:szCs w:val="22"/>
        </w:rPr>
        <w:t xml:space="preserve"> </w:t>
      </w:r>
      <w:r w:rsidR="00AC6D9B" w:rsidRPr="00521039">
        <w:rPr>
          <w:rFonts w:ascii="Times New Roman" w:hAnsi="Times New Roman"/>
          <w:sz w:val="22"/>
          <w:szCs w:val="22"/>
        </w:rPr>
        <w:t xml:space="preserve">podávaním </w:t>
      </w:r>
      <w:proofErr w:type="spellStart"/>
      <w:r w:rsidR="00AC6D9B" w:rsidRPr="00521039">
        <w:rPr>
          <w:rFonts w:ascii="Times New Roman" w:hAnsi="Times New Roman"/>
          <w:sz w:val="22"/>
          <w:szCs w:val="22"/>
        </w:rPr>
        <w:t>ampicilínu</w:t>
      </w:r>
      <w:proofErr w:type="spellEnd"/>
      <w:r w:rsidR="00AC6D9B" w:rsidRPr="00521039">
        <w:rPr>
          <w:rFonts w:ascii="Times New Roman" w:hAnsi="Times New Roman"/>
          <w:sz w:val="22"/>
          <w:szCs w:val="22"/>
        </w:rPr>
        <w:t xml:space="preserve">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Denná dávka sa rozdeľuje na 4 dávky, ktoré sa aplikujú </w:t>
      </w:r>
      <w:r w:rsidR="00895521">
        <w:rPr>
          <w:rFonts w:ascii="Times New Roman" w:hAnsi="Times New Roman"/>
          <w:sz w:val="22"/>
          <w:szCs w:val="22"/>
          <w:lang w:val="sk-SK"/>
        </w:rPr>
        <w:t>do svalu</w:t>
      </w:r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="00117EC8" w:rsidRPr="00521039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v 6 hodinových intervaloch. Dávky do </w:t>
      </w:r>
      <w:smartTag w:uri="urn:schemas-microsoft-com:office:smarttags" w:element="metricconverter">
        <w:smartTagPr>
          <w:attr w:name="ProductID" w:val="6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6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denne po 1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1,5 v</w:t>
      </w:r>
      <w:r w:rsidR="00E50A46">
        <w:rPr>
          <w:rFonts w:ascii="Times New Roman" w:hAnsi="Times New Roman"/>
          <w:sz w:val="22"/>
          <w:szCs w:val="22"/>
          <w:lang w:val="sk-SK"/>
        </w:rPr>
        <w:t> </w:t>
      </w:r>
      <w:r w:rsidRPr="00521039">
        <w:rPr>
          <w:rFonts w:ascii="Times New Roman" w:hAnsi="Times New Roman"/>
          <w:sz w:val="22"/>
          <w:szCs w:val="22"/>
          <w:lang w:val="sk-SK"/>
        </w:rPr>
        <w:t>4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6 čiastkových dávkach, vyššie dávky nad </w:t>
      </w:r>
      <w:smartTag w:uri="urn:schemas-microsoft-com:office:smarttags" w:element="metricconverter">
        <w:smartTagPr>
          <w:attr w:name="ProductID" w:val="6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6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denne sa podávajú </w:t>
      </w:r>
      <w:proofErr w:type="spellStart"/>
      <w:r w:rsidR="00117EC8" w:rsidRPr="00521039">
        <w:rPr>
          <w:rFonts w:ascii="Times New Roman" w:hAnsi="Times New Roman"/>
          <w:sz w:val="22"/>
          <w:szCs w:val="22"/>
          <w:lang w:val="sk-SK"/>
        </w:rPr>
        <w:t>vnútrožilovou</w:t>
      </w:r>
      <w:proofErr w:type="spellEnd"/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infúziou.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Dospelým sa obyčajne podáva denná dávka 2 - </w:t>
      </w:r>
      <w:smartTag w:uri="urn:schemas-microsoft-com:office:smarttags" w:element="metricconverter">
        <w:smartTagPr>
          <w:attr w:name="ProductID" w:val="3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3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, t.j. 500 mg každých 4 až 6 hodín, pri ťažších infekciách až 200 mg/kg telesnej hmotnosti a deň. </w:t>
      </w:r>
    </w:p>
    <w:p w:rsidR="00233798" w:rsidRPr="00521039" w:rsidRDefault="00233798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233798" w:rsidRPr="00521039" w:rsidRDefault="00CD24DA" w:rsidP="00AC6D9B">
      <w:pPr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Použitie u detí a dospievajúcich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Denná dávka pre deti je 1,7 - 2,3 g/m</w:t>
      </w:r>
      <w:r w:rsidRPr="00521039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telesného povrchu alebo 50 - 400 mg/kg telesnej hmotnosti, t. j.: 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deťom do 1 roku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0,25 - 1,0 g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od 1 roku do 6 rokov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1,0   - 2,0 g</w:t>
      </w:r>
    </w:p>
    <w:p w:rsidR="00AC6D9B" w:rsidRPr="00521039" w:rsidRDefault="00AC6D9B" w:rsidP="00521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80"/>
        </w:tabs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od 6 do 15 rokov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2,0   - 4,0 g</w:t>
      </w:r>
    </w:p>
    <w:p w:rsidR="00233798" w:rsidRPr="00521039" w:rsidRDefault="00233798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Pri liečbe nosičov salmonel je denná dávka pre dospelých 6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8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8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v dávkach v 6 hodinových intervaloch, z toho 4 krát denne po 0,5 g </w:t>
      </w:r>
      <w:proofErr w:type="spellStart"/>
      <w:r w:rsidR="00E50A46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v prvom týždni liečby a v ďalších týždňoch liečby </w:t>
      </w:r>
      <w:smartTag w:uri="urn:schemas-microsoft-com:office:smarttags" w:element="metricconverter">
        <w:smartTagPr>
          <w:attr w:name="ProductID" w:val="1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84547" w:rsidRPr="008977D8">
        <w:rPr>
          <w:rFonts w:ascii="Times New Roman" w:hAnsi="Times New Roman"/>
          <w:sz w:val="22"/>
          <w:szCs w:val="22"/>
          <w:lang w:val="sk-SK"/>
        </w:rPr>
        <w:t>úst</w:t>
      </w:r>
      <w:r w:rsidR="00A640AD">
        <w:rPr>
          <w:rFonts w:ascii="Times New Roman" w:hAnsi="Times New Roman"/>
          <w:sz w:val="22"/>
          <w:szCs w:val="22"/>
          <w:lang w:val="sk-SK"/>
        </w:rPr>
        <w:t>ami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v 8 hodinových intervaloch. Súčasne sa </w:t>
      </w:r>
      <w:r w:rsidR="00A24CF2">
        <w:rPr>
          <w:rFonts w:ascii="Times New Roman" w:hAnsi="Times New Roman"/>
          <w:sz w:val="22"/>
          <w:szCs w:val="22"/>
          <w:lang w:val="sk-SK"/>
        </w:rPr>
        <w:t>podáva</w:t>
      </w:r>
      <w:r w:rsidR="00A24C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2 krát denne po </w:t>
      </w:r>
      <w:smartTag w:uri="urn:schemas-microsoft-com:office:smarttags" w:element="metricconverter">
        <w:smartTagPr>
          <w:attr w:name="ProductID" w:val="1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na udržanie vysokých plazmatických hladín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ťažkých bakteriálnych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meningitídach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sa denne podáva až 400 mg/kg telesnej hmotnosti </w:t>
      </w:r>
      <w:proofErr w:type="spellStart"/>
      <w:r w:rsidR="00484547">
        <w:rPr>
          <w:rFonts w:ascii="Times New Roman" w:hAnsi="Times New Roman"/>
          <w:sz w:val="22"/>
          <w:szCs w:val="22"/>
          <w:lang w:val="sk-SK"/>
        </w:rPr>
        <w:t>vnútrožilovou</w:t>
      </w:r>
      <w:proofErr w:type="spellEnd"/>
      <w:r w:rsidR="0048454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injekciou alebo infúziou. </w:t>
      </w:r>
      <w:r w:rsidR="00FF24C2" w:rsidRPr="00521039">
        <w:rPr>
          <w:rFonts w:ascii="Times New Roman" w:hAnsi="Times New Roman"/>
          <w:sz w:val="22"/>
          <w:szCs w:val="22"/>
          <w:lang w:val="sk-SK"/>
        </w:rPr>
        <w:t xml:space="preserve">AMPICILIN BIOTIKA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je možno podať i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intratekálne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(</w:t>
      </w:r>
      <w:r w:rsidR="00750A68" w:rsidRPr="00521039">
        <w:rPr>
          <w:rFonts w:ascii="Times New Roman" w:hAnsi="Times New Roman"/>
          <w:sz w:val="22"/>
          <w:szCs w:val="22"/>
          <w:lang w:val="sk-SK"/>
        </w:rPr>
        <w:t xml:space="preserve">aplikácia do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priestor</w:t>
      </w:r>
      <w:r w:rsidR="00750A68" w:rsidRPr="00521039">
        <w:rPr>
          <w:rFonts w:ascii="Times New Roman" w:hAnsi="Times New Roman"/>
          <w:sz w:val="22"/>
          <w:szCs w:val="22"/>
          <w:lang w:val="sk-SK"/>
        </w:rPr>
        <w:t>u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 xml:space="preserve"> medzi 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>mozgom a jemnou blanou mozgu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 xml:space="preserve">alebo medzi miechou a jemnou blanou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miech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 xml:space="preserve">y)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v jednej dennej dávke: deťom do dvoch rokov 5 - 10 mg, deťom od 2 do 12 rokov 10 - 20 mg, dospelým 20 - 40 mg.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výrazne zníženej funkcii obličiek sa udržiavacia dávka zníži na 2/3, prípadne až na 1/3 alebo sa dávkovací interval predĺži na 8 až 12 hodín. Pri </w:t>
      </w:r>
      <w:r w:rsidR="001247F8">
        <w:rPr>
          <w:rFonts w:ascii="Times New Roman" w:hAnsi="Times New Roman"/>
          <w:sz w:val="22"/>
          <w:szCs w:val="22"/>
          <w:lang w:val="sk-SK"/>
        </w:rPr>
        <w:t>poruche funkcie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pečene s predĺženým biologickým polčasom treba dávky primerane znížiť. Podávanie antibiotika pri bežných infekciách má trvať 7 - 14 dní, pri ťažkých aj dlhšie.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Injekčný roztok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sa pripravuje tesne pred použitím.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Na</w:t>
      </w:r>
      <w:r w:rsidR="001072C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9C3F98">
        <w:rPr>
          <w:rFonts w:ascii="Times New Roman" w:hAnsi="Times New Roman"/>
          <w:sz w:val="22"/>
          <w:szCs w:val="22"/>
          <w:lang w:val="sk-SK"/>
        </w:rPr>
        <w:t>vnútrosvalovú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aplikáciu sa roztok pripraví rozpustením 0,5 g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v 2 až 3 ml (1,0 g v 4 až 6 ml) vody na injekciu a </w:t>
      </w:r>
      <w:r w:rsidR="004B061F">
        <w:rPr>
          <w:rFonts w:ascii="Times New Roman" w:hAnsi="Times New Roman"/>
          <w:sz w:val="22"/>
          <w:szCs w:val="22"/>
          <w:lang w:val="sk-SK"/>
        </w:rPr>
        <w:t>podáva</w:t>
      </w:r>
      <w:r w:rsidR="004B061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sa hlboko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intragluteálne</w:t>
      </w:r>
      <w:proofErr w:type="spellEnd"/>
      <w:r w:rsidR="00F439D3">
        <w:rPr>
          <w:rFonts w:ascii="Times New Roman" w:hAnsi="Times New Roman"/>
          <w:sz w:val="22"/>
          <w:szCs w:val="22"/>
          <w:lang w:val="sk-SK"/>
        </w:rPr>
        <w:t xml:space="preserve"> (do sedacieho svalu)</w:t>
      </w:r>
      <w:r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Injekčný roztok na pomalú </w:t>
      </w:r>
      <w:proofErr w:type="spellStart"/>
      <w:r w:rsidR="00F100FF">
        <w:rPr>
          <w:rFonts w:ascii="Times New Roman" w:hAnsi="Times New Roman"/>
          <w:sz w:val="22"/>
          <w:szCs w:val="22"/>
          <w:lang w:val="sk-SK"/>
        </w:rPr>
        <w:t>vnútrožilovú</w:t>
      </w:r>
      <w:proofErr w:type="spellEnd"/>
      <w:r w:rsidR="00F100F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injekciu sa pripraví rozpustením 0,5 g v 10 až 30 ml (1,0 g v 20 až 60 ml)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izotonického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Roztok na </w:t>
      </w:r>
      <w:proofErr w:type="spellStart"/>
      <w:r w:rsidR="00F100FF">
        <w:rPr>
          <w:rFonts w:ascii="Times New Roman" w:hAnsi="Times New Roman"/>
          <w:sz w:val="22"/>
          <w:szCs w:val="22"/>
          <w:lang w:val="sk-SK"/>
        </w:rPr>
        <w:t>vnútrožilovú</w:t>
      </w:r>
      <w:proofErr w:type="spellEnd"/>
      <w:r w:rsidR="00F100F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infúziu sa pripraví v koncentrácii 0,2 až 3,0 % vo vhodnom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infúznom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Roztok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intratekálnu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aplikáciu </w:t>
      </w:r>
      <w:r w:rsidR="007401C4">
        <w:rPr>
          <w:rFonts w:ascii="Times New Roman" w:hAnsi="Times New Roman"/>
          <w:sz w:val="22"/>
          <w:szCs w:val="22"/>
          <w:lang w:val="sk-SK"/>
        </w:rPr>
        <w:t>(</w:t>
      </w:r>
      <w:r w:rsidR="007401C4" w:rsidRPr="00521039">
        <w:rPr>
          <w:rFonts w:ascii="Times New Roman" w:hAnsi="Times New Roman"/>
          <w:sz w:val="22"/>
          <w:szCs w:val="22"/>
          <w:lang w:val="sk-SK"/>
        </w:rPr>
        <w:t>aplikáci</w:t>
      </w:r>
      <w:r w:rsidR="007401C4">
        <w:rPr>
          <w:rFonts w:ascii="Times New Roman" w:hAnsi="Times New Roman"/>
          <w:sz w:val="22"/>
          <w:szCs w:val="22"/>
          <w:lang w:val="sk-SK"/>
        </w:rPr>
        <w:t>u</w:t>
      </w:r>
      <w:r w:rsidR="007401C4" w:rsidRPr="00521039">
        <w:rPr>
          <w:rFonts w:ascii="Times New Roman" w:hAnsi="Times New Roman"/>
          <w:sz w:val="22"/>
          <w:szCs w:val="22"/>
          <w:lang w:val="sk-SK"/>
        </w:rPr>
        <w:t xml:space="preserve"> do priestoru medzi mozgom a jemnou blanou mozgu, alebo medzi miechou a jemnou blanou miechy</w:t>
      </w:r>
      <w:r w:rsidR="007401C4">
        <w:rPr>
          <w:rFonts w:ascii="Times New Roman" w:hAnsi="Times New Roman"/>
          <w:sz w:val="22"/>
          <w:szCs w:val="22"/>
          <w:lang w:val="sk-SK"/>
        </w:rPr>
        <w:t xml:space="preserve">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sa pripraví v koncentrácii 1 až 2 % v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Deťom do 2 rokov sa podá 0,5 ml, od 2 do 12 rokov 1 ml a dospelým 2 ml 1</w:t>
      </w:r>
      <w:r w:rsidR="007F7236">
        <w:rPr>
          <w:rFonts w:ascii="Times New Roman" w:hAnsi="Times New Roman"/>
          <w:sz w:val="22"/>
          <w:szCs w:val="22"/>
          <w:lang w:val="sk-SK"/>
        </w:rPr>
        <w:t xml:space="preserve"> – </w:t>
      </w:r>
      <w:r w:rsidRPr="00521039">
        <w:rPr>
          <w:rFonts w:ascii="Times New Roman" w:hAnsi="Times New Roman"/>
          <w:sz w:val="22"/>
          <w:szCs w:val="22"/>
          <w:lang w:val="sk-SK"/>
        </w:rPr>
        <w:t>2</w:t>
      </w:r>
      <w:r w:rsidR="007F72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% roztoku antibiotika v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 chloridu sodného.</w:t>
      </w:r>
    </w:p>
    <w:p w:rsidR="00AC6D9B" w:rsidRPr="00521039" w:rsidRDefault="00AC6D9B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7401C4" w:rsidRDefault="00FA1CF1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</w:t>
      </w:r>
      <w:r w:rsidR="002F6F1C">
        <w:rPr>
          <w:rFonts w:ascii="Times New Roman" w:hAnsi="Times New Roman"/>
          <w:sz w:val="22"/>
          <w:szCs w:val="22"/>
        </w:rPr>
        <w:t xml:space="preserve">dostanete </w:t>
      </w:r>
      <w:r>
        <w:rPr>
          <w:rFonts w:ascii="Times New Roman" w:hAnsi="Times New Roman"/>
          <w:sz w:val="22"/>
          <w:szCs w:val="22"/>
        </w:rPr>
        <w:t>viac AMPICILINU BIOTIKA, ako máte</w:t>
      </w:r>
    </w:p>
    <w:p w:rsidR="00AA67AA" w:rsidRDefault="00991CE7" w:rsidP="00FA1C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Je nepravdepodobné, že vám mohli podať viac lieku</w:t>
      </w:r>
      <w:r w:rsidR="00033290">
        <w:rPr>
          <w:rFonts w:ascii="Times New Roman" w:hAnsi="Times New Roman"/>
          <w:sz w:val="22"/>
          <w:szCs w:val="22"/>
          <w:lang w:val="sk-SK"/>
        </w:rPr>
        <w:t>. Ak si ale myslíte, že ste dostali</w:t>
      </w:r>
      <w:r>
        <w:rPr>
          <w:rFonts w:ascii="Times New Roman" w:hAnsi="Times New Roman"/>
          <w:sz w:val="22"/>
          <w:szCs w:val="22"/>
          <w:lang w:val="sk-SK"/>
        </w:rPr>
        <w:t xml:space="preserve"> príliš veľa lieku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AMPICILINU BIOTIKA, povedzte to okamžite svojmu lekárovi alebo zdravotnej sestre.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A1CF1" w:rsidRPr="00521039">
        <w:rPr>
          <w:rFonts w:ascii="Times New Roman" w:hAnsi="Times New Roman"/>
          <w:sz w:val="22"/>
          <w:szCs w:val="22"/>
          <w:lang w:val="sk-SK"/>
        </w:rPr>
        <w:t xml:space="preserve">Vzhľadom na veľkú terapeutickú šírku nebolo predávkovanie </w:t>
      </w:r>
      <w:proofErr w:type="spellStart"/>
      <w:r w:rsidR="00FA1CF1" w:rsidRPr="00521039">
        <w:rPr>
          <w:rFonts w:ascii="Times New Roman" w:hAnsi="Times New Roman"/>
          <w:sz w:val="22"/>
          <w:szCs w:val="22"/>
          <w:lang w:val="sk-SK"/>
        </w:rPr>
        <w:t>ampicilínom</w:t>
      </w:r>
      <w:proofErr w:type="spellEnd"/>
      <w:r w:rsidR="00FA1CF1" w:rsidRPr="00521039">
        <w:rPr>
          <w:rFonts w:ascii="Times New Roman" w:hAnsi="Times New Roman"/>
          <w:sz w:val="22"/>
          <w:szCs w:val="22"/>
          <w:lang w:val="sk-SK"/>
        </w:rPr>
        <w:t xml:space="preserve"> popísané. </w:t>
      </w:r>
    </w:p>
    <w:p w:rsidR="00AA67AA" w:rsidRPr="00521039" w:rsidRDefault="00FA1CF1" w:rsidP="00FA1CF1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Pri prípadnom predávkovaní by bol terapeutický postup symptomatický, prípadne by bola indikovaná hemodialýza.</w:t>
      </w:r>
    </w:p>
    <w:p w:rsidR="00AC6D9B" w:rsidRDefault="00AC6D9B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F639D" w:rsidRDefault="00FF639D" w:rsidP="00FF639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 xml:space="preserve">vám 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>zabudn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>ú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 po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>dať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AA67AA" w:rsidRPr="00AA67AA" w:rsidRDefault="00CD24DA" w:rsidP="00AA67AA">
      <w:pPr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Ke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ďž</w:t>
      </w:r>
      <w:r w:rsidRPr="00CD24DA">
        <w:rPr>
          <w:rFonts w:ascii="Times New Roman" w:hAnsi="Times New Roman"/>
          <w:sz w:val="22"/>
          <w:szCs w:val="22"/>
          <w:lang w:val="sk-SK"/>
        </w:rPr>
        <w:t>e tento liek v</w:t>
      </w:r>
      <w:r w:rsidR="00C34BA8">
        <w:rPr>
          <w:rFonts w:ascii="Times New Roman" w:hAnsi="Times New Roman"/>
          <w:sz w:val="22"/>
          <w:szCs w:val="22"/>
          <w:lang w:val="sk-SK"/>
        </w:rPr>
        <w:t>ám budú podávať pod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 lekárskym doh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adom, je nepravdepodobné, že dôjde k vynechaniu dávky. Ak si však myslíte, že sa na dávku zabudlo, oznámte to svojmu lekárovi alebo lekárnikovi.</w:t>
      </w:r>
    </w:p>
    <w:p w:rsidR="00C17078" w:rsidRPr="002E6E09" w:rsidRDefault="00CD24DA" w:rsidP="00C17078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CD24DA">
        <w:rPr>
          <w:rFonts w:ascii="Times New Roman" w:hAnsi="Times New Roman"/>
          <w:bCs/>
          <w:sz w:val="22"/>
          <w:szCs w:val="22"/>
          <w:lang w:val="sk-SK"/>
        </w:rPr>
        <w:t>Vynechaná dávka sa vám nebude nahrádza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ť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 podaním dvojitej dávky. </w:t>
      </w:r>
    </w:p>
    <w:p w:rsidR="00FF639D" w:rsidRPr="00FF639D" w:rsidRDefault="00FF639D" w:rsidP="00FF639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FF639D" w:rsidRPr="00FF639D" w:rsidRDefault="00FF639D" w:rsidP="00FF639D">
      <w:pPr>
        <w:rPr>
          <w:rFonts w:ascii="Times New Roman" w:hAnsi="Times New Roman"/>
          <w:sz w:val="22"/>
          <w:szCs w:val="22"/>
          <w:lang w:val="sk-SK"/>
        </w:rPr>
      </w:pPr>
      <w:r w:rsidRPr="00FF639D">
        <w:rPr>
          <w:rFonts w:ascii="Times New Roman" w:hAnsi="Times New Roman"/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662DEB" w:rsidRPr="00662DEB" w:rsidRDefault="00662DEB" w:rsidP="00662DE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662DEB">
        <w:rPr>
          <w:rFonts w:ascii="Times New Roman" w:hAnsi="Times New Roman"/>
          <w:b/>
          <w:sz w:val="22"/>
          <w:szCs w:val="22"/>
          <w:lang w:val="sk-SK"/>
        </w:rPr>
        <w:t>Možné vedľajšie účinky</w:t>
      </w:r>
    </w:p>
    <w:p w:rsidR="00662DEB" w:rsidRPr="00662DEB" w:rsidRDefault="00662DEB" w:rsidP="00662D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662DEB" w:rsidRPr="00662DEB" w:rsidRDefault="00662DEB" w:rsidP="00662DEB">
      <w:pPr>
        <w:numPr>
          <w:ilvl w:val="12"/>
          <w:numId w:val="0"/>
        </w:numPr>
        <w:ind w:right="-29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662DEB">
        <w:rPr>
          <w:rFonts w:ascii="Times New Roman" w:hAnsi="Times New Roman"/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662DEB" w:rsidRDefault="00662DEB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4650D9" w:rsidRDefault="004650D9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Nežiaduce účinky sa objavujú najčastejšie medzi 7. až 10. dňom od začiatku liečby a vyskytujú sa u 10 až 15 % pacientov.</w:t>
      </w:r>
    </w:p>
    <w:p w:rsidR="007F7236" w:rsidRPr="003870BB" w:rsidRDefault="007F7236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2E6E09" w:rsidRPr="002650ED" w:rsidRDefault="00CD24DA" w:rsidP="00662DEB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krvi a lymfatického systému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024D28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poruchy krvotvorby,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purpura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(kožný výsev drobných bodkových krvácaní),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(nedostatok krvných došti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="00014F92" w:rsidRPr="00014F92">
        <w:rPr>
          <w:rFonts w:ascii="Times New Roman" w:hAnsi="Times New Roman"/>
          <w:sz w:val="22"/>
          <w:szCs w:val="22"/>
          <w:lang w:val="sk-SK"/>
        </w:rPr>
        <w:t>iek)</w:t>
      </w:r>
    </w:p>
    <w:p w:rsidR="005F2483" w:rsidRDefault="005F2483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80789D" w:rsidRPr="0080789D" w:rsidRDefault="0080789D" w:rsidP="00662DEB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Poruchy imunitného systému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riziko skríženej precitlivenosti s</w:t>
      </w:r>
      <w:r w:rsidR="00014F92">
        <w:rPr>
          <w:rFonts w:ascii="Times New Roman" w:hAnsi="Times New Roman"/>
          <w:sz w:val="22"/>
          <w:szCs w:val="22"/>
          <w:lang w:val="sk-SK"/>
        </w:rPr>
        <w:t> </w:t>
      </w:r>
      <w:r w:rsidRPr="00CD24DA">
        <w:rPr>
          <w:rFonts w:ascii="Times New Roman" w:hAnsi="Times New Roman"/>
          <w:sz w:val="22"/>
          <w:szCs w:val="22"/>
          <w:lang w:val="sk-SK"/>
        </w:rPr>
        <w:t>penicilínmi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lastRenderedPageBreak/>
        <w:t>riziko skríženej p</w:t>
      </w:r>
      <w:r w:rsidR="00014F92" w:rsidRPr="00014F92">
        <w:rPr>
          <w:rFonts w:ascii="Times New Roman" w:hAnsi="Times New Roman"/>
          <w:sz w:val="22"/>
          <w:szCs w:val="22"/>
          <w:lang w:val="sk-SK"/>
        </w:rPr>
        <w:t>recitlivenosti s</w:t>
      </w:r>
      <w:r w:rsidR="00F31C16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014F92" w:rsidRPr="00014F92">
        <w:rPr>
          <w:rFonts w:ascii="Times New Roman" w:hAnsi="Times New Roman"/>
          <w:sz w:val="22"/>
          <w:szCs w:val="22"/>
          <w:lang w:val="sk-SK"/>
        </w:rPr>
        <w:t>cefalosporínmi</w:t>
      </w:r>
      <w:proofErr w:type="spellEnd"/>
      <w:r w:rsidR="00F31C16">
        <w:rPr>
          <w:rFonts w:ascii="Times New Roman" w:hAnsi="Times New Roman"/>
          <w:sz w:val="22"/>
          <w:szCs w:val="22"/>
          <w:lang w:val="sk-SK"/>
        </w:rPr>
        <w:t>, prudká alergická reakcia (</w:t>
      </w:r>
      <w:proofErr w:type="spellStart"/>
      <w:r w:rsidR="00F31C16">
        <w:rPr>
          <w:rFonts w:ascii="Times New Roman" w:hAnsi="Times New Roman"/>
          <w:sz w:val="22"/>
          <w:szCs w:val="22"/>
          <w:lang w:val="sk-SK"/>
        </w:rPr>
        <w:t>anafylaktická</w:t>
      </w:r>
      <w:proofErr w:type="spellEnd"/>
      <w:r w:rsidR="00F31C16">
        <w:rPr>
          <w:rFonts w:ascii="Times New Roman" w:hAnsi="Times New Roman"/>
          <w:sz w:val="22"/>
          <w:szCs w:val="22"/>
          <w:lang w:val="sk-SK"/>
        </w:rPr>
        <w:t xml:space="preserve"> reakcia)</w:t>
      </w:r>
      <w:r w:rsidR="00877741">
        <w:rPr>
          <w:rFonts w:ascii="Times New Roman" w:hAnsi="Times New Roman"/>
          <w:sz w:val="22"/>
          <w:szCs w:val="22"/>
          <w:lang w:val="sk-SK"/>
        </w:rPr>
        <w:t>,</w:t>
      </w:r>
      <w:r w:rsidR="00F31C16">
        <w:rPr>
          <w:rFonts w:ascii="Times New Roman" w:hAnsi="Times New Roman"/>
          <w:sz w:val="22"/>
          <w:szCs w:val="22"/>
          <w:lang w:val="sk-SK"/>
        </w:rPr>
        <w:t xml:space="preserve"> ktorá sa prejavuje ťažkosťami s dýchaním, poklesom krvného tlaku</w:t>
      </w:r>
      <w:r w:rsidR="00244B76">
        <w:rPr>
          <w:rFonts w:ascii="Times New Roman" w:hAnsi="Times New Roman"/>
          <w:sz w:val="22"/>
          <w:szCs w:val="22"/>
          <w:lang w:val="sk-SK"/>
        </w:rPr>
        <w:t>, opuchom</w:t>
      </w:r>
      <w:r w:rsidR="00F46D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6293D">
        <w:rPr>
          <w:rFonts w:ascii="Times New Roman" w:hAnsi="Times New Roman"/>
          <w:sz w:val="22"/>
          <w:szCs w:val="22"/>
          <w:lang w:val="sk-SK"/>
        </w:rPr>
        <w:t>pier, jazyka</w:t>
      </w:r>
      <w:r w:rsidR="00507E1F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CE4017">
        <w:rPr>
          <w:rFonts w:ascii="Times New Roman" w:hAnsi="Times New Roman"/>
          <w:sz w:val="22"/>
          <w:szCs w:val="22"/>
          <w:lang w:val="sk-SK"/>
        </w:rPr>
        <w:t xml:space="preserve">a </w:t>
      </w:r>
      <w:r w:rsidR="00507E1F">
        <w:rPr>
          <w:rFonts w:ascii="Times New Roman" w:hAnsi="Times New Roman"/>
          <w:sz w:val="22"/>
          <w:szCs w:val="22"/>
          <w:lang w:val="sk-SK"/>
        </w:rPr>
        <w:t>môže byť život</w:t>
      </w:r>
      <w:r w:rsidR="00A1529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07E1F">
        <w:rPr>
          <w:rFonts w:ascii="Times New Roman" w:hAnsi="Times New Roman"/>
          <w:sz w:val="22"/>
          <w:szCs w:val="22"/>
          <w:lang w:val="sk-SK"/>
        </w:rPr>
        <w:t>ohrozujúca</w:t>
      </w:r>
    </w:p>
    <w:p w:rsidR="005F2483" w:rsidRDefault="005F2483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5F2483" w:rsidRPr="005F2483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Psychiatrické poruchy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poruchy spánku a osobnosti</w:t>
      </w:r>
    </w:p>
    <w:p w:rsidR="005F2483" w:rsidRDefault="005F2483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5F2483" w:rsidRPr="003E417F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nervového systému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bolesti hlavy</w:t>
      </w:r>
    </w:p>
    <w:p w:rsidR="003E417F" w:rsidRDefault="003E417F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3E417F" w:rsidRPr="00C95843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 xml:space="preserve">Poruchy </w:t>
      </w:r>
      <w:proofErr w:type="spellStart"/>
      <w:r w:rsidRPr="00CD24DA">
        <w:rPr>
          <w:rFonts w:ascii="Times New Roman" w:hAnsi="Times New Roman"/>
          <w:b/>
          <w:sz w:val="22"/>
          <w:szCs w:val="22"/>
          <w:lang w:val="sk-SK"/>
        </w:rPr>
        <w:t>gastrointestinálneho</w:t>
      </w:r>
      <w:proofErr w:type="spellEnd"/>
      <w:r w:rsidRPr="00CD24DA">
        <w:rPr>
          <w:rFonts w:ascii="Times New Roman" w:hAnsi="Times New Roman"/>
          <w:b/>
          <w:sz w:val="22"/>
          <w:szCs w:val="22"/>
          <w:lang w:val="sk-SK"/>
        </w:rPr>
        <w:t xml:space="preserve"> traktu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nevo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nos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ť</w:t>
      </w:r>
      <w:r w:rsidRPr="00CD24DA">
        <w:rPr>
          <w:rFonts w:ascii="Times New Roman" w:hAnsi="Times New Roman"/>
          <w:sz w:val="22"/>
          <w:szCs w:val="22"/>
          <w:lang w:val="sk-SK"/>
        </w:rPr>
        <w:t>, hna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>ka, vracanie</w:t>
      </w:r>
    </w:p>
    <w:p w:rsidR="00601531" w:rsidRDefault="00CD24DA">
      <w:pPr>
        <w:pStyle w:val="Odsekzoznamu"/>
        <w:numPr>
          <w:ilvl w:val="0"/>
          <w:numId w:val="7"/>
        </w:numPr>
        <w:tabs>
          <w:tab w:val="left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pseudomembranózna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kolitída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(zápal hrubého 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reva spôsobený baktériami, prejavujúci sa vodnatou </w:t>
      </w:r>
      <w:r w:rsidRPr="00AA0440">
        <w:rPr>
          <w:rFonts w:ascii="Times New Roman" w:hAnsi="Times New Roman"/>
          <w:sz w:val="22"/>
          <w:szCs w:val="22"/>
          <w:lang w:val="sk-SK"/>
        </w:rPr>
        <w:t>hna</w:t>
      </w:r>
      <w:r w:rsidRPr="00AA0440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AA0440">
        <w:rPr>
          <w:rFonts w:ascii="Times New Roman" w:hAnsi="Times New Roman"/>
          <w:sz w:val="22"/>
          <w:szCs w:val="22"/>
          <w:lang w:val="sk-SK"/>
        </w:rPr>
        <w:t>kou s prímesou krvi alebo hlienu, horú</w:t>
      </w:r>
      <w:r w:rsidRPr="00AA0440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AA0440">
        <w:rPr>
          <w:rFonts w:ascii="Times New Roman" w:hAnsi="Times New Roman"/>
          <w:sz w:val="22"/>
          <w:szCs w:val="22"/>
          <w:lang w:val="sk-SK"/>
        </w:rPr>
        <w:t>kou, boles</w:t>
      </w:r>
      <w:r w:rsidRPr="00AA0440">
        <w:rPr>
          <w:rFonts w:ascii="Times New Roman" w:hAnsi="Times New Roman" w:hint="eastAsia"/>
          <w:sz w:val="22"/>
          <w:szCs w:val="22"/>
          <w:lang w:val="sk-SK"/>
        </w:rPr>
        <w:t>ť</w:t>
      </w:r>
      <w:r w:rsidRPr="00AA0440">
        <w:rPr>
          <w:rFonts w:ascii="Times New Roman" w:hAnsi="Times New Roman"/>
          <w:sz w:val="22"/>
          <w:szCs w:val="22"/>
          <w:lang w:val="sk-SK"/>
        </w:rPr>
        <w:t>ami brucha</w:t>
      </w:r>
      <w:r w:rsidRPr="00CD24DA">
        <w:rPr>
          <w:rFonts w:ascii="Times New Roman" w:hAnsi="Times New Roman"/>
          <w:sz w:val="22"/>
          <w:szCs w:val="22"/>
          <w:lang w:val="sk-SK"/>
        </w:rPr>
        <w:t>)</w:t>
      </w:r>
    </w:p>
    <w:p w:rsidR="009051E5" w:rsidRDefault="009051E5" w:rsidP="00014F92">
      <w:pPr>
        <w:tabs>
          <w:tab w:val="left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9051E5" w:rsidRPr="009051E5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pe</w:t>
      </w:r>
      <w:r w:rsidRPr="00CD24DA">
        <w:rPr>
          <w:rFonts w:ascii="Times New Roman" w:hAnsi="Times New Roman" w:hint="eastAsia"/>
          <w:b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b/>
          <w:sz w:val="22"/>
          <w:szCs w:val="22"/>
          <w:lang w:val="sk-SK"/>
        </w:rPr>
        <w:t>ene a žl</w:t>
      </w:r>
      <w:r w:rsidRPr="00CD24DA">
        <w:rPr>
          <w:rFonts w:ascii="Times New Roman" w:hAnsi="Times New Roman" w:hint="eastAsia"/>
          <w:b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b/>
          <w:sz w:val="22"/>
          <w:szCs w:val="22"/>
          <w:lang w:val="sk-SK"/>
        </w:rPr>
        <w:t>ových ciest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poruchy funkcie pe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>ene</w:t>
      </w:r>
    </w:p>
    <w:p w:rsidR="009051E5" w:rsidRDefault="009051E5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3E417F" w:rsidRPr="00471E5F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kože a podkožného tkaniva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vyrážky, žih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avka, svrbenie (u 6 až 8 % osôb)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Stevensov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- 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Johnsonov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syndróm</w:t>
      </w:r>
      <w:r w:rsidR="0048558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(závažná, rozsiahla 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>vyrážka s p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uzgiermi a odlupujúcou sa kožou, najmä v okolí 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ú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>st, nosa, o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čí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 a pohlavných orgánov</w:t>
      </w:r>
      <w:r w:rsidRPr="00CD24DA">
        <w:rPr>
          <w:rFonts w:ascii="Times New Roman" w:hAnsi="Times New Roman"/>
          <w:sz w:val="22"/>
          <w:szCs w:val="22"/>
          <w:lang w:val="sk-SK"/>
        </w:rPr>
        <w:t>) a závažnejšia forma spôsobujúca nadmerné odlupovanie kože (na viac než 30 % plochy tela) </w:t>
      </w:r>
      <w:r w:rsidRPr="00CD24DA"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CD24DA">
        <w:rPr>
          <w:rFonts w:ascii="Times New Roman" w:hAnsi="Times New Roman"/>
          <w:i/>
          <w:sz w:val="22"/>
          <w:szCs w:val="22"/>
          <w:lang w:val="sk-SK"/>
        </w:rPr>
        <w:t xml:space="preserve">toxická </w:t>
      </w:r>
      <w:proofErr w:type="spellStart"/>
      <w:r w:rsidRPr="00CD24DA">
        <w:rPr>
          <w:rFonts w:ascii="Times New Roman" w:hAnsi="Times New Roman"/>
          <w:i/>
          <w:sz w:val="22"/>
          <w:szCs w:val="22"/>
          <w:lang w:val="sk-SK"/>
        </w:rPr>
        <w:t>epidermálna</w:t>
      </w:r>
      <w:proofErr w:type="spellEnd"/>
      <w:r w:rsidRPr="00CD24DA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CD24DA">
        <w:rPr>
          <w:rFonts w:ascii="Times New Roman" w:hAnsi="Times New Roman"/>
          <w:i/>
          <w:sz w:val="22"/>
          <w:szCs w:val="22"/>
          <w:lang w:val="sk-SK"/>
        </w:rPr>
        <w:t>nekrolýza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Lyellov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syndróm)</w:t>
      </w:r>
    </w:p>
    <w:p w:rsidR="00601531" w:rsidRDefault="00601531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D8708E" w:rsidRPr="00D8708E" w:rsidRDefault="00CD24DA" w:rsidP="00D8708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Celkové poruchy a reakcie v mieste podania</w:t>
      </w:r>
      <w:r w:rsidR="00485589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485589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o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vnútrožilovom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vnútrosvalovom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podaní sa môže objavi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ť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lokálne podráždenie kože, pocit bolesti 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>i tromboflebitída (povrchový z</w:t>
      </w:r>
      <w:r w:rsidR="007E0CA8" w:rsidRPr="007E0CA8">
        <w:rPr>
          <w:rFonts w:ascii="Times New Roman" w:hAnsi="Times New Roman"/>
          <w:sz w:val="22"/>
          <w:szCs w:val="22"/>
          <w:lang w:val="sk-SK"/>
        </w:rPr>
        <w:t>ápal žíl) v okolí miesta vpichu</w:t>
      </w:r>
    </w:p>
    <w:p w:rsidR="00662DEB" w:rsidRPr="00521039" w:rsidRDefault="00662DEB" w:rsidP="00662DEB">
      <w:pPr>
        <w:rPr>
          <w:rFonts w:ascii="Times New Roman" w:hAnsi="Times New Roman"/>
          <w:sz w:val="22"/>
          <w:szCs w:val="22"/>
          <w:lang w:val="sk-SK"/>
        </w:rPr>
      </w:pPr>
    </w:p>
    <w:p w:rsidR="00662DEB" w:rsidRPr="00521039" w:rsidRDefault="00662DEB" w:rsidP="00662DEB">
      <w:pPr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662DEB" w:rsidRPr="00521039" w:rsidRDefault="00662DEB" w:rsidP="00662DEB">
      <w:pPr>
        <w:ind w:right="-2"/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F24439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="00F24439" w:rsidRPr="00521039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F244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5210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521039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521039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662DEB" w:rsidRPr="00521039" w:rsidRDefault="00662DEB" w:rsidP="00662DEB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15278C" w:rsidRDefault="00BA05A3" w:rsidP="00BA05A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BA05A3">
        <w:rPr>
          <w:rFonts w:ascii="Times New Roman" w:hAnsi="Times New Roman"/>
          <w:b/>
          <w:sz w:val="22"/>
          <w:szCs w:val="22"/>
          <w:lang w:val="sk-SK"/>
        </w:rPr>
        <w:t>Ako uchovávať</w:t>
      </w:r>
      <w:r w:rsidRPr="0015278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15278C" w:rsidRPr="0015278C">
        <w:rPr>
          <w:rFonts w:ascii="Times New Roman" w:hAnsi="Times New Roman"/>
          <w:b/>
          <w:sz w:val="22"/>
          <w:szCs w:val="22"/>
        </w:rPr>
        <w:t>AMPICILIN BIOTIKA</w:t>
      </w:r>
    </w:p>
    <w:p w:rsidR="00BA05A3" w:rsidRPr="00BA05A3" w:rsidRDefault="00BA05A3" w:rsidP="00BA0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noProof/>
          <w:sz w:val="22"/>
          <w:szCs w:val="22"/>
          <w:lang w:val="sk-SK"/>
        </w:rPr>
        <w:t>Uchovávajte pri teplote do 25 °C v pôvodnom obale, na ochranu pred svetlom a vlhkosťou</w:t>
      </w:r>
      <w:r w:rsidRPr="00BA05A3">
        <w:rPr>
          <w:rFonts w:ascii="Times New Roman" w:hAnsi="Times New Roman"/>
          <w:sz w:val="22"/>
          <w:szCs w:val="22"/>
          <w:lang w:val="sk-SK"/>
        </w:rPr>
        <w:t>.</w:t>
      </w:r>
    </w:p>
    <w:p w:rsidR="00BA05A3" w:rsidRPr="00BA05A3" w:rsidRDefault="00BA05A3" w:rsidP="00BA0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Nepoužívajte tento liek po dátume exspirácie, ktorý je uvedený na škatuľke po EXP. Dátum exspirácie sa vzťahuje na posledný deň v danom mesiaci.</w:t>
      </w: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BA05A3" w:rsidRPr="00BA05A3" w:rsidRDefault="00BA05A3" w:rsidP="00BA05A3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B241AE" w:rsidRPr="00B241AE" w:rsidRDefault="00B241AE" w:rsidP="00B241AE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B241AE">
        <w:rPr>
          <w:rFonts w:ascii="Times New Roman" w:hAnsi="Times New Roman"/>
          <w:b/>
          <w:sz w:val="22"/>
          <w:szCs w:val="22"/>
          <w:lang w:val="sk-SK"/>
        </w:rPr>
        <w:t>Obsah balenia a ďalšie informácie</w:t>
      </w:r>
    </w:p>
    <w:p w:rsidR="00B241AE" w:rsidRPr="00B241AE" w:rsidRDefault="00B241AE" w:rsidP="00B241A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241AE" w:rsidRPr="00B241AE" w:rsidRDefault="00B241AE" w:rsidP="00B241AE">
      <w:pPr>
        <w:rPr>
          <w:rFonts w:ascii="Times New Roman" w:hAnsi="Times New Roman"/>
          <w:b/>
          <w:sz w:val="22"/>
          <w:szCs w:val="22"/>
          <w:lang w:val="sk-SK"/>
        </w:rPr>
      </w:pPr>
      <w:r w:rsidRPr="00B241AE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r w:rsidR="00D208E7">
        <w:rPr>
          <w:rFonts w:ascii="Times New Roman" w:hAnsi="Times New Roman"/>
          <w:b/>
          <w:sz w:val="22"/>
          <w:szCs w:val="22"/>
          <w:lang w:val="sk-SK"/>
        </w:rPr>
        <w:t>AMPICILIN BIOTIKA</w:t>
      </w:r>
      <w:r w:rsidRPr="00B241AE">
        <w:rPr>
          <w:rFonts w:ascii="Times New Roman" w:hAnsi="Times New Roman"/>
          <w:b/>
          <w:sz w:val="22"/>
          <w:szCs w:val="22"/>
          <w:lang w:val="sk-SK"/>
        </w:rPr>
        <w:t xml:space="preserve"> obsahuje</w:t>
      </w:r>
    </w:p>
    <w:p w:rsidR="00B241AE" w:rsidRPr="00B241AE" w:rsidRDefault="00B241AE" w:rsidP="00B241AE">
      <w:pPr>
        <w:rPr>
          <w:rFonts w:ascii="Times New Roman" w:hAnsi="Times New Roman"/>
          <w:sz w:val="22"/>
          <w:szCs w:val="22"/>
          <w:lang w:val="sk-SK"/>
        </w:rPr>
      </w:pPr>
    </w:p>
    <w:p w:rsidR="00090460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CD24DA">
        <w:rPr>
          <w:rFonts w:ascii="Times New Roman" w:hAnsi="Times New Roman"/>
          <w:sz w:val="22"/>
          <w:szCs w:val="22"/>
        </w:rPr>
        <w:t>AMPICILIN 0,5 BIOTIKA:</w:t>
      </w:r>
      <w:r w:rsidR="00157DA5" w:rsidRPr="00521039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01531" w:rsidRDefault="00090460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Jedna injekčná liekovka obsahuje </w:t>
      </w:r>
      <w:smartTag w:uri="urn:schemas-microsoft-com:office:smarttags" w:element="metricconverter">
        <w:smartTagPr>
          <w:attr w:name="ProductID" w:val="0,53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0,53 g</w:t>
        </w:r>
      </w:smartTag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sodnej soli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0,5 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90460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CD24DA">
        <w:rPr>
          <w:rFonts w:ascii="Times New Roman" w:hAnsi="Times New Roman"/>
          <w:sz w:val="22"/>
          <w:szCs w:val="22"/>
        </w:rPr>
        <w:t>AMPICILIN 1,0 BIOTIKA:</w:t>
      </w:r>
      <w:r w:rsidR="00157DA5" w:rsidRPr="00521039">
        <w:rPr>
          <w:rFonts w:ascii="Times New Roman" w:hAnsi="Times New Roman"/>
          <w:b w:val="0"/>
          <w:i/>
          <w:sz w:val="22"/>
          <w:szCs w:val="22"/>
          <w:u w:val="single"/>
        </w:rPr>
        <w:t xml:space="preserve"> </w:t>
      </w:r>
    </w:p>
    <w:p w:rsidR="0035734E" w:rsidRPr="00521039" w:rsidRDefault="00090460" w:rsidP="00090460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Jedna injekčná liekovka obsahuje </w:t>
      </w:r>
      <w:r w:rsidRPr="008B38EC">
        <w:rPr>
          <w:rFonts w:ascii="Times New Roman" w:hAnsi="Times New Roman"/>
          <w:b w:val="0"/>
          <w:sz w:val="22"/>
          <w:szCs w:val="22"/>
        </w:rPr>
        <w:t>1,06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>g</w:t>
      </w:r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sodnej soli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>
        <w:rPr>
          <w:rFonts w:ascii="Times New Roman" w:hAnsi="Times New Roman"/>
          <w:b w:val="0"/>
          <w:sz w:val="22"/>
          <w:szCs w:val="22"/>
        </w:rPr>
        <w:t>1,0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8B38EC">
        <w:rPr>
          <w:rFonts w:ascii="Times New Roman" w:hAnsi="Times New Roman"/>
          <w:sz w:val="22"/>
          <w:szCs w:val="22"/>
        </w:rPr>
        <w:t xml:space="preserve"> </w:t>
      </w:r>
    </w:p>
    <w:p w:rsidR="00C21CE5" w:rsidRDefault="00C21CE5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35734E" w:rsidRPr="00521039" w:rsidRDefault="0035734E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1 g </w:t>
      </w:r>
      <w:r w:rsidR="00A31A22" w:rsidRPr="00521039">
        <w:rPr>
          <w:rFonts w:ascii="Times New Roman" w:hAnsi="Times New Roman"/>
          <w:b w:val="0"/>
          <w:sz w:val="22"/>
          <w:szCs w:val="22"/>
        </w:rPr>
        <w:t>A</w:t>
      </w:r>
      <w:r w:rsidR="00A31A22">
        <w:rPr>
          <w:rFonts w:ascii="Times New Roman" w:hAnsi="Times New Roman"/>
          <w:b w:val="0"/>
          <w:sz w:val="22"/>
          <w:szCs w:val="22"/>
        </w:rPr>
        <w:t>MPICILINU BIOTIKA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obsahuje 2,7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mmol</w:t>
      </w:r>
      <w:proofErr w:type="spellEnd"/>
      <w:r w:rsidR="006623FA">
        <w:rPr>
          <w:rFonts w:ascii="Times New Roman" w:hAnsi="Times New Roman"/>
          <w:b w:val="0"/>
          <w:sz w:val="22"/>
          <w:szCs w:val="22"/>
        </w:rPr>
        <w:t xml:space="preserve"> </w:t>
      </w:r>
      <w:r w:rsidR="00F33CED">
        <w:rPr>
          <w:rFonts w:ascii="Times New Roman" w:hAnsi="Times New Roman"/>
          <w:b w:val="0"/>
          <w:sz w:val="22"/>
          <w:szCs w:val="22"/>
        </w:rPr>
        <w:t>sodíka</w:t>
      </w:r>
      <w:r w:rsidRPr="00521039">
        <w:rPr>
          <w:rFonts w:ascii="Times New Roman" w:hAnsi="Times New Roman"/>
          <w:b w:val="0"/>
          <w:sz w:val="22"/>
          <w:szCs w:val="22"/>
        </w:rPr>
        <w:t>.</w:t>
      </w:r>
    </w:p>
    <w:p w:rsidR="0035734E" w:rsidRDefault="0035734E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656C40" w:rsidRPr="00656C40" w:rsidRDefault="00656C40" w:rsidP="00656C4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656C40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r>
        <w:rPr>
          <w:rFonts w:ascii="Times New Roman" w:hAnsi="Times New Roman"/>
          <w:b/>
          <w:sz w:val="22"/>
          <w:szCs w:val="22"/>
          <w:lang w:val="sk-SK"/>
        </w:rPr>
        <w:t>AMPICILIN BIOTIKA</w:t>
      </w:r>
      <w:r w:rsidRPr="00656C40">
        <w:rPr>
          <w:rFonts w:ascii="Times New Roman" w:hAnsi="Times New Roman"/>
          <w:b/>
          <w:sz w:val="22"/>
          <w:szCs w:val="22"/>
          <w:lang w:val="sk-SK"/>
        </w:rPr>
        <w:t xml:space="preserve"> a obsah balenia</w:t>
      </w:r>
    </w:p>
    <w:p w:rsidR="00656C40" w:rsidRPr="00656C40" w:rsidRDefault="00656C40" w:rsidP="00656C40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1254B1" w:rsidRPr="00521039" w:rsidRDefault="001254B1" w:rsidP="001254B1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>Liekovka</w:t>
      </w:r>
      <w:r w:rsidR="001E41D6">
        <w:rPr>
          <w:rFonts w:ascii="Times New Roman" w:hAnsi="Times New Roman"/>
          <w:b w:val="0"/>
          <w:sz w:val="22"/>
          <w:szCs w:val="22"/>
        </w:rPr>
        <w:t xml:space="preserve"> z bezfarebného skla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s obrubou, gumová zátka, hliníkový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obrubovací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uzáver, škatuľka.</w:t>
      </w:r>
    </w:p>
    <w:p w:rsidR="001254B1" w:rsidRPr="00521039" w:rsidRDefault="001254B1" w:rsidP="001254B1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254B1" w:rsidRPr="00521039" w:rsidRDefault="001254B1" w:rsidP="001254B1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Veľkosť balenia: </w:t>
      </w:r>
      <w:r w:rsidRPr="00521039">
        <w:rPr>
          <w:rFonts w:ascii="Times New Roman" w:hAnsi="Times New Roman"/>
          <w:b w:val="0"/>
          <w:sz w:val="22"/>
          <w:szCs w:val="22"/>
        </w:rPr>
        <w:tab/>
        <w:t xml:space="preserve">1, </w:t>
      </w:r>
      <w:smartTag w:uri="urn:schemas-microsoft-com:office:smarttags" w:element="metricconverter">
        <w:smartTagPr>
          <w:attr w:name="ProductID" w:val="10 a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10 a</w:t>
        </w:r>
      </w:smartTag>
      <w:r w:rsidRPr="00521039">
        <w:rPr>
          <w:rFonts w:ascii="Times New Roman" w:hAnsi="Times New Roman"/>
          <w:b w:val="0"/>
          <w:sz w:val="22"/>
          <w:szCs w:val="22"/>
        </w:rPr>
        <w:t xml:space="preserve"> 50 injekčných liekoviek po 0,5 g</w:t>
      </w:r>
    </w:p>
    <w:p w:rsidR="001254B1" w:rsidRDefault="001254B1" w:rsidP="001254B1">
      <w:pPr>
        <w:pStyle w:val="Zkladntext"/>
        <w:ind w:left="1440" w:firstLine="720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1, </w:t>
      </w:r>
      <w:smartTag w:uri="urn:schemas-microsoft-com:office:smarttags" w:element="metricconverter">
        <w:smartTagPr>
          <w:attr w:name="ProductID" w:val="10 a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10 a</w:t>
        </w:r>
      </w:smartTag>
      <w:r w:rsidRPr="00521039">
        <w:rPr>
          <w:rFonts w:ascii="Times New Roman" w:hAnsi="Times New Roman"/>
          <w:b w:val="0"/>
          <w:sz w:val="22"/>
          <w:szCs w:val="22"/>
        </w:rPr>
        <w:t xml:space="preserve"> 50 injekčných liekoviek po </w:t>
      </w:r>
      <w:smartTag w:uri="urn:schemas-microsoft-com:office:smarttags" w:element="metricconverter">
        <w:smartTagPr>
          <w:attr w:name="ProductID" w:val="Key2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1,0 g</w:t>
        </w:r>
      </w:smartTag>
    </w:p>
    <w:p w:rsidR="009A7B67" w:rsidRPr="009A7B67" w:rsidRDefault="009A7B67" w:rsidP="009A7B67">
      <w:pPr>
        <w:tabs>
          <w:tab w:val="left" w:pos="720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9A7B67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656C40" w:rsidRDefault="00656C40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3D2868" w:rsidRDefault="003D2868" w:rsidP="003D2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Držiteľ rozhodnutia o</w:t>
      </w:r>
      <w:r>
        <w:rPr>
          <w:rFonts w:ascii="Times New Roman" w:hAnsi="Times New Roman"/>
          <w:sz w:val="22"/>
          <w:szCs w:val="22"/>
        </w:rPr>
        <w:t> </w:t>
      </w:r>
      <w:r w:rsidRPr="00521039">
        <w:rPr>
          <w:rFonts w:ascii="Times New Roman" w:hAnsi="Times New Roman"/>
          <w:sz w:val="22"/>
          <w:szCs w:val="22"/>
        </w:rPr>
        <w:t>registrácii</w:t>
      </w:r>
      <w:r>
        <w:rPr>
          <w:rFonts w:ascii="Times New Roman" w:hAnsi="Times New Roman"/>
          <w:sz w:val="22"/>
          <w:szCs w:val="22"/>
        </w:rPr>
        <w:t xml:space="preserve"> a výrobca</w:t>
      </w:r>
    </w:p>
    <w:p w:rsidR="003D2868" w:rsidRDefault="003D2868" w:rsidP="003D2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4E1353" w:rsidRPr="00CE0EAE" w:rsidRDefault="00654C04" w:rsidP="003D2868">
      <w:pPr>
        <w:pStyle w:val="Zkladntext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E0EAE">
        <w:rPr>
          <w:rFonts w:ascii="Times New Roman" w:hAnsi="Times New Roman"/>
          <w:b w:val="0"/>
          <w:sz w:val="22"/>
          <w:szCs w:val="22"/>
          <w:u w:val="single"/>
        </w:rPr>
        <w:t>Držiteľ rozhodnutia o registrácii</w:t>
      </w:r>
    </w:p>
    <w:p w:rsidR="003D2868" w:rsidRPr="00521039" w:rsidRDefault="003D2868" w:rsidP="003D2868">
      <w:pPr>
        <w:rPr>
          <w:rFonts w:ascii="Times New Roman" w:hAnsi="Times New Roman"/>
          <w:bCs/>
          <w:sz w:val="22"/>
          <w:szCs w:val="22"/>
          <w:lang w:val="sk-SK"/>
        </w:rPr>
      </w:pPr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BB </w:t>
      </w:r>
      <w:proofErr w:type="spellStart"/>
      <w:r w:rsidRPr="00521039">
        <w:rPr>
          <w:rFonts w:ascii="Times New Roman" w:hAnsi="Times New Roman"/>
          <w:bCs/>
          <w:sz w:val="22"/>
          <w:szCs w:val="22"/>
          <w:lang w:val="sk-SK"/>
        </w:rPr>
        <w:t>Pharma</w:t>
      </w:r>
      <w:proofErr w:type="spellEnd"/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 a.s., </w:t>
      </w:r>
      <w:proofErr w:type="spellStart"/>
      <w:r w:rsidR="0079666D">
        <w:rPr>
          <w:rFonts w:ascii="Times New Roman" w:hAnsi="Times New Roman"/>
          <w:bCs/>
          <w:sz w:val="22"/>
          <w:szCs w:val="22"/>
          <w:lang w:val="sk-SK"/>
        </w:rPr>
        <w:t>Durychova</w:t>
      </w:r>
      <w:proofErr w:type="spellEnd"/>
      <w:r w:rsidR="0079666D">
        <w:rPr>
          <w:rFonts w:ascii="Times New Roman" w:hAnsi="Times New Roman"/>
          <w:bCs/>
          <w:sz w:val="22"/>
          <w:szCs w:val="22"/>
          <w:lang w:val="sk-SK"/>
        </w:rPr>
        <w:t xml:space="preserve"> 101/66</w:t>
      </w:r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 w:rsidR="00A94434" w:rsidRPr="00521039">
        <w:rPr>
          <w:rFonts w:ascii="Times New Roman" w:hAnsi="Times New Roman"/>
          <w:bCs/>
          <w:sz w:val="22"/>
          <w:szCs w:val="22"/>
          <w:lang w:val="sk-SK"/>
        </w:rPr>
        <w:t>14</w:t>
      </w:r>
      <w:r w:rsidR="00A94434">
        <w:rPr>
          <w:rFonts w:ascii="Times New Roman" w:hAnsi="Times New Roman"/>
          <w:bCs/>
          <w:sz w:val="22"/>
          <w:szCs w:val="22"/>
          <w:lang w:val="sk-SK"/>
        </w:rPr>
        <w:t>2</w:t>
      </w:r>
      <w:r w:rsidR="00A94434" w:rsidRPr="0052103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bCs/>
          <w:sz w:val="22"/>
          <w:szCs w:val="22"/>
          <w:lang w:val="sk-SK"/>
        </w:rPr>
        <w:t>00 Praha 4</w:t>
      </w:r>
      <w:r w:rsidR="00A94434">
        <w:rPr>
          <w:rFonts w:ascii="Times New Roman" w:hAnsi="Times New Roman"/>
          <w:bCs/>
          <w:sz w:val="22"/>
          <w:szCs w:val="22"/>
          <w:lang w:val="sk-SK"/>
        </w:rPr>
        <w:t xml:space="preserve"> - </w:t>
      </w:r>
      <w:proofErr w:type="spellStart"/>
      <w:r w:rsidR="00A94434">
        <w:rPr>
          <w:rFonts w:ascii="Times New Roman" w:hAnsi="Times New Roman"/>
          <w:bCs/>
          <w:sz w:val="22"/>
          <w:szCs w:val="22"/>
          <w:lang w:val="sk-SK"/>
        </w:rPr>
        <w:t>Lhotka</w:t>
      </w:r>
      <w:proofErr w:type="spellEnd"/>
      <w:r w:rsidRPr="00521039">
        <w:rPr>
          <w:rFonts w:ascii="Times New Roman" w:hAnsi="Times New Roman"/>
          <w:bCs/>
          <w:sz w:val="22"/>
          <w:szCs w:val="22"/>
          <w:lang w:val="sk-SK"/>
        </w:rPr>
        <w:t>, Česká republika</w:t>
      </w:r>
    </w:p>
    <w:p w:rsidR="00656C40" w:rsidRDefault="00656C40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A94434" w:rsidRPr="00CE0EAE" w:rsidRDefault="00654C04" w:rsidP="00A94434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E0EAE">
        <w:rPr>
          <w:rFonts w:ascii="Times New Roman" w:hAnsi="Times New Roman"/>
          <w:sz w:val="22"/>
          <w:szCs w:val="22"/>
          <w:u w:val="single"/>
          <w:lang w:val="sk-SK"/>
        </w:rPr>
        <w:t>Výrobca</w:t>
      </w:r>
    </w:p>
    <w:p w:rsidR="00A94434" w:rsidRPr="00DE6968" w:rsidRDefault="00CD24DA" w:rsidP="00A94434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AtB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Pharma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, s.r.o., 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Sklabinská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28, 036 01 Martin, Slovenská republika</w:t>
      </w:r>
    </w:p>
    <w:p w:rsidR="004E1353" w:rsidRPr="003D375C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3D375C">
        <w:rPr>
          <w:rFonts w:ascii="Times New Roman" w:hAnsi="Times New Roman"/>
          <w:b w:val="0"/>
          <w:sz w:val="22"/>
          <w:szCs w:val="22"/>
        </w:rPr>
        <w:t>Prevádzkare</w:t>
      </w:r>
      <w:r w:rsidRPr="003D375C">
        <w:rPr>
          <w:rFonts w:ascii="Times New Roman" w:hAnsi="Times New Roman" w:hint="eastAsia"/>
          <w:b w:val="0"/>
          <w:sz w:val="22"/>
          <w:szCs w:val="22"/>
        </w:rPr>
        <w:t>ň</w:t>
      </w:r>
      <w:r w:rsidRPr="003D375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3D375C">
        <w:rPr>
          <w:rFonts w:ascii="Times New Roman" w:hAnsi="Times New Roman"/>
          <w:b w:val="0"/>
          <w:sz w:val="22"/>
          <w:szCs w:val="22"/>
        </w:rPr>
        <w:t>AtB</w:t>
      </w:r>
      <w:proofErr w:type="spellEnd"/>
      <w:r w:rsidRPr="003D375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3D375C">
        <w:rPr>
          <w:rFonts w:ascii="Times New Roman" w:hAnsi="Times New Roman"/>
          <w:b w:val="0"/>
          <w:sz w:val="22"/>
          <w:szCs w:val="22"/>
        </w:rPr>
        <w:t>Pharma</w:t>
      </w:r>
      <w:proofErr w:type="spellEnd"/>
      <w:r w:rsidRPr="003D375C">
        <w:rPr>
          <w:rFonts w:ascii="Times New Roman" w:hAnsi="Times New Roman"/>
          <w:b w:val="0"/>
          <w:sz w:val="22"/>
          <w:szCs w:val="22"/>
        </w:rPr>
        <w:t xml:space="preserve">, s.r.o., 976 13 Slovenská </w:t>
      </w:r>
      <w:proofErr w:type="spellStart"/>
      <w:r w:rsidRPr="003D375C">
        <w:rPr>
          <w:rFonts w:ascii="Times New Roman" w:hAnsi="Times New Roman" w:hint="eastAsia"/>
          <w:b w:val="0"/>
          <w:sz w:val="22"/>
          <w:szCs w:val="22"/>
        </w:rPr>
        <w:t>Ľ</w:t>
      </w:r>
      <w:r w:rsidRPr="003D375C">
        <w:rPr>
          <w:rFonts w:ascii="Times New Roman" w:hAnsi="Times New Roman"/>
          <w:b w:val="0"/>
          <w:sz w:val="22"/>
          <w:szCs w:val="22"/>
        </w:rPr>
        <w:t>up</w:t>
      </w:r>
      <w:r w:rsidRPr="003D375C">
        <w:rPr>
          <w:rFonts w:ascii="Times New Roman" w:hAnsi="Times New Roman" w:hint="eastAsia"/>
          <w:b w:val="0"/>
          <w:sz w:val="22"/>
          <w:szCs w:val="22"/>
        </w:rPr>
        <w:t>č</w:t>
      </w:r>
      <w:r w:rsidRPr="003D375C">
        <w:rPr>
          <w:rFonts w:ascii="Times New Roman" w:hAnsi="Times New Roman"/>
          <w:b w:val="0"/>
          <w:sz w:val="22"/>
          <w:szCs w:val="22"/>
        </w:rPr>
        <w:t>a</w:t>
      </w:r>
      <w:proofErr w:type="spellEnd"/>
      <w:r w:rsidRPr="003D375C">
        <w:rPr>
          <w:rFonts w:ascii="Times New Roman" w:hAnsi="Times New Roman"/>
          <w:b w:val="0"/>
          <w:sz w:val="22"/>
          <w:szCs w:val="22"/>
        </w:rPr>
        <w:t xml:space="preserve"> 970, Slovenská republika</w:t>
      </w:r>
    </w:p>
    <w:p w:rsidR="00A90FFA" w:rsidRPr="00A90FFA" w:rsidRDefault="00A90FFA" w:rsidP="000F67E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90FFA" w:rsidRPr="00A90FFA" w:rsidRDefault="00A90FFA" w:rsidP="000F67E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0F67E4" w:rsidRPr="00A76648" w:rsidRDefault="00FB1972" w:rsidP="000F67E4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A76648">
        <w:rPr>
          <w:rFonts w:ascii="Times New Roman" w:hAnsi="Times New Roman"/>
          <w:sz w:val="22"/>
          <w:szCs w:val="22"/>
        </w:rPr>
        <w:t>Táto písomná informácia bola naposledy aktualizovaná v</w:t>
      </w:r>
      <w:r w:rsidR="003830E2">
        <w:rPr>
          <w:rFonts w:ascii="Times New Roman" w:hAnsi="Times New Roman"/>
          <w:sz w:val="22"/>
          <w:szCs w:val="22"/>
        </w:rPr>
        <w:t> 12/2017</w:t>
      </w:r>
    </w:p>
    <w:p w:rsidR="004E1353" w:rsidRPr="00FB1972" w:rsidRDefault="004E1353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FB1972" w:rsidRPr="00B2703E" w:rsidRDefault="00FB1972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  <w:lang w:val="pl-PL"/>
        </w:rPr>
      </w:pPr>
    </w:p>
    <w:p w:rsidR="0035734E" w:rsidRPr="00521039" w:rsidRDefault="0035734E" w:rsidP="00A76648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sectPr w:rsidR="0035734E" w:rsidRPr="00521039" w:rsidSect="00AC6D9B"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134" w:right="1183" w:bottom="1134" w:left="1134" w:header="709" w:footer="3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063" w:rsidRDefault="00746063">
      <w:r>
        <w:separator/>
      </w:r>
    </w:p>
  </w:endnote>
  <w:endnote w:type="continuationSeparator" w:id="0">
    <w:p w:rsidR="00746063" w:rsidRDefault="00746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1612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C0855" w:rsidRPr="00BC0855" w:rsidRDefault="00A1008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C0855">
          <w:rPr>
            <w:rFonts w:ascii="Times New Roman" w:hAnsi="Times New Roman"/>
            <w:sz w:val="18"/>
            <w:szCs w:val="18"/>
          </w:rPr>
          <w:fldChar w:fldCharType="begin"/>
        </w:r>
        <w:r w:rsidR="00BC0855" w:rsidRPr="00BC085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C0855">
          <w:rPr>
            <w:rFonts w:ascii="Times New Roman" w:hAnsi="Times New Roman"/>
            <w:sz w:val="18"/>
            <w:szCs w:val="18"/>
          </w:rPr>
          <w:fldChar w:fldCharType="separate"/>
        </w:r>
        <w:r w:rsidR="00490D5E" w:rsidRPr="00490D5E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BC085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C0855" w:rsidRPr="00BC0855" w:rsidRDefault="00BC0855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063" w:rsidRDefault="00746063">
      <w:r>
        <w:separator/>
      </w:r>
    </w:p>
  </w:footnote>
  <w:footnote w:type="continuationSeparator" w:id="0">
    <w:p w:rsidR="00746063" w:rsidRDefault="007460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5B421E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B1F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gmar Sarkar">
    <w15:presenceInfo w15:providerId="None" w15:userId="Dagmar Sarka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</w:compat>
  <w:rsids>
    <w:rsidRoot w:val="005F51E6"/>
    <w:rsid w:val="00001207"/>
    <w:rsid w:val="00006759"/>
    <w:rsid w:val="00014F92"/>
    <w:rsid w:val="00020EFF"/>
    <w:rsid w:val="00024D28"/>
    <w:rsid w:val="00033290"/>
    <w:rsid w:val="00037500"/>
    <w:rsid w:val="000419BB"/>
    <w:rsid w:val="00053E91"/>
    <w:rsid w:val="000614C9"/>
    <w:rsid w:val="00061CDA"/>
    <w:rsid w:val="00063A48"/>
    <w:rsid w:val="000713F3"/>
    <w:rsid w:val="00072F58"/>
    <w:rsid w:val="00090460"/>
    <w:rsid w:val="00091370"/>
    <w:rsid w:val="00093194"/>
    <w:rsid w:val="0009668C"/>
    <w:rsid w:val="000A14C0"/>
    <w:rsid w:val="000B4AD2"/>
    <w:rsid w:val="000C22BB"/>
    <w:rsid w:val="000C566A"/>
    <w:rsid w:val="000D5866"/>
    <w:rsid w:val="000D5A66"/>
    <w:rsid w:val="000E4715"/>
    <w:rsid w:val="000F1FF9"/>
    <w:rsid w:val="000F2870"/>
    <w:rsid w:val="000F67E4"/>
    <w:rsid w:val="001072C3"/>
    <w:rsid w:val="00107A0F"/>
    <w:rsid w:val="00117EC8"/>
    <w:rsid w:val="001247F8"/>
    <w:rsid w:val="001254B1"/>
    <w:rsid w:val="0013005A"/>
    <w:rsid w:val="001455A3"/>
    <w:rsid w:val="00152167"/>
    <w:rsid w:val="0015278C"/>
    <w:rsid w:val="00157DA5"/>
    <w:rsid w:val="0017560D"/>
    <w:rsid w:val="00183837"/>
    <w:rsid w:val="001A6478"/>
    <w:rsid w:val="001D48FE"/>
    <w:rsid w:val="001E265A"/>
    <w:rsid w:val="001E41D6"/>
    <w:rsid w:val="001E577F"/>
    <w:rsid w:val="001F7840"/>
    <w:rsid w:val="00210F6D"/>
    <w:rsid w:val="00232069"/>
    <w:rsid w:val="0023245B"/>
    <w:rsid w:val="00233798"/>
    <w:rsid w:val="00234362"/>
    <w:rsid w:val="00244B76"/>
    <w:rsid w:val="00260566"/>
    <w:rsid w:val="002650ED"/>
    <w:rsid w:val="00274099"/>
    <w:rsid w:val="00274E69"/>
    <w:rsid w:val="002759F7"/>
    <w:rsid w:val="002851D6"/>
    <w:rsid w:val="0029067C"/>
    <w:rsid w:val="00291AD0"/>
    <w:rsid w:val="002D0CEA"/>
    <w:rsid w:val="002D1894"/>
    <w:rsid w:val="002D2046"/>
    <w:rsid w:val="002D518C"/>
    <w:rsid w:val="002E6E09"/>
    <w:rsid w:val="002F11A6"/>
    <w:rsid w:val="002F281C"/>
    <w:rsid w:val="002F58D5"/>
    <w:rsid w:val="002F6F1C"/>
    <w:rsid w:val="00311BAF"/>
    <w:rsid w:val="00323DC9"/>
    <w:rsid w:val="0035734E"/>
    <w:rsid w:val="00361806"/>
    <w:rsid w:val="0036423A"/>
    <w:rsid w:val="00364BBD"/>
    <w:rsid w:val="00373E9D"/>
    <w:rsid w:val="00381B0C"/>
    <w:rsid w:val="003830E2"/>
    <w:rsid w:val="003870BB"/>
    <w:rsid w:val="003A1671"/>
    <w:rsid w:val="003C3655"/>
    <w:rsid w:val="003C5292"/>
    <w:rsid w:val="003C7725"/>
    <w:rsid w:val="003D2868"/>
    <w:rsid w:val="003D375C"/>
    <w:rsid w:val="003D3E49"/>
    <w:rsid w:val="003E417F"/>
    <w:rsid w:val="003F1890"/>
    <w:rsid w:val="003F7AAA"/>
    <w:rsid w:val="00405F28"/>
    <w:rsid w:val="0040790C"/>
    <w:rsid w:val="0041421A"/>
    <w:rsid w:val="00447BA6"/>
    <w:rsid w:val="004650D9"/>
    <w:rsid w:val="00465F7F"/>
    <w:rsid w:val="00471E5F"/>
    <w:rsid w:val="00474787"/>
    <w:rsid w:val="004810B4"/>
    <w:rsid w:val="00484547"/>
    <w:rsid w:val="004845EF"/>
    <w:rsid w:val="00485589"/>
    <w:rsid w:val="00490471"/>
    <w:rsid w:val="00490D5E"/>
    <w:rsid w:val="00491378"/>
    <w:rsid w:val="004B0200"/>
    <w:rsid w:val="004B061F"/>
    <w:rsid w:val="004B2E78"/>
    <w:rsid w:val="004B2ED3"/>
    <w:rsid w:val="004E1353"/>
    <w:rsid w:val="004F794E"/>
    <w:rsid w:val="005066CF"/>
    <w:rsid w:val="00507E1F"/>
    <w:rsid w:val="00513405"/>
    <w:rsid w:val="00521039"/>
    <w:rsid w:val="005321CD"/>
    <w:rsid w:val="00532A5C"/>
    <w:rsid w:val="00540E58"/>
    <w:rsid w:val="005411C1"/>
    <w:rsid w:val="005534FE"/>
    <w:rsid w:val="0056293D"/>
    <w:rsid w:val="00565C72"/>
    <w:rsid w:val="00576D54"/>
    <w:rsid w:val="00583D1F"/>
    <w:rsid w:val="00591BD0"/>
    <w:rsid w:val="005A08BD"/>
    <w:rsid w:val="005A3DC1"/>
    <w:rsid w:val="005B3340"/>
    <w:rsid w:val="005D1484"/>
    <w:rsid w:val="005D3B22"/>
    <w:rsid w:val="005E159B"/>
    <w:rsid w:val="005F2483"/>
    <w:rsid w:val="005F40D3"/>
    <w:rsid w:val="005F51E6"/>
    <w:rsid w:val="00601531"/>
    <w:rsid w:val="00602364"/>
    <w:rsid w:val="00625DA4"/>
    <w:rsid w:val="006300F5"/>
    <w:rsid w:val="00632C8F"/>
    <w:rsid w:val="006455E7"/>
    <w:rsid w:val="00651B00"/>
    <w:rsid w:val="006524CC"/>
    <w:rsid w:val="00654C04"/>
    <w:rsid w:val="00656C40"/>
    <w:rsid w:val="00660CB1"/>
    <w:rsid w:val="006623FA"/>
    <w:rsid w:val="00662DEB"/>
    <w:rsid w:val="00664568"/>
    <w:rsid w:val="0066605E"/>
    <w:rsid w:val="00673076"/>
    <w:rsid w:val="0067668A"/>
    <w:rsid w:val="006868D5"/>
    <w:rsid w:val="00690D26"/>
    <w:rsid w:val="00696A7D"/>
    <w:rsid w:val="006A22A5"/>
    <w:rsid w:val="006A2328"/>
    <w:rsid w:val="006D09F9"/>
    <w:rsid w:val="006D1552"/>
    <w:rsid w:val="006D7330"/>
    <w:rsid w:val="006E0C59"/>
    <w:rsid w:val="006F77D2"/>
    <w:rsid w:val="007013E3"/>
    <w:rsid w:val="007058F1"/>
    <w:rsid w:val="0070636E"/>
    <w:rsid w:val="00707FAF"/>
    <w:rsid w:val="007401C4"/>
    <w:rsid w:val="0074391B"/>
    <w:rsid w:val="00745D92"/>
    <w:rsid w:val="00746063"/>
    <w:rsid w:val="00747E75"/>
    <w:rsid w:val="00750A68"/>
    <w:rsid w:val="007518F0"/>
    <w:rsid w:val="00757B40"/>
    <w:rsid w:val="007644E8"/>
    <w:rsid w:val="00777F74"/>
    <w:rsid w:val="00781589"/>
    <w:rsid w:val="0078589A"/>
    <w:rsid w:val="0079666D"/>
    <w:rsid w:val="007A161A"/>
    <w:rsid w:val="007B3D63"/>
    <w:rsid w:val="007B43FE"/>
    <w:rsid w:val="007D222A"/>
    <w:rsid w:val="007E0CA8"/>
    <w:rsid w:val="007F7236"/>
    <w:rsid w:val="00800EC2"/>
    <w:rsid w:val="0080789D"/>
    <w:rsid w:val="00823ACD"/>
    <w:rsid w:val="00854F03"/>
    <w:rsid w:val="008756A1"/>
    <w:rsid w:val="00875D57"/>
    <w:rsid w:val="00877741"/>
    <w:rsid w:val="00895521"/>
    <w:rsid w:val="008977D8"/>
    <w:rsid w:val="008A7658"/>
    <w:rsid w:val="008B433D"/>
    <w:rsid w:val="008C122D"/>
    <w:rsid w:val="008D319A"/>
    <w:rsid w:val="008F7355"/>
    <w:rsid w:val="008F767B"/>
    <w:rsid w:val="009051E5"/>
    <w:rsid w:val="00905C90"/>
    <w:rsid w:val="0091535A"/>
    <w:rsid w:val="00935541"/>
    <w:rsid w:val="00957024"/>
    <w:rsid w:val="0096634B"/>
    <w:rsid w:val="0098428C"/>
    <w:rsid w:val="0099035A"/>
    <w:rsid w:val="00991CE7"/>
    <w:rsid w:val="009A1F30"/>
    <w:rsid w:val="009A2C44"/>
    <w:rsid w:val="009A7B67"/>
    <w:rsid w:val="009B3FB2"/>
    <w:rsid w:val="009C3F98"/>
    <w:rsid w:val="009C64FC"/>
    <w:rsid w:val="009C7E4B"/>
    <w:rsid w:val="009D76D8"/>
    <w:rsid w:val="009F4CE5"/>
    <w:rsid w:val="00A07F9E"/>
    <w:rsid w:val="00A10087"/>
    <w:rsid w:val="00A131C6"/>
    <w:rsid w:val="00A15299"/>
    <w:rsid w:val="00A159E7"/>
    <w:rsid w:val="00A17905"/>
    <w:rsid w:val="00A233D9"/>
    <w:rsid w:val="00A24CF2"/>
    <w:rsid w:val="00A31A22"/>
    <w:rsid w:val="00A4227D"/>
    <w:rsid w:val="00A640AD"/>
    <w:rsid w:val="00A64164"/>
    <w:rsid w:val="00A669B5"/>
    <w:rsid w:val="00A73A56"/>
    <w:rsid w:val="00A74E5E"/>
    <w:rsid w:val="00A76648"/>
    <w:rsid w:val="00A90FFA"/>
    <w:rsid w:val="00A9422E"/>
    <w:rsid w:val="00A94434"/>
    <w:rsid w:val="00A96C37"/>
    <w:rsid w:val="00AA0440"/>
    <w:rsid w:val="00AA67AA"/>
    <w:rsid w:val="00AA6A9F"/>
    <w:rsid w:val="00AB6B82"/>
    <w:rsid w:val="00AC43A3"/>
    <w:rsid w:val="00AC4D28"/>
    <w:rsid w:val="00AC64F2"/>
    <w:rsid w:val="00AC670C"/>
    <w:rsid w:val="00AC6D9B"/>
    <w:rsid w:val="00AD7B35"/>
    <w:rsid w:val="00AF4A81"/>
    <w:rsid w:val="00B036DC"/>
    <w:rsid w:val="00B21A8F"/>
    <w:rsid w:val="00B241AE"/>
    <w:rsid w:val="00B2703E"/>
    <w:rsid w:val="00B46F23"/>
    <w:rsid w:val="00B515CD"/>
    <w:rsid w:val="00B6507B"/>
    <w:rsid w:val="00B70A3F"/>
    <w:rsid w:val="00B71B4D"/>
    <w:rsid w:val="00B74470"/>
    <w:rsid w:val="00B8084E"/>
    <w:rsid w:val="00B9610E"/>
    <w:rsid w:val="00B97140"/>
    <w:rsid w:val="00BA05A3"/>
    <w:rsid w:val="00BC0855"/>
    <w:rsid w:val="00BE0EEC"/>
    <w:rsid w:val="00BE544E"/>
    <w:rsid w:val="00C17078"/>
    <w:rsid w:val="00C21CE5"/>
    <w:rsid w:val="00C3023A"/>
    <w:rsid w:val="00C34BA8"/>
    <w:rsid w:val="00C40232"/>
    <w:rsid w:val="00C42A73"/>
    <w:rsid w:val="00C42D1E"/>
    <w:rsid w:val="00C4350D"/>
    <w:rsid w:val="00C479E0"/>
    <w:rsid w:val="00C47F15"/>
    <w:rsid w:val="00C50000"/>
    <w:rsid w:val="00C55105"/>
    <w:rsid w:val="00C5701A"/>
    <w:rsid w:val="00C61865"/>
    <w:rsid w:val="00C62DD1"/>
    <w:rsid w:val="00C750F8"/>
    <w:rsid w:val="00C91469"/>
    <w:rsid w:val="00C95843"/>
    <w:rsid w:val="00CA3143"/>
    <w:rsid w:val="00CA32C2"/>
    <w:rsid w:val="00CA5D65"/>
    <w:rsid w:val="00CC2690"/>
    <w:rsid w:val="00CD24DA"/>
    <w:rsid w:val="00CE0EAE"/>
    <w:rsid w:val="00CE4017"/>
    <w:rsid w:val="00D010D2"/>
    <w:rsid w:val="00D06851"/>
    <w:rsid w:val="00D15E80"/>
    <w:rsid w:val="00D17078"/>
    <w:rsid w:val="00D208E7"/>
    <w:rsid w:val="00D236EA"/>
    <w:rsid w:val="00D2547E"/>
    <w:rsid w:val="00D335F2"/>
    <w:rsid w:val="00D40682"/>
    <w:rsid w:val="00D473F7"/>
    <w:rsid w:val="00D75309"/>
    <w:rsid w:val="00D8162E"/>
    <w:rsid w:val="00D82BB2"/>
    <w:rsid w:val="00D8708E"/>
    <w:rsid w:val="00D87957"/>
    <w:rsid w:val="00DC385E"/>
    <w:rsid w:val="00DE6968"/>
    <w:rsid w:val="00DF5F14"/>
    <w:rsid w:val="00DF73A4"/>
    <w:rsid w:val="00E2007E"/>
    <w:rsid w:val="00E37A07"/>
    <w:rsid w:val="00E46375"/>
    <w:rsid w:val="00E463D2"/>
    <w:rsid w:val="00E50A46"/>
    <w:rsid w:val="00E72585"/>
    <w:rsid w:val="00E87BF6"/>
    <w:rsid w:val="00E87DB9"/>
    <w:rsid w:val="00E940A4"/>
    <w:rsid w:val="00EA6B5D"/>
    <w:rsid w:val="00EB18A6"/>
    <w:rsid w:val="00EC1403"/>
    <w:rsid w:val="00EC750E"/>
    <w:rsid w:val="00ED073B"/>
    <w:rsid w:val="00EE0049"/>
    <w:rsid w:val="00EE37C2"/>
    <w:rsid w:val="00EE3F98"/>
    <w:rsid w:val="00EE7C6F"/>
    <w:rsid w:val="00EF3175"/>
    <w:rsid w:val="00EF5A5F"/>
    <w:rsid w:val="00F024DA"/>
    <w:rsid w:val="00F07DEF"/>
    <w:rsid w:val="00F100FF"/>
    <w:rsid w:val="00F14A6C"/>
    <w:rsid w:val="00F16E55"/>
    <w:rsid w:val="00F20EF1"/>
    <w:rsid w:val="00F24439"/>
    <w:rsid w:val="00F31046"/>
    <w:rsid w:val="00F31C16"/>
    <w:rsid w:val="00F33CAB"/>
    <w:rsid w:val="00F33CED"/>
    <w:rsid w:val="00F34B7A"/>
    <w:rsid w:val="00F37FB0"/>
    <w:rsid w:val="00F41906"/>
    <w:rsid w:val="00F41F69"/>
    <w:rsid w:val="00F439D3"/>
    <w:rsid w:val="00F46D49"/>
    <w:rsid w:val="00F511FD"/>
    <w:rsid w:val="00F56463"/>
    <w:rsid w:val="00F638DD"/>
    <w:rsid w:val="00F772AA"/>
    <w:rsid w:val="00F86B1B"/>
    <w:rsid w:val="00F87C65"/>
    <w:rsid w:val="00F93C3A"/>
    <w:rsid w:val="00F95004"/>
    <w:rsid w:val="00FA1CF1"/>
    <w:rsid w:val="00FA42ED"/>
    <w:rsid w:val="00FA7C6E"/>
    <w:rsid w:val="00FB1972"/>
    <w:rsid w:val="00FC481B"/>
    <w:rsid w:val="00FE5C32"/>
    <w:rsid w:val="00FF1F78"/>
    <w:rsid w:val="00FF24C2"/>
    <w:rsid w:val="00FF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7D2"/>
    <w:rPr>
      <w:lang w:val="en-US"/>
    </w:rPr>
  </w:style>
  <w:style w:type="paragraph" w:styleId="Nadpis1">
    <w:name w:val="heading 1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i/>
      <w:sz w:val="36"/>
    </w:rPr>
  </w:style>
  <w:style w:type="paragraph" w:styleId="Nadpis2">
    <w:name w:val="heading 2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5" w:color="auto"/>
      </w:pBdr>
      <w:jc w:val="center"/>
      <w:outlineLvl w:val="1"/>
    </w:pPr>
    <w:rPr>
      <w:rFonts w:ascii="Arial" w:hAnsi="Arial"/>
      <w:b/>
      <w:i/>
      <w:sz w:val="36"/>
    </w:rPr>
  </w:style>
  <w:style w:type="paragraph" w:styleId="Nadpis3">
    <w:name w:val="heading 3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0" w:color="auto"/>
      </w:pBdr>
      <w:jc w:val="center"/>
      <w:outlineLvl w:val="2"/>
    </w:pPr>
    <w:rPr>
      <w:rFonts w:ascii="Arial" w:hAnsi="Arial"/>
      <w:i/>
      <w:sz w:val="44"/>
    </w:rPr>
  </w:style>
  <w:style w:type="paragraph" w:styleId="Nadpis4">
    <w:name w:val="heading 4"/>
    <w:basedOn w:val="Normlny"/>
    <w:next w:val="Normlny"/>
    <w:qFormat/>
    <w:rsid w:val="006D09F9"/>
    <w:pPr>
      <w:keepNext/>
      <w:jc w:val="center"/>
      <w:outlineLvl w:val="3"/>
    </w:pPr>
    <w:rPr>
      <w:rFonts w:ascii="Arial" w:hAnsi="Arial"/>
      <w:b/>
      <w:i/>
      <w:sz w:val="44"/>
    </w:rPr>
  </w:style>
  <w:style w:type="paragraph" w:styleId="Nadpis5">
    <w:name w:val="heading 5"/>
    <w:basedOn w:val="Normlny"/>
    <w:next w:val="Normlny"/>
    <w:qFormat/>
    <w:rsid w:val="006D09F9"/>
    <w:pPr>
      <w:keepNext/>
      <w:jc w:val="center"/>
      <w:outlineLvl w:val="4"/>
    </w:pPr>
    <w:rPr>
      <w:b/>
      <w:i/>
      <w:sz w:val="52"/>
    </w:rPr>
  </w:style>
  <w:style w:type="paragraph" w:styleId="Nadpis6">
    <w:name w:val="heading 6"/>
    <w:basedOn w:val="Normlny"/>
    <w:next w:val="Normlny"/>
    <w:qFormat/>
    <w:rsid w:val="006D09F9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rsid w:val="006D09F9"/>
    <w:pPr>
      <w:keepNext/>
      <w:jc w:val="both"/>
      <w:outlineLvl w:val="6"/>
    </w:pPr>
    <w:rPr>
      <w:rFonts w:ascii="Arial" w:hAnsi="Arial"/>
      <w:b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6D09F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6D09F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6D09F9"/>
    <w:pPr>
      <w:jc w:val="center"/>
    </w:pPr>
    <w:rPr>
      <w:rFonts w:ascii="Arial" w:hAnsi="Arial"/>
      <w:b/>
      <w:i/>
      <w:sz w:val="48"/>
    </w:rPr>
  </w:style>
  <w:style w:type="paragraph" w:styleId="Textmakra">
    <w:name w:val="macro"/>
    <w:semiHidden/>
    <w:rsid w:val="006D09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alEEW" w:hAnsi="AralEEW"/>
      <w:snapToGrid w:val="0"/>
      <w:sz w:val="16"/>
      <w:lang w:val="en-GB"/>
    </w:rPr>
  </w:style>
  <w:style w:type="paragraph" w:styleId="Zkladntext">
    <w:name w:val="Body Text"/>
    <w:basedOn w:val="Normlny"/>
    <w:rsid w:val="006D09F9"/>
    <w:pPr>
      <w:jc w:val="center"/>
    </w:pPr>
    <w:rPr>
      <w:rFonts w:ascii="Arial" w:hAnsi="Arial"/>
      <w:b/>
      <w:sz w:val="72"/>
      <w:lang w:val="sk-SK"/>
    </w:rPr>
  </w:style>
  <w:style w:type="paragraph" w:styleId="Zkladntext2">
    <w:name w:val="Body Text 2"/>
    <w:basedOn w:val="Normlny"/>
    <w:rsid w:val="006D09F9"/>
    <w:pPr>
      <w:jc w:val="both"/>
    </w:pPr>
    <w:rPr>
      <w:rFonts w:ascii="Arial" w:hAnsi="Arial"/>
      <w:lang w:val="sk-SK"/>
    </w:rPr>
  </w:style>
  <w:style w:type="character" w:styleId="slostrany">
    <w:name w:val="page number"/>
    <w:basedOn w:val="Predvolenpsmoodseku"/>
    <w:rsid w:val="006D09F9"/>
  </w:style>
  <w:style w:type="paragraph" w:styleId="Zarkazkladnhotextu">
    <w:name w:val="Body Text Indent"/>
    <w:basedOn w:val="Normlny"/>
    <w:rsid w:val="006D09F9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491378"/>
    <w:rPr>
      <w:rFonts w:ascii="Tahoma" w:hAnsi="Tahoma" w:cs="Tahoma"/>
      <w:sz w:val="16"/>
      <w:szCs w:val="16"/>
    </w:rPr>
  </w:style>
  <w:style w:type="character" w:styleId="Hypertextovprepojenie">
    <w:name w:val="Hyperlink"/>
    <w:rsid w:val="005534FE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BC0855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9146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C91469"/>
  </w:style>
  <w:style w:type="character" w:customStyle="1" w:styleId="TextkomentraChar">
    <w:name w:val="Text komentára Char"/>
    <w:basedOn w:val="Predvolenpsmoodseku"/>
    <w:link w:val="Textkomentra"/>
    <w:rsid w:val="00C91469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14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1469"/>
    <w:rPr>
      <w:b/>
      <w:bCs/>
      <w:lang w:val="en-US"/>
    </w:rPr>
  </w:style>
  <w:style w:type="paragraph" w:styleId="Revzia">
    <w:name w:val="Revision"/>
    <w:hidden/>
    <w:uiPriority w:val="99"/>
    <w:semiHidden/>
    <w:rsid w:val="00A64164"/>
    <w:rPr>
      <w:lang w:val="en-US"/>
    </w:rPr>
  </w:style>
  <w:style w:type="paragraph" w:styleId="Odsekzoznamu">
    <w:name w:val="List Paragraph"/>
    <w:basedOn w:val="Normlny"/>
    <w:uiPriority w:val="34"/>
    <w:qFormat/>
    <w:rsid w:val="00014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REGISTRAČNÁ DOKUMENTÁCIA</vt:lpstr>
    </vt:vector>
  </TitlesOfParts>
  <Company>VVZ, Biotika a.s.</Company>
  <LinksUpToDate>false</LinksUpToDate>
  <CharactersWithSpaces>16635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REGISTRAČNÁ DOKUMENTÁCIA</dc:title>
  <dc:subject/>
  <dc:creator>gborosova</dc:creator>
  <cp:keywords/>
  <dc:description/>
  <cp:lastModifiedBy> Jana Repiščáková</cp:lastModifiedBy>
  <cp:revision>7</cp:revision>
  <cp:lastPrinted>2013-09-19T15:06:00Z</cp:lastPrinted>
  <dcterms:created xsi:type="dcterms:W3CDTF">2017-12-19T06:50:00Z</dcterms:created>
  <dcterms:modified xsi:type="dcterms:W3CDTF">2017-12-20T09:30:00Z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