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>Písomná informácia pre používateľa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>Informácie o používaní, čítajte pozorne!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eastAsia="en-US" w:bidi="ar-SA"/>
        </w:rPr>
      </w:pPr>
      <w:proofErr w:type="spellStart"/>
      <w:r w:rsidRPr="008F5E3D">
        <w:rPr>
          <w:b/>
          <w:bCs/>
          <w:color w:val="000000"/>
          <w:szCs w:val="22"/>
          <w:lang w:eastAsia="en-US" w:bidi="ar-SA"/>
        </w:rPr>
        <w:t>DOLGIT</w:t>
      </w:r>
      <w:proofErr w:type="spellEnd"/>
      <w:r w:rsidRPr="008F5E3D">
        <w:rPr>
          <w:b/>
          <w:bCs/>
          <w:color w:val="000000"/>
          <w:szCs w:val="22"/>
          <w:vertAlign w:val="superscript"/>
          <w:lang w:eastAsia="en-US" w:bidi="ar-SA"/>
        </w:rPr>
        <w:t>®</w:t>
      </w:r>
      <w:r w:rsidRPr="008F5E3D">
        <w:rPr>
          <w:b/>
          <w:bCs/>
          <w:color w:val="000000"/>
          <w:szCs w:val="22"/>
          <w:lang w:eastAsia="en-US" w:bidi="ar-SA"/>
        </w:rPr>
        <w:t xml:space="preserve"> </w:t>
      </w:r>
      <w:proofErr w:type="spellStart"/>
      <w:r w:rsidRPr="008F5E3D">
        <w:rPr>
          <w:b/>
          <w:bCs/>
          <w:color w:val="000000"/>
          <w:szCs w:val="22"/>
          <w:lang w:eastAsia="en-US" w:bidi="ar-SA"/>
        </w:rPr>
        <w:t>GEL</w:t>
      </w:r>
      <w:proofErr w:type="spellEnd"/>
      <w:r w:rsidRPr="008F5E3D">
        <w:rPr>
          <w:b/>
          <w:bCs/>
          <w:color w:val="000000"/>
          <w:szCs w:val="22"/>
          <w:lang w:eastAsia="en-US" w:bidi="ar-SA"/>
        </w:rPr>
        <w:t xml:space="preserve"> 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>(</w:t>
      </w:r>
      <w:proofErr w:type="spellStart"/>
      <w:r w:rsidRPr="008F5E3D">
        <w:rPr>
          <w:color w:val="000000"/>
          <w:szCs w:val="22"/>
          <w:lang w:eastAsia="en-US" w:bidi="ar-SA"/>
        </w:rPr>
        <w:t>Ibuprofenum</w:t>
      </w:r>
      <w:proofErr w:type="spellEnd"/>
      <w:r w:rsidRPr="008F5E3D">
        <w:rPr>
          <w:color w:val="000000"/>
          <w:szCs w:val="22"/>
          <w:lang w:eastAsia="en-US" w:bidi="ar-SA"/>
        </w:rPr>
        <w:t>)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rFonts w:eastAsia="Arial Unicode MS"/>
          <w:b/>
          <w:color w:val="000000"/>
          <w:szCs w:val="22"/>
          <w:lang w:eastAsia="en-US" w:bidi="ar-SA"/>
        </w:rPr>
      </w:pPr>
      <w:r w:rsidRPr="008F5E3D">
        <w:rPr>
          <w:rFonts w:eastAsia="Arial Unicode MS"/>
          <w:b/>
          <w:color w:val="000000"/>
          <w:szCs w:val="22"/>
          <w:lang w:eastAsia="en-US" w:bidi="ar-SA"/>
        </w:rPr>
        <w:t>Lieková forma:</w:t>
      </w:r>
    </w:p>
    <w:p w:rsidR="008F5E3D" w:rsidRPr="008F5E3D" w:rsidRDefault="008F5E3D" w:rsidP="008F5E3D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rFonts w:eastAsia="Arial Unicode MS"/>
          <w:bCs/>
          <w:color w:val="000000"/>
          <w:szCs w:val="22"/>
          <w:lang w:eastAsia="en-US" w:bidi="ar-SA"/>
        </w:rPr>
      </w:pPr>
      <w:r w:rsidRPr="008F5E3D">
        <w:rPr>
          <w:rFonts w:eastAsia="Arial Unicode MS"/>
          <w:bCs/>
          <w:szCs w:val="22"/>
          <w:lang w:eastAsia="en-US" w:bidi="ar-SA"/>
        </w:rPr>
        <w:t xml:space="preserve">Dermálny </w:t>
      </w:r>
      <w:r w:rsidRPr="008F5E3D">
        <w:rPr>
          <w:rFonts w:eastAsia="Arial Unicode MS"/>
          <w:bCs/>
          <w:color w:val="000000"/>
          <w:szCs w:val="22"/>
          <w:lang w:eastAsia="en-US" w:bidi="ar-SA"/>
        </w:rPr>
        <w:t>gél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eastAsia="en-US" w:bidi="ar-SA"/>
        </w:rPr>
      </w:pPr>
      <w:r w:rsidRPr="008F5E3D">
        <w:rPr>
          <w:b/>
          <w:bCs/>
          <w:color w:val="000000"/>
          <w:szCs w:val="22"/>
          <w:lang w:eastAsia="en-US" w:bidi="ar-SA"/>
        </w:rPr>
        <w:t>Držiteľ: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proofErr w:type="spellStart"/>
      <w:r w:rsidRPr="008F5E3D">
        <w:rPr>
          <w:color w:val="000000"/>
          <w:szCs w:val="22"/>
          <w:lang w:eastAsia="en-US" w:bidi="ar-SA"/>
        </w:rPr>
        <w:t>Dolorgiet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</w:t>
      </w:r>
      <w:proofErr w:type="spellStart"/>
      <w:r w:rsidRPr="008F5E3D">
        <w:rPr>
          <w:color w:val="000000"/>
          <w:szCs w:val="22"/>
          <w:lang w:eastAsia="en-US" w:bidi="ar-SA"/>
        </w:rPr>
        <w:t>Pharmaceuticals</w:t>
      </w:r>
      <w:proofErr w:type="spellEnd"/>
      <w:r w:rsidRPr="008F5E3D">
        <w:rPr>
          <w:color w:val="000000"/>
          <w:szCs w:val="22"/>
          <w:lang w:eastAsia="en-US" w:bidi="ar-SA"/>
        </w:rPr>
        <w:t xml:space="preserve">, St. </w:t>
      </w:r>
      <w:proofErr w:type="spellStart"/>
      <w:r w:rsidRPr="008F5E3D">
        <w:rPr>
          <w:color w:val="000000"/>
          <w:szCs w:val="22"/>
          <w:lang w:eastAsia="en-US" w:bidi="ar-SA"/>
        </w:rPr>
        <w:t>Augustin</w:t>
      </w:r>
      <w:proofErr w:type="spellEnd"/>
      <w:r w:rsidRPr="008F5E3D">
        <w:rPr>
          <w:color w:val="000000"/>
          <w:szCs w:val="22"/>
          <w:lang w:eastAsia="en-US" w:bidi="ar-SA"/>
        </w:rPr>
        <w:t>/Bonn, Nemecko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 xml:space="preserve">Výhradný distribútor pre Českú republiku: </w:t>
      </w:r>
      <w:proofErr w:type="spellStart"/>
      <w:r w:rsidRPr="008F5E3D">
        <w:rPr>
          <w:color w:val="000000"/>
          <w:szCs w:val="22"/>
          <w:lang w:eastAsia="en-US" w:bidi="ar-SA"/>
        </w:rPr>
        <w:t>PRO.MED.CS</w:t>
      </w:r>
      <w:proofErr w:type="spellEnd"/>
      <w:r w:rsidRPr="008F5E3D">
        <w:rPr>
          <w:color w:val="000000"/>
          <w:szCs w:val="22"/>
          <w:lang w:eastAsia="en-US" w:bidi="ar-SA"/>
        </w:rPr>
        <w:t>. Praha a.s., Praha, ČR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eastAsia="en-US" w:bidi="ar-SA"/>
        </w:rPr>
      </w:pPr>
      <w:r w:rsidRPr="008F5E3D">
        <w:rPr>
          <w:b/>
          <w:bCs/>
          <w:color w:val="000000"/>
          <w:szCs w:val="22"/>
          <w:lang w:eastAsia="en-US" w:bidi="ar-SA"/>
        </w:rPr>
        <w:t>Zloženie lieku: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u w:val="single"/>
          <w:lang w:eastAsia="en-US" w:bidi="ar-SA"/>
        </w:rPr>
        <w:t xml:space="preserve">Liečivo: </w:t>
      </w:r>
      <w:proofErr w:type="spellStart"/>
      <w:r w:rsidRPr="008F5E3D">
        <w:rPr>
          <w:color w:val="000000"/>
          <w:szCs w:val="22"/>
          <w:u w:val="single"/>
          <w:lang w:eastAsia="en-US" w:bidi="ar-SA"/>
        </w:rPr>
        <w:t>Ibuprofenum</w:t>
      </w:r>
      <w:proofErr w:type="spellEnd"/>
      <w:r w:rsidRPr="008F5E3D">
        <w:rPr>
          <w:color w:val="000000"/>
          <w:szCs w:val="22"/>
          <w:u w:val="single"/>
          <w:lang w:eastAsia="en-US" w:bidi="ar-SA"/>
        </w:rPr>
        <w:t xml:space="preserve"> (i</w:t>
      </w:r>
      <w:r w:rsidRPr="008F5E3D">
        <w:rPr>
          <w:color w:val="000000"/>
          <w:szCs w:val="22"/>
          <w:lang w:eastAsia="en-US" w:bidi="ar-SA"/>
        </w:rPr>
        <w:t>buprofén) 5 g v 100 g gélu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u w:val="single"/>
          <w:lang w:eastAsia="en-US" w:bidi="ar-SA"/>
        </w:rPr>
        <w:t>Pomocné látky</w:t>
      </w:r>
      <w:r w:rsidRPr="008F5E3D">
        <w:rPr>
          <w:color w:val="000000"/>
          <w:szCs w:val="22"/>
          <w:lang w:eastAsia="en-US" w:bidi="ar-SA"/>
        </w:rPr>
        <w:t xml:space="preserve">: </w:t>
      </w:r>
      <w:proofErr w:type="spellStart"/>
      <w:r w:rsidRPr="008F5E3D">
        <w:rPr>
          <w:color w:val="000000"/>
          <w:szCs w:val="22"/>
          <w:lang w:eastAsia="en-US" w:bidi="ar-SA"/>
        </w:rPr>
        <w:t>alcohol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</w:t>
      </w:r>
      <w:proofErr w:type="spellStart"/>
      <w:r w:rsidRPr="008F5E3D">
        <w:rPr>
          <w:color w:val="000000"/>
          <w:szCs w:val="22"/>
          <w:lang w:eastAsia="en-US" w:bidi="ar-SA"/>
        </w:rPr>
        <w:t>isopropylicus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(izopropylalkohol), </w:t>
      </w:r>
      <w:proofErr w:type="spellStart"/>
      <w:r w:rsidRPr="008F5E3D">
        <w:rPr>
          <w:color w:val="000000"/>
          <w:szCs w:val="22"/>
          <w:lang w:eastAsia="en-US" w:bidi="ar-SA"/>
        </w:rPr>
        <w:t>isopropylidenglycerolum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 (</w:t>
      </w:r>
      <w:proofErr w:type="spellStart"/>
      <w:r w:rsidRPr="008F5E3D">
        <w:rPr>
          <w:color w:val="000000"/>
          <w:szCs w:val="22"/>
          <w:lang w:eastAsia="en-US" w:bidi="ar-SA"/>
        </w:rPr>
        <w:t>izopropylidénglycerol</w:t>
      </w:r>
      <w:proofErr w:type="spellEnd"/>
      <w:r w:rsidRPr="008F5E3D">
        <w:rPr>
          <w:color w:val="000000"/>
          <w:szCs w:val="22"/>
          <w:lang w:eastAsia="en-US" w:bidi="ar-SA"/>
        </w:rPr>
        <w:t xml:space="preserve">), </w:t>
      </w:r>
      <w:proofErr w:type="spellStart"/>
      <w:r w:rsidRPr="008F5E3D">
        <w:rPr>
          <w:color w:val="000000"/>
          <w:szCs w:val="22"/>
          <w:lang w:eastAsia="en-US" w:bidi="ar-SA"/>
        </w:rPr>
        <w:t>poloxamerum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407 (</w:t>
      </w:r>
      <w:proofErr w:type="spellStart"/>
      <w:r w:rsidRPr="008F5E3D">
        <w:rPr>
          <w:color w:val="000000"/>
          <w:szCs w:val="22"/>
          <w:lang w:eastAsia="en-US" w:bidi="ar-SA"/>
        </w:rPr>
        <w:t>poloxamér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407), </w:t>
      </w:r>
      <w:proofErr w:type="spellStart"/>
      <w:r w:rsidRPr="008F5E3D">
        <w:rPr>
          <w:color w:val="000000"/>
          <w:szCs w:val="22"/>
          <w:lang w:eastAsia="en-US" w:bidi="ar-SA"/>
        </w:rPr>
        <w:t>triglycerida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</w:t>
      </w:r>
      <w:proofErr w:type="spellStart"/>
      <w:r w:rsidRPr="008F5E3D">
        <w:rPr>
          <w:color w:val="000000"/>
          <w:szCs w:val="22"/>
          <w:lang w:eastAsia="en-US" w:bidi="ar-SA"/>
        </w:rPr>
        <w:t>saturata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</w:t>
      </w:r>
      <w:proofErr w:type="spellStart"/>
      <w:r w:rsidRPr="008F5E3D">
        <w:rPr>
          <w:color w:val="000000"/>
          <w:szCs w:val="22"/>
          <w:lang w:eastAsia="en-US" w:bidi="ar-SA"/>
        </w:rPr>
        <w:t>media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(</w:t>
      </w:r>
      <w:proofErr w:type="spellStart"/>
      <w:r w:rsidRPr="008F5E3D">
        <w:rPr>
          <w:color w:val="000000"/>
          <w:szCs w:val="22"/>
          <w:lang w:eastAsia="en-US" w:bidi="ar-SA"/>
        </w:rPr>
        <w:t>Miglyol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8) (stredné nasýtené </w:t>
      </w:r>
      <w:proofErr w:type="spellStart"/>
      <w:r w:rsidRPr="008F5E3D">
        <w:rPr>
          <w:color w:val="000000"/>
          <w:szCs w:val="22"/>
          <w:lang w:eastAsia="en-US" w:bidi="ar-SA"/>
        </w:rPr>
        <w:t>triacylglyceroly</w:t>
      </w:r>
      <w:proofErr w:type="spellEnd"/>
      <w:r w:rsidRPr="008F5E3D">
        <w:rPr>
          <w:color w:val="000000"/>
          <w:szCs w:val="22"/>
          <w:lang w:eastAsia="en-US" w:bidi="ar-SA"/>
        </w:rPr>
        <w:t xml:space="preserve">), </w:t>
      </w:r>
      <w:proofErr w:type="spellStart"/>
      <w:r w:rsidRPr="008F5E3D">
        <w:rPr>
          <w:color w:val="000000"/>
          <w:szCs w:val="22"/>
          <w:lang w:eastAsia="en-US" w:bidi="ar-SA"/>
        </w:rPr>
        <w:t>aqua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</w:t>
      </w:r>
      <w:proofErr w:type="spellStart"/>
      <w:r w:rsidRPr="008F5E3D">
        <w:rPr>
          <w:color w:val="000000"/>
          <w:szCs w:val="22"/>
          <w:lang w:eastAsia="en-US" w:bidi="ar-SA"/>
        </w:rPr>
        <w:t>purificata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(čistená voda), </w:t>
      </w:r>
      <w:proofErr w:type="spellStart"/>
      <w:r w:rsidRPr="008F5E3D">
        <w:rPr>
          <w:color w:val="000000"/>
          <w:szCs w:val="22"/>
          <w:lang w:eastAsia="en-US" w:bidi="ar-SA"/>
        </w:rPr>
        <w:t>lavandulae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</w:t>
      </w:r>
      <w:proofErr w:type="spellStart"/>
      <w:r w:rsidRPr="008F5E3D">
        <w:rPr>
          <w:color w:val="000000"/>
          <w:szCs w:val="22"/>
          <w:lang w:eastAsia="en-US" w:bidi="ar-SA"/>
        </w:rPr>
        <w:t>aetheroleum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(</w:t>
      </w:r>
      <w:proofErr w:type="spellStart"/>
      <w:r w:rsidRPr="008F5E3D">
        <w:rPr>
          <w:color w:val="000000"/>
          <w:szCs w:val="22"/>
          <w:lang w:eastAsia="en-US" w:bidi="ar-SA"/>
        </w:rPr>
        <w:t>levandulová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silica), </w:t>
      </w:r>
      <w:proofErr w:type="spellStart"/>
      <w:r w:rsidRPr="008F5E3D">
        <w:rPr>
          <w:color w:val="000000"/>
          <w:szCs w:val="22"/>
          <w:lang w:eastAsia="en-US" w:bidi="ar-SA"/>
        </w:rPr>
        <w:t>aurantii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</w:t>
      </w:r>
      <w:proofErr w:type="spellStart"/>
      <w:r w:rsidRPr="008F5E3D">
        <w:rPr>
          <w:color w:val="000000"/>
          <w:szCs w:val="22"/>
          <w:lang w:eastAsia="en-US" w:bidi="ar-SA"/>
        </w:rPr>
        <w:t>amari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</w:t>
      </w:r>
      <w:proofErr w:type="spellStart"/>
      <w:r w:rsidRPr="008F5E3D">
        <w:rPr>
          <w:color w:val="000000"/>
          <w:szCs w:val="22"/>
          <w:lang w:eastAsia="en-US" w:bidi="ar-SA"/>
        </w:rPr>
        <w:t>floris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</w:t>
      </w:r>
      <w:proofErr w:type="spellStart"/>
      <w:r w:rsidRPr="008F5E3D">
        <w:rPr>
          <w:color w:val="000000"/>
          <w:szCs w:val="22"/>
          <w:lang w:eastAsia="en-US" w:bidi="ar-SA"/>
        </w:rPr>
        <w:t>aetheroleum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(silica kvetu citrónovníka horkého).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rFonts w:eastAsia="Arial Unicode MS"/>
          <w:b/>
          <w:color w:val="000000"/>
          <w:szCs w:val="22"/>
          <w:lang w:eastAsia="en-US" w:bidi="ar-SA"/>
        </w:rPr>
      </w:pPr>
      <w:proofErr w:type="spellStart"/>
      <w:r w:rsidRPr="008F5E3D">
        <w:rPr>
          <w:rFonts w:eastAsia="Arial Unicode MS"/>
          <w:b/>
          <w:color w:val="000000"/>
          <w:szCs w:val="22"/>
          <w:lang w:eastAsia="en-US" w:bidi="ar-SA"/>
        </w:rPr>
        <w:t>Farmakoterapeutická</w:t>
      </w:r>
      <w:proofErr w:type="spellEnd"/>
      <w:r w:rsidRPr="008F5E3D">
        <w:rPr>
          <w:rFonts w:eastAsia="Arial Unicode MS"/>
          <w:b/>
          <w:color w:val="000000"/>
          <w:szCs w:val="22"/>
          <w:lang w:eastAsia="en-US" w:bidi="ar-SA"/>
        </w:rPr>
        <w:t xml:space="preserve"> skupina: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proofErr w:type="spellStart"/>
      <w:r w:rsidRPr="008F5E3D">
        <w:rPr>
          <w:color w:val="000000"/>
          <w:szCs w:val="22"/>
          <w:lang w:eastAsia="en-US" w:bidi="ar-SA"/>
        </w:rPr>
        <w:t>Nesteroidové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</w:t>
      </w:r>
      <w:proofErr w:type="spellStart"/>
      <w:r w:rsidRPr="008F5E3D">
        <w:rPr>
          <w:color w:val="000000"/>
          <w:szCs w:val="22"/>
          <w:lang w:eastAsia="en-US" w:bidi="ar-SA"/>
        </w:rPr>
        <w:t>antiflogistikum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na vonkajšie použitie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rFonts w:eastAsia="Arial Unicode MS"/>
          <w:b/>
          <w:color w:val="000000"/>
          <w:szCs w:val="22"/>
          <w:lang w:eastAsia="en-US" w:bidi="ar-SA"/>
        </w:rPr>
      </w:pPr>
      <w:r w:rsidRPr="008F5E3D">
        <w:rPr>
          <w:rFonts w:eastAsia="Arial Unicode MS"/>
          <w:b/>
          <w:color w:val="000000"/>
          <w:szCs w:val="22"/>
          <w:lang w:eastAsia="en-US" w:bidi="ar-SA"/>
        </w:rPr>
        <w:t>Charakteristika: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>
        <w:rPr>
          <w:color w:val="000000"/>
          <w:szCs w:val="22"/>
          <w:lang w:eastAsia="en-US" w:bidi="ar-SA"/>
        </w:rPr>
        <w:t>Ibuprofé</w:t>
      </w:r>
      <w:r w:rsidRPr="008F5E3D">
        <w:rPr>
          <w:color w:val="000000"/>
          <w:szCs w:val="22"/>
          <w:lang w:eastAsia="en-US" w:bidi="ar-SA"/>
        </w:rPr>
        <w:t xml:space="preserve">n pôsobí proti bolesti a zápalu. Jeho účinok je podmienený tlmením tvorby </w:t>
      </w:r>
      <w:proofErr w:type="spellStart"/>
      <w:r w:rsidRPr="008F5E3D">
        <w:rPr>
          <w:color w:val="000000"/>
          <w:szCs w:val="22"/>
          <w:lang w:eastAsia="en-US" w:bidi="ar-SA"/>
        </w:rPr>
        <w:t>prostaglandínov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a iných sprostredkovateľov, ktorí sa podieľajú na vzniku a rozvoji týchto príznakov. K zmierneniu bolesti, zmenšeniu opuchov a zlepšeniu hybnosti končatín dochádza asi pol hodiny po aplikácii.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rFonts w:eastAsia="Arial Unicode MS"/>
          <w:b/>
          <w:color w:val="000000"/>
          <w:szCs w:val="22"/>
          <w:lang w:eastAsia="en-US" w:bidi="ar-SA"/>
        </w:rPr>
      </w:pPr>
      <w:r w:rsidRPr="008F5E3D">
        <w:rPr>
          <w:rFonts w:eastAsia="Arial Unicode MS"/>
          <w:b/>
          <w:color w:val="000000"/>
          <w:szCs w:val="22"/>
          <w:lang w:eastAsia="en-US" w:bidi="ar-SA"/>
        </w:rPr>
        <w:t>Indikácie: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proofErr w:type="spellStart"/>
      <w:r w:rsidRPr="008F5E3D">
        <w:rPr>
          <w:color w:val="000000"/>
          <w:szCs w:val="22"/>
          <w:lang w:eastAsia="en-US" w:bidi="ar-SA"/>
        </w:rPr>
        <w:t>DOLGIT</w:t>
      </w:r>
      <w:proofErr w:type="spellEnd"/>
      <w:r w:rsidRPr="008F5E3D">
        <w:rPr>
          <w:color w:val="000000"/>
          <w:szCs w:val="22"/>
          <w:vertAlign w:val="superscript"/>
          <w:lang w:eastAsia="en-US" w:bidi="ar-SA"/>
        </w:rPr>
        <w:t xml:space="preserve">® </w:t>
      </w:r>
      <w:proofErr w:type="spellStart"/>
      <w:r w:rsidRPr="008F5E3D">
        <w:rPr>
          <w:color w:val="000000"/>
          <w:szCs w:val="22"/>
          <w:lang w:eastAsia="en-US" w:bidi="ar-SA"/>
        </w:rPr>
        <w:t>GEL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je určený na lokálnu liečbu poranení pohybového ústrojenstva pri športe alebo pri nehodách, ako je pomliaždenie, výron, vytknutie, vykĺbenie a natiahnutie svalov. 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 xml:space="preserve">Na odporúčanie lekára sa liek používa na liečbu akútnych či chronických zápalových a bolestivých chorobných stavov pohybového ústrojenstva (zápalových reumatických ochorení kĺbov a chrbtice, opuchov alebo zápalov mäkkých tkanív, priliehajúcich ku kĺbom, napr. ťahových váčkov (búrz), šliach, </w:t>
      </w:r>
      <w:proofErr w:type="spellStart"/>
      <w:r w:rsidRPr="008F5E3D">
        <w:rPr>
          <w:color w:val="000000"/>
          <w:szCs w:val="22"/>
          <w:lang w:eastAsia="en-US" w:bidi="ar-SA"/>
        </w:rPr>
        <w:t>šlachových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pošiev, väzív a kĺbových </w:t>
      </w:r>
      <w:proofErr w:type="spellStart"/>
      <w:r w:rsidRPr="008F5E3D">
        <w:rPr>
          <w:color w:val="000000"/>
          <w:szCs w:val="22"/>
          <w:lang w:eastAsia="en-US" w:bidi="ar-SA"/>
        </w:rPr>
        <w:t>púzdier</w:t>
      </w:r>
      <w:proofErr w:type="spellEnd"/>
      <w:r w:rsidRPr="008F5E3D">
        <w:rPr>
          <w:color w:val="000000"/>
          <w:szCs w:val="22"/>
          <w:lang w:eastAsia="en-US" w:bidi="ar-SA"/>
        </w:rPr>
        <w:t xml:space="preserve">, ďalej pri stuhnutosti ramena, bolestiach svalov, lumbagu). 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>Liek je určený pre dospelých a deti nad 14 rokov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eastAsia="en-US" w:bidi="ar-SA"/>
        </w:rPr>
      </w:pPr>
      <w:r w:rsidRPr="008F5E3D">
        <w:rPr>
          <w:b/>
          <w:bCs/>
          <w:color w:val="000000"/>
          <w:szCs w:val="22"/>
          <w:lang w:eastAsia="en-US" w:bidi="ar-SA"/>
        </w:rPr>
        <w:t>Kontraindikácie: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proofErr w:type="spellStart"/>
      <w:r w:rsidRPr="008F5E3D">
        <w:rPr>
          <w:color w:val="000000"/>
          <w:szCs w:val="22"/>
          <w:lang w:eastAsia="en-US" w:bidi="ar-SA"/>
        </w:rPr>
        <w:t>DOLGIT</w:t>
      </w:r>
      <w:proofErr w:type="spellEnd"/>
      <w:r w:rsidRPr="008F5E3D">
        <w:rPr>
          <w:color w:val="000000"/>
          <w:szCs w:val="22"/>
          <w:vertAlign w:val="superscript"/>
          <w:lang w:eastAsia="en-US" w:bidi="ar-SA"/>
        </w:rPr>
        <w:t xml:space="preserve"> ® </w:t>
      </w:r>
      <w:proofErr w:type="spellStart"/>
      <w:r w:rsidRPr="008F5E3D">
        <w:rPr>
          <w:color w:val="000000"/>
          <w:szCs w:val="22"/>
          <w:lang w:eastAsia="en-US" w:bidi="ar-SA"/>
        </w:rPr>
        <w:t>GEL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sa nesmie používať pri známej precitlivenosti na ibuprofén a pomocné látky v lieku a iné protizápalové lieky (</w:t>
      </w:r>
      <w:proofErr w:type="spellStart"/>
      <w:r w:rsidRPr="008F5E3D">
        <w:rPr>
          <w:color w:val="000000"/>
          <w:szCs w:val="22"/>
          <w:lang w:eastAsia="en-US" w:bidi="ar-SA"/>
        </w:rPr>
        <w:t>nesteroidové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</w:t>
      </w:r>
      <w:proofErr w:type="spellStart"/>
      <w:r w:rsidRPr="008F5E3D">
        <w:rPr>
          <w:color w:val="000000"/>
          <w:szCs w:val="22"/>
          <w:lang w:eastAsia="en-US" w:bidi="ar-SA"/>
        </w:rPr>
        <w:t>antiflogistiká</w:t>
      </w:r>
      <w:proofErr w:type="spellEnd"/>
      <w:r w:rsidRPr="008F5E3D">
        <w:rPr>
          <w:color w:val="000000"/>
          <w:szCs w:val="22"/>
          <w:lang w:eastAsia="en-US" w:bidi="ar-SA"/>
        </w:rPr>
        <w:t>), ktorá sa v minulosti prejavila záchvatmi astmy, žihľavkou alebo nádchou.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proofErr w:type="spellStart"/>
      <w:r w:rsidRPr="008F5E3D">
        <w:rPr>
          <w:color w:val="000000"/>
          <w:szCs w:val="22"/>
          <w:lang w:eastAsia="en-US" w:bidi="ar-SA"/>
        </w:rPr>
        <w:t>DOLGIT</w:t>
      </w:r>
      <w:proofErr w:type="spellEnd"/>
      <w:r w:rsidRPr="008F5E3D">
        <w:rPr>
          <w:color w:val="000000"/>
          <w:szCs w:val="22"/>
          <w:vertAlign w:val="superscript"/>
          <w:lang w:eastAsia="en-US" w:bidi="ar-SA"/>
        </w:rPr>
        <w:t xml:space="preserve"> ® </w:t>
      </w:r>
      <w:proofErr w:type="spellStart"/>
      <w:r w:rsidRPr="008F5E3D">
        <w:rPr>
          <w:color w:val="000000"/>
          <w:szCs w:val="22"/>
          <w:lang w:eastAsia="en-US" w:bidi="ar-SA"/>
        </w:rPr>
        <w:t>GEL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sa nesmie používať na porušený kožný povrch (otvorené rany alebo kožné ochorenia) a ani na sliznice. 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keepNext/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outlineLvl w:val="1"/>
        <w:rPr>
          <w:rFonts w:eastAsia="Arial Unicode MS"/>
          <w:b/>
          <w:color w:val="000000"/>
          <w:szCs w:val="22"/>
          <w:lang w:eastAsia="en-US" w:bidi="ar-SA"/>
        </w:rPr>
      </w:pPr>
      <w:r w:rsidRPr="008F5E3D">
        <w:rPr>
          <w:rFonts w:eastAsia="Arial Unicode MS"/>
          <w:b/>
          <w:color w:val="000000"/>
          <w:szCs w:val="22"/>
          <w:lang w:eastAsia="en-US" w:bidi="ar-SA"/>
        </w:rPr>
        <w:t>Nežiaduce účinky: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proofErr w:type="spellStart"/>
      <w:r w:rsidRPr="008F5E3D">
        <w:rPr>
          <w:color w:val="000000"/>
          <w:szCs w:val="22"/>
          <w:lang w:eastAsia="en-US" w:bidi="ar-SA"/>
        </w:rPr>
        <w:t>DOLGIT</w:t>
      </w:r>
      <w:proofErr w:type="spellEnd"/>
      <w:r w:rsidRPr="008F5E3D">
        <w:rPr>
          <w:color w:val="000000"/>
          <w:szCs w:val="22"/>
          <w:vertAlign w:val="superscript"/>
          <w:lang w:eastAsia="en-US" w:bidi="ar-SA"/>
        </w:rPr>
        <w:t xml:space="preserve"> ® </w:t>
      </w:r>
      <w:proofErr w:type="spellStart"/>
      <w:r w:rsidRPr="008F5E3D">
        <w:rPr>
          <w:color w:val="000000"/>
          <w:szCs w:val="22"/>
          <w:lang w:eastAsia="en-US" w:bidi="ar-SA"/>
        </w:rPr>
        <w:t>GEL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sa pri použití na kožu dobre znáša. Je potrebné počítať s výskytom sčervenania (</w:t>
      </w:r>
      <w:proofErr w:type="spellStart"/>
      <w:r w:rsidRPr="008F5E3D">
        <w:rPr>
          <w:color w:val="000000"/>
          <w:szCs w:val="22"/>
          <w:lang w:eastAsia="en-US" w:bidi="ar-SA"/>
        </w:rPr>
        <w:t>erytém</w:t>
      </w:r>
      <w:proofErr w:type="spellEnd"/>
      <w:r w:rsidRPr="008F5E3D">
        <w:rPr>
          <w:color w:val="000000"/>
          <w:szCs w:val="22"/>
          <w:lang w:eastAsia="en-US" w:bidi="ar-SA"/>
        </w:rPr>
        <w:t>) kože v mieste aplikácie alebo jej suchosti, s výskytom kožnej reakcie z precitlivenosti (alergické reakcie) vo forme červených škvŕn až kožných vyrážok.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 xml:space="preserve">Vo veľmi zriedkavých prípadoch môže u disponovaných osôb dôjsť k rozvoju reakcie z precitlivenosti vo forme </w:t>
      </w:r>
      <w:proofErr w:type="spellStart"/>
      <w:r w:rsidRPr="008F5E3D">
        <w:rPr>
          <w:color w:val="000000"/>
          <w:szCs w:val="22"/>
          <w:lang w:eastAsia="en-US" w:bidi="ar-SA"/>
        </w:rPr>
        <w:t>dušnosti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vyvolanej zúžením priedušiek.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i/>
          <w:color w:val="000000"/>
          <w:szCs w:val="22"/>
          <w:lang w:eastAsia="en-US" w:bidi="ar-SA"/>
        </w:rPr>
      </w:pPr>
      <w:r w:rsidRPr="008F5E3D">
        <w:rPr>
          <w:i/>
          <w:color w:val="000000"/>
          <w:szCs w:val="22"/>
          <w:lang w:eastAsia="en-US" w:bidi="ar-SA"/>
        </w:rPr>
        <w:t>Pri výskyte týchto alebo iných nežiaducich účinkov prerušte liečbu a poraďte sa o ďalšom používaní lieku s lekárom.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eastAsia="en-US" w:bidi="ar-SA"/>
        </w:rPr>
      </w:pPr>
      <w:r w:rsidRPr="008F5E3D">
        <w:rPr>
          <w:b/>
          <w:bCs/>
          <w:color w:val="000000"/>
          <w:szCs w:val="22"/>
          <w:lang w:eastAsia="en-US" w:bidi="ar-SA"/>
        </w:rPr>
        <w:t>Interakcie: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>Doteraz nie sú známe interakcie miestne podávaného ibuprofénu s inými liekmi. Bez rady s lekára nenanášajte na rovnaké miesto iné lieky na vonkajšie použitie.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eastAsia="en-US" w:bidi="ar-SA"/>
        </w:rPr>
      </w:pPr>
      <w:r w:rsidRPr="008F5E3D">
        <w:rPr>
          <w:b/>
          <w:bCs/>
          <w:color w:val="000000"/>
          <w:szCs w:val="22"/>
          <w:lang w:eastAsia="en-US" w:bidi="ar-SA"/>
        </w:rPr>
        <w:t>Dávkovanie a spôsob použitia: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>Ak lekár neodporučí inak, nanesie sa 3-4 krát denne (ak je potrebné aj častejšie) na kožu 4- 10 cm dlhý prúžok gélu a starostlivo sa votrie.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 xml:space="preserve">Podľa rozhodnutia lekára je možné prienik účinne podporiť použitím </w:t>
      </w:r>
      <w:proofErr w:type="spellStart"/>
      <w:r w:rsidRPr="008F5E3D">
        <w:rPr>
          <w:color w:val="000000"/>
          <w:szCs w:val="22"/>
          <w:lang w:eastAsia="en-US" w:bidi="ar-SA"/>
        </w:rPr>
        <w:t>iónoforézy</w:t>
      </w:r>
      <w:proofErr w:type="spellEnd"/>
      <w:r w:rsidRPr="008F5E3D">
        <w:rPr>
          <w:color w:val="000000"/>
          <w:szCs w:val="22"/>
          <w:lang w:eastAsia="en-US" w:bidi="ar-SA"/>
        </w:rPr>
        <w:t>. Dĺžku liečby určí lekár. Pri reumatických ochoreniach väčšinou postačia 3-4 týždne, pri poraneniach pri športe alebo pri nehodách 2 týždne.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 xml:space="preserve">Po aplikácii </w:t>
      </w:r>
      <w:proofErr w:type="spellStart"/>
      <w:r w:rsidRPr="008F5E3D">
        <w:rPr>
          <w:color w:val="000000"/>
          <w:szCs w:val="22"/>
          <w:lang w:eastAsia="en-US" w:bidi="ar-SA"/>
        </w:rPr>
        <w:t>DOLGIT</w:t>
      </w:r>
      <w:proofErr w:type="spellEnd"/>
      <w:r w:rsidRPr="008F5E3D">
        <w:rPr>
          <w:color w:val="000000"/>
          <w:szCs w:val="22"/>
          <w:vertAlign w:val="superscript"/>
          <w:lang w:eastAsia="en-US" w:bidi="ar-SA"/>
        </w:rPr>
        <w:t xml:space="preserve"> ® </w:t>
      </w:r>
      <w:proofErr w:type="spellStart"/>
      <w:r w:rsidRPr="008F5E3D">
        <w:rPr>
          <w:color w:val="000000"/>
          <w:szCs w:val="22"/>
          <w:lang w:eastAsia="en-US" w:bidi="ar-SA"/>
        </w:rPr>
        <w:t>GEL-u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sa odporúča umytie rúk.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eastAsia="en-US" w:bidi="ar-SA"/>
        </w:rPr>
      </w:pPr>
      <w:r w:rsidRPr="008F5E3D">
        <w:rPr>
          <w:b/>
          <w:bCs/>
          <w:color w:val="000000"/>
          <w:szCs w:val="22"/>
          <w:lang w:eastAsia="en-US" w:bidi="ar-SA"/>
        </w:rPr>
        <w:t>Upozornenie: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proofErr w:type="spellStart"/>
      <w:r w:rsidRPr="008F5E3D">
        <w:rPr>
          <w:color w:val="000000"/>
          <w:szCs w:val="22"/>
          <w:lang w:eastAsia="en-US" w:bidi="ar-SA"/>
        </w:rPr>
        <w:t>DOLGIT</w:t>
      </w:r>
      <w:proofErr w:type="spellEnd"/>
      <w:r w:rsidRPr="008F5E3D">
        <w:rPr>
          <w:color w:val="000000"/>
          <w:szCs w:val="22"/>
          <w:vertAlign w:val="superscript"/>
          <w:lang w:eastAsia="en-US" w:bidi="ar-SA"/>
        </w:rPr>
        <w:t xml:space="preserve"> ® </w:t>
      </w:r>
      <w:proofErr w:type="spellStart"/>
      <w:r w:rsidRPr="008F5E3D">
        <w:rPr>
          <w:color w:val="000000"/>
          <w:szCs w:val="22"/>
          <w:lang w:eastAsia="en-US" w:bidi="ar-SA"/>
        </w:rPr>
        <w:t>GEL</w:t>
      </w:r>
      <w:proofErr w:type="spellEnd"/>
      <w:r w:rsidRPr="008F5E3D">
        <w:rPr>
          <w:color w:val="000000"/>
          <w:szCs w:val="22"/>
          <w:lang w:eastAsia="en-US" w:bidi="ar-SA"/>
        </w:rPr>
        <w:t xml:space="preserve"> nie je vhodný na liečenie detí do 14 rokov.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iCs/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 xml:space="preserve">O vhodnosti súčasného používania lieku </w:t>
      </w:r>
      <w:proofErr w:type="spellStart"/>
      <w:r w:rsidRPr="008F5E3D">
        <w:rPr>
          <w:iCs/>
          <w:color w:val="000000"/>
          <w:szCs w:val="22"/>
          <w:lang w:eastAsia="en-US" w:bidi="ar-SA"/>
        </w:rPr>
        <w:t>DOLGIT</w:t>
      </w:r>
      <w:proofErr w:type="spellEnd"/>
      <w:r w:rsidRPr="008F5E3D">
        <w:rPr>
          <w:iCs/>
          <w:color w:val="000000"/>
          <w:szCs w:val="22"/>
          <w:vertAlign w:val="superscript"/>
          <w:lang w:eastAsia="en-US" w:bidi="ar-SA"/>
        </w:rPr>
        <w:t xml:space="preserve"> ® </w:t>
      </w:r>
      <w:proofErr w:type="spellStart"/>
      <w:r w:rsidRPr="008F5E3D">
        <w:rPr>
          <w:iCs/>
          <w:color w:val="000000"/>
          <w:szCs w:val="22"/>
          <w:lang w:eastAsia="en-US" w:bidi="ar-SA"/>
        </w:rPr>
        <w:t>GEL</w:t>
      </w:r>
      <w:proofErr w:type="spellEnd"/>
      <w:r w:rsidRPr="008F5E3D">
        <w:rPr>
          <w:iCs/>
          <w:color w:val="000000"/>
          <w:szCs w:val="22"/>
          <w:lang w:eastAsia="en-US" w:bidi="ar-SA"/>
        </w:rPr>
        <w:t xml:space="preserve"> s inými liekmi sa poraďte s lekárom. Ak sa pri poranení do troch dní príznaky ochorenia nezlepšia, alebo naopak sa zhoršujú, či sa vyskytnú nežiaduce účinky alebo nejaké nezvyčajné reakcie, poraďte sa o ďalšom používaní lieku s lekárom.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>Pri náhodnom požití lieku dieťaťom sa poraďte s lekárom.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>Ťarchavosť a dojčenie: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>V priebehu tehotenstva a dojčenia možno liek použiť len na odporučenie lekára, hlavne pri dlhodobom použití alebo pri nanášaní na veľké plochy kože. V posledných troch mesiacoch ťarchavosti sa liek nepoužíva.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eastAsia="en-US" w:bidi="ar-SA"/>
        </w:rPr>
      </w:pPr>
      <w:r w:rsidRPr="008F5E3D">
        <w:rPr>
          <w:b/>
          <w:bCs/>
          <w:color w:val="000000"/>
          <w:szCs w:val="22"/>
          <w:lang w:eastAsia="en-US" w:bidi="ar-SA"/>
        </w:rPr>
        <w:t>Varovanie: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>Liek sa nesmie používať po uplynutí času použiteľnosti vyznačenom na obale. Liek sa musí uchovávať mimo dosahu detí.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eastAsia="en-US" w:bidi="ar-SA"/>
        </w:rPr>
      </w:pPr>
      <w:r w:rsidRPr="008F5E3D">
        <w:rPr>
          <w:b/>
          <w:bCs/>
          <w:color w:val="000000"/>
          <w:szCs w:val="22"/>
          <w:lang w:eastAsia="en-US" w:bidi="ar-SA"/>
        </w:rPr>
        <w:t>Balenie: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>20 g alebo 50 g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eastAsia="en-US" w:bidi="ar-SA"/>
        </w:rPr>
      </w:pPr>
      <w:r w:rsidRPr="008F5E3D">
        <w:rPr>
          <w:b/>
          <w:bCs/>
          <w:color w:val="000000"/>
          <w:szCs w:val="22"/>
          <w:lang w:eastAsia="en-US" w:bidi="ar-SA"/>
        </w:rPr>
        <w:t>Uchovávanie: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color w:val="000000"/>
          <w:szCs w:val="22"/>
          <w:lang w:eastAsia="en-US" w:bidi="ar-SA"/>
        </w:rPr>
        <w:t>Uchovávajte pri teplote 15-25°C.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US" w:bidi="ar-SA"/>
        </w:rPr>
      </w:pPr>
      <w:r w:rsidRPr="008F5E3D">
        <w:rPr>
          <w:b/>
          <w:bCs/>
          <w:color w:val="000000"/>
          <w:szCs w:val="22"/>
          <w:lang w:eastAsia="en-US" w:bidi="ar-SA"/>
        </w:rPr>
        <w:t>Dátum poslednej revízie:</w:t>
      </w:r>
    </w:p>
    <w:p w:rsidR="008F5E3D" w:rsidRPr="008F5E3D" w:rsidRDefault="008F5E3D" w:rsidP="008F5E3D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rPr>
          <w:szCs w:val="22"/>
          <w:lang w:eastAsia="en-US" w:bidi="ar-SA"/>
        </w:rPr>
      </w:pPr>
      <w:r w:rsidRPr="008F5E3D">
        <w:rPr>
          <w:szCs w:val="22"/>
          <w:lang w:eastAsia="en-US" w:bidi="ar-SA"/>
        </w:rPr>
        <w:t>október 2006</w:t>
      </w:r>
    </w:p>
    <w:p w:rsidR="008F5E3D" w:rsidRPr="008F5E3D" w:rsidRDefault="008F5E3D" w:rsidP="008F5E3D">
      <w:pPr>
        <w:tabs>
          <w:tab w:val="clear" w:pos="567"/>
        </w:tabs>
        <w:spacing w:line="240" w:lineRule="auto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spacing w:line="240" w:lineRule="auto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spacing w:line="240" w:lineRule="auto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tabs>
          <w:tab w:val="clear" w:pos="567"/>
        </w:tabs>
        <w:spacing w:line="240" w:lineRule="auto"/>
        <w:rPr>
          <w:color w:val="000000"/>
          <w:szCs w:val="22"/>
          <w:lang w:eastAsia="en-US" w:bidi="ar-SA"/>
        </w:rPr>
      </w:pPr>
    </w:p>
    <w:p w:rsidR="008F5E3D" w:rsidRPr="008F5E3D" w:rsidRDefault="008F5E3D" w:rsidP="008F5E3D">
      <w:pPr>
        <w:keepNext/>
        <w:widowControl w:val="0"/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</w:p>
    <w:p w:rsidR="00FB4782" w:rsidRPr="008F5E3D" w:rsidRDefault="00FB4782">
      <w:pPr>
        <w:rPr>
          <w:szCs w:val="22"/>
        </w:rPr>
      </w:pPr>
    </w:p>
    <w:sectPr w:rsidR="00FB4782" w:rsidRPr="008F5E3D" w:rsidSect="001374C5">
      <w:footerReference w:type="default" r:id="rId6"/>
      <w:headerReference w:type="first" r:id="rId7"/>
      <w:footerReference w:type="first" r:id="rId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E3D" w:rsidRDefault="008F5E3D" w:rsidP="008F5E3D">
      <w:pPr>
        <w:spacing w:line="240" w:lineRule="auto"/>
      </w:pPr>
      <w:r>
        <w:separator/>
      </w:r>
    </w:p>
  </w:endnote>
  <w:endnote w:type="continuationSeparator" w:id="0">
    <w:p w:rsidR="008F5E3D" w:rsidRDefault="008F5E3D" w:rsidP="008F5E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CCF" w:rsidRDefault="008F5E3D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>
      <w:rPr>
        <w:rStyle w:val="slostrany"/>
        <w:rFonts w:cs="Arial"/>
      </w:rPr>
      <w:t>2</w:t>
    </w:r>
    <w:r>
      <w:rPr>
        <w:rStyle w:val="slostrany"/>
        <w:rFonts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CCF" w:rsidRDefault="008F5E3D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E3D" w:rsidRDefault="008F5E3D" w:rsidP="008F5E3D">
      <w:pPr>
        <w:spacing w:line="240" w:lineRule="auto"/>
      </w:pPr>
      <w:r>
        <w:separator/>
      </w:r>
    </w:p>
  </w:footnote>
  <w:footnote w:type="continuationSeparator" w:id="0">
    <w:p w:rsidR="008F5E3D" w:rsidRDefault="008F5E3D" w:rsidP="008F5E3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CCF" w:rsidRPr="008F5E3D" w:rsidRDefault="008F5E3D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2 k rozhodnutiu o predĺžení registrácie, ev. č.: 1850/2005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F5E3D"/>
    <w:rsid w:val="00012980"/>
    <w:rsid w:val="00034215"/>
    <w:rsid w:val="000550EF"/>
    <w:rsid w:val="00065836"/>
    <w:rsid w:val="000C525B"/>
    <w:rsid w:val="000D39F4"/>
    <w:rsid w:val="000F48A6"/>
    <w:rsid w:val="000F65E7"/>
    <w:rsid w:val="0012191C"/>
    <w:rsid w:val="0012278C"/>
    <w:rsid w:val="00141236"/>
    <w:rsid w:val="001612CF"/>
    <w:rsid w:val="00166232"/>
    <w:rsid w:val="00191CFB"/>
    <w:rsid w:val="00196F87"/>
    <w:rsid w:val="001A6692"/>
    <w:rsid w:val="001B71BB"/>
    <w:rsid w:val="001C7EBE"/>
    <w:rsid w:val="001D168D"/>
    <w:rsid w:val="001E06C8"/>
    <w:rsid w:val="0020325F"/>
    <w:rsid w:val="0022494C"/>
    <w:rsid w:val="0023317F"/>
    <w:rsid w:val="00250F77"/>
    <w:rsid w:val="002826F6"/>
    <w:rsid w:val="002834EB"/>
    <w:rsid w:val="00285BB1"/>
    <w:rsid w:val="002C0B31"/>
    <w:rsid w:val="002C22E7"/>
    <w:rsid w:val="002C36C5"/>
    <w:rsid w:val="002C5128"/>
    <w:rsid w:val="002F141A"/>
    <w:rsid w:val="002F3CE8"/>
    <w:rsid w:val="00331B64"/>
    <w:rsid w:val="00340F24"/>
    <w:rsid w:val="00342EF1"/>
    <w:rsid w:val="00371DD4"/>
    <w:rsid w:val="00376E9F"/>
    <w:rsid w:val="0038379F"/>
    <w:rsid w:val="003870DA"/>
    <w:rsid w:val="003A2B02"/>
    <w:rsid w:val="003B2909"/>
    <w:rsid w:val="003B7074"/>
    <w:rsid w:val="003C4BC1"/>
    <w:rsid w:val="003D466C"/>
    <w:rsid w:val="003E2CC0"/>
    <w:rsid w:val="00406932"/>
    <w:rsid w:val="004341D1"/>
    <w:rsid w:val="0044437F"/>
    <w:rsid w:val="00445FA8"/>
    <w:rsid w:val="004518EB"/>
    <w:rsid w:val="00456ACD"/>
    <w:rsid w:val="00470D38"/>
    <w:rsid w:val="00483E80"/>
    <w:rsid w:val="0049142B"/>
    <w:rsid w:val="0049529E"/>
    <w:rsid w:val="004B1C55"/>
    <w:rsid w:val="004C2C63"/>
    <w:rsid w:val="004D7475"/>
    <w:rsid w:val="004E7AA1"/>
    <w:rsid w:val="004E7C5D"/>
    <w:rsid w:val="004F1B86"/>
    <w:rsid w:val="004F6969"/>
    <w:rsid w:val="004F765C"/>
    <w:rsid w:val="00527855"/>
    <w:rsid w:val="00553D99"/>
    <w:rsid w:val="005643A8"/>
    <w:rsid w:val="005720AC"/>
    <w:rsid w:val="0057519E"/>
    <w:rsid w:val="005A79C6"/>
    <w:rsid w:val="005B1FBC"/>
    <w:rsid w:val="005D354B"/>
    <w:rsid w:val="005E2CB3"/>
    <w:rsid w:val="005F40DB"/>
    <w:rsid w:val="0062391D"/>
    <w:rsid w:val="00624E71"/>
    <w:rsid w:val="00656AD6"/>
    <w:rsid w:val="00660F87"/>
    <w:rsid w:val="00663CEA"/>
    <w:rsid w:val="00672CB6"/>
    <w:rsid w:val="00684B5B"/>
    <w:rsid w:val="006A607A"/>
    <w:rsid w:val="007060D2"/>
    <w:rsid w:val="00716320"/>
    <w:rsid w:val="00723C14"/>
    <w:rsid w:val="00723FC6"/>
    <w:rsid w:val="007464D4"/>
    <w:rsid w:val="0077476F"/>
    <w:rsid w:val="007779C7"/>
    <w:rsid w:val="00781CD6"/>
    <w:rsid w:val="00795C65"/>
    <w:rsid w:val="007A04E8"/>
    <w:rsid w:val="007A215A"/>
    <w:rsid w:val="007A799E"/>
    <w:rsid w:val="00802A83"/>
    <w:rsid w:val="00805AB1"/>
    <w:rsid w:val="00836A3A"/>
    <w:rsid w:val="0087438D"/>
    <w:rsid w:val="008A6B34"/>
    <w:rsid w:val="008B0F10"/>
    <w:rsid w:val="008C4587"/>
    <w:rsid w:val="008D0B25"/>
    <w:rsid w:val="008D2701"/>
    <w:rsid w:val="008F126C"/>
    <w:rsid w:val="008F15F4"/>
    <w:rsid w:val="008F5E3D"/>
    <w:rsid w:val="0090052F"/>
    <w:rsid w:val="009012CB"/>
    <w:rsid w:val="0090381E"/>
    <w:rsid w:val="00911742"/>
    <w:rsid w:val="00917153"/>
    <w:rsid w:val="00952FBF"/>
    <w:rsid w:val="00955EE3"/>
    <w:rsid w:val="00962B05"/>
    <w:rsid w:val="009A1574"/>
    <w:rsid w:val="009A4C8B"/>
    <w:rsid w:val="009B3C79"/>
    <w:rsid w:val="009B513F"/>
    <w:rsid w:val="009C731C"/>
    <w:rsid w:val="009D1A87"/>
    <w:rsid w:val="009D387B"/>
    <w:rsid w:val="00A04F0B"/>
    <w:rsid w:val="00A07282"/>
    <w:rsid w:val="00A575F7"/>
    <w:rsid w:val="00A73D9D"/>
    <w:rsid w:val="00A83071"/>
    <w:rsid w:val="00A94259"/>
    <w:rsid w:val="00AA579E"/>
    <w:rsid w:val="00AB55EA"/>
    <w:rsid w:val="00AD2C23"/>
    <w:rsid w:val="00AE1B6E"/>
    <w:rsid w:val="00B016B9"/>
    <w:rsid w:val="00B04EFF"/>
    <w:rsid w:val="00B16BF9"/>
    <w:rsid w:val="00B26D8F"/>
    <w:rsid w:val="00B33B51"/>
    <w:rsid w:val="00B61C96"/>
    <w:rsid w:val="00B73517"/>
    <w:rsid w:val="00B83EC6"/>
    <w:rsid w:val="00BB6DBC"/>
    <w:rsid w:val="00BB78F2"/>
    <w:rsid w:val="00BD4ADF"/>
    <w:rsid w:val="00BD7D64"/>
    <w:rsid w:val="00C200F8"/>
    <w:rsid w:val="00C26B6F"/>
    <w:rsid w:val="00C31BD9"/>
    <w:rsid w:val="00C37712"/>
    <w:rsid w:val="00C44D3A"/>
    <w:rsid w:val="00C46260"/>
    <w:rsid w:val="00C535F4"/>
    <w:rsid w:val="00C71AF3"/>
    <w:rsid w:val="00C82012"/>
    <w:rsid w:val="00C942EE"/>
    <w:rsid w:val="00CC508C"/>
    <w:rsid w:val="00CD05DA"/>
    <w:rsid w:val="00CD62DA"/>
    <w:rsid w:val="00CE771C"/>
    <w:rsid w:val="00CF0481"/>
    <w:rsid w:val="00D137A2"/>
    <w:rsid w:val="00D545EA"/>
    <w:rsid w:val="00D86784"/>
    <w:rsid w:val="00E14BA3"/>
    <w:rsid w:val="00E618B6"/>
    <w:rsid w:val="00E75C04"/>
    <w:rsid w:val="00E84555"/>
    <w:rsid w:val="00E9296A"/>
    <w:rsid w:val="00EC6F81"/>
    <w:rsid w:val="00EE2DFF"/>
    <w:rsid w:val="00EF11FB"/>
    <w:rsid w:val="00EF2FCE"/>
    <w:rsid w:val="00EF52DB"/>
    <w:rsid w:val="00F010CD"/>
    <w:rsid w:val="00F038C5"/>
    <w:rsid w:val="00F21F70"/>
    <w:rsid w:val="00F23C03"/>
    <w:rsid w:val="00F2460D"/>
    <w:rsid w:val="00F4776F"/>
    <w:rsid w:val="00F57A88"/>
    <w:rsid w:val="00F85234"/>
    <w:rsid w:val="00FB4782"/>
    <w:rsid w:val="00FC2B6E"/>
    <w:rsid w:val="00FC4213"/>
    <w:rsid w:val="00FC68C7"/>
    <w:rsid w:val="00FD6725"/>
    <w:rsid w:val="00FF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5E3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8F5E3D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rsid w:val="008F5E3D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rsid w:val="008F5E3D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rsid w:val="008F5E3D"/>
    <w:rPr>
      <w:rFonts w:ascii="Arial" w:eastAsia="Times New Roman" w:hAnsi="Arial" w:cs="Times New Roman"/>
      <w:sz w:val="20"/>
      <w:szCs w:val="20"/>
      <w:lang w:eastAsia="sk-SK" w:bidi="sk-SK"/>
    </w:rPr>
  </w:style>
  <w:style w:type="character" w:styleId="slostrany">
    <w:name w:val="page number"/>
    <w:basedOn w:val="Predvolenpsmoodseku"/>
    <w:rsid w:val="008F5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Krajčí</dc:creator>
  <cp:keywords/>
  <dc:description/>
  <cp:lastModifiedBy>Andrea Krajčí</cp:lastModifiedBy>
  <cp:revision>2</cp:revision>
  <dcterms:created xsi:type="dcterms:W3CDTF">2017-12-19T13:48:00Z</dcterms:created>
  <dcterms:modified xsi:type="dcterms:W3CDTF">2017-12-19T13:53:00Z</dcterms:modified>
</cp:coreProperties>
</file>