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B6" w:rsidRPr="00CD3028" w:rsidRDefault="00F01AB6" w:rsidP="000E7F20">
      <w:pPr>
        <w:spacing w:line="260" w:lineRule="exact"/>
        <w:contextualSpacing/>
        <w:jc w:val="left"/>
        <w:rPr>
          <w:b/>
          <w:caps/>
          <w:sz w:val="16"/>
          <w:szCs w:val="16"/>
        </w:rPr>
      </w:pPr>
    </w:p>
    <w:p w:rsidR="006C540A" w:rsidRPr="000E7F20" w:rsidRDefault="006C540A" w:rsidP="000E7F20">
      <w:pPr>
        <w:pStyle w:val="Nzov"/>
        <w:spacing w:line="260" w:lineRule="exact"/>
        <w:contextualSpacing/>
        <w:jc w:val="left"/>
        <w:rPr>
          <w:szCs w:val="22"/>
        </w:rPr>
      </w:pPr>
    </w:p>
    <w:p w:rsidR="006C540A" w:rsidRPr="008C1BE2" w:rsidRDefault="00B0167F" w:rsidP="000E7F20">
      <w:pPr>
        <w:pStyle w:val="Nzov"/>
        <w:spacing w:line="260" w:lineRule="exact"/>
        <w:contextualSpacing/>
        <w:rPr>
          <w:szCs w:val="22"/>
        </w:rPr>
      </w:pPr>
      <w:r w:rsidRPr="008C1BE2">
        <w:rPr>
          <w:szCs w:val="22"/>
        </w:rPr>
        <w:t>Písomná informácia pre používateľa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center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Gadovist 1,0 mmol/ml, injekčný roztok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center"/>
        <w:rPr>
          <w:sz w:val="22"/>
          <w:szCs w:val="22"/>
        </w:rPr>
      </w:pPr>
      <w:r w:rsidRPr="008C1BE2">
        <w:rPr>
          <w:sz w:val="22"/>
          <w:szCs w:val="22"/>
        </w:rPr>
        <w:t>gadobutrol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01AB6" w:rsidRPr="000E7F20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  <w:r w:rsidRPr="008C1BE2">
        <w:rPr>
          <w:b/>
          <w:bCs/>
          <w:noProof/>
          <w:color w:val="000000"/>
          <w:sz w:val="22"/>
          <w:szCs w:val="22"/>
        </w:rPr>
        <w:t>Pozorne si prečítajte celú písomnú informáciu predtým, ako začnete užívať tento liek, pretože</w:t>
      </w:r>
      <w:r w:rsidRPr="000E7F20">
        <w:rPr>
          <w:b/>
          <w:noProof/>
          <w:snapToGrid w:val="0"/>
          <w:sz w:val="22"/>
          <w:szCs w:val="22"/>
        </w:rPr>
        <w:t xml:space="preserve"> </w:t>
      </w:r>
      <w:r w:rsidRPr="000E7F20">
        <w:rPr>
          <w:b/>
          <w:bCs/>
          <w:color w:val="000000"/>
          <w:sz w:val="22"/>
          <w:szCs w:val="22"/>
        </w:rPr>
        <w:t>obsahuje pre vás dôležité informácie</w:t>
      </w:r>
      <w:r w:rsidRPr="000E7F20">
        <w:rPr>
          <w:b/>
          <w:bCs/>
          <w:noProof/>
          <w:color w:val="000000"/>
          <w:sz w:val="22"/>
          <w:szCs w:val="22"/>
        </w:rPr>
        <w:t>.</w:t>
      </w:r>
    </w:p>
    <w:p w:rsidR="00F01AB6" w:rsidRPr="008C1BE2" w:rsidRDefault="00F01AB6" w:rsidP="000E7F20">
      <w:pPr>
        <w:overflowPunct w:val="0"/>
        <w:autoSpaceDE w:val="0"/>
        <w:autoSpaceDN w:val="0"/>
        <w:spacing w:line="260" w:lineRule="exact"/>
        <w:contextualSpacing/>
        <w:jc w:val="left"/>
        <w:rPr>
          <w:b/>
          <w:bCs/>
          <w:noProof/>
          <w:color w:val="000000"/>
          <w:sz w:val="22"/>
          <w:szCs w:val="22"/>
        </w:rPr>
      </w:pPr>
    </w:p>
    <w:p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0" w:firstLine="0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>Túto písomnú informáciu si uschovajte. Možno bude potrebné, aby ste si ju znovu prečítali.</w:t>
      </w:r>
    </w:p>
    <w:p w:rsidR="00F01AB6" w:rsidRPr="008C1BE2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máte akékoľvek ďalšie otázky, obráťte sa na svojho lekára alebo </w:t>
      </w:r>
      <w:r w:rsidR="003413DD" w:rsidRPr="008C1BE2">
        <w:rPr>
          <w:iCs/>
          <w:noProof/>
          <w:color w:val="000000"/>
          <w:sz w:val="22"/>
          <w:szCs w:val="22"/>
        </w:rPr>
        <w:t>lekára, ktorý vám Gadovist podáva (rádiológ) alebo na nemocničný personál/personál MR</w:t>
      </w:r>
      <w:r w:rsidR="00603B6B">
        <w:rPr>
          <w:iCs/>
          <w:noProof/>
          <w:color w:val="000000"/>
          <w:sz w:val="22"/>
          <w:szCs w:val="22"/>
        </w:rPr>
        <w:t>I</w:t>
      </w:r>
      <w:r w:rsidR="003413DD" w:rsidRPr="008C1BE2">
        <w:rPr>
          <w:iCs/>
          <w:noProof/>
          <w:color w:val="000000"/>
          <w:sz w:val="22"/>
          <w:szCs w:val="22"/>
        </w:rPr>
        <w:t xml:space="preserve"> centra</w:t>
      </w:r>
      <w:r w:rsidRPr="008C1BE2">
        <w:rPr>
          <w:iCs/>
          <w:noProof/>
          <w:color w:val="000000"/>
          <w:sz w:val="22"/>
          <w:szCs w:val="22"/>
        </w:rPr>
        <w:t>.</w:t>
      </w:r>
    </w:p>
    <w:p w:rsidR="00F01AB6" w:rsidRPr="000E7F20" w:rsidRDefault="00F01AB6" w:rsidP="000E7F20">
      <w:pPr>
        <w:numPr>
          <w:ilvl w:val="0"/>
          <w:numId w:val="29"/>
        </w:numPr>
        <w:overflowPunct w:val="0"/>
        <w:autoSpaceDE w:val="0"/>
        <w:autoSpaceDN w:val="0"/>
        <w:spacing w:line="260" w:lineRule="exact"/>
        <w:ind w:left="709" w:hanging="709"/>
        <w:contextualSpacing/>
        <w:jc w:val="left"/>
        <w:rPr>
          <w:i/>
          <w:iCs/>
          <w:noProof/>
          <w:color w:val="000000"/>
          <w:sz w:val="22"/>
          <w:szCs w:val="22"/>
        </w:rPr>
      </w:pPr>
      <w:r w:rsidRPr="008C1BE2">
        <w:rPr>
          <w:iCs/>
          <w:noProof/>
          <w:color w:val="000000"/>
          <w:sz w:val="22"/>
          <w:szCs w:val="22"/>
        </w:rPr>
        <w:t xml:space="preserve">Ak sa u vás vyskytne akýkoľvek vedľajší účinok, obráťte sa na svojho lekára alebo </w:t>
      </w:r>
      <w:r w:rsidR="001F0239" w:rsidRPr="008C1BE2">
        <w:rPr>
          <w:iCs/>
          <w:noProof/>
          <w:color w:val="000000"/>
          <w:sz w:val="22"/>
          <w:szCs w:val="22"/>
        </w:rPr>
        <w:t>rádiológa</w:t>
      </w:r>
      <w:r w:rsidRPr="008C1BE2">
        <w:rPr>
          <w:iCs/>
          <w:noProof/>
          <w:color w:val="000000"/>
          <w:sz w:val="22"/>
          <w:szCs w:val="22"/>
        </w:rPr>
        <w:t>. To sa týka aj akýchkoľvek vedľajších účinkov, ktoré nie sú uvedené v tejto písomnej informácii</w:t>
      </w:r>
      <w:r w:rsidRPr="00F957A1">
        <w:rPr>
          <w:iCs/>
          <w:noProof/>
          <w:color w:val="000000"/>
          <w:sz w:val="22"/>
          <w:szCs w:val="22"/>
        </w:rPr>
        <w:t>. Pozri časť 4</w:t>
      </w:r>
      <w:r w:rsidRPr="000E7F20">
        <w:rPr>
          <w:i/>
          <w:iCs/>
          <w:noProof/>
          <w:color w:val="000000"/>
          <w:sz w:val="22"/>
          <w:szCs w:val="22"/>
        </w:rPr>
        <w:t>.</w:t>
      </w:r>
    </w:p>
    <w:p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b/>
          <w:bCs/>
          <w:sz w:val="22"/>
          <w:szCs w:val="22"/>
        </w:rPr>
        <w:t xml:space="preserve">V tejto písomnej informácii </w:t>
      </w:r>
      <w:r w:rsidR="00130013" w:rsidRPr="000E7F20">
        <w:rPr>
          <w:b/>
          <w:bCs/>
          <w:sz w:val="22"/>
          <w:szCs w:val="22"/>
        </w:rPr>
        <w:t>sa dozviete</w:t>
      </w:r>
      <w:r w:rsidRPr="000E7F20">
        <w:rPr>
          <w:sz w:val="22"/>
          <w:szCs w:val="22"/>
        </w:rPr>
        <w:t>:</w:t>
      </w:r>
    </w:p>
    <w:p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 xml:space="preserve">1. </w:t>
      </w:r>
      <w:r w:rsidR="001175B1" w:rsidRPr="000E7F20">
        <w:rPr>
          <w:sz w:val="22"/>
          <w:szCs w:val="22"/>
        </w:rPr>
        <w:tab/>
      </w:r>
      <w:r w:rsidRPr="000E7F20">
        <w:rPr>
          <w:sz w:val="22"/>
          <w:szCs w:val="22"/>
        </w:rPr>
        <w:t>Čo je Gadovist a na čo sa používa</w:t>
      </w:r>
    </w:p>
    <w:p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 xml:space="preserve">2. </w:t>
      </w:r>
      <w:r w:rsidR="001175B1" w:rsidRPr="000E7F20">
        <w:rPr>
          <w:sz w:val="22"/>
          <w:szCs w:val="22"/>
        </w:rPr>
        <w:tab/>
      </w:r>
      <w:r w:rsidR="00C6066B" w:rsidRPr="000E7F20">
        <w:rPr>
          <w:sz w:val="22"/>
          <w:szCs w:val="22"/>
        </w:rPr>
        <w:t xml:space="preserve">Čo potrebujete vedieť </w:t>
      </w:r>
      <w:r w:rsidR="00055C95" w:rsidRPr="000E7F20">
        <w:rPr>
          <w:sz w:val="22"/>
          <w:szCs w:val="22"/>
        </w:rPr>
        <w:t>predtým,</w:t>
      </w:r>
      <w:r w:rsidRPr="000E7F20">
        <w:rPr>
          <w:sz w:val="22"/>
          <w:szCs w:val="22"/>
        </w:rPr>
        <w:t xml:space="preserve"> ako </w:t>
      </w:r>
      <w:r w:rsidR="00EC75AB" w:rsidRPr="000E7F20">
        <w:rPr>
          <w:sz w:val="22"/>
          <w:szCs w:val="22"/>
        </w:rPr>
        <w:t xml:space="preserve">vám bude </w:t>
      </w:r>
      <w:r w:rsidRPr="000E7F20">
        <w:rPr>
          <w:sz w:val="22"/>
          <w:szCs w:val="22"/>
        </w:rPr>
        <w:t>Gadovist</w:t>
      </w:r>
      <w:r w:rsidR="00EC75AB" w:rsidRPr="000E7F20">
        <w:rPr>
          <w:sz w:val="22"/>
          <w:szCs w:val="22"/>
        </w:rPr>
        <w:t xml:space="preserve"> podaný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 xml:space="preserve">3. </w:t>
      </w:r>
      <w:r w:rsidR="001175B1" w:rsidRPr="000E7F20">
        <w:rPr>
          <w:sz w:val="22"/>
          <w:szCs w:val="22"/>
        </w:rPr>
        <w:tab/>
      </w:r>
      <w:r w:rsidRPr="000E7F20">
        <w:rPr>
          <w:sz w:val="22"/>
          <w:szCs w:val="22"/>
        </w:rPr>
        <w:t xml:space="preserve">Ako </w:t>
      </w:r>
      <w:r w:rsidR="00841EB0" w:rsidRPr="008C1BE2">
        <w:rPr>
          <w:sz w:val="22"/>
          <w:szCs w:val="22"/>
        </w:rPr>
        <w:t xml:space="preserve">vám bude </w:t>
      </w:r>
      <w:r w:rsidRPr="008C1BE2">
        <w:rPr>
          <w:sz w:val="22"/>
          <w:szCs w:val="22"/>
        </w:rPr>
        <w:t>Gadovist</w:t>
      </w:r>
      <w:r w:rsidR="00841EB0" w:rsidRPr="008C1BE2">
        <w:rPr>
          <w:sz w:val="22"/>
          <w:szCs w:val="22"/>
        </w:rPr>
        <w:t xml:space="preserve"> podaný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4. </w:t>
      </w:r>
      <w:r w:rsidR="001175B1" w:rsidRPr="008C1BE2">
        <w:rPr>
          <w:sz w:val="22"/>
          <w:szCs w:val="22"/>
        </w:rPr>
        <w:tab/>
      </w:r>
      <w:r w:rsidRPr="008C1BE2">
        <w:rPr>
          <w:sz w:val="22"/>
          <w:szCs w:val="22"/>
        </w:rPr>
        <w:t>Možné vedľajšie účinky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5. </w:t>
      </w:r>
      <w:r w:rsidR="001175B1" w:rsidRPr="008C1BE2">
        <w:rPr>
          <w:sz w:val="22"/>
          <w:szCs w:val="22"/>
        </w:rPr>
        <w:tab/>
      </w:r>
      <w:r w:rsidRPr="008C1BE2">
        <w:rPr>
          <w:sz w:val="22"/>
          <w:szCs w:val="22"/>
        </w:rPr>
        <w:t>Ako uchovávať Gadovist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6. </w:t>
      </w:r>
      <w:r w:rsidR="001175B1" w:rsidRPr="008C1BE2">
        <w:rPr>
          <w:sz w:val="22"/>
          <w:szCs w:val="22"/>
        </w:rPr>
        <w:tab/>
      </w:r>
      <w:r w:rsidR="00055C95" w:rsidRPr="008C1BE2">
        <w:rPr>
          <w:sz w:val="22"/>
          <w:szCs w:val="22"/>
        </w:rPr>
        <w:t>Obsah balenia a ď</w:t>
      </w:r>
      <w:r w:rsidRPr="008C1BE2">
        <w:rPr>
          <w:sz w:val="22"/>
          <w:szCs w:val="22"/>
        </w:rPr>
        <w:t>alšie informácie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1. 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>Čo je Gadovist a na čo sa používa</w:t>
      </w:r>
    </w:p>
    <w:p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B4081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Gadovist je kontrastná látka na zobrazovanie </w:t>
      </w:r>
      <w:r w:rsidR="008E7472" w:rsidRPr="008C1BE2">
        <w:rPr>
          <w:sz w:val="22"/>
          <w:szCs w:val="22"/>
        </w:rPr>
        <w:t>pomocou</w:t>
      </w:r>
      <w:r w:rsidRPr="008C1BE2">
        <w:rPr>
          <w:sz w:val="22"/>
          <w:szCs w:val="22"/>
        </w:rPr>
        <w:t xml:space="preserve"> magnetick</w:t>
      </w:r>
      <w:r w:rsidR="008E7472" w:rsidRPr="008C1BE2">
        <w:rPr>
          <w:sz w:val="22"/>
          <w:szCs w:val="22"/>
        </w:rPr>
        <w:t xml:space="preserve">ej </w:t>
      </w:r>
      <w:r w:rsidRPr="008C1BE2">
        <w:rPr>
          <w:sz w:val="22"/>
          <w:szCs w:val="22"/>
        </w:rPr>
        <w:t>rezonanci</w:t>
      </w:r>
      <w:r w:rsidR="008E7472" w:rsidRPr="008C1BE2">
        <w:rPr>
          <w:sz w:val="22"/>
          <w:szCs w:val="22"/>
        </w:rPr>
        <w:t>e</w:t>
      </w:r>
      <w:r w:rsidRPr="008C1BE2">
        <w:rPr>
          <w:sz w:val="22"/>
          <w:szCs w:val="22"/>
        </w:rPr>
        <w:t xml:space="preserve"> (MR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>)</w:t>
      </w:r>
      <w:r w:rsidR="008E7472" w:rsidRPr="008C1BE2">
        <w:rPr>
          <w:sz w:val="22"/>
          <w:szCs w:val="22"/>
        </w:rPr>
        <w:t>, ktorá sa používa na vyšetreni</w:t>
      </w:r>
      <w:r w:rsidR="00C14FB3" w:rsidRPr="008C1BE2">
        <w:rPr>
          <w:sz w:val="22"/>
          <w:szCs w:val="22"/>
        </w:rPr>
        <w:t>a</w:t>
      </w:r>
      <w:r w:rsidR="008E7472" w:rsidRPr="008C1BE2">
        <w:rPr>
          <w:sz w:val="22"/>
          <w:szCs w:val="22"/>
        </w:rPr>
        <w:t xml:space="preserve"> </w:t>
      </w:r>
      <w:r w:rsidR="006B4081" w:rsidRPr="008C1BE2">
        <w:rPr>
          <w:sz w:val="22"/>
          <w:szCs w:val="22"/>
        </w:rPr>
        <w:t>mozgu, miechy a ciev. Gadovist taktiež pomáha lekárovi určiť charakter (</w:t>
      </w:r>
      <w:r w:rsidR="00071192">
        <w:rPr>
          <w:sz w:val="22"/>
          <w:szCs w:val="22"/>
        </w:rPr>
        <w:t>ne</w:t>
      </w:r>
      <w:r w:rsidR="006B4081" w:rsidRPr="008C1BE2">
        <w:rPr>
          <w:sz w:val="22"/>
          <w:szCs w:val="22"/>
        </w:rPr>
        <w:t>zhubný alebo zhubný) známych alebo podozrivých abnormalít v pečeni a obličkách.</w:t>
      </w:r>
    </w:p>
    <w:p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Gadovist sa tiež môže použiť na</w:t>
      </w:r>
      <w:r w:rsidR="004F7ADC" w:rsidRPr="00075902">
        <w:rPr>
          <w:sz w:val="22"/>
          <w:szCs w:val="22"/>
        </w:rPr>
        <w:t> </w:t>
      </w:r>
      <w:r w:rsidRPr="003510C7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vyšetrenie abnormalít iných</w:t>
      </w:r>
      <w:r w:rsidR="008E7472" w:rsidRPr="003510C7">
        <w:rPr>
          <w:sz w:val="22"/>
          <w:szCs w:val="22"/>
        </w:rPr>
        <w:t xml:space="preserve"> oblastí tela</w:t>
      </w:r>
      <w:r w:rsidRPr="003510C7">
        <w:rPr>
          <w:sz w:val="22"/>
          <w:szCs w:val="22"/>
        </w:rPr>
        <w:t>.</w:t>
      </w:r>
    </w:p>
    <w:p w:rsidR="006B4081" w:rsidRPr="003510C7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Uľahčuje zobrazenie abnormálnych štruktúr alebo poškodení a pomáha v rozlíšení medzi zdravým a chorým tkanivom.</w:t>
      </w:r>
    </w:p>
    <w:p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3510C7">
        <w:rPr>
          <w:bCs/>
          <w:sz w:val="22"/>
          <w:szCs w:val="22"/>
        </w:rPr>
        <w:t>Gadovist sa používa u dospelých</w:t>
      </w:r>
      <w:r w:rsidRPr="00E31E81">
        <w:rPr>
          <w:bCs/>
          <w:sz w:val="22"/>
          <w:szCs w:val="22"/>
        </w:rPr>
        <w:t xml:space="preserve"> a detí </w:t>
      </w:r>
      <w:r w:rsidR="00071192" w:rsidRPr="00E31E81">
        <w:rPr>
          <w:bCs/>
          <w:sz w:val="22"/>
          <w:szCs w:val="22"/>
        </w:rPr>
        <w:t>každého veku (vrátane donosených novorodencov)</w:t>
      </w:r>
      <w:r w:rsidRPr="00E31E81">
        <w:rPr>
          <w:bCs/>
          <w:sz w:val="22"/>
          <w:szCs w:val="22"/>
        </w:rPr>
        <w:t>.</w:t>
      </w:r>
    </w:p>
    <w:p w:rsidR="006B4081" w:rsidRPr="008C1BE2" w:rsidRDefault="006B4081" w:rsidP="000E7F20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</w:p>
    <w:p w:rsidR="006B4081" w:rsidRPr="00F957A1" w:rsidRDefault="006B4081" w:rsidP="000E7F20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F957A1">
        <w:rPr>
          <w:b/>
          <w:bCs/>
          <w:sz w:val="22"/>
          <w:szCs w:val="22"/>
        </w:rPr>
        <w:t xml:space="preserve">Ako </w:t>
      </w:r>
      <w:r w:rsidRPr="00F957A1">
        <w:rPr>
          <w:b/>
          <w:sz w:val="22"/>
          <w:szCs w:val="22"/>
        </w:rPr>
        <w:t>Gadovist pôsobí</w:t>
      </w:r>
    </w:p>
    <w:p w:rsidR="006B4081" w:rsidRDefault="006B4081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Zobrazenie pomocou MR</w:t>
      </w:r>
      <w:r w:rsidR="00603B6B">
        <w:rPr>
          <w:sz w:val="22"/>
          <w:szCs w:val="22"/>
        </w:rPr>
        <w:t>I</w:t>
      </w:r>
      <w:r w:rsidRPr="000E7F20">
        <w:rPr>
          <w:sz w:val="22"/>
          <w:szCs w:val="22"/>
        </w:rPr>
        <w:t xml:space="preserve"> </w:t>
      </w:r>
      <w:r w:rsidR="009F71C7" w:rsidRPr="000E7F20">
        <w:rPr>
          <w:sz w:val="22"/>
          <w:szCs w:val="22"/>
        </w:rPr>
        <w:t>je forma lekárskeho diagnostického zobrazovania, ktorá využíva správanie sa</w:t>
      </w:r>
      <w:r w:rsidR="004F7ADC">
        <w:rPr>
          <w:sz w:val="22"/>
          <w:szCs w:val="22"/>
        </w:rPr>
        <w:t xml:space="preserve"> častíc vody</w:t>
      </w:r>
      <w:r w:rsidR="009F71C7" w:rsidRPr="000E7F20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normálnych a abnormálnych tkanivách. Vykonáva sa prostredníctvom zložitého systému magnetov</w:t>
      </w:r>
      <w:r w:rsidR="008C1BE2">
        <w:rPr>
          <w:sz w:val="22"/>
          <w:szCs w:val="22"/>
        </w:rPr>
        <w:t xml:space="preserve"> </w:t>
      </w:r>
      <w:r w:rsidR="009F71C7" w:rsidRPr="008C1BE2">
        <w:rPr>
          <w:sz w:val="22"/>
          <w:szCs w:val="22"/>
        </w:rPr>
        <w:t>a</w:t>
      </w:r>
      <w:r w:rsidR="008C1BE2" w:rsidRPr="00075902">
        <w:rPr>
          <w:sz w:val="22"/>
          <w:szCs w:val="22"/>
        </w:rPr>
        <w:t> </w:t>
      </w:r>
      <w:r w:rsidR="009F71C7" w:rsidRPr="008C1BE2">
        <w:rPr>
          <w:sz w:val="22"/>
          <w:szCs w:val="22"/>
        </w:rPr>
        <w:t>elektromagnetického vlnenia. Počítače zaznamenávajú aktivitu a prevádzajú ju do snímok.</w:t>
      </w:r>
    </w:p>
    <w:p w:rsidR="004F7ADC" w:rsidRPr="008C1BE2" w:rsidRDefault="004F7ADC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7F04F7" w:rsidRPr="000E7F20" w:rsidRDefault="00544F8B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Gadovist sa podáva </w:t>
      </w:r>
      <w:r w:rsidR="008C1BE2">
        <w:rPr>
          <w:sz w:val="22"/>
          <w:szCs w:val="22"/>
        </w:rPr>
        <w:t>d</w:t>
      </w:r>
      <w:r w:rsidRPr="008C1BE2">
        <w:rPr>
          <w:sz w:val="22"/>
          <w:szCs w:val="22"/>
        </w:rPr>
        <w:t>o vašej žily ako injekcia. Tento liek sa používa len na diagnostické účely a  podáva</w:t>
      </w:r>
      <w:r w:rsidR="00901142">
        <w:rPr>
          <w:sz w:val="22"/>
          <w:szCs w:val="22"/>
        </w:rPr>
        <w:t>jú ho</w:t>
      </w:r>
      <w:r w:rsidRPr="008C1BE2">
        <w:rPr>
          <w:sz w:val="22"/>
          <w:szCs w:val="22"/>
        </w:rPr>
        <w:t xml:space="preserve"> iba zdravotnícki</w:t>
      </w:r>
      <w:r w:rsidRPr="000E7F20">
        <w:rPr>
          <w:sz w:val="22"/>
          <w:szCs w:val="22"/>
        </w:rPr>
        <w:t xml:space="preserve"> pracovníci s praktickými skúsenosťami v oblasti  klinickej MR</w:t>
      </w:r>
      <w:r w:rsidR="00603B6B">
        <w:rPr>
          <w:sz w:val="22"/>
          <w:szCs w:val="22"/>
        </w:rPr>
        <w:t>I</w:t>
      </w:r>
      <w:r w:rsidRPr="000E7F20">
        <w:rPr>
          <w:sz w:val="22"/>
          <w:szCs w:val="22"/>
        </w:rPr>
        <w:t xml:space="preserve">. </w:t>
      </w:r>
    </w:p>
    <w:p w:rsidR="007F04F7" w:rsidRPr="008C1BE2" w:rsidRDefault="007F04F7" w:rsidP="000E7F2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8E7472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sz w:val="22"/>
          <w:szCs w:val="22"/>
        </w:rPr>
        <w:t xml:space="preserve"> </w:t>
      </w:r>
    </w:p>
    <w:p w:rsidR="006C540A" w:rsidRPr="008C1BE2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2. 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sz w:val="22"/>
          <w:szCs w:val="22"/>
        </w:rPr>
        <w:t xml:space="preserve">Čo potrebujete vedieť predtým, ako </w:t>
      </w:r>
      <w:r w:rsidR="00164FAB" w:rsidRPr="008C1BE2">
        <w:rPr>
          <w:b/>
          <w:sz w:val="22"/>
          <w:szCs w:val="22"/>
        </w:rPr>
        <w:t xml:space="preserve">vám bude </w:t>
      </w:r>
      <w:r w:rsidR="00055C95" w:rsidRPr="008C1BE2">
        <w:rPr>
          <w:b/>
          <w:sz w:val="22"/>
          <w:szCs w:val="22"/>
        </w:rPr>
        <w:t>Gadovist</w:t>
      </w:r>
      <w:r w:rsidR="00164FAB" w:rsidRPr="008C1BE2">
        <w:rPr>
          <w:b/>
          <w:sz w:val="22"/>
          <w:szCs w:val="22"/>
        </w:rPr>
        <w:t xml:space="preserve"> podaný</w:t>
      </w:r>
    </w:p>
    <w:p w:rsidR="00055C95" w:rsidRPr="008C1BE2" w:rsidRDefault="00055C95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0E7F20" w:rsidRDefault="006C540A" w:rsidP="000E7F2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Gadovist</w:t>
      </w:r>
      <w:r w:rsidR="002E06D8" w:rsidRPr="000E7F20">
        <w:rPr>
          <w:b/>
          <w:bCs/>
          <w:sz w:val="22"/>
          <w:szCs w:val="22"/>
        </w:rPr>
        <w:t xml:space="preserve"> by vám nemali podať</w:t>
      </w:r>
    </w:p>
    <w:p w:rsidR="001175B1" w:rsidRPr="008C1BE2" w:rsidRDefault="001175B1" w:rsidP="008C1BE2">
      <w:pPr>
        <w:numPr>
          <w:ilvl w:val="12"/>
          <w:numId w:val="0"/>
        </w:numPr>
        <w:spacing w:line="260" w:lineRule="exact"/>
        <w:ind w:left="709" w:hanging="709"/>
        <w:contextualSpacing/>
        <w:jc w:val="left"/>
        <w:rPr>
          <w:sz w:val="22"/>
          <w:szCs w:val="22"/>
          <w:lang w:val="fr-FR"/>
        </w:rPr>
      </w:pPr>
      <w:r w:rsidRPr="008C1BE2">
        <w:rPr>
          <w:sz w:val="22"/>
          <w:szCs w:val="22"/>
          <w:lang w:val="fr-FR"/>
        </w:rPr>
        <w:t>-</w:t>
      </w:r>
      <w:r w:rsidRPr="008C1BE2">
        <w:rPr>
          <w:sz w:val="22"/>
          <w:szCs w:val="22"/>
          <w:lang w:val="fr-FR"/>
        </w:rPr>
        <w:tab/>
      </w:r>
      <w:r w:rsidRPr="008C1BE2">
        <w:rPr>
          <w:noProof/>
          <w:sz w:val="22"/>
          <w:szCs w:val="22"/>
          <w:lang w:val="fr-FR"/>
        </w:rPr>
        <w:t>ak</w:t>
      </w:r>
      <w:r w:rsidRPr="008C1BE2">
        <w:rPr>
          <w:sz w:val="22"/>
          <w:szCs w:val="22"/>
          <w:lang w:val="fr-FR"/>
        </w:rPr>
        <w:t xml:space="preserve"> ste alergický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val="fr-FR"/>
        </w:rPr>
        <w:t xml:space="preserve">gadobutrol alebo na ktorúkoľvek z ďalších zložiek </w:t>
      </w:r>
      <w:r w:rsidRPr="008C1BE2">
        <w:rPr>
          <w:noProof/>
          <w:sz w:val="22"/>
          <w:szCs w:val="22"/>
          <w:lang w:val="fr-FR"/>
        </w:rPr>
        <w:t>tohto lieku (uvedených v časti</w:t>
      </w:r>
      <w:r w:rsidR="008C1BE2" w:rsidRPr="00075902">
        <w:rPr>
          <w:sz w:val="22"/>
          <w:szCs w:val="22"/>
        </w:rPr>
        <w:t> </w:t>
      </w:r>
      <w:r w:rsidRPr="008C1BE2">
        <w:rPr>
          <w:noProof/>
          <w:sz w:val="22"/>
          <w:szCs w:val="22"/>
          <w:lang w:val="fr-FR"/>
        </w:rPr>
        <w:t>6).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AA5F1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Upozornenia a </w:t>
      </w:r>
      <w:r w:rsidR="002E06D8" w:rsidRPr="008C1BE2">
        <w:rPr>
          <w:b/>
          <w:bCs/>
          <w:sz w:val="22"/>
          <w:szCs w:val="22"/>
        </w:rPr>
        <w:t>opatrenia</w:t>
      </w:r>
    </w:p>
    <w:p w:rsidR="00AA5F14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Povedzte svojmu lekárovi predtým, </w:t>
      </w:r>
      <w:r w:rsidR="00F354B3" w:rsidRPr="008C1BE2">
        <w:rPr>
          <w:sz w:val="22"/>
          <w:szCs w:val="22"/>
        </w:rPr>
        <w:t>ako</w:t>
      </w:r>
      <w:r w:rsidRPr="008C1BE2">
        <w:rPr>
          <w:sz w:val="22"/>
          <w:szCs w:val="22"/>
        </w:rPr>
        <w:t xml:space="preserve"> </w:t>
      </w:r>
      <w:r w:rsidR="00AF36F8" w:rsidRPr="008C1BE2">
        <w:rPr>
          <w:sz w:val="22"/>
          <w:szCs w:val="22"/>
        </w:rPr>
        <w:t>vám bude podaný</w:t>
      </w:r>
      <w:r w:rsidRPr="008C1BE2">
        <w:rPr>
          <w:sz w:val="22"/>
          <w:szCs w:val="22"/>
        </w:rPr>
        <w:t xml:space="preserve"> Gadovist</w:t>
      </w:r>
      <w:r w:rsidR="00FE7EBA" w:rsidRPr="008C1BE2">
        <w:rPr>
          <w:sz w:val="22"/>
          <w:szCs w:val="22"/>
        </w:rPr>
        <w:t xml:space="preserve">, </w:t>
      </w:r>
      <w:r w:rsidR="00AF36F8" w:rsidRPr="008C1BE2">
        <w:rPr>
          <w:sz w:val="22"/>
          <w:szCs w:val="22"/>
        </w:rPr>
        <w:t>ak</w:t>
      </w:r>
    </w:p>
    <w:p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alebo ste v minulosti mali alergiu (napr. sennú nádchu, žihľavku) alebo astmu,</w:t>
      </w:r>
    </w:p>
    <w:p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minulosti mali reakciu na</w:t>
      </w:r>
      <w:r w:rsidR="00AA5F14" w:rsidRPr="008C1BE2">
        <w:rPr>
          <w:sz w:val="22"/>
          <w:szCs w:val="22"/>
        </w:rPr>
        <w:t xml:space="preserve"> ktorúkoľvek</w:t>
      </w:r>
      <w:r w:rsidRPr="008C1BE2">
        <w:rPr>
          <w:sz w:val="22"/>
          <w:szCs w:val="22"/>
        </w:rPr>
        <w:t xml:space="preserve"> kontrastnú látku,</w:t>
      </w:r>
    </w:p>
    <w:p w:rsidR="006C540A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veľmi zhoršenú funkciu obličiek,</w:t>
      </w:r>
    </w:p>
    <w:p w:rsidR="007505E8" w:rsidRPr="008C1BE2" w:rsidRDefault="006C540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mávate záchvaty kŕčov spôsobené mozgovými stavmi alebo </w:t>
      </w:r>
      <w:r w:rsidR="00F0491E" w:rsidRPr="008C1BE2">
        <w:rPr>
          <w:sz w:val="22"/>
          <w:szCs w:val="22"/>
        </w:rPr>
        <w:t xml:space="preserve">iné </w:t>
      </w:r>
      <w:r w:rsidRPr="008C1BE2">
        <w:rPr>
          <w:sz w:val="22"/>
          <w:szCs w:val="22"/>
        </w:rPr>
        <w:t>ochorenia nervového systému</w:t>
      </w:r>
      <w:r w:rsidR="007505E8" w:rsidRPr="008C1BE2">
        <w:rPr>
          <w:sz w:val="22"/>
          <w:szCs w:val="22"/>
        </w:rPr>
        <w:t>,</w:t>
      </w:r>
    </w:p>
    <w:p w:rsidR="006C540A" w:rsidRPr="008C1BE2" w:rsidRDefault="00FE7EBA" w:rsidP="008C1BE2">
      <w:pPr>
        <w:numPr>
          <w:ilvl w:val="0"/>
          <w:numId w:val="31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máte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 kardiostimulátor alebo akékoľvek implantáty alebo svorky obsahujúce železo</w:t>
      </w:r>
      <w:r w:rsidR="006C540A" w:rsidRPr="008C1BE2">
        <w:rPr>
          <w:sz w:val="22"/>
          <w:szCs w:val="22"/>
        </w:rPr>
        <w:t>.</w:t>
      </w:r>
    </w:p>
    <w:p w:rsidR="007505E8" w:rsidRPr="008C1BE2" w:rsidRDefault="007505E8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1175B1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L</w:t>
      </w:r>
      <w:r w:rsidR="006C540A" w:rsidRPr="008C1BE2">
        <w:rPr>
          <w:sz w:val="22"/>
          <w:szCs w:val="22"/>
        </w:rPr>
        <w:t>ekár rozhodne, či sa môže vykonať plánované vyšetrenie, alebo nie.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B37E9">
      <w:pPr>
        <w:autoSpaceDE w:val="0"/>
        <w:autoSpaceDN w:val="0"/>
        <w:spacing w:line="260" w:lineRule="exact"/>
        <w:ind w:hanging="1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8C1BE2">
        <w:rPr>
          <w:sz w:val="22"/>
          <w:szCs w:val="22"/>
        </w:rPr>
        <w:t> </w:t>
      </w:r>
      <w:r w:rsidR="00F354B3" w:rsidRPr="008C1BE2">
        <w:rPr>
          <w:sz w:val="22"/>
          <w:szCs w:val="22"/>
        </w:rPr>
        <w:t xml:space="preserve">podaní </w:t>
      </w:r>
      <w:r w:rsidRPr="008C1BE2">
        <w:rPr>
          <w:sz w:val="22"/>
          <w:szCs w:val="22"/>
        </w:rPr>
        <w:t>Gadovistu sa môžu vyskytnúť alergické reakcie</w:t>
      </w:r>
      <w:r w:rsidR="007505E8" w:rsidRPr="008C1BE2">
        <w:rPr>
          <w:sz w:val="22"/>
          <w:szCs w:val="22"/>
        </w:rPr>
        <w:t>, vedúce k srdcovým problémom, sťaženému dýchaniu alebo kožným reakciám</w:t>
      </w:r>
      <w:r w:rsidRPr="008C1BE2">
        <w:rPr>
          <w:sz w:val="22"/>
          <w:szCs w:val="22"/>
        </w:rPr>
        <w:t xml:space="preserve">. </w:t>
      </w:r>
      <w:r w:rsidRPr="00F957A1">
        <w:rPr>
          <w:sz w:val="22"/>
          <w:szCs w:val="22"/>
        </w:rPr>
        <w:t>Môžu sa vyskytnúť aj závažné reakcie.</w:t>
      </w:r>
      <w:r w:rsidR="00FE7EBA" w:rsidRPr="00F957A1">
        <w:rPr>
          <w:sz w:val="22"/>
          <w:szCs w:val="22"/>
        </w:rPr>
        <w:t xml:space="preserve"> </w:t>
      </w:r>
      <w:r w:rsidR="007C75FC" w:rsidRPr="0040568E">
        <w:rPr>
          <w:sz w:val="22"/>
          <w:szCs w:val="22"/>
          <w:u w:val="single"/>
        </w:rPr>
        <w:t>Väčšina týchto reakcií sa objaví do</w:t>
      </w:r>
      <w:r w:rsidR="007C75FC" w:rsidRPr="008C1BE2">
        <w:rPr>
          <w:sz w:val="22"/>
          <w:szCs w:val="22"/>
        </w:rPr>
        <w:t> </w:t>
      </w:r>
      <w:r w:rsidR="007C75FC" w:rsidRPr="0040568E">
        <w:rPr>
          <w:sz w:val="22"/>
          <w:szCs w:val="22"/>
          <w:u w:val="single"/>
        </w:rPr>
        <w:t>pol hodiny po</w:t>
      </w:r>
      <w:r w:rsidR="007C75FC" w:rsidRPr="008C1BE2">
        <w:rPr>
          <w:sz w:val="22"/>
          <w:szCs w:val="22"/>
        </w:rPr>
        <w:t> </w:t>
      </w:r>
      <w:r w:rsidR="007C75FC" w:rsidRPr="0040568E">
        <w:rPr>
          <w:sz w:val="22"/>
          <w:szCs w:val="22"/>
          <w:u w:val="single"/>
        </w:rPr>
        <w:t xml:space="preserve">podaní Gadovistu. </w:t>
      </w:r>
      <w:r w:rsidR="00FE7EBA" w:rsidRPr="00F957A1">
        <w:rPr>
          <w:sz w:val="22"/>
          <w:szCs w:val="22"/>
        </w:rPr>
        <w:t>Preto budete po vyšetrení pozorovaný.</w:t>
      </w:r>
      <w:r w:rsidR="008C1BE2" w:rsidRPr="008C1BE2">
        <w:rPr>
          <w:sz w:val="22"/>
          <w:szCs w:val="22"/>
          <w:u w:val="single"/>
        </w:rPr>
        <w:t xml:space="preserve"> </w:t>
      </w:r>
      <w:r w:rsidRPr="008C1BE2">
        <w:rPr>
          <w:sz w:val="22"/>
          <w:szCs w:val="22"/>
        </w:rPr>
        <w:t>Pozorovali sa aj oneskorené reakcie (po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hodinách alebo dňoch) (pozri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4).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FE7EBA" w:rsidRPr="0020689B" w:rsidRDefault="00FE7EBA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  <w:lang w:eastAsia="en-US"/>
        </w:rPr>
      </w:pPr>
      <w:r w:rsidRPr="0020689B">
        <w:rPr>
          <w:b/>
          <w:sz w:val="22"/>
          <w:szCs w:val="22"/>
          <w:lang w:eastAsia="en-US"/>
        </w:rPr>
        <w:t>Obličky/Pečeň</w:t>
      </w:r>
    </w:p>
    <w:p w:rsidR="006B257D" w:rsidRPr="000E7F20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Povedzte svojmu lekárovi, </w:t>
      </w:r>
      <w:r w:rsidR="000B37E9">
        <w:rPr>
          <w:sz w:val="22"/>
          <w:szCs w:val="22"/>
          <w:lang w:eastAsia="en-US"/>
        </w:rPr>
        <w:t>ak</w:t>
      </w:r>
      <w:r w:rsidRPr="000E7F20">
        <w:rPr>
          <w:sz w:val="22"/>
          <w:szCs w:val="22"/>
          <w:lang w:eastAsia="en-US"/>
        </w:rPr>
        <w:t>:</w:t>
      </w:r>
    </w:p>
    <w:p w:rsidR="006B257D" w:rsidRPr="008C1BE2" w:rsidRDefault="00FE7EBA" w:rsidP="008C1BE2">
      <w:pPr>
        <w:numPr>
          <w:ilvl w:val="1"/>
          <w:numId w:val="13"/>
        </w:numPr>
        <w:tabs>
          <w:tab w:val="clear" w:pos="1440"/>
          <w:tab w:val="num" w:pos="36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v</w:t>
      </w:r>
      <w:r w:rsidR="006B257D" w:rsidRPr="000E7F20">
        <w:rPr>
          <w:sz w:val="22"/>
          <w:szCs w:val="22"/>
          <w:lang w:eastAsia="en-US"/>
        </w:rPr>
        <w:t>a</w:t>
      </w:r>
      <w:r w:rsidR="006B257D" w:rsidRPr="008C1BE2">
        <w:rPr>
          <w:sz w:val="22"/>
          <w:szCs w:val="22"/>
          <w:lang w:eastAsia="en-US"/>
        </w:rPr>
        <w:t>še obličky nepracujú správne</w:t>
      </w:r>
      <w:r w:rsidR="008C1BE2">
        <w:rPr>
          <w:sz w:val="22"/>
          <w:szCs w:val="22"/>
          <w:lang w:eastAsia="en-US"/>
        </w:rPr>
        <w:t>,</w:t>
      </w:r>
    </w:p>
    <w:p w:rsidR="006B257D" w:rsidRPr="008C1BE2" w:rsidRDefault="00FE7EBA" w:rsidP="008C1BE2">
      <w:pPr>
        <w:numPr>
          <w:ilvl w:val="1"/>
          <w:numId w:val="13"/>
        </w:numPr>
        <w:tabs>
          <w:tab w:val="clear" w:pos="1440"/>
          <w:tab w:val="num" w:pos="360"/>
        </w:tabs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 xml:space="preserve">ám nedávno transplantovali pečeň alebo očakávate, že </w:t>
      </w:r>
      <w:r w:rsidRPr="008C1BE2">
        <w:rPr>
          <w:sz w:val="22"/>
          <w:szCs w:val="22"/>
          <w:lang w:eastAsia="en-US"/>
        </w:rPr>
        <w:t>v</w:t>
      </w:r>
      <w:r w:rsidR="006B257D" w:rsidRPr="008C1BE2">
        <w:rPr>
          <w:sz w:val="22"/>
          <w:szCs w:val="22"/>
          <w:lang w:eastAsia="en-US"/>
        </w:rPr>
        <w:t>ám ju budú čoskoro transplantovať</w:t>
      </w:r>
      <w:r w:rsidRPr="008C1BE2">
        <w:rPr>
          <w:sz w:val="22"/>
          <w:szCs w:val="22"/>
          <w:lang w:eastAsia="en-US"/>
        </w:rPr>
        <w:t>.</w:t>
      </w:r>
    </w:p>
    <w:p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 xml:space="preserve">Predtým, ako sa lekár rozhodne použiť Gadovist sa môže rozhodnúť vykonať krvné testy, aby preveril, nakoľko správne </w:t>
      </w:r>
      <w:r w:rsidR="000B37E9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pracujú, najmä ak ste vo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veku 65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alebo starší.</w:t>
      </w:r>
    </w:p>
    <w:p w:rsidR="006B257D" w:rsidRPr="008C1BE2" w:rsidRDefault="006B257D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45B41" w:rsidRPr="00E31E81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/>
          <w:bCs/>
          <w:sz w:val="22"/>
          <w:szCs w:val="22"/>
        </w:rPr>
        <w:t>Novorodenci a dojčatá</w:t>
      </w:r>
    </w:p>
    <w:p w:rsidR="00FE7EBA" w:rsidRPr="003510C7" w:rsidRDefault="00045B41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E31E81">
        <w:rPr>
          <w:bCs/>
          <w:sz w:val="22"/>
          <w:szCs w:val="22"/>
        </w:rPr>
        <w:t>Keďže je funkcia obličiek u novorodencov do 4. týždňa veku a dojčiat do 1.roka nezrelá, Gadovist sa má použiť u týchto pacientov len po starostlivom zvážení lekárom.</w:t>
      </w:r>
    </w:p>
    <w:p w:rsidR="00B0167F" w:rsidRPr="00E31E81" w:rsidRDefault="00B0167F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</w:p>
    <w:p w:rsidR="00055C95" w:rsidRPr="008C1BE2" w:rsidRDefault="00755B29" w:rsidP="008C1BE2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E31E81">
        <w:rPr>
          <w:b/>
          <w:sz w:val="22"/>
          <w:szCs w:val="22"/>
        </w:rPr>
        <w:t>Iné</w:t>
      </w:r>
      <w:r w:rsidRPr="000E7F20">
        <w:rPr>
          <w:b/>
          <w:sz w:val="22"/>
          <w:szCs w:val="22"/>
        </w:rPr>
        <w:t xml:space="preserve"> lieky a</w:t>
      </w:r>
      <w:r w:rsidR="00055C95" w:rsidRPr="008C1BE2">
        <w:rPr>
          <w:b/>
          <w:sz w:val="22"/>
          <w:szCs w:val="22"/>
        </w:rPr>
        <w:t> </w:t>
      </w:r>
      <w:r w:rsidRPr="008C1BE2">
        <w:rPr>
          <w:b/>
          <w:sz w:val="22"/>
          <w:szCs w:val="22"/>
        </w:rPr>
        <w:t>Gadovist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Ak </w:t>
      </w:r>
      <w:r w:rsidR="007C75FC">
        <w:rPr>
          <w:sz w:val="22"/>
          <w:szCs w:val="22"/>
        </w:rPr>
        <w:t xml:space="preserve">teraz </w:t>
      </w:r>
      <w:r w:rsidRPr="008C1BE2">
        <w:rPr>
          <w:sz w:val="22"/>
          <w:szCs w:val="22"/>
        </w:rPr>
        <w:t>užívate alebo ste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poslednom čase užívali</w:t>
      </w:r>
      <w:r w:rsidR="00D57E3A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či práve budete užívať ďalšie</w:t>
      </w:r>
      <w:r w:rsidR="00D57E3A" w:rsidRPr="008C1BE2">
        <w:rPr>
          <w:sz w:val="22"/>
          <w:szCs w:val="22"/>
        </w:rPr>
        <w:t xml:space="preserve"> lieky,</w:t>
      </w:r>
      <w:r w:rsidRPr="008C1BE2">
        <w:rPr>
          <w:sz w:val="22"/>
          <w:szCs w:val="22"/>
        </w:rPr>
        <w:t xml:space="preserve"> </w:t>
      </w:r>
      <w:r w:rsidR="007C75FC">
        <w:rPr>
          <w:sz w:val="22"/>
          <w:szCs w:val="22"/>
        </w:rPr>
        <w:t>povedzte</w:t>
      </w:r>
      <w:r w:rsidR="007C75F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to svojmu lekárovi.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Tehotenstvo a dojčenie</w:t>
      </w:r>
    </w:p>
    <w:p w:rsidR="007825D4" w:rsidRPr="008C1BE2" w:rsidRDefault="0090114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Predtým</w:t>
      </w:r>
      <w:r w:rsidRPr="008C1BE2">
        <w:rPr>
          <w:sz w:val="22"/>
          <w:szCs w:val="22"/>
          <w:lang w:eastAsia="en-US"/>
        </w:rPr>
        <w:t xml:space="preserve"> </w:t>
      </w:r>
      <w:r w:rsidR="007825D4" w:rsidRPr="008C1BE2">
        <w:rPr>
          <w:sz w:val="22"/>
          <w:szCs w:val="22"/>
          <w:lang w:eastAsia="en-US"/>
        </w:rPr>
        <w:t>ako začnete užívať akýkoľvek liek, poraďte sa so svojím lekárom.</w:t>
      </w:r>
    </w:p>
    <w:p w:rsidR="007825D4" w:rsidRPr="008C1BE2" w:rsidRDefault="007825D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/>
          <w:iCs/>
          <w:sz w:val="22"/>
          <w:szCs w:val="22"/>
          <w:lang w:eastAsia="en-US"/>
        </w:rPr>
      </w:pPr>
    </w:p>
    <w:p w:rsidR="007825D4" w:rsidRPr="00F957A1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Cs/>
          <w:iCs/>
          <w:sz w:val="22"/>
          <w:szCs w:val="22"/>
          <w:u w:val="single"/>
          <w:lang w:eastAsia="en-US"/>
        </w:rPr>
      </w:pPr>
      <w:r w:rsidRPr="00F957A1">
        <w:rPr>
          <w:bCs/>
          <w:iCs/>
          <w:sz w:val="22"/>
          <w:szCs w:val="22"/>
          <w:u w:val="single"/>
          <w:lang w:eastAsia="en-US"/>
        </w:rPr>
        <w:t>Tehotenstvo</w:t>
      </w:r>
    </w:p>
    <w:p w:rsidR="007825D4" w:rsidRPr="000E7F20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si myslíte, že ste alebo že by ste mohli byť tehotná, musíte to oznámiť svojmu lekárovi, pretože ak</w:t>
      </w:r>
      <w:r w:rsidR="008C1BE2">
        <w:rPr>
          <w:sz w:val="22"/>
          <w:szCs w:val="22"/>
          <w:lang w:eastAsia="en-US"/>
        </w:rPr>
        <w:t xml:space="preserve"> </w:t>
      </w:r>
      <w:r w:rsidRPr="000E7F20">
        <w:rPr>
          <w:sz w:val="22"/>
          <w:szCs w:val="22"/>
          <w:lang w:eastAsia="en-US"/>
        </w:rPr>
        <w:t>to nie je úplne nevyhnutné, Gadovist sa počas tehotenstva nemá používať.</w:t>
      </w:r>
    </w:p>
    <w:p w:rsidR="007825D4" w:rsidRPr="008C1BE2" w:rsidRDefault="007825D4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u w:val="single"/>
          <w:lang w:eastAsia="en-US"/>
        </w:rPr>
      </w:pPr>
    </w:p>
    <w:p w:rsidR="007825D4" w:rsidRPr="00F957A1" w:rsidRDefault="007825D4" w:rsidP="00F83339">
      <w:pPr>
        <w:numPr>
          <w:ilvl w:val="0"/>
          <w:numId w:val="33"/>
        </w:numPr>
        <w:autoSpaceDE w:val="0"/>
        <w:autoSpaceDN w:val="0"/>
        <w:spacing w:line="260" w:lineRule="exact"/>
        <w:ind w:left="0" w:firstLine="0"/>
        <w:contextualSpacing/>
        <w:jc w:val="left"/>
        <w:rPr>
          <w:bCs/>
          <w:iCs/>
          <w:sz w:val="22"/>
          <w:szCs w:val="22"/>
          <w:u w:val="single"/>
          <w:lang w:eastAsia="en-US"/>
        </w:rPr>
      </w:pPr>
      <w:r w:rsidRPr="00F957A1">
        <w:rPr>
          <w:bCs/>
          <w:iCs/>
          <w:sz w:val="22"/>
          <w:szCs w:val="22"/>
          <w:u w:val="single"/>
          <w:lang w:eastAsia="en-US"/>
        </w:rPr>
        <w:t>Dojčenie</w:t>
      </w:r>
    </w:p>
    <w:p w:rsidR="007825D4" w:rsidRPr="008C1BE2" w:rsidRDefault="007825D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 xml:space="preserve">Ak dojčíte alebo chcete začať dojčiť, povedzte to svojmu lekárovi. Váš lekár prediskutuje či máte </w:t>
      </w:r>
      <w:r w:rsidR="00D57E3A" w:rsidRPr="000E7F20">
        <w:rPr>
          <w:sz w:val="22"/>
          <w:szCs w:val="22"/>
          <w:lang w:eastAsia="en-US"/>
        </w:rPr>
        <w:t xml:space="preserve">pokračovať v </w:t>
      </w:r>
      <w:r w:rsidRPr="000E7F20">
        <w:rPr>
          <w:sz w:val="22"/>
          <w:szCs w:val="22"/>
          <w:lang w:eastAsia="en-US"/>
        </w:rPr>
        <w:t xml:space="preserve">dojčení </w:t>
      </w:r>
      <w:r w:rsidRPr="008C1BE2">
        <w:rPr>
          <w:sz w:val="22"/>
          <w:szCs w:val="22"/>
          <w:lang w:eastAsia="en-US"/>
        </w:rPr>
        <w:t xml:space="preserve">alebo </w:t>
      </w:r>
      <w:r w:rsidR="00D57E3A" w:rsidRPr="008C1BE2">
        <w:rPr>
          <w:sz w:val="22"/>
          <w:szCs w:val="22"/>
          <w:lang w:eastAsia="en-US"/>
        </w:rPr>
        <w:t xml:space="preserve">ho </w:t>
      </w:r>
      <w:r w:rsidRPr="008C1BE2">
        <w:rPr>
          <w:sz w:val="22"/>
          <w:szCs w:val="22"/>
          <w:lang w:eastAsia="en-US"/>
        </w:rPr>
        <w:t>prerušiť na obdobie 24</w:t>
      </w:r>
      <w:r w:rsidR="000B37E9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hodín 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Gadovistu.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Gadovist</w:t>
      </w:r>
      <w:r w:rsidR="00D57E3A" w:rsidRPr="008C1BE2">
        <w:rPr>
          <w:b/>
          <w:bCs/>
          <w:sz w:val="22"/>
          <w:szCs w:val="22"/>
        </w:rPr>
        <w:t xml:space="preserve"> ob</w:t>
      </w:r>
      <w:r w:rsidR="00EC75AB" w:rsidRPr="008C1BE2">
        <w:rPr>
          <w:b/>
          <w:bCs/>
          <w:sz w:val="22"/>
          <w:szCs w:val="22"/>
        </w:rPr>
        <w:t>s</w:t>
      </w:r>
      <w:r w:rsidR="00D57E3A" w:rsidRPr="008C1BE2">
        <w:rPr>
          <w:b/>
          <w:bCs/>
          <w:sz w:val="22"/>
          <w:szCs w:val="22"/>
        </w:rPr>
        <w:t>ahuje sodík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obsahuje menej ako 23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mg </w:t>
      </w:r>
      <w:r w:rsidR="00D57E3A" w:rsidRPr="008C1BE2">
        <w:rPr>
          <w:sz w:val="22"/>
          <w:szCs w:val="22"/>
        </w:rPr>
        <w:t xml:space="preserve">sodíka </w:t>
      </w:r>
      <w:r w:rsidRPr="008C1BE2">
        <w:rPr>
          <w:sz w:val="22"/>
          <w:szCs w:val="22"/>
        </w:rPr>
        <w:t>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dávku (na základe priemerného množstva</w:t>
      </w:r>
      <w:r w:rsid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podávaného osobám s hmotnosťou 70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kg), čiže je v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podstate „bez obsahu sodíka“.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BD18D8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6C540A" w:rsidRPr="008C1BE2">
        <w:rPr>
          <w:b/>
          <w:bCs/>
          <w:sz w:val="22"/>
          <w:szCs w:val="22"/>
        </w:rPr>
        <w:lastRenderedPageBreak/>
        <w:t xml:space="preserve">3. </w:t>
      </w:r>
      <w:r w:rsidR="00130013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 xml:space="preserve">Ako </w:t>
      </w:r>
      <w:r w:rsidR="00841EB0" w:rsidRPr="008C1BE2">
        <w:rPr>
          <w:b/>
          <w:bCs/>
          <w:sz w:val="22"/>
          <w:szCs w:val="22"/>
        </w:rPr>
        <w:t xml:space="preserve">vám bude </w:t>
      </w:r>
      <w:r w:rsidR="006C540A" w:rsidRPr="008C1BE2">
        <w:rPr>
          <w:b/>
          <w:bCs/>
          <w:sz w:val="22"/>
          <w:szCs w:val="22"/>
        </w:rPr>
        <w:t>Gadovist</w:t>
      </w:r>
      <w:r w:rsidR="00841EB0" w:rsidRPr="008C1BE2">
        <w:rPr>
          <w:b/>
          <w:bCs/>
          <w:sz w:val="22"/>
          <w:szCs w:val="22"/>
        </w:rPr>
        <w:t xml:space="preserve"> podaný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Gadovist podáva </w:t>
      </w:r>
      <w:r w:rsidR="006827F0" w:rsidRPr="008C1BE2">
        <w:rPr>
          <w:sz w:val="22"/>
          <w:szCs w:val="22"/>
        </w:rPr>
        <w:t xml:space="preserve">zdravotnícky pracovník </w:t>
      </w:r>
      <w:r w:rsidRPr="008C1BE2">
        <w:rPr>
          <w:sz w:val="22"/>
          <w:szCs w:val="22"/>
        </w:rPr>
        <w:t xml:space="preserve">injekčne </w:t>
      </w:r>
      <w:r w:rsidR="006827F0" w:rsidRPr="008C1BE2">
        <w:rPr>
          <w:sz w:val="22"/>
          <w:szCs w:val="22"/>
        </w:rPr>
        <w:t>do vašej žily cez malú ihlu</w:t>
      </w:r>
      <w:r w:rsidRPr="008C1BE2">
        <w:rPr>
          <w:sz w:val="22"/>
          <w:szCs w:val="22"/>
        </w:rPr>
        <w:t xml:space="preserve">. </w:t>
      </w:r>
      <w:r w:rsidR="001175B1" w:rsidRPr="008C1BE2">
        <w:rPr>
          <w:sz w:val="22"/>
          <w:szCs w:val="22"/>
        </w:rPr>
        <w:t>Vaše</w:t>
      </w:r>
      <w:r w:rsidR="00130013" w:rsidRPr="008C1BE2">
        <w:rPr>
          <w:sz w:val="22"/>
          <w:szCs w:val="22"/>
        </w:rPr>
        <w:t xml:space="preserve"> </w:t>
      </w:r>
      <w:r w:rsidR="001175B1" w:rsidRPr="008C1BE2">
        <w:rPr>
          <w:sz w:val="22"/>
          <w:szCs w:val="22"/>
        </w:rPr>
        <w:t>MR</w:t>
      </w:r>
      <w:r w:rsidR="00603B6B">
        <w:rPr>
          <w:sz w:val="22"/>
          <w:szCs w:val="22"/>
        </w:rPr>
        <w:t>I</w:t>
      </w:r>
      <w:r w:rsidR="001175B1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vyšetren</w:t>
      </w:r>
      <w:r w:rsidR="001175B1" w:rsidRPr="008C1BE2">
        <w:rPr>
          <w:sz w:val="22"/>
          <w:szCs w:val="22"/>
        </w:rPr>
        <w:t>ie sa začne okamžite po jeho podaní</w:t>
      </w:r>
      <w:r w:rsidRPr="008C1BE2">
        <w:rPr>
          <w:sz w:val="22"/>
          <w:szCs w:val="22"/>
        </w:rPr>
        <w:t>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Po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injekčnom podaní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budú najmenej 30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pozorovať.</w:t>
      </w:r>
    </w:p>
    <w:p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30013" w:rsidRPr="008C1BE2" w:rsidRDefault="00130013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8C1BE2">
        <w:rPr>
          <w:b/>
          <w:sz w:val="22"/>
          <w:szCs w:val="22"/>
        </w:rPr>
        <w:t>Zvyčajná dávka</w:t>
      </w:r>
    </w:p>
    <w:p w:rsidR="004F7ADC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Skutočná dávka Gadovistu, ktorá je pre 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ás správna, bude závisieť od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v</w:t>
      </w:r>
      <w:r w:rsidRPr="008C1BE2">
        <w:rPr>
          <w:sz w:val="22"/>
          <w:szCs w:val="22"/>
        </w:rPr>
        <w:t>ašej telesnej hmotnosti a</w:t>
      </w:r>
      <w:r w:rsidR="008C1BE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oblasti</w:t>
      </w:r>
      <w:r w:rsidR="008C1BE2">
        <w:rPr>
          <w:sz w:val="22"/>
          <w:szCs w:val="22"/>
        </w:rPr>
        <w:t xml:space="preserve"> </w:t>
      </w:r>
      <w:r w:rsidR="006827F0" w:rsidRPr="008C1BE2">
        <w:rPr>
          <w:sz w:val="22"/>
          <w:szCs w:val="22"/>
        </w:rPr>
        <w:t>vyšetrovanej pomocou MR</w:t>
      </w:r>
      <w:r w:rsidR="00603B6B">
        <w:rPr>
          <w:sz w:val="22"/>
          <w:szCs w:val="22"/>
        </w:rPr>
        <w:t>I</w:t>
      </w:r>
      <w:r w:rsidR="006827F0" w:rsidRPr="008C1BE2">
        <w:rPr>
          <w:sz w:val="22"/>
          <w:szCs w:val="22"/>
        </w:rPr>
        <w:t>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Pre dospelých</w:t>
      </w:r>
      <w:r w:rsidRPr="000E7F20">
        <w:rPr>
          <w:sz w:val="22"/>
          <w:szCs w:val="22"/>
        </w:rPr>
        <w:t xml:space="preserve"> zvyčajne stačí jedno injekčné podanie 0,1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mililitra Gadovistu na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telesnej hmotnosti (to znamená, že pre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osobu s hmotnosťou 70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kg by dávka bola 7</w:t>
      </w:r>
      <w:r w:rsidR="008C1BE2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mililitrov)</w:t>
      </w:r>
      <w:r w:rsidR="006827F0" w:rsidRPr="000E7F20">
        <w:rPr>
          <w:sz w:val="22"/>
          <w:szCs w:val="22"/>
        </w:rPr>
        <w:t xml:space="preserve">, </w:t>
      </w:r>
      <w:r w:rsidR="006827F0" w:rsidRPr="008C1BE2">
        <w:rPr>
          <w:sz w:val="22"/>
          <w:szCs w:val="22"/>
        </w:rPr>
        <w:t>avšak do 30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>minút po</w:t>
      </w:r>
      <w:r w:rsidR="008C1BE2" w:rsidRPr="00075902">
        <w:rPr>
          <w:sz w:val="22"/>
          <w:szCs w:val="22"/>
        </w:rPr>
        <w:t> </w:t>
      </w:r>
      <w:r w:rsidR="006827F0" w:rsidRPr="008C1BE2">
        <w:rPr>
          <w:sz w:val="22"/>
          <w:szCs w:val="22"/>
        </w:rPr>
        <w:t xml:space="preserve">prvej injekcii sa môže podať ďalšia injekcia až do 0,2 ml/kg telesnej hmotnosti </w:t>
      </w:r>
      <w:r w:rsidRPr="008C1BE2">
        <w:rPr>
          <w:sz w:val="22"/>
          <w:szCs w:val="22"/>
        </w:rPr>
        <w:t>. Celkovo možno podať najviac 0,3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mililitra Gadovistu na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kg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 hmotnosti.</w:t>
      </w:r>
    </w:p>
    <w:p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Ďalšie informácie o pod</w:t>
      </w:r>
      <w:r w:rsidR="00A170D5" w:rsidRPr="008C1BE2">
        <w:rPr>
          <w:sz w:val="22"/>
          <w:szCs w:val="22"/>
        </w:rPr>
        <w:t>ávaní</w:t>
      </w:r>
      <w:r w:rsidRPr="008C1BE2">
        <w:rPr>
          <w:sz w:val="22"/>
          <w:szCs w:val="22"/>
        </w:rPr>
        <w:t xml:space="preserve"> Gadovist</w:t>
      </w:r>
      <w:r w:rsidR="00863E3C" w:rsidRPr="008C1BE2">
        <w:rPr>
          <w:sz w:val="22"/>
          <w:szCs w:val="22"/>
        </w:rPr>
        <w:t>u</w:t>
      </w:r>
      <w:r w:rsidRPr="008C1BE2">
        <w:rPr>
          <w:sz w:val="22"/>
          <w:szCs w:val="22"/>
        </w:rPr>
        <w:t xml:space="preserve"> a zaobchádzaní s </w:t>
      </w:r>
      <w:r w:rsidR="00A170D5" w:rsidRPr="008C1BE2">
        <w:rPr>
          <w:sz w:val="22"/>
          <w:szCs w:val="22"/>
        </w:rPr>
        <w:t>ním</w:t>
      </w:r>
      <w:r w:rsidRPr="008C1BE2">
        <w:rPr>
          <w:sz w:val="22"/>
          <w:szCs w:val="22"/>
        </w:rPr>
        <w:t xml:space="preserve"> sa nachádzajú na konci </w:t>
      </w:r>
      <w:r w:rsidR="00863E3C" w:rsidRPr="008C1BE2">
        <w:rPr>
          <w:sz w:val="22"/>
          <w:szCs w:val="22"/>
        </w:rPr>
        <w:t xml:space="preserve">tejto </w:t>
      </w:r>
      <w:r w:rsidRPr="008C1BE2">
        <w:rPr>
          <w:sz w:val="22"/>
          <w:szCs w:val="22"/>
        </w:rPr>
        <w:t>informácie pre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používateľa.</w:t>
      </w:r>
    </w:p>
    <w:p w:rsidR="006827F0" w:rsidRPr="008C1BE2" w:rsidRDefault="006827F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>Dávkovanie u osobitných skupín pacientov</w:t>
      </w:r>
    </w:p>
    <w:p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so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závažnými problémami obličiek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ktorým nedávno transplantovali</w:t>
      </w:r>
      <w:r w:rsidR="00094C84" w:rsidRP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pečeň alebo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tých, ktor</w:t>
      </w:r>
      <w:r w:rsidR="005D1C84">
        <w:rPr>
          <w:sz w:val="22"/>
          <w:szCs w:val="22"/>
          <w:lang w:eastAsia="en-US"/>
        </w:rPr>
        <w:t>í</w:t>
      </w:r>
      <w:r w:rsidRPr="008C1BE2">
        <w:rPr>
          <w:sz w:val="22"/>
          <w:szCs w:val="22"/>
          <w:lang w:eastAsia="en-US"/>
        </w:rPr>
        <w:t xml:space="preserve"> očakávajú, že im ju budú čoskoro transplantovať sa použitie </w:t>
      </w:r>
      <w:r w:rsidR="00094C84" w:rsidRPr="008C1BE2">
        <w:rPr>
          <w:sz w:val="22"/>
          <w:szCs w:val="22"/>
          <w:lang w:eastAsia="en-US"/>
        </w:rPr>
        <w:t xml:space="preserve">Gadovistu </w:t>
      </w:r>
      <w:r w:rsidRPr="008C1BE2">
        <w:rPr>
          <w:sz w:val="22"/>
          <w:szCs w:val="22"/>
          <w:lang w:eastAsia="en-US"/>
        </w:rPr>
        <w:t>neodporúča. Ak sa však použitie vyžaduje, máte počas vyšetrenia dostať iba jednu dávku</w:t>
      </w:r>
      <w:r w:rsidR="00094C84" w:rsidRPr="008C1BE2">
        <w:rPr>
          <w:sz w:val="22"/>
          <w:szCs w:val="22"/>
          <w:lang w:eastAsia="en-US"/>
        </w:rPr>
        <w:t xml:space="preserve"> Gadovistu </w:t>
      </w:r>
      <w:r w:rsidRPr="008C1BE2">
        <w:rPr>
          <w:sz w:val="22"/>
          <w:szCs w:val="22"/>
          <w:lang w:eastAsia="en-US"/>
        </w:rPr>
        <w:t>a v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priebehu nasledujúcich aspoň 7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dní nesmiete dostať ďalšiu injekciu.</w:t>
      </w:r>
    </w:p>
    <w:p w:rsidR="00CD2D24" w:rsidRPr="008C1BE2" w:rsidRDefault="00CD2D2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D2D24" w:rsidRPr="003510C7" w:rsidRDefault="00CC5E50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E31E81">
        <w:rPr>
          <w:b/>
          <w:bCs/>
          <w:iCs/>
          <w:sz w:val="22"/>
          <w:szCs w:val="22"/>
          <w:lang w:eastAsia="en-US"/>
        </w:rPr>
        <w:t>Novorodenci, dojčatá, d</w:t>
      </w:r>
      <w:r w:rsidR="00CD2D24" w:rsidRPr="00E31E81">
        <w:rPr>
          <w:b/>
          <w:bCs/>
          <w:iCs/>
          <w:sz w:val="22"/>
          <w:szCs w:val="22"/>
          <w:lang w:eastAsia="en-US"/>
        </w:rPr>
        <w:t>eti a</w:t>
      </w:r>
      <w:r w:rsidR="00CD2D24" w:rsidRPr="003510C7">
        <w:rPr>
          <w:b/>
          <w:bCs/>
          <w:iCs/>
          <w:sz w:val="22"/>
          <w:szCs w:val="22"/>
          <w:lang w:eastAsia="en-US"/>
        </w:rPr>
        <w:t xml:space="preserve"> </w:t>
      </w:r>
      <w:r w:rsidR="005D1C84" w:rsidRPr="003510C7">
        <w:rPr>
          <w:b/>
          <w:bCs/>
          <w:iCs/>
          <w:sz w:val="22"/>
          <w:szCs w:val="22"/>
          <w:lang w:eastAsia="en-US"/>
        </w:rPr>
        <w:t>dospievajúci</w:t>
      </w:r>
    </w:p>
    <w:p w:rsidR="00FF0516" w:rsidRPr="00E31E81" w:rsidRDefault="00FF0516" w:rsidP="003510C7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3510C7">
        <w:rPr>
          <w:sz w:val="22"/>
          <w:szCs w:val="22"/>
          <w:lang w:eastAsia="en-US"/>
        </w:rPr>
        <w:t xml:space="preserve">Pre deti </w:t>
      </w:r>
      <w:r w:rsidR="00CC5E50" w:rsidRPr="00E31E81">
        <w:rPr>
          <w:sz w:val="22"/>
          <w:szCs w:val="22"/>
          <w:lang w:eastAsia="en-US"/>
        </w:rPr>
        <w:t>každého veku (vrátane donosených novorodencov)</w:t>
      </w:r>
      <w:r w:rsidRPr="003510C7">
        <w:rPr>
          <w:sz w:val="22"/>
          <w:szCs w:val="22"/>
          <w:lang w:eastAsia="en-US"/>
        </w:rPr>
        <w:t xml:space="preserve"> sa na všetky vyšetrenia (pozri časť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1) odporúča</w:t>
      </w:r>
      <w:r w:rsidR="00764063" w:rsidRPr="00E31E81">
        <w:rPr>
          <w:sz w:val="22"/>
          <w:szCs w:val="22"/>
          <w:lang w:eastAsia="en-US"/>
        </w:rPr>
        <w:t xml:space="preserve"> podanie</w:t>
      </w:r>
      <w:r w:rsidRPr="00E31E81">
        <w:rPr>
          <w:sz w:val="22"/>
          <w:szCs w:val="22"/>
          <w:lang w:eastAsia="en-US"/>
        </w:rPr>
        <w:t xml:space="preserve"> jedn</w:t>
      </w:r>
      <w:r w:rsidR="00764063" w:rsidRPr="00E31E81">
        <w:rPr>
          <w:sz w:val="22"/>
          <w:szCs w:val="22"/>
          <w:lang w:eastAsia="en-US"/>
        </w:rPr>
        <w:t>ej</w:t>
      </w:r>
      <w:r w:rsidRPr="00E31E81">
        <w:rPr>
          <w:sz w:val="22"/>
          <w:szCs w:val="22"/>
          <w:lang w:eastAsia="en-US"/>
        </w:rPr>
        <w:t xml:space="preserve"> </w:t>
      </w:r>
      <w:r w:rsidR="00CC5E50" w:rsidRPr="00E31E81">
        <w:rPr>
          <w:sz w:val="22"/>
          <w:szCs w:val="22"/>
          <w:lang w:eastAsia="en-US"/>
        </w:rPr>
        <w:t>dávk</w:t>
      </w:r>
      <w:r w:rsidR="00764063" w:rsidRPr="00E31E81">
        <w:rPr>
          <w:sz w:val="22"/>
          <w:szCs w:val="22"/>
          <w:lang w:eastAsia="en-US"/>
        </w:rPr>
        <w:t>y</w:t>
      </w:r>
      <w:r w:rsidRPr="003510C7">
        <w:rPr>
          <w:sz w:val="22"/>
          <w:szCs w:val="22"/>
          <w:lang w:eastAsia="en-US"/>
        </w:rPr>
        <w:t xml:space="preserve"> 0,1</w:t>
      </w:r>
      <w:r w:rsidR="008C1BE2" w:rsidRPr="003510C7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mililitra Gadovistu na kg</w:t>
      </w:r>
      <w:r w:rsidR="008C1BE2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telesnej hmotnosti.</w:t>
      </w:r>
    </w:p>
    <w:p w:rsidR="006C540A" w:rsidRPr="008C1BE2" w:rsidRDefault="00CC5E50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 xml:space="preserve">Keďže je funkcia obličiek u novorodencov do 4. týždňa veku a dojčiat do 1.roka nezrelá, Gadovist sa má použiť u týchto pacientov len po starostlivom zvážení lekárom. Novorodenci a dojčatá majú </w:t>
      </w:r>
      <w:r w:rsidRPr="00E31E81">
        <w:rPr>
          <w:sz w:val="22"/>
          <w:szCs w:val="22"/>
          <w:lang w:eastAsia="en-US"/>
        </w:rPr>
        <w:t>počas vyšetrenia dostať iba jednu dávku Gadovistu a v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priebehu nasledujúcich aspoň 7</w:t>
      </w:r>
      <w:r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dní nesmú dostať ďalšiu injekciu.</w:t>
      </w:r>
    </w:p>
    <w:p w:rsidR="009E4789" w:rsidRDefault="009E4789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</w:p>
    <w:p w:rsidR="00CD2D24" w:rsidRPr="00F957A1" w:rsidRDefault="00CD2D24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iCs/>
          <w:sz w:val="22"/>
          <w:szCs w:val="22"/>
          <w:lang w:eastAsia="en-US"/>
        </w:rPr>
      </w:pPr>
      <w:r w:rsidRPr="00F957A1">
        <w:rPr>
          <w:b/>
          <w:bCs/>
          <w:iCs/>
          <w:sz w:val="22"/>
          <w:szCs w:val="22"/>
          <w:lang w:eastAsia="en-US"/>
        </w:rPr>
        <w:t>Starší pacienti</w:t>
      </w:r>
    </w:p>
    <w:p w:rsidR="00CD2D24" w:rsidRPr="008C1BE2" w:rsidRDefault="00CD2D24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0E7F20">
        <w:rPr>
          <w:sz w:val="22"/>
          <w:szCs w:val="22"/>
          <w:lang w:eastAsia="en-US"/>
        </w:rPr>
        <w:t>Ak máte 65</w:t>
      </w:r>
      <w:r w:rsidR="004F7ADC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rokov alebo viac, nie je potrebné upravovať </w:t>
      </w:r>
      <w:r w:rsidR="00FF0516" w:rsidRPr="000E7F20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 xml:space="preserve">ašu dávku, ale môžu </w:t>
      </w:r>
      <w:r w:rsidR="00591D34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ám vykonať krvné</w:t>
      </w:r>
      <w:r w:rsidR="008C1BE2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 xml:space="preserve">testy, aby sa zistilo, nakoľko správne </w:t>
      </w:r>
      <w:r w:rsidR="00FF0516" w:rsidRPr="008C1BE2">
        <w:rPr>
          <w:sz w:val="22"/>
          <w:szCs w:val="22"/>
          <w:lang w:eastAsia="en-US"/>
        </w:rPr>
        <w:t>v</w:t>
      </w:r>
      <w:r w:rsidRPr="008C1BE2">
        <w:rPr>
          <w:sz w:val="22"/>
          <w:szCs w:val="22"/>
          <w:lang w:eastAsia="en-US"/>
        </w:rPr>
        <w:t>aše obličky pracujú.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Ak dostanete viac Gadovistu</w:t>
      </w:r>
      <w:r w:rsidR="00713F24" w:rsidRPr="008C1BE2">
        <w:rPr>
          <w:b/>
          <w:bCs/>
          <w:sz w:val="22"/>
          <w:szCs w:val="22"/>
        </w:rPr>
        <w:t>,</w:t>
      </w:r>
      <w:r w:rsidRPr="008C1BE2">
        <w:rPr>
          <w:b/>
          <w:bCs/>
          <w:sz w:val="22"/>
          <w:szCs w:val="22"/>
        </w:rPr>
        <w:t xml:space="preserve"> ako máte dostať: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Predávkovanie nie je pravdepodobné. Ak k nemu dôjde, lekár bude liečiť všetky príznaky</w:t>
      </w:r>
      <w:r w:rsidR="00863E3C" w:rsidRPr="008C1BE2">
        <w:rPr>
          <w:sz w:val="22"/>
          <w:szCs w:val="22"/>
        </w:rPr>
        <w:t xml:space="preserve"> a </w:t>
      </w:r>
      <w:r w:rsidR="00E20412" w:rsidRPr="008C1BE2">
        <w:rPr>
          <w:sz w:val="22"/>
          <w:szCs w:val="22"/>
        </w:rPr>
        <w:t xml:space="preserve">na odstránenie Gadovistu z vášho tela </w:t>
      </w:r>
      <w:r w:rsidR="00302286">
        <w:rPr>
          <w:sz w:val="22"/>
          <w:szCs w:val="22"/>
        </w:rPr>
        <w:t xml:space="preserve">sa môže </w:t>
      </w:r>
      <w:r w:rsidR="00863E3C" w:rsidRPr="008C1BE2">
        <w:rPr>
          <w:sz w:val="22"/>
          <w:szCs w:val="22"/>
        </w:rPr>
        <w:t xml:space="preserve">použiť </w:t>
      </w:r>
      <w:r w:rsidR="00FC58A1" w:rsidRPr="008C1BE2">
        <w:rPr>
          <w:sz w:val="22"/>
          <w:szCs w:val="22"/>
        </w:rPr>
        <w:t>obličkov</w:t>
      </w:r>
      <w:r w:rsidR="00302286">
        <w:rPr>
          <w:sz w:val="22"/>
          <w:szCs w:val="22"/>
        </w:rPr>
        <w:t>á</w:t>
      </w:r>
      <w:r w:rsidR="00FC58A1" w:rsidRPr="008C1BE2">
        <w:rPr>
          <w:sz w:val="22"/>
          <w:szCs w:val="22"/>
        </w:rPr>
        <w:t xml:space="preserve"> </w:t>
      </w:r>
      <w:r w:rsidR="00863E3C" w:rsidRPr="008C1BE2">
        <w:rPr>
          <w:sz w:val="22"/>
          <w:szCs w:val="22"/>
        </w:rPr>
        <w:t>dialýz</w:t>
      </w:r>
      <w:r w:rsidR="00302286">
        <w:rPr>
          <w:sz w:val="22"/>
          <w:szCs w:val="22"/>
        </w:rPr>
        <w:t>a</w:t>
      </w:r>
      <w:r w:rsidRPr="008C1BE2">
        <w:rPr>
          <w:sz w:val="22"/>
          <w:szCs w:val="22"/>
        </w:rPr>
        <w:t>.</w:t>
      </w:r>
    </w:p>
    <w:p w:rsidR="006C540A" w:rsidRPr="008C1BE2" w:rsidRDefault="00E20412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Ne</w:t>
      </w:r>
      <w:r w:rsidR="008C1BE2">
        <w:rPr>
          <w:sz w:val="22"/>
          <w:szCs w:val="22"/>
        </w:rPr>
        <w:t>existuj</w:t>
      </w:r>
      <w:r w:rsidRPr="008C1BE2">
        <w:rPr>
          <w:sz w:val="22"/>
          <w:szCs w:val="22"/>
        </w:rPr>
        <w:t>ú dôkazy, ktoré by naznačovali, že táto metóda zabráni vývinu nefrogénnej systémovej fibrózy (NSF, pozri časť</w:t>
      </w:r>
      <w:r w:rsidR="008C1BE2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4) a na liečbu tohto stavu sa </w:t>
      </w:r>
      <w:r w:rsidR="00E431B0" w:rsidRPr="008C1BE2">
        <w:rPr>
          <w:sz w:val="22"/>
          <w:szCs w:val="22"/>
        </w:rPr>
        <w:t xml:space="preserve">dialýza </w:t>
      </w:r>
      <w:r w:rsidRPr="008C1BE2">
        <w:rPr>
          <w:sz w:val="22"/>
          <w:szCs w:val="22"/>
        </w:rPr>
        <w:t>nesmie použiť.</w:t>
      </w:r>
      <w:r w:rsidR="00C44663" w:rsidRPr="008C1BE2">
        <w:rPr>
          <w:sz w:val="22"/>
          <w:szCs w:val="22"/>
        </w:rPr>
        <w:t xml:space="preserve"> </w:t>
      </w:r>
      <w:r w:rsidR="006C540A" w:rsidRPr="008C1BE2">
        <w:rPr>
          <w:sz w:val="22"/>
          <w:szCs w:val="22"/>
        </w:rPr>
        <w:t>V</w:t>
      </w:r>
      <w:r w:rsidR="004F7ADC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 xml:space="preserve">niektorých prípadoch </w:t>
      </w:r>
      <w:r w:rsidR="00C44663" w:rsidRPr="008C1BE2">
        <w:rPr>
          <w:sz w:val="22"/>
          <w:szCs w:val="22"/>
        </w:rPr>
        <w:t xml:space="preserve">sa </w:t>
      </w:r>
      <w:r w:rsidR="006C540A" w:rsidRPr="008C1BE2">
        <w:rPr>
          <w:sz w:val="22"/>
          <w:szCs w:val="22"/>
        </w:rPr>
        <w:t xml:space="preserve">skontroluje </w:t>
      </w:r>
      <w:r w:rsidR="00C44663" w:rsidRPr="008C1BE2">
        <w:rPr>
          <w:sz w:val="22"/>
          <w:szCs w:val="22"/>
        </w:rPr>
        <w:t xml:space="preserve">vaše </w:t>
      </w:r>
      <w:r w:rsidR="006C540A" w:rsidRPr="008C1BE2">
        <w:rPr>
          <w:sz w:val="22"/>
          <w:szCs w:val="22"/>
        </w:rPr>
        <w:t>srdc</w:t>
      </w:r>
      <w:r w:rsidR="00C44663" w:rsidRPr="008C1BE2">
        <w:rPr>
          <w:sz w:val="22"/>
          <w:szCs w:val="22"/>
        </w:rPr>
        <w:t>e</w:t>
      </w:r>
      <w:r w:rsidR="006C540A" w:rsidRPr="008C1BE2">
        <w:rPr>
          <w:sz w:val="22"/>
          <w:szCs w:val="22"/>
        </w:rPr>
        <w:t>.</w:t>
      </w:r>
    </w:p>
    <w:p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8C1BE2" w:rsidRDefault="00713F24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 xml:space="preserve">Ak máte </w:t>
      </w:r>
      <w:r w:rsidR="00E64EE8" w:rsidRPr="008C1BE2">
        <w:rPr>
          <w:noProof/>
          <w:sz w:val="22"/>
          <w:szCs w:val="22"/>
        </w:rPr>
        <w:t xml:space="preserve">akékoľvek </w:t>
      </w:r>
      <w:r w:rsidRPr="008C1BE2">
        <w:rPr>
          <w:noProof/>
          <w:sz w:val="22"/>
          <w:szCs w:val="22"/>
        </w:rPr>
        <w:t xml:space="preserve">ďalšie otázky týkajúce sa použitia tohto lieku, opýtajte sa svojho lekára alebo </w:t>
      </w:r>
      <w:r w:rsidR="00E20412" w:rsidRPr="008C1BE2">
        <w:rPr>
          <w:noProof/>
          <w:sz w:val="22"/>
          <w:szCs w:val="22"/>
        </w:rPr>
        <w:t>rádiológa</w:t>
      </w:r>
      <w:r w:rsidRPr="008C1BE2">
        <w:rPr>
          <w:noProof/>
          <w:sz w:val="22"/>
          <w:szCs w:val="22"/>
        </w:rPr>
        <w:t>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BD18D8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6C540A" w:rsidRPr="008C1BE2">
        <w:rPr>
          <w:b/>
          <w:bCs/>
          <w:sz w:val="22"/>
          <w:szCs w:val="22"/>
        </w:rPr>
        <w:lastRenderedPageBreak/>
        <w:t xml:space="preserve">4. </w:t>
      </w:r>
      <w:r w:rsidR="00713F24" w:rsidRPr="008C1BE2">
        <w:rPr>
          <w:b/>
          <w:bCs/>
          <w:sz w:val="22"/>
          <w:szCs w:val="22"/>
        </w:rPr>
        <w:tab/>
      </w:r>
      <w:r w:rsidR="006C540A" w:rsidRPr="008C1BE2">
        <w:rPr>
          <w:b/>
          <w:bCs/>
          <w:sz w:val="22"/>
          <w:szCs w:val="22"/>
        </w:rPr>
        <w:t>M</w:t>
      </w:r>
      <w:r w:rsidR="00055C95" w:rsidRPr="008C1BE2">
        <w:rPr>
          <w:b/>
          <w:bCs/>
          <w:sz w:val="22"/>
          <w:szCs w:val="22"/>
        </w:rPr>
        <w:t>ožné vedľajšie účinky</w:t>
      </w:r>
      <w:r w:rsidR="00E431B0" w:rsidRPr="008C1BE2">
        <w:rPr>
          <w:b/>
          <w:bCs/>
          <w:sz w:val="22"/>
          <w:szCs w:val="22"/>
        </w:rPr>
        <w:t xml:space="preserve"> 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Tak ako všetky lieky, </w:t>
      </w:r>
      <w:r w:rsidR="00713F24" w:rsidRPr="008C1BE2">
        <w:rPr>
          <w:sz w:val="22"/>
          <w:szCs w:val="22"/>
        </w:rPr>
        <w:t xml:space="preserve">aj </w:t>
      </w:r>
      <w:r w:rsidR="006053E4" w:rsidRPr="008C1BE2">
        <w:rPr>
          <w:sz w:val="22"/>
          <w:szCs w:val="22"/>
        </w:rPr>
        <w:t xml:space="preserve">tento liek </w:t>
      </w:r>
      <w:r w:rsidRPr="008C1BE2">
        <w:rPr>
          <w:sz w:val="22"/>
          <w:szCs w:val="22"/>
        </w:rPr>
        <w:t>môže spôsobovať vedľajšie účinky, hoci sa neprejavia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každého.</w:t>
      </w:r>
    </w:p>
    <w:p w:rsidR="006C540A" w:rsidRPr="008C1BE2" w:rsidRDefault="006C540A" w:rsidP="008C1B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4F7ADC" w:rsidRDefault="00637DA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689B">
        <w:rPr>
          <w:b/>
          <w:sz w:val="22"/>
          <w:szCs w:val="22"/>
          <w:lang w:val="sk-SK"/>
        </w:rPr>
        <w:t>Najzávažnejšie vedľajšie účinky</w:t>
      </w:r>
      <w:r w:rsidRPr="000E7F20">
        <w:rPr>
          <w:sz w:val="22"/>
          <w:szCs w:val="22"/>
          <w:lang w:val="sk-SK"/>
        </w:rPr>
        <w:t xml:space="preserve"> </w:t>
      </w:r>
      <w:r w:rsidR="006053E4" w:rsidRPr="000E7F20">
        <w:rPr>
          <w:sz w:val="22"/>
          <w:szCs w:val="22"/>
          <w:lang w:val="sk-SK"/>
        </w:rPr>
        <w:t xml:space="preserve">(ktoré </w:t>
      </w:r>
      <w:r w:rsidR="006053E4" w:rsidRPr="008C1BE2">
        <w:rPr>
          <w:sz w:val="22"/>
          <w:szCs w:val="22"/>
          <w:lang w:val="sk-SK"/>
        </w:rPr>
        <w:t>sú v niektorých prípadoch smrteľné alebo ohrozujú život) sú:</w:t>
      </w:r>
    </w:p>
    <w:p w:rsidR="004F7ADC" w:rsidRDefault="006053E4" w:rsidP="0020689B">
      <w:pPr>
        <w:numPr>
          <w:ilvl w:val="0"/>
          <w:numId w:val="34"/>
        </w:numPr>
        <w:spacing w:line="260" w:lineRule="exact"/>
        <w:ind w:left="709" w:hanging="709"/>
        <w:contextualSpacing/>
        <w:jc w:val="left"/>
        <w:rPr>
          <w:sz w:val="22"/>
          <w:szCs w:val="22"/>
        </w:rPr>
      </w:pPr>
      <w:r w:rsidRPr="008C1BE2">
        <w:rPr>
          <w:noProof/>
          <w:sz w:val="22"/>
          <w:szCs w:val="22"/>
        </w:rPr>
        <w:t>srdce</w:t>
      </w:r>
      <w:r w:rsidRPr="008C1BE2">
        <w:rPr>
          <w:sz w:val="22"/>
          <w:szCs w:val="22"/>
        </w:rPr>
        <w:t xml:space="preserve"> prestane tĺcť (</w:t>
      </w:r>
      <w:r w:rsidR="00637DAC" w:rsidRPr="003D2924">
        <w:rPr>
          <w:sz w:val="22"/>
          <w:szCs w:val="22"/>
        </w:rPr>
        <w:t>z</w:t>
      </w:r>
      <w:r w:rsidR="004D5A7F" w:rsidRPr="003D2924">
        <w:rPr>
          <w:sz w:val="22"/>
          <w:szCs w:val="22"/>
        </w:rPr>
        <w:t xml:space="preserve">astavenie </w:t>
      </w:r>
      <w:r w:rsidR="00637DAC" w:rsidRPr="003D2924">
        <w:rPr>
          <w:sz w:val="22"/>
          <w:szCs w:val="22"/>
        </w:rPr>
        <w:t>srdca</w:t>
      </w:r>
      <w:r w:rsidRPr="000E7F20">
        <w:rPr>
          <w:sz w:val="22"/>
          <w:szCs w:val="22"/>
        </w:rPr>
        <w:t>)</w:t>
      </w:r>
      <w:r w:rsidR="00637DAC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 závažné ale</w:t>
      </w:r>
      <w:r w:rsidR="003401E7" w:rsidRPr="008C1BE2">
        <w:rPr>
          <w:sz w:val="22"/>
          <w:szCs w:val="22"/>
        </w:rPr>
        <w:t>rgii podobné</w:t>
      </w:r>
      <w:r w:rsidRPr="008C1BE2">
        <w:rPr>
          <w:sz w:val="22"/>
          <w:szCs w:val="22"/>
        </w:rPr>
        <w:t xml:space="preserve"> (</w:t>
      </w:r>
      <w:r w:rsidRPr="003D2924">
        <w:rPr>
          <w:sz w:val="22"/>
          <w:szCs w:val="22"/>
        </w:rPr>
        <w:t>anafylaktoidné</w:t>
      </w:r>
      <w:r w:rsidRPr="000E7F20">
        <w:rPr>
          <w:sz w:val="22"/>
          <w:szCs w:val="22"/>
        </w:rPr>
        <w:t>) reakcie</w:t>
      </w:r>
      <w:r w:rsidR="003401E7" w:rsidRPr="000E7F20">
        <w:rPr>
          <w:sz w:val="22"/>
          <w:szCs w:val="22"/>
        </w:rPr>
        <w:t xml:space="preserve"> (vrátane </w:t>
      </w:r>
      <w:r w:rsidR="00637DAC" w:rsidRPr="008C1BE2">
        <w:rPr>
          <w:sz w:val="22"/>
          <w:szCs w:val="22"/>
        </w:rPr>
        <w:t>z</w:t>
      </w:r>
      <w:r w:rsidR="004D5A7F" w:rsidRPr="008C1BE2">
        <w:rPr>
          <w:sz w:val="22"/>
          <w:szCs w:val="22"/>
        </w:rPr>
        <w:t>astaveni</w:t>
      </w:r>
      <w:r w:rsidR="003401E7" w:rsidRPr="008C1BE2">
        <w:rPr>
          <w:sz w:val="22"/>
          <w:szCs w:val="22"/>
        </w:rPr>
        <w:t>a</w:t>
      </w:r>
      <w:r w:rsidR="004D5A7F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dýchania</w:t>
      </w:r>
      <w:r w:rsidR="00C04B4D" w:rsidRPr="008C1BE2">
        <w:rPr>
          <w:sz w:val="22"/>
          <w:szCs w:val="22"/>
        </w:rPr>
        <w:t xml:space="preserve"> </w:t>
      </w:r>
      <w:r w:rsidR="00637DAC" w:rsidRPr="008C1BE2">
        <w:rPr>
          <w:sz w:val="22"/>
          <w:szCs w:val="22"/>
        </w:rPr>
        <w:t>a</w:t>
      </w:r>
      <w:r w:rsidR="004F7ADC">
        <w:rPr>
          <w:sz w:val="22"/>
          <w:szCs w:val="22"/>
        </w:rPr>
        <w:t> </w:t>
      </w:r>
      <w:r w:rsidR="00637DAC" w:rsidRPr="008C1BE2">
        <w:rPr>
          <w:sz w:val="22"/>
          <w:szCs w:val="22"/>
        </w:rPr>
        <w:t>šok</w:t>
      </w:r>
      <w:r w:rsidR="003401E7" w:rsidRPr="008C1BE2">
        <w:rPr>
          <w:sz w:val="22"/>
          <w:szCs w:val="22"/>
        </w:rPr>
        <w:t>u</w:t>
      </w:r>
      <w:r w:rsidR="004F7ADC">
        <w:rPr>
          <w:sz w:val="22"/>
          <w:szCs w:val="22"/>
        </w:rPr>
        <w:t>)</w:t>
      </w:r>
      <w:r w:rsidR="003401E7" w:rsidRPr="008C1BE2">
        <w:rPr>
          <w:sz w:val="22"/>
          <w:szCs w:val="22"/>
        </w:rPr>
        <w:t>.</w:t>
      </w:r>
    </w:p>
    <w:p w:rsidR="00637DAC" w:rsidRPr="008C1BE2" w:rsidRDefault="00637DAC" w:rsidP="0020689B">
      <w:pPr>
        <w:spacing w:line="260" w:lineRule="exact"/>
        <w:ind w:left="709"/>
        <w:contextualSpacing/>
        <w:jc w:val="left"/>
        <w:rPr>
          <w:sz w:val="22"/>
          <w:szCs w:val="22"/>
        </w:rPr>
      </w:pPr>
    </w:p>
    <w:p w:rsidR="003401E7" w:rsidRPr="000E7F20" w:rsidRDefault="003401E7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 xml:space="preserve">Ďalej sa pri výskyte </w:t>
      </w:r>
      <w:r w:rsidRPr="0020689B">
        <w:rPr>
          <w:b/>
          <w:sz w:val="22"/>
          <w:szCs w:val="22"/>
          <w:lang w:val="sk-SK"/>
        </w:rPr>
        <w:t>nasledujúcich nežiaducich účinkov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v</w:t>
      </w:r>
      <w:r w:rsidR="004F7ADC" w:rsidRPr="0020689B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niektorých prípadoch pozorovali</w:t>
      </w:r>
      <w:r w:rsidRPr="0020689B">
        <w:rPr>
          <w:b/>
          <w:sz w:val="22"/>
          <w:szCs w:val="22"/>
          <w:lang w:val="sk-SK"/>
        </w:rPr>
        <w:t xml:space="preserve"> život ohrozujúce </w:t>
      </w:r>
      <w:r w:rsidR="00380930" w:rsidRPr="0020689B">
        <w:rPr>
          <w:b/>
          <w:sz w:val="22"/>
          <w:szCs w:val="22"/>
          <w:lang w:val="sk-SK"/>
        </w:rPr>
        <w:t xml:space="preserve">reakcie </w:t>
      </w:r>
      <w:r w:rsidRPr="0020689B">
        <w:rPr>
          <w:b/>
          <w:sz w:val="22"/>
          <w:szCs w:val="22"/>
          <w:lang w:val="sk-SK"/>
        </w:rPr>
        <w:t xml:space="preserve">alebo </w:t>
      </w:r>
      <w:r w:rsidR="00380930" w:rsidRPr="0020689B">
        <w:rPr>
          <w:b/>
          <w:sz w:val="22"/>
          <w:szCs w:val="22"/>
          <w:lang w:val="sk-SK"/>
        </w:rPr>
        <w:t>reakcie so</w:t>
      </w:r>
      <w:r w:rsidR="004F7ADC" w:rsidRPr="0020689B">
        <w:rPr>
          <w:sz w:val="22"/>
          <w:szCs w:val="22"/>
          <w:lang w:val="sk-SK"/>
        </w:rPr>
        <w:t> </w:t>
      </w:r>
      <w:r w:rsidR="00380930" w:rsidRPr="0020689B">
        <w:rPr>
          <w:b/>
          <w:sz w:val="22"/>
          <w:szCs w:val="22"/>
          <w:lang w:val="sk-SK"/>
        </w:rPr>
        <w:t>smrteľným následkom</w:t>
      </w:r>
      <w:r w:rsidRPr="000E7F20">
        <w:rPr>
          <w:sz w:val="22"/>
          <w:szCs w:val="22"/>
          <w:lang w:val="sk-SK"/>
        </w:rPr>
        <w:t>:</w:t>
      </w:r>
    </w:p>
    <w:p w:rsidR="00380930" w:rsidRPr="008C1BE2" w:rsidRDefault="003401E7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0E7F20">
        <w:rPr>
          <w:sz w:val="22"/>
          <w:szCs w:val="22"/>
          <w:lang w:val="sk-SK"/>
        </w:rPr>
        <w:t>ťažkosti s dýchaním (</w:t>
      </w:r>
      <w:r w:rsidRPr="003D2924">
        <w:rPr>
          <w:sz w:val="22"/>
          <w:szCs w:val="22"/>
          <w:lang w:val="sk-SK"/>
        </w:rPr>
        <w:t>dyspnoe</w:t>
      </w:r>
      <w:r w:rsidRPr="000E7F20">
        <w:rPr>
          <w:sz w:val="22"/>
          <w:szCs w:val="22"/>
          <w:lang w:val="sk-SK"/>
        </w:rPr>
        <w:t>)</w:t>
      </w:r>
      <w:r w:rsidR="00380930" w:rsidRPr="000E7F20">
        <w:rPr>
          <w:sz w:val="22"/>
          <w:szCs w:val="22"/>
          <w:lang w:val="sk-SK"/>
        </w:rPr>
        <w:t>, strata vedomia</w:t>
      </w:r>
      <w:r w:rsidR="00380930" w:rsidRPr="008C1BE2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závažné alergii podobné reakcie</w:t>
      </w:r>
      <w:r w:rsidR="00380930" w:rsidRPr="000E7F20">
        <w:rPr>
          <w:sz w:val="22"/>
          <w:szCs w:val="22"/>
          <w:lang w:val="sk-SK"/>
        </w:rPr>
        <w:t xml:space="preserve">, </w:t>
      </w:r>
      <w:r w:rsidR="00B91635" w:rsidRPr="00203FA9">
        <w:rPr>
          <w:sz w:val="22"/>
          <w:szCs w:val="22"/>
          <w:lang w:val="sk-SK"/>
        </w:rPr>
        <w:t xml:space="preserve">závažný </w:t>
      </w:r>
      <w:r w:rsidR="00380930" w:rsidRPr="00203FA9">
        <w:rPr>
          <w:sz w:val="22"/>
          <w:szCs w:val="22"/>
          <w:lang w:val="sk-SK"/>
        </w:rPr>
        <w:t>pokles krvného tlaku, ktorý môže viesť k</w:t>
      </w:r>
      <w:r w:rsidR="00302286" w:rsidRPr="009B03E8">
        <w:rPr>
          <w:sz w:val="22"/>
          <w:szCs w:val="22"/>
          <w:lang w:val="sk-SK"/>
        </w:rPr>
        <w:t>u</w:t>
      </w:r>
      <w:r w:rsidR="00380930" w:rsidRPr="00203FA9">
        <w:rPr>
          <w:sz w:val="22"/>
          <w:szCs w:val="22"/>
          <w:lang w:val="sk-SK"/>
        </w:rPr>
        <w:t> kolapsu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203FA9">
        <w:rPr>
          <w:sz w:val="22"/>
          <w:szCs w:val="22"/>
          <w:lang w:val="sk-SK"/>
        </w:rPr>
        <w:t>zastavenie dýchania, tekutina v pľúcach</w:t>
      </w:r>
      <w:r w:rsidR="00380930" w:rsidRPr="000E7F20">
        <w:rPr>
          <w:sz w:val="22"/>
          <w:szCs w:val="22"/>
          <w:lang w:val="sk-SK"/>
        </w:rPr>
        <w:t xml:space="preserve">, </w:t>
      </w:r>
      <w:r w:rsidR="00380930" w:rsidRPr="000D593D">
        <w:rPr>
          <w:noProof/>
          <w:sz w:val="22"/>
          <w:szCs w:val="22"/>
          <w:lang w:val="sk-SK"/>
        </w:rPr>
        <w:t xml:space="preserve">opuch </w:t>
      </w:r>
      <w:r w:rsidR="00380930" w:rsidRPr="000E7F20">
        <w:rPr>
          <w:noProof/>
          <w:sz w:val="22"/>
          <w:szCs w:val="22"/>
          <w:lang w:val="sk-SK"/>
        </w:rPr>
        <w:t>úst</w:t>
      </w:r>
      <w:r w:rsidR="00380930" w:rsidRPr="000D593D">
        <w:rPr>
          <w:noProof/>
          <w:sz w:val="22"/>
          <w:szCs w:val="22"/>
          <w:lang w:val="sk-SK"/>
        </w:rPr>
        <w:t xml:space="preserve"> a hrdla</w:t>
      </w:r>
      <w:r w:rsidRPr="000E7F20">
        <w:rPr>
          <w:sz w:val="22"/>
          <w:szCs w:val="22"/>
          <w:lang w:val="sk-SK"/>
        </w:rPr>
        <w:t xml:space="preserve"> </w:t>
      </w:r>
      <w:r w:rsidR="00380930" w:rsidRPr="000E7F20">
        <w:rPr>
          <w:sz w:val="22"/>
          <w:szCs w:val="22"/>
          <w:lang w:val="sk-SK"/>
        </w:rPr>
        <w:t>a nízky krvný tlak.</w:t>
      </w:r>
    </w:p>
    <w:p w:rsidR="00380930" w:rsidRPr="008C1BE2" w:rsidRDefault="00380930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6D490B" w:rsidRPr="00203FA9" w:rsidRDefault="006D490B" w:rsidP="008C1BE2">
      <w:pPr>
        <w:pStyle w:val="Para0s"/>
        <w:spacing w:after="0" w:line="260" w:lineRule="exact"/>
        <w:contextualSpacing/>
        <w:jc w:val="left"/>
        <w:rPr>
          <w:b/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 w:eastAsia="en-US"/>
        </w:rPr>
        <w:t>V zriedkavých prípadoch</w:t>
      </w:r>
    </w:p>
    <w:p w:rsidR="00713F24" w:rsidRPr="008C1BE2" w:rsidRDefault="00C04B4D" w:rsidP="00203FA9">
      <w:pPr>
        <w:pStyle w:val="Para0s"/>
        <w:numPr>
          <w:ilvl w:val="0"/>
          <w:numId w:val="26"/>
        </w:numPr>
        <w:spacing w:after="0" w:line="260" w:lineRule="exact"/>
        <w:ind w:left="709" w:hanging="709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 w:eastAsia="en-US"/>
        </w:rPr>
        <w:t xml:space="preserve">sa môžu vyskytnúť </w:t>
      </w:r>
      <w:r w:rsidRPr="00203FA9">
        <w:rPr>
          <w:b/>
          <w:sz w:val="22"/>
          <w:szCs w:val="22"/>
          <w:lang w:val="sk-SK" w:eastAsia="en-US"/>
        </w:rPr>
        <w:t>reakcie podobné</w:t>
      </w:r>
      <w:r w:rsidRPr="00203FA9">
        <w:rPr>
          <w:sz w:val="22"/>
          <w:szCs w:val="22"/>
          <w:lang w:val="sk-SK" w:eastAsia="en-US"/>
        </w:rPr>
        <w:t xml:space="preserve"> </w:t>
      </w:r>
      <w:r w:rsidRPr="00203FA9">
        <w:rPr>
          <w:b/>
          <w:sz w:val="22"/>
          <w:szCs w:val="22"/>
          <w:lang w:val="sk-SK" w:eastAsia="en-US"/>
        </w:rPr>
        <w:t>alergi</w:t>
      </w:r>
      <w:r w:rsidR="0005065C" w:rsidRPr="00203FA9">
        <w:rPr>
          <w:b/>
          <w:sz w:val="22"/>
          <w:szCs w:val="22"/>
          <w:lang w:val="sk-SK" w:eastAsia="en-US"/>
        </w:rPr>
        <w:t>ckým</w:t>
      </w:r>
      <w:r w:rsidR="0005065C" w:rsidRPr="00203FA9">
        <w:rPr>
          <w:sz w:val="22"/>
          <w:szCs w:val="22"/>
          <w:lang w:val="sk-SK" w:eastAsia="en-US"/>
        </w:rPr>
        <w:t xml:space="preserve"> </w:t>
      </w:r>
      <w:r w:rsidR="0005065C" w:rsidRPr="000E7F20">
        <w:rPr>
          <w:sz w:val="22"/>
          <w:szCs w:val="22"/>
          <w:lang w:val="sk-SK" w:eastAsia="en-US"/>
        </w:rPr>
        <w:t>(precitlivenosť a anafylaxia)</w:t>
      </w:r>
      <w:r w:rsidR="003D2924">
        <w:rPr>
          <w:sz w:val="22"/>
          <w:szCs w:val="22"/>
          <w:lang w:val="sk-SK" w:eastAsia="en-US"/>
        </w:rPr>
        <w:t>,</w:t>
      </w:r>
      <w:r w:rsidR="0005065C"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vrátane závažných reakcií</w:t>
      </w:r>
      <w:r w:rsidR="0005065C" w:rsidRPr="008C1BE2">
        <w:rPr>
          <w:sz w:val="22"/>
          <w:szCs w:val="22"/>
          <w:lang w:val="sk-SK"/>
        </w:rPr>
        <w:t xml:space="preserve"> (šok)</w:t>
      </w:r>
      <w:r w:rsidRPr="008C1BE2">
        <w:rPr>
          <w:sz w:val="22"/>
          <w:szCs w:val="22"/>
          <w:lang w:val="sk-SK"/>
        </w:rPr>
        <w:t>, ktoré si môžu vyžadovať okamžitý zásah lekára</w:t>
      </w:r>
      <w:r w:rsidR="00713F24" w:rsidRPr="008C1BE2">
        <w:rPr>
          <w:sz w:val="22"/>
          <w:szCs w:val="22"/>
          <w:lang w:val="sk-SK"/>
        </w:rPr>
        <w:t>.</w:t>
      </w:r>
    </w:p>
    <w:p w:rsidR="00561892" w:rsidRPr="008C1BE2" w:rsidRDefault="00561892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</w:p>
    <w:p w:rsidR="00713F24" w:rsidRPr="008C1BE2" w:rsidRDefault="00C04B4D" w:rsidP="008C1BE2">
      <w:pPr>
        <w:numPr>
          <w:ilvl w:val="12"/>
          <w:numId w:val="0"/>
        </w:num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Ak zaznamenáte</w:t>
      </w:r>
      <w:r w:rsidR="00713F24" w:rsidRPr="008C1BE2">
        <w:rPr>
          <w:noProof/>
          <w:sz w:val="22"/>
          <w:szCs w:val="22"/>
        </w:rPr>
        <w:t>: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opuch tváre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pier</w:t>
      </w:r>
      <w:r w:rsidR="00713F24" w:rsidRPr="008C1BE2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jazyka alebo hrdla</w:t>
      </w:r>
      <w:r w:rsidR="000D593D">
        <w:rPr>
          <w:sz w:val="22"/>
          <w:szCs w:val="22"/>
        </w:rPr>
        <w:t>,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kašlanie a kýchanie</w:t>
      </w:r>
      <w:r w:rsidR="000D593D">
        <w:rPr>
          <w:sz w:val="22"/>
          <w:szCs w:val="22"/>
        </w:rPr>
        <w:t>,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ťažkosti s</w:t>
      </w:r>
      <w:r w:rsidR="000D593D">
        <w:rPr>
          <w:sz w:val="22"/>
          <w:szCs w:val="22"/>
        </w:rPr>
        <w:t> </w:t>
      </w:r>
      <w:r w:rsidRPr="008C1BE2">
        <w:rPr>
          <w:sz w:val="22"/>
          <w:szCs w:val="22"/>
        </w:rPr>
        <w:t>dýchaním</w:t>
      </w:r>
      <w:r w:rsidR="000D593D">
        <w:rPr>
          <w:sz w:val="22"/>
          <w:szCs w:val="22"/>
        </w:rPr>
        <w:t>,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svrbenie</w:t>
      </w:r>
      <w:r w:rsidR="000D593D">
        <w:rPr>
          <w:sz w:val="22"/>
          <w:szCs w:val="22"/>
        </w:rPr>
        <w:t>,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nádchu</w:t>
      </w:r>
      <w:r w:rsidR="000D593D">
        <w:rPr>
          <w:sz w:val="22"/>
          <w:szCs w:val="22"/>
        </w:rPr>
        <w:t>,</w:t>
      </w:r>
    </w:p>
    <w:p w:rsidR="00713F24" w:rsidRPr="008C1BE2" w:rsidRDefault="00C04B4D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žihľavku</w:t>
      </w:r>
      <w:r w:rsidR="00561892" w:rsidRPr="008C1BE2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</w:t>
      </w:r>
    </w:p>
    <w:p w:rsidR="00713F24" w:rsidRPr="008C1BE2" w:rsidRDefault="00561892" w:rsidP="008C1BE2">
      <w:pPr>
        <w:spacing w:line="260" w:lineRule="exact"/>
        <w:contextualSpacing/>
        <w:jc w:val="left"/>
        <w:rPr>
          <w:noProof/>
          <w:sz w:val="22"/>
          <w:szCs w:val="22"/>
        </w:rPr>
      </w:pPr>
      <w:r w:rsidRPr="008C1BE2">
        <w:rPr>
          <w:b/>
          <w:noProof/>
          <w:sz w:val="22"/>
          <w:szCs w:val="22"/>
        </w:rPr>
        <w:t>o</w:t>
      </w:r>
      <w:r w:rsidR="00C04B4D" w:rsidRPr="008C1BE2">
        <w:rPr>
          <w:b/>
          <w:noProof/>
          <w:sz w:val="22"/>
          <w:szCs w:val="22"/>
        </w:rPr>
        <w:t xml:space="preserve">kamžite to povedzte </w:t>
      </w:r>
      <w:r w:rsidR="005871A4" w:rsidRPr="008C1BE2">
        <w:rPr>
          <w:b/>
          <w:sz w:val="22"/>
          <w:szCs w:val="22"/>
        </w:rPr>
        <w:t>personálu MR</w:t>
      </w:r>
      <w:r w:rsidR="00603B6B">
        <w:rPr>
          <w:b/>
          <w:sz w:val="22"/>
          <w:szCs w:val="22"/>
        </w:rPr>
        <w:t>I</w:t>
      </w:r>
      <w:r w:rsidR="005871A4" w:rsidRPr="008C1BE2">
        <w:rPr>
          <w:b/>
          <w:sz w:val="22"/>
          <w:szCs w:val="22"/>
        </w:rPr>
        <w:t xml:space="preserve"> centra</w:t>
      </w:r>
      <w:r w:rsidR="00713F24" w:rsidRPr="008C1BE2">
        <w:rPr>
          <w:b/>
          <w:noProof/>
          <w:sz w:val="22"/>
          <w:szCs w:val="22"/>
        </w:rPr>
        <w:t>.</w:t>
      </w:r>
      <w:r w:rsidR="00713F24" w:rsidRPr="008C1BE2">
        <w:rPr>
          <w:noProof/>
          <w:sz w:val="22"/>
          <w:szCs w:val="22"/>
        </w:rPr>
        <w:t xml:space="preserve"> </w:t>
      </w:r>
      <w:r w:rsidR="005871A4" w:rsidRPr="008C1BE2">
        <w:rPr>
          <w:noProof/>
          <w:sz w:val="22"/>
          <w:szCs w:val="22"/>
        </w:rPr>
        <w:t>Mô</w:t>
      </w:r>
      <w:r w:rsidR="00C777C4" w:rsidRPr="008C1BE2">
        <w:rPr>
          <w:noProof/>
          <w:sz w:val="22"/>
          <w:szCs w:val="22"/>
        </w:rPr>
        <w:t xml:space="preserve">žu byť prvými znakmi, ktoré sa </w:t>
      </w:r>
      <w:r w:rsidR="005871A4" w:rsidRPr="008C1BE2">
        <w:rPr>
          <w:noProof/>
          <w:sz w:val="22"/>
          <w:szCs w:val="22"/>
        </w:rPr>
        <w:t>vyskytnú pri</w:t>
      </w:r>
      <w:r w:rsidR="000D593D" w:rsidRPr="00075902">
        <w:rPr>
          <w:sz w:val="22"/>
          <w:szCs w:val="22"/>
        </w:rPr>
        <w:t> </w:t>
      </w:r>
      <w:r w:rsidR="005871A4" w:rsidRPr="00203FA9">
        <w:rPr>
          <w:b/>
          <w:noProof/>
          <w:sz w:val="22"/>
          <w:szCs w:val="22"/>
        </w:rPr>
        <w:t>závažnej reakcii</w:t>
      </w:r>
      <w:r w:rsidR="005871A4" w:rsidRPr="000E7F20">
        <w:rPr>
          <w:noProof/>
          <w:sz w:val="22"/>
          <w:szCs w:val="22"/>
        </w:rPr>
        <w:t xml:space="preserve">. </w:t>
      </w:r>
      <w:r w:rsidR="00280D35" w:rsidRPr="000E7F20">
        <w:rPr>
          <w:noProof/>
          <w:sz w:val="22"/>
          <w:szCs w:val="22"/>
        </w:rPr>
        <w:t>Možno bude po</w:t>
      </w:r>
      <w:r w:rsidR="00280D35" w:rsidRPr="008C1BE2">
        <w:rPr>
          <w:noProof/>
          <w:sz w:val="22"/>
          <w:szCs w:val="22"/>
        </w:rPr>
        <w:t xml:space="preserve">trebné ukončiť </w:t>
      </w:r>
      <w:r w:rsidRPr="008C1BE2">
        <w:rPr>
          <w:noProof/>
          <w:sz w:val="22"/>
          <w:szCs w:val="22"/>
        </w:rPr>
        <w:t>v</w:t>
      </w:r>
      <w:r w:rsidR="005871A4" w:rsidRPr="008C1BE2">
        <w:rPr>
          <w:noProof/>
          <w:sz w:val="22"/>
          <w:szCs w:val="22"/>
        </w:rPr>
        <w:t xml:space="preserve">aše vyšetrenie </w:t>
      </w:r>
      <w:r w:rsidR="00713F24" w:rsidRPr="008C1BE2">
        <w:rPr>
          <w:noProof/>
          <w:sz w:val="22"/>
          <w:szCs w:val="22"/>
        </w:rPr>
        <w:t>a</w:t>
      </w:r>
      <w:r w:rsidR="00280D35" w:rsidRPr="008C1BE2">
        <w:rPr>
          <w:noProof/>
          <w:sz w:val="22"/>
          <w:szCs w:val="22"/>
        </w:rPr>
        <w:t> </w:t>
      </w:r>
      <w:r w:rsidR="005871A4" w:rsidRPr="008C1BE2">
        <w:rPr>
          <w:noProof/>
          <w:sz w:val="22"/>
          <w:szCs w:val="22"/>
        </w:rPr>
        <w:t>m</w:t>
      </w:r>
      <w:r w:rsidR="00280D35" w:rsidRPr="008C1BE2">
        <w:rPr>
          <w:noProof/>
          <w:sz w:val="22"/>
          <w:szCs w:val="22"/>
        </w:rPr>
        <w:t xml:space="preserve">ožno budete </w:t>
      </w:r>
      <w:r w:rsidR="005871A4" w:rsidRPr="008C1BE2">
        <w:rPr>
          <w:noProof/>
          <w:sz w:val="22"/>
          <w:szCs w:val="22"/>
        </w:rPr>
        <w:t xml:space="preserve">potrebovať ďalšiu liečbu. </w:t>
      </w:r>
    </w:p>
    <w:p w:rsidR="00C04B4D" w:rsidRPr="008C1BE2" w:rsidRDefault="00C04B4D" w:rsidP="008C1BE2">
      <w:pPr>
        <w:spacing w:line="260" w:lineRule="exact"/>
        <w:contextualSpacing/>
        <w:jc w:val="left"/>
        <w:rPr>
          <w:b/>
          <w:noProof/>
          <w:sz w:val="22"/>
          <w:szCs w:val="22"/>
        </w:rPr>
      </w:pPr>
    </w:p>
    <w:p w:rsidR="0049307C" w:rsidRDefault="0049307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b/>
          <w:noProof/>
          <w:sz w:val="22"/>
          <w:szCs w:val="22"/>
          <w:lang w:val="sk-SK"/>
        </w:rPr>
        <w:t>Oneskorené reakcie podobné alergickým</w:t>
      </w:r>
      <w:r w:rsidRPr="008C1BE2">
        <w:rPr>
          <w:noProof/>
          <w:sz w:val="22"/>
          <w:szCs w:val="22"/>
          <w:lang w:val="sk-SK"/>
        </w:rPr>
        <w:t xml:space="preserve"> sa</w:t>
      </w:r>
      <w:r w:rsidRPr="008C1BE2">
        <w:rPr>
          <w:b/>
          <w:noProof/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>v</w:t>
      </w:r>
      <w:r w:rsidR="000D593D" w:rsidRPr="000D593D">
        <w:rPr>
          <w:sz w:val="22"/>
          <w:szCs w:val="22"/>
          <w:lang w:val="sk-SK"/>
        </w:rPr>
        <w:t> </w:t>
      </w:r>
      <w:r w:rsidR="000D593D">
        <w:rPr>
          <w:sz w:val="22"/>
          <w:szCs w:val="22"/>
          <w:lang w:val="sk-SK"/>
        </w:rPr>
        <w:t>z</w:t>
      </w:r>
      <w:r w:rsidRPr="008C1BE2">
        <w:rPr>
          <w:sz w:val="22"/>
          <w:szCs w:val="22"/>
          <w:lang w:val="sk-SK"/>
        </w:rPr>
        <w:t>riedkavých prípadoch pozorovali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>hodinách až niekoľkých dňoch po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 xml:space="preserve">podaní Gadovistu. Ak sa </w:t>
      </w:r>
      <w:r w:rsidR="008023A3" w:rsidRPr="008C1BE2">
        <w:rPr>
          <w:sz w:val="22"/>
          <w:szCs w:val="22"/>
          <w:lang w:val="sk-SK"/>
        </w:rPr>
        <w:t>v</w:t>
      </w:r>
      <w:r w:rsidRPr="008C1BE2">
        <w:rPr>
          <w:sz w:val="22"/>
          <w:szCs w:val="22"/>
          <w:lang w:val="sk-SK"/>
        </w:rPr>
        <w:t>ám to sta</w:t>
      </w:r>
      <w:r w:rsidR="00F72A02" w:rsidRPr="008C1BE2">
        <w:rPr>
          <w:sz w:val="22"/>
          <w:szCs w:val="22"/>
          <w:lang w:val="sk-SK"/>
        </w:rPr>
        <w:t>ne</w:t>
      </w:r>
      <w:r w:rsidRPr="008C1BE2">
        <w:rPr>
          <w:sz w:val="22"/>
          <w:szCs w:val="22"/>
          <w:lang w:val="sk-SK"/>
        </w:rPr>
        <w:t>, povedzte</w:t>
      </w:r>
      <w:r w:rsidR="000D593D" w:rsidRPr="000D593D">
        <w:rPr>
          <w:sz w:val="22"/>
          <w:szCs w:val="22"/>
          <w:lang w:val="sk-SK"/>
        </w:rPr>
        <w:t> </w:t>
      </w:r>
      <w:r w:rsidRPr="008C1BE2">
        <w:rPr>
          <w:sz w:val="22"/>
          <w:szCs w:val="22"/>
          <w:lang w:val="sk-SK"/>
        </w:rPr>
        <w:t xml:space="preserve">to </w:t>
      </w:r>
      <w:r w:rsidR="008023A3" w:rsidRPr="008C1BE2">
        <w:rPr>
          <w:sz w:val="22"/>
          <w:szCs w:val="22"/>
          <w:lang w:val="sk-SK"/>
        </w:rPr>
        <w:t xml:space="preserve">okamžite </w:t>
      </w:r>
      <w:r w:rsidRPr="008C1BE2">
        <w:rPr>
          <w:sz w:val="22"/>
          <w:szCs w:val="22"/>
          <w:lang w:val="sk-SK"/>
        </w:rPr>
        <w:t xml:space="preserve">svojmu lekárovi alebo rádiológovi. </w:t>
      </w:r>
    </w:p>
    <w:p w:rsidR="004F7ADC" w:rsidRPr="008C1BE2" w:rsidRDefault="004F7ADC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985216" w:rsidRDefault="008023A3" w:rsidP="00203FA9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203FA9">
        <w:rPr>
          <w:b/>
          <w:sz w:val="22"/>
          <w:szCs w:val="22"/>
          <w:lang w:val="sk-SK"/>
        </w:rPr>
        <w:t>Najčastejšie pozorované nežiaduce účinky</w:t>
      </w:r>
      <w:r w:rsidRPr="000E7F20">
        <w:rPr>
          <w:sz w:val="22"/>
          <w:szCs w:val="22"/>
          <w:lang w:val="sk-SK"/>
        </w:rPr>
        <w:t xml:space="preserve"> (môžu postihnúť 5 a</w:t>
      </w:r>
      <w:r w:rsidR="00CD59D6">
        <w:rPr>
          <w:sz w:val="22"/>
          <w:szCs w:val="22"/>
          <w:lang w:val="sk-SK"/>
        </w:rPr>
        <w:t>lebo</w:t>
      </w:r>
      <w:r w:rsidRPr="000E7F20">
        <w:rPr>
          <w:sz w:val="22"/>
          <w:szCs w:val="22"/>
          <w:lang w:val="sk-SK"/>
        </w:rPr>
        <w:t xml:space="preserve"> </w:t>
      </w:r>
      <w:r w:rsidRPr="008C1BE2">
        <w:rPr>
          <w:sz w:val="22"/>
          <w:szCs w:val="22"/>
          <w:lang w:val="sk-SK"/>
        </w:rPr>
        <w:t xml:space="preserve">viac z 1 000 </w:t>
      </w:r>
      <w:r w:rsidR="009C6ECF" w:rsidRPr="008C1BE2">
        <w:rPr>
          <w:noProof/>
          <w:sz w:val="22"/>
          <w:szCs w:val="22"/>
          <w:lang w:val="sk-SK"/>
        </w:rPr>
        <w:t>pacientov</w:t>
      </w:r>
      <w:r w:rsidR="000D593D">
        <w:rPr>
          <w:noProof/>
          <w:sz w:val="22"/>
          <w:szCs w:val="22"/>
          <w:lang w:val="sk-SK"/>
        </w:rPr>
        <w:t>)</w:t>
      </w:r>
      <w:r w:rsidR="009C6ECF" w:rsidRPr="008C1BE2">
        <w:rPr>
          <w:noProof/>
          <w:sz w:val="22"/>
          <w:szCs w:val="22"/>
          <w:lang w:val="sk-SK"/>
        </w:rPr>
        <w:t xml:space="preserve"> </w:t>
      </w:r>
      <w:r w:rsidR="009C6ECF" w:rsidRPr="000E7F20">
        <w:rPr>
          <w:sz w:val="22"/>
          <w:szCs w:val="22"/>
          <w:lang w:val="sk-SK"/>
        </w:rPr>
        <w:t>sú</w:t>
      </w:r>
      <w:r w:rsidR="00985216">
        <w:rPr>
          <w:sz w:val="22"/>
          <w:szCs w:val="22"/>
          <w:lang w:val="sk-SK"/>
        </w:rPr>
        <w:t>:</w:t>
      </w:r>
    </w:p>
    <w:p w:rsidR="009C6ECF" w:rsidRDefault="009C6ECF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hlavy, pocit na vracanie (nauzea) a</w:t>
      </w:r>
      <w:r w:rsidR="00376407" w:rsidRPr="008C1BE2">
        <w:rPr>
          <w:sz w:val="22"/>
          <w:szCs w:val="22"/>
        </w:rPr>
        <w:t> </w:t>
      </w:r>
      <w:r w:rsidRPr="008C1BE2">
        <w:rPr>
          <w:sz w:val="22"/>
          <w:szCs w:val="22"/>
        </w:rPr>
        <w:t>závrat</w:t>
      </w:r>
      <w:r w:rsidR="00376407" w:rsidRPr="008C1BE2">
        <w:rPr>
          <w:sz w:val="22"/>
          <w:szCs w:val="22"/>
        </w:rPr>
        <w:t>.</w:t>
      </w:r>
    </w:p>
    <w:p w:rsidR="004F7ADC" w:rsidRPr="008C1BE2" w:rsidRDefault="004F7ADC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9C6ECF" w:rsidRPr="008C1BE2" w:rsidRDefault="007E0B26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  <w:r w:rsidRPr="008C1BE2">
        <w:rPr>
          <w:sz w:val="22"/>
          <w:szCs w:val="22"/>
          <w:lang w:val="sk-SK"/>
        </w:rPr>
        <w:t>Intenzita väčšiny</w:t>
      </w:r>
      <w:r w:rsidR="009C6ECF" w:rsidRPr="008C1BE2">
        <w:rPr>
          <w:sz w:val="22"/>
          <w:szCs w:val="22"/>
          <w:lang w:val="sk-SK"/>
        </w:rPr>
        <w:t xml:space="preserve"> týchto nežiaducich účinkov je </w:t>
      </w:r>
      <w:r w:rsidRPr="008C1BE2">
        <w:rPr>
          <w:sz w:val="22"/>
          <w:szCs w:val="22"/>
          <w:lang w:val="sk-SK"/>
        </w:rPr>
        <w:t>mierna až stredne závažná.</w:t>
      </w:r>
    </w:p>
    <w:p w:rsidR="00CB3B62" w:rsidRPr="008C1BE2" w:rsidRDefault="00CB3B62" w:rsidP="008C1BE2">
      <w:pPr>
        <w:pStyle w:val="Para0s"/>
        <w:spacing w:after="0" w:line="260" w:lineRule="exact"/>
        <w:contextualSpacing/>
        <w:jc w:val="left"/>
        <w:rPr>
          <w:sz w:val="22"/>
          <w:szCs w:val="22"/>
          <w:lang w:val="sk-SK"/>
        </w:rPr>
      </w:pPr>
    </w:p>
    <w:p w:rsidR="00713F24" w:rsidRPr="008C1BE2" w:rsidRDefault="0049307C" w:rsidP="008C1BE2">
      <w:pPr>
        <w:keepNext/>
        <w:spacing w:line="260" w:lineRule="exact"/>
        <w:contextualSpacing/>
        <w:jc w:val="left"/>
        <w:rPr>
          <w:bCs/>
          <w:sz w:val="22"/>
          <w:szCs w:val="22"/>
        </w:rPr>
      </w:pPr>
      <w:r w:rsidRPr="00203FA9">
        <w:rPr>
          <w:b/>
          <w:bCs/>
          <w:sz w:val="22"/>
          <w:szCs w:val="22"/>
        </w:rPr>
        <w:t>Možné vedľajšie účinky</w:t>
      </w:r>
      <w:r w:rsidR="006D7861" w:rsidRPr="000E7F20">
        <w:rPr>
          <w:bCs/>
          <w:sz w:val="22"/>
          <w:szCs w:val="22"/>
        </w:rPr>
        <w:t>, ktoré sa pozorovali v </w:t>
      </w:r>
      <w:r w:rsidR="006D7861" w:rsidRPr="00203FA9">
        <w:rPr>
          <w:b/>
          <w:bCs/>
          <w:sz w:val="22"/>
          <w:szCs w:val="22"/>
        </w:rPr>
        <w:t>klinických skúšaniach</w:t>
      </w:r>
      <w:r w:rsidR="006D7861" w:rsidRPr="000E7F20">
        <w:rPr>
          <w:bCs/>
          <w:sz w:val="22"/>
          <w:szCs w:val="22"/>
        </w:rPr>
        <w:t xml:space="preserve"> pre</w:t>
      </w:r>
      <w:r w:rsidR="005D53A8" w:rsidRPr="000E7F20">
        <w:rPr>
          <w:bCs/>
          <w:sz w:val="22"/>
          <w:szCs w:val="22"/>
        </w:rPr>
        <w:t>d</w:t>
      </w:r>
      <w:r w:rsidR="006D7861" w:rsidRPr="008C1BE2">
        <w:rPr>
          <w:bCs/>
          <w:sz w:val="22"/>
          <w:szCs w:val="22"/>
        </w:rPr>
        <w:t xml:space="preserve"> schválením Gadovistu </w:t>
      </w:r>
      <w:r w:rsidR="005D53A8" w:rsidRPr="008C1BE2">
        <w:rPr>
          <w:bCs/>
          <w:sz w:val="22"/>
          <w:szCs w:val="22"/>
        </w:rPr>
        <w:t xml:space="preserve">sú uvedené nižšie </w:t>
      </w:r>
      <w:r w:rsidR="00C970B5" w:rsidRPr="008C1BE2">
        <w:rPr>
          <w:bCs/>
          <w:sz w:val="22"/>
          <w:szCs w:val="22"/>
        </w:rPr>
        <w:t>podľa pravdepodobnosti výskytu</w:t>
      </w:r>
      <w:r w:rsidR="00713F24" w:rsidRPr="008C1BE2">
        <w:rPr>
          <w:bCs/>
          <w:sz w:val="22"/>
          <w:szCs w:val="22"/>
        </w:rPr>
        <w:t>.</w:t>
      </w:r>
    </w:p>
    <w:p w:rsidR="0049307C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b/>
          <w:sz w:val="22"/>
          <w:szCs w:val="22"/>
        </w:rPr>
      </w:pPr>
    </w:p>
    <w:p w:rsidR="00713F24" w:rsidRPr="008C1BE2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Časté </w:t>
      </w:r>
      <w:r w:rsidR="00713F24" w:rsidRPr="008C1BE2">
        <w:rPr>
          <w:sz w:val="22"/>
          <w:szCs w:val="22"/>
        </w:rPr>
        <w:t>(</w:t>
      </w:r>
      <w:r w:rsidRPr="008C1BE2">
        <w:rPr>
          <w:sz w:val="22"/>
          <w:szCs w:val="22"/>
        </w:rPr>
        <w:t>môžu postih</w:t>
      </w:r>
      <w:r w:rsidR="0074250C" w:rsidRPr="008C1BE2">
        <w:rPr>
          <w:sz w:val="22"/>
          <w:szCs w:val="22"/>
        </w:rPr>
        <w:t>ovať</w:t>
      </w:r>
      <w:r w:rsidR="00AC6F5B" w:rsidRPr="008C1BE2">
        <w:rPr>
          <w:sz w:val="22"/>
          <w:szCs w:val="22"/>
        </w:rPr>
        <w:t xml:space="preserve"> </w:t>
      </w:r>
      <w:r w:rsidR="0074250C" w:rsidRPr="008C1BE2">
        <w:rPr>
          <w:sz w:val="22"/>
          <w:szCs w:val="22"/>
        </w:rPr>
        <w:t>menej ako</w:t>
      </w:r>
      <w:r w:rsidR="00AC6F5B" w:rsidRPr="000E7F20">
        <w:rPr>
          <w:sz w:val="22"/>
          <w:szCs w:val="22"/>
        </w:rPr>
        <w:t xml:space="preserve"> 1 z</w:t>
      </w:r>
      <w:r w:rsidR="00522E26">
        <w:rPr>
          <w:sz w:val="22"/>
          <w:szCs w:val="22"/>
        </w:rPr>
        <w:t> </w:t>
      </w:r>
      <w:r w:rsidR="00AC6F5B" w:rsidRPr="000E7F20">
        <w:rPr>
          <w:sz w:val="22"/>
          <w:szCs w:val="22"/>
        </w:rPr>
        <w:t>10</w:t>
      </w:r>
      <w:r w:rsidR="00522E26">
        <w:rPr>
          <w:sz w:val="22"/>
          <w:szCs w:val="22"/>
        </w:rPr>
        <w:t> </w:t>
      </w:r>
      <w:r w:rsidR="0074250C" w:rsidRPr="000E7F20">
        <w:rPr>
          <w:sz w:val="22"/>
          <w:szCs w:val="22"/>
        </w:rPr>
        <w:t>osôb</w:t>
      </w:r>
      <w:r w:rsidR="000D593D">
        <w:rPr>
          <w:sz w:val="22"/>
          <w:szCs w:val="22"/>
        </w:rPr>
        <w:t>)</w:t>
      </w:r>
    </w:p>
    <w:p w:rsidR="00713F24" w:rsidRPr="008C1BE2" w:rsidRDefault="0049307C" w:rsidP="00203FA9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bolesť hlavy</w:t>
      </w:r>
      <w:r w:rsidR="000D593D">
        <w:rPr>
          <w:sz w:val="22"/>
          <w:szCs w:val="22"/>
        </w:rPr>
        <w:t>,</w:t>
      </w:r>
    </w:p>
    <w:p w:rsidR="00713F24" w:rsidRPr="008C1BE2" w:rsidRDefault="0049307C" w:rsidP="00203FA9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na vracanie</w:t>
      </w:r>
      <w:r w:rsidR="00CB3B62" w:rsidRPr="008C1BE2">
        <w:rPr>
          <w:sz w:val="22"/>
          <w:szCs w:val="22"/>
        </w:rPr>
        <w:t xml:space="preserve"> (</w:t>
      </w:r>
      <w:r w:rsidR="00CB3B62" w:rsidRPr="00203FA9">
        <w:rPr>
          <w:sz w:val="22"/>
          <w:szCs w:val="22"/>
        </w:rPr>
        <w:t>nauzea</w:t>
      </w:r>
      <w:r w:rsidR="00713F24" w:rsidRPr="000E7F20">
        <w:rPr>
          <w:sz w:val="22"/>
          <w:szCs w:val="22"/>
        </w:rPr>
        <w:t>)</w:t>
      </w:r>
      <w:r w:rsidR="000D593D">
        <w:rPr>
          <w:sz w:val="22"/>
          <w:szCs w:val="22"/>
        </w:rPr>
        <w:t>.</w:t>
      </w:r>
    </w:p>
    <w:p w:rsidR="0049307C" w:rsidRPr="008C1BE2" w:rsidRDefault="0049307C" w:rsidP="008C1BE2">
      <w:pPr>
        <w:spacing w:line="260" w:lineRule="exact"/>
        <w:contextualSpacing/>
        <w:jc w:val="left"/>
        <w:rPr>
          <w:sz w:val="22"/>
          <w:szCs w:val="22"/>
        </w:rPr>
      </w:pPr>
    </w:p>
    <w:p w:rsidR="0049307C" w:rsidRDefault="0049307C" w:rsidP="008C1BE2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b/>
          <w:sz w:val="22"/>
          <w:szCs w:val="22"/>
        </w:rPr>
        <w:t xml:space="preserve">Menej časté </w:t>
      </w:r>
      <w:r w:rsidRPr="008C1BE2">
        <w:rPr>
          <w:sz w:val="22"/>
          <w:szCs w:val="22"/>
        </w:rPr>
        <w:t>(môžu postih</w:t>
      </w:r>
      <w:r w:rsidR="002707AA" w:rsidRPr="008C1BE2">
        <w:rPr>
          <w:sz w:val="22"/>
          <w:szCs w:val="22"/>
        </w:rPr>
        <w:t>ovať</w:t>
      </w:r>
      <w:r w:rsidRPr="008C1BE2">
        <w:rPr>
          <w:sz w:val="22"/>
          <w:szCs w:val="22"/>
        </w:rPr>
        <w:t xml:space="preserve"> </w:t>
      </w:r>
      <w:r w:rsidR="002707AA" w:rsidRPr="008C1BE2">
        <w:rPr>
          <w:sz w:val="22"/>
          <w:szCs w:val="22"/>
        </w:rPr>
        <w:t>menej ako 1 zo 100 osôb</w:t>
      </w:r>
      <w:r w:rsidRPr="008C1BE2">
        <w:rPr>
          <w:sz w:val="22"/>
          <w:szCs w:val="22"/>
        </w:rPr>
        <w:t>)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alergii podobné reakcie</w:t>
      </w:r>
      <w:r>
        <w:rPr>
          <w:sz w:val="22"/>
          <w:szCs w:val="22"/>
        </w:rPr>
        <w:t>,</w:t>
      </w:r>
      <w:r w:rsidR="005366DC">
        <w:rPr>
          <w:sz w:val="22"/>
          <w:szCs w:val="22"/>
        </w:rPr>
        <w:t xml:space="preserve"> napr.</w:t>
      </w:r>
    </w:p>
    <w:p w:rsidR="00CF2162" w:rsidRPr="008C1BE2" w:rsidRDefault="00CF2162" w:rsidP="00203FA9">
      <w:pPr>
        <w:numPr>
          <w:ilvl w:val="0"/>
          <w:numId w:val="39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nízky krvný tlak</w:t>
      </w:r>
      <w:r>
        <w:rPr>
          <w:bCs/>
          <w:sz w:val="22"/>
          <w:szCs w:val="22"/>
        </w:rPr>
        <w:t>,</w:t>
      </w:r>
    </w:p>
    <w:p w:rsidR="00CF2162" w:rsidRPr="008C1BE2" w:rsidRDefault="00CF2162" w:rsidP="00203FA9">
      <w:pPr>
        <w:numPr>
          <w:ilvl w:val="0"/>
          <w:numId w:val="39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žihľavka</w:t>
      </w:r>
      <w:r>
        <w:rPr>
          <w:bCs/>
          <w:sz w:val="22"/>
          <w:szCs w:val="22"/>
        </w:rPr>
        <w:t>,</w:t>
      </w:r>
    </w:p>
    <w:p w:rsidR="00CF2162" w:rsidRPr="008C1BE2" w:rsidRDefault="00CF2162" w:rsidP="00203FA9">
      <w:pPr>
        <w:numPr>
          <w:ilvl w:val="0"/>
          <w:numId w:val="39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tváre</w:t>
      </w:r>
      <w:r>
        <w:rPr>
          <w:bCs/>
          <w:sz w:val="22"/>
          <w:szCs w:val="22"/>
        </w:rPr>
        <w:t>,</w:t>
      </w:r>
    </w:p>
    <w:p w:rsidR="00CF2162" w:rsidRPr="000E7F20" w:rsidRDefault="00CF2162" w:rsidP="00203FA9">
      <w:pPr>
        <w:numPr>
          <w:ilvl w:val="0"/>
          <w:numId w:val="39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lastRenderedPageBreak/>
        <w:t>opuch (</w:t>
      </w:r>
      <w:r w:rsidRPr="00203FA9">
        <w:rPr>
          <w:bCs/>
          <w:sz w:val="22"/>
          <w:szCs w:val="22"/>
        </w:rPr>
        <w:t>edém</w:t>
      </w:r>
      <w:r w:rsidRPr="000E7F20">
        <w:rPr>
          <w:bCs/>
          <w:sz w:val="22"/>
          <w:szCs w:val="22"/>
        </w:rPr>
        <w:t>) očného viečka</w:t>
      </w:r>
      <w:r>
        <w:rPr>
          <w:bCs/>
          <w:sz w:val="22"/>
          <w:szCs w:val="22"/>
        </w:rPr>
        <w:t>,</w:t>
      </w:r>
    </w:p>
    <w:p w:rsidR="00CF2162" w:rsidRDefault="00CF2162" w:rsidP="00203FA9">
      <w:pPr>
        <w:numPr>
          <w:ilvl w:val="0"/>
          <w:numId w:val="39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0E7F20">
        <w:rPr>
          <w:bCs/>
          <w:sz w:val="22"/>
          <w:szCs w:val="22"/>
        </w:rPr>
        <w:t>sčerven</w:t>
      </w:r>
      <w:r w:rsidRPr="008C1BE2">
        <w:rPr>
          <w:bCs/>
          <w:sz w:val="22"/>
          <w:szCs w:val="22"/>
        </w:rPr>
        <w:t>anie</w:t>
      </w:r>
      <w:r>
        <w:rPr>
          <w:bCs/>
          <w:sz w:val="22"/>
          <w:szCs w:val="22"/>
        </w:rPr>
        <w:t>.</w:t>
      </w:r>
    </w:p>
    <w:p w:rsidR="00CF2162" w:rsidRPr="008C1BE2" w:rsidRDefault="005366DC" w:rsidP="00203FA9">
      <w:pPr>
        <w:tabs>
          <w:tab w:val="left" w:pos="284"/>
        </w:tabs>
        <w:spacing w:line="260" w:lineRule="exact"/>
        <w:contextualSpacing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CF2162" w:rsidRPr="008C1BE2">
        <w:rPr>
          <w:bCs/>
          <w:sz w:val="22"/>
          <w:szCs w:val="22"/>
        </w:rPr>
        <w:t>Častosť nasledujúcich reakcií podobných alergickej nie je známa:</w:t>
      </w:r>
    </w:p>
    <w:p w:rsidR="00CF2162" w:rsidRPr="000E7F20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 xml:space="preserve">závažná reakcia podobná alergickej </w:t>
      </w:r>
      <w:r w:rsidRPr="00203FA9">
        <w:rPr>
          <w:bCs/>
          <w:sz w:val="22"/>
          <w:szCs w:val="22"/>
        </w:rPr>
        <w:t>(anafylaktoidný šok</w:t>
      </w:r>
      <w:r w:rsidRPr="000E7F20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5366DC">
        <w:rPr>
          <w:bCs/>
          <w:sz w:val="22"/>
          <w:szCs w:val="22"/>
        </w:rPr>
        <w:t xml:space="preserve">závažné zníženie krvného tlaku, ktoré môže viesť ku kolapsu </w:t>
      </w:r>
      <w:r w:rsidRPr="008C1BE2">
        <w:rPr>
          <w:bCs/>
          <w:sz w:val="22"/>
          <w:szCs w:val="22"/>
        </w:rPr>
        <w:t xml:space="preserve">(šok), </w:t>
      </w:r>
    </w:p>
    <w:p w:rsidR="00CF2162" w:rsidRPr="00FE69FF" w:rsidRDefault="00CF2162" w:rsidP="00FE69FF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FE69FF">
        <w:rPr>
          <w:bCs/>
          <w:sz w:val="22"/>
          <w:szCs w:val="22"/>
        </w:rPr>
        <w:t xml:space="preserve">zastavenie dýchania, 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tekutina v</w:t>
      </w:r>
      <w:r>
        <w:rPr>
          <w:bCs/>
          <w:sz w:val="22"/>
          <w:szCs w:val="22"/>
        </w:rPr>
        <w:t> </w:t>
      </w:r>
      <w:r w:rsidRPr="008C1BE2">
        <w:rPr>
          <w:bCs/>
          <w:sz w:val="22"/>
          <w:szCs w:val="22"/>
        </w:rPr>
        <w:t>pľúcach</w:t>
      </w:r>
      <w:r>
        <w:rPr>
          <w:bCs/>
          <w:sz w:val="22"/>
          <w:szCs w:val="22"/>
        </w:rPr>
        <w:t>,</w:t>
      </w:r>
    </w:p>
    <w:p w:rsidR="00CF2162" w:rsidRPr="000E7F20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sťažené dýchanie (</w:t>
      </w:r>
      <w:r w:rsidRPr="00203FA9">
        <w:rPr>
          <w:bCs/>
          <w:sz w:val="22"/>
          <w:szCs w:val="22"/>
        </w:rPr>
        <w:t>bronchospazmus</w:t>
      </w:r>
      <w:r w:rsidRPr="000E7F20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zmodrenie pier,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úst a hrdla,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hrdla,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zvýšený tlak krvi,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bolesť na hrudníku,</w:t>
      </w:r>
    </w:p>
    <w:p w:rsidR="00CF2162" w:rsidRPr="000E7F20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opuch tváre, hrdla, úst, pier a/alebo jazyka (</w:t>
      </w:r>
      <w:r w:rsidRPr="00203FA9">
        <w:rPr>
          <w:bCs/>
          <w:sz w:val="22"/>
          <w:szCs w:val="22"/>
        </w:rPr>
        <w:t>angioedém</w:t>
      </w:r>
      <w:r w:rsidRPr="000E7F20">
        <w:rPr>
          <w:bCs/>
          <w:sz w:val="22"/>
          <w:szCs w:val="22"/>
        </w:rPr>
        <w:t>),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zápal spojoviek,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nadmerné potenie,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kašeľ,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kýchanie,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pocit pálenia,</w:t>
      </w:r>
    </w:p>
    <w:p w:rsidR="00CF2162" w:rsidRPr="008C1BE2" w:rsidRDefault="00CF2162" w:rsidP="00203FA9">
      <w:pPr>
        <w:numPr>
          <w:ilvl w:val="0"/>
          <w:numId w:val="40"/>
        </w:numPr>
        <w:tabs>
          <w:tab w:val="left" w:pos="0"/>
        </w:tabs>
        <w:spacing w:line="260" w:lineRule="exact"/>
        <w:contextualSpacing/>
        <w:jc w:val="left"/>
        <w:rPr>
          <w:bCs/>
          <w:sz w:val="22"/>
          <w:szCs w:val="22"/>
        </w:rPr>
      </w:pPr>
      <w:r w:rsidRPr="008C1BE2">
        <w:rPr>
          <w:bCs/>
          <w:sz w:val="22"/>
          <w:szCs w:val="22"/>
        </w:rPr>
        <w:t>bled</w:t>
      </w:r>
      <w:r w:rsidR="005366DC">
        <w:rPr>
          <w:bCs/>
          <w:sz w:val="22"/>
          <w:szCs w:val="22"/>
        </w:rPr>
        <w:t>osť tváre</w:t>
      </w:r>
      <w:r w:rsidR="00F81A27">
        <w:rPr>
          <w:bCs/>
          <w:sz w:val="22"/>
          <w:szCs w:val="22"/>
        </w:rPr>
        <w:t>.</w:t>
      </w:r>
      <w:r w:rsidRPr="000D593D">
        <w:rPr>
          <w:bCs/>
          <w:sz w:val="22"/>
          <w:szCs w:val="22"/>
        </w:rPr>
        <w:t xml:space="preserve"> 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závrat, poruchy chuti, mravčenie a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brnenie</w:t>
      </w:r>
      <w:r>
        <w:rPr>
          <w:sz w:val="22"/>
          <w:szCs w:val="22"/>
        </w:rPr>
        <w:t>,</w:t>
      </w:r>
    </w:p>
    <w:p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sťažené dýchanie (</w:t>
      </w:r>
      <w:r w:rsidRPr="00203FA9">
        <w:rPr>
          <w:sz w:val="22"/>
          <w:szCs w:val="22"/>
        </w:rPr>
        <w:t>dyspnoe</w:t>
      </w:r>
      <w:r w:rsidRPr="000E7F2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vracanie</w:t>
      </w:r>
      <w:r>
        <w:rPr>
          <w:sz w:val="22"/>
          <w:szCs w:val="22"/>
        </w:rPr>
        <w:t>,</w:t>
      </w:r>
    </w:p>
    <w:p w:rsidR="00CF2162" w:rsidRPr="000E7F20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sčervenanie kože (</w:t>
      </w:r>
      <w:r w:rsidRPr="00203FA9">
        <w:rPr>
          <w:sz w:val="22"/>
          <w:szCs w:val="22"/>
        </w:rPr>
        <w:t>erytém</w:t>
      </w:r>
      <w:r w:rsidRPr="000E7F20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svrbenie (</w:t>
      </w:r>
      <w:r w:rsidRPr="00203FA9">
        <w:rPr>
          <w:sz w:val="22"/>
          <w:szCs w:val="22"/>
        </w:rPr>
        <w:t>pruritus</w:t>
      </w:r>
      <w:r w:rsidRPr="000E7F20">
        <w:rPr>
          <w:sz w:val="22"/>
          <w:szCs w:val="22"/>
        </w:rPr>
        <w:t xml:space="preserve">) </w:t>
      </w:r>
      <w:r w:rsidRPr="008C1BE2">
        <w:rPr>
          <w:sz w:val="22"/>
          <w:szCs w:val="22"/>
        </w:rPr>
        <w:t>vrátane celkového svrbenia</w:t>
      </w:r>
      <w:r>
        <w:rPr>
          <w:sz w:val="22"/>
          <w:szCs w:val="22"/>
        </w:rPr>
        <w:t>,</w:t>
      </w:r>
    </w:p>
    <w:p w:rsidR="00CF2162" w:rsidRPr="000D593D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vyrážka (vrátane celkovej vyrážky</w:t>
      </w:r>
      <w:r w:rsidRPr="000D593D">
        <w:rPr>
          <w:sz w:val="22"/>
          <w:szCs w:val="22"/>
        </w:rPr>
        <w:t xml:space="preserve">, </w:t>
      </w:r>
      <w:r w:rsidRPr="008C1BE2">
        <w:rPr>
          <w:sz w:val="22"/>
          <w:szCs w:val="22"/>
        </w:rPr>
        <w:t>malých plochých červených škvŕn [</w:t>
      </w:r>
      <w:r w:rsidRPr="00203FA9">
        <w:rPr>
          <w:sz w:val="22"/>
          <w:szCs w:val="22"/>
        </w:rPr>
        <w:t>makulárna vyrážka</w:t>
      </w:r>
      <w:r w:rsidRPr="000E7F20">
        <w:rPr>
          <w:sz w:val="22"/>
          <w:szCs w:val="22"/>
        </w:rPr>
        <w:t>]</w:t>
      </w:r>
      <w:r w:rsidRPr="008C1BE2">
        <w:rPr>
          <w:sz w:val="22"/>
          <w:szCs w:val="22"/>
        </w:rPr>
        <w:t xml:space="preserve">, </w:t>
      </w:r>
      <w:r w:rsidRPr="000D593D">
        <w:rPr>
          <w:sz w:val="22"/>
          <w:szCs w:val="22"/>
        </w:rPr>
        <w:t>mal</w:t>
      </w:r>
      <w:r w:rsidRPr="008C1BE2">
        <w:rPr>
          <w:sz w:val="22"/>
          <w:szCs w:val="22"/>
        </w:rPr>
        <w:t>ých, vyvýšených, ohraničených lézií [</w:t>
      </w:r>
      <w:r w:rsidRPr="00203FA9">
        <w:rPr>
          <w:sz w:val="22"/>
          <w:szCs w:val="22"/>
        </w:rPr>
        <w:t>papulárna vyrážka</w:t>
      </w:r>
      <w:r w:rsidRPr="008C1BE2">
        <w:rPr>
          <w:sz w:val="22"/>
          <w:szCs w:val="22"/>
        </w:rPr>
        <w:t>]</w:t>
      </w:r>
      <w:r w:rsidRPr="000D593D">
        <w:rPr>
          <w:sz w:val="22"/>
          <w:szCs w:val="22"/>
        </w:rPr>
        <w:t xml:space="preserve"> a svrbiac</w:t>
      </w:r>
      <w:r w:rsidRPr="008C1BE2">
        <w:rPr>
          <w:sz w:val="22"/>
          <w:szCs w:val="22"/>
        </w:rPr>
        <w:t>ej [</w:t>
      </w:r>
      <w:r w:rsidRPr="00203FA9">
        <w:rPr>
          <w:sz w:val="22"/>
          <w:szCs w:val="22"/>
        </w:rPr>
        <w:t>pruritickej</w:t>
      </w:r>
      <w:r w:rsidRPr="000E7F20">
        <w:rPr>
          <w:sz w:val="22"/>
          <w:szCs w:val="22"/>
        </w:rPr>
        <w:t xml:space="preserve">] </w:t>
      </w:r>
      <w:r w:rsidRPr="000D593D">
        <w:rPr>
          <w:sz w:val="22"/>
          <w:szCs w:val="22"/>
        </w:rPr>
        <w:t>vyrážky</w:t>
      </w:r>
      <w:r w:rsidRPr="008C1BE2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rôzne druhy reakcií v mieste podania injekcie (napr. presakovanie do okolitého tkaniva, pálenie,</w:t>
      </w:r>
    </w:p>
    <w:p w:rsidR="00CF2162" w:rsidRPr="008C1BE2" w:rsidRDefault="00CF2162" w:rsidP="00203FA9">
      <w:pPr>
        <w:widowControl/>
        <w:tabs>
          <w:tab w:val="left" w:pos="567"/>
        </w:tabs>
        <w:adjustRightInd/>
        <w:spacing w:line="240" w:lineRule="auto"/>
        <w:ind w:left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chladenie, horúčosť, sčervenanie, vyrážka, bolesť alebo tvorba modrín)</w:t>
      </w:r>
      <w:r>
        <w:rPr>
          <w:sz w:val="22"/>
          <w:szCs w:val="22"/>
        </w:rPr>
        <w:t>,</w:t>
      </w:r>
    </w:p>
    <w:p w:rsidR="00CF2162" w:rsidRPr="008C1BE2" w:rsidRDefault="00CF2162" w:rsidP="00203FA9">
      <w:pPr>
        <w:widowControl/>
        <w:numPr>
          <w:ilvl w:val="0"/>
          <w:numId w:val="21"/>
        </w:numPr>
        <w:tabs>
          <w:tab w:val="clear" w:pos="792"/>
          <w:tab w:val="num" w:pos="567"/>
        </w:tabs>
        <w:adjustRightInd/>
        <w:spacing w:line="240" w:lineRule="auto"/>
        <w:ind w:left="567" w:hanging="567"/>
        <w:jc w:val="left"/>
        <w:textAlignment w:val="auto"/>
        <w:rPr>
          <w:sz w:val="22"/>
          <w:szCs w:val="22"/>
        </w:rPr>
      </w:pPr>
      <w:r w:rsidRPr="008C1BE2">
        <w:rPr>
          <w:sz w:val="22"/>
          <w:szCs w:val="22"/>
        </w:rPr>
        <w:t>pocit horúčavy</w:t>
      </w:r>
      <w:r>
        <w:rPr>
          <w:sz w:val="22"/>
          <w:szCs w:val="22"/>
        </w:rPr>
        <w:t>.</w:t>
      </w:r>
    </w:p>
    <w:p w:rsidR="0076574D" w:rsidRPr="008C1BE2" w:rsidRDefault="0076574D" w:rsidP="00203FA9">
      <w:pPr>
        <w:spacing w:line="260" w:lineRule="exact"/>
        <w:contextualSpacing/>
        <w:jc w:val="left"/>
        <w:rPr>
          <w:noProof/>
          <w:sz w:val="22"/>
          <w:szCs w:val="22"/>
        </w:rPr>
      </w:pPr>
    </w:p>
    <w:p w:rsidR="00522E26" w:rsidRDefault="00522E26" w:rsidP="00522E26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>
        <w:rPr>
          <w:b/>
          <w:sz w:val="22"/>
          <w:szCs w:val="22"/>
        </w:rPr>
        <w:t>Zriedkavé</w:t>
      </w:r>
      <w:r w:rsidRPr="008C1BE2">
        <w:rPr>
          <w:b/>
          <w:sz w:val="22"/>
          <w:szCs w:val="22"/>
        </w:rPr>
        <w:t xml:space="preserve"> </w:t>
      </w:r>
      <w:r w:rsidRPr="008C1BE2">
        <w:rPr>
          <w:sz w:val="22"/>
          <w:szCs w:val="22"/>
        </w:rPr>
        <w:t>(môžu postihovať menej ako 1 z</w:t>
      </w:r>
      <w:r>
        <w:rPr>
          <w:sz w:val="22"/>
          <w:szCs w:val="22"/>
        </w:rPr>
        <w:t> </w:t>
      </w:r>
      <w:r w:rsidRPr="008C1BE2">
        <w:rPr>
          <w:sz w:val="22"/>
          <w:szCs w:val="22"/>
        </w:rPr>
        <w:t>1</w:t>
      </w:r>
      <w:r>
        <w:rPr>
          <w:sz w:val="22"/>
          <w:szCs w:val="22"/>
        </w:rPr>
        <w:t> 0</w:t>
      </w:r>
      <w:r w:rsidRPr="008C1BE2">
        <w:rPr>
          <w:sz w:val="22"/>
          <w:szCs w:val="22"/>
        </w:rPr>
        <w:t>00 osôb)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mdlob</w:t>
      </w:r>
      <w:r>
        <w:rPr>
          <w:noProof/>
          <w:sz w:val="22"/>
          <w:szCs w:val="22"/>
        </w:rPr>
        <w:t>y</w:t>
      </w:r>
      <w:r w:rsidRPr="000D593D">
        <w:rPr>
          <w:noProof/>
          <w:sz w:val="22"/>
          <w:szCs w:val="22"/>
        </w:rPr>
        <w:t>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záchvaty kŕčov,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porucha čuchu,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rýchly tep srdca,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búšenie srdca,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sucho v</w:t>
      </w:r>
      <w:r>
        <w:rPr>
          <w:noProof/>
          <w:sz w:val="22"/>
          <w:szCs w:val="22"/>
        </w:rPr>
        <w:t> </w:t>
      </w:r>
      <w:r w:rsidRPr="000D593D">
        <w:rPr>
          <w:noProof/>
          <w:sz w:val="22"/>
          <w:szCs w:val="22"/>
        </w:rPr>
        <w:t>ústach</w:t>
      </w:r>
      <w:r>
        <w:rPr>
          <w:noProof/>
          <w:sz w:val="22"/>
          <w:szCs w:val="22"/>
        </w:rPr>
        <w:t>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celkový pocit choroby (</w:t>
      </w:r>
      <w:r w:rsidRPr="00203FA9">
        <w:rPr>
          <w:noProof/>
          <w:sz w:val="22"/>
          <w:szCs w:val="22"/>
        </w:rPr>
        <w:t>malátnosť</w:t>
      </w:r>
      <w:r w:rsidRPr="000D593D">
        <w:rPr>
          <w:noProof/>
          <w:sz w:val="22"/>
          <w:szCs w:val="22"/>
        </w:rPr>
        <w:t>)</w:t>
      </w:r>
      <w:r>
        <w:rPr>
          <w:noProof/>
          <w:sz w:val="22"/>
          <w:szCs w:val="22"/>
        </w:rPr>
        <w:t>,</w:t>
      </w:r>
    </w:p>
    <w:p w:rsidR="0076574D" w:rsidRPr="000D593D" w:rsidRDefault="0076574D" w:rsidP="00203FA9">
      <w:pPr>
        <w:numPr>
          <w:ilvl w:val="0"/>
          <w:numId w:val="41"/>
        </w:numPr>
        <w:spacing w:line="260" w:lineRule="exact"/>
        <w:ind w:left="567" w:hanging="567"/>
        <w:contextualSpacing/>
        <w:jc w:val="left"/>
        <w:rPr>
          <w:noProof/>
          <w:sz w:val="22"/>
          <w:szCs w:val="22"/>
        </w:rPr>
      </w:pPr>
      <w:r w:rsidRPr="000D593D">
        <w:rPr>
          <w:noProof/>
          <w:sz w:val="22"/>
          <w:szCs w:val="22"/>
        </w:rPr>
        <w:t>pocit chladu</w:t>
      </w:r>
      <w:r>
        <w:rPr>
          <w:noProof/>
          <w:sz w:val="22"/>
          <w:szCs w:val="22"/>
        </w:rPr>
        <w:t>.</w:t>
      </w:r>
    </w:p>
    <w:p w:rsidR="00706F8F" w:rsidRPr="008C1BE2" w:rsidRDefault="00706F8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</w:p>
    <w:p w:rsidR="0050209F" w:rsidRPr="008C1BE2" w:rsidRDefault="0050209F" w:rsidP="000D593D">
      <w:pPr>
        <w:numPr>
          <w:ilvl w:val="12"/>
          <w:numId w:val="0"/>
        </w:numPr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 xml:space="preserve">Dodatočné nežiaduce účinky </w:t>
      </w:r>
      <w:r w:rsidR="00AE529B" w:rsidRPr="000E7F20">
        <w:rPr>
          <w:b/>
          <w:sz w:val="22"/>
          <w:szCs w:val="22"/>
        </w:rPr>
        <w:t>s</w:t>
      </w:r>
      <w:r w:rsidRPr="00F957A1">
        <w:rPr>
          <w:b/>
          <w:sz w:val="22"/>
          <w:szCs w:val="22"/>
        </w:rPr>
        <w:t xml:space="preserve"> neznámou </w:t>
      </w:r>
      <w:r w:rsidR="00A5531A" w:rsidRPr="000E7F20">
        <w:rPr>
          <w:b/>
          <w:sz w:val="22"/>
          <w:szCs w:val="22"/>
        </w:rPr>
        <w:t>častosťou</w:t>
      </w:r>
      <w:r w:rsidRPr="000E7F20">
        <w:rPr>
          <w:sz w:val="22"/>
          <w:szCs w:val="22"/>
        </w:rPr>
        <w:t xml:space="preserve"> (</w:t>
      </w:r>
      <w:r w:rsidR="00A5531A" w:rsidRPr="008C1BE2">
        <w:rPr>
          <w:sz w:val="22"/>
          <w:szCs w:val="22"/>
        </w:rPr>
        <w:t>častosť sa nedá odhadnúť</w:t>
      </w:r>
      <w:r w:rsidRPr="008C1BE2">
        <w:rPr>
          <w:sz w:val="22"/>
          <w:szCs w:val="22"/>
        </w:rPr>
        <w:t xml:space="preserve"> z dostupných údajov), ktoré sa hlásili po uvedení Gadovistu na trh:</w:t>
      </w:r>
    </w:p>
    <w:p w:rsidR="0050209F" w:rsidRPr="008C1BE2" w:rsidRDefault="00AE529B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srdce prestane biť (</w:t>
      </w:r>
      <w:r w:rsidR="0050209F" w:rsidRPr="0076574D">
        <w:rPr>
          <w:noProof/>
          <w:sz w:val="22"/>
          <w:szCs w:val="22"/>
        </w:rPr>
        <w:t>zastavenie srdca</w:t>
      </w:r>
      <w:r w:rsidRPr="000E7F20">
        <w:rPr>
          <w:noProof/>
          <w:sz w:val="22"/>
          <w:szCs w:val="22"/>
        </w:rPr>
        <w:t>)</w:t>
      </w:r>
      <w:r w:rsidR="0076574D">
        <w:rPr>
          <w:noProof/>
          <w:sz w:val="22"/>
          <w:szCs w:val="22"/>
        </w:rPr>
        <w:t>,</w:t>
      </w:r>
    </w:p>
    <w:p w:rsidR="0050209F" w:rsidRPr="008C1BE2" w:rsidRDefault="0050209F" w:rsidP="00F957A1">
      <w:pPr>
        <w:numPr>
          <w:ilvl w:val="0"/>
          <w:numId w:val="42"/>
        </w:numPr>
        <w:spacing w:line="260" w:lineRule="exact"/>
        <w:ind w:left="709" w:hanging="709"/>
        <w:contextualSpacing/>
        <w:jc w:val="left"/>
        <w:rPr>
          <w:noProof/>
          <w:sz w:val="22"/>
          <w:szCs w:val="22"/>
        </w:rPr>
      </w:pPr>
      <w:r w:rsidRPr="008C1BE2">
        <w:rPr>
          <w:noProof/>
          <w:sz w:val="22"/>
          <w:szCs w:val="22"/>
        </w:rPr>
        <w:t>hlásili sa prípady nefrogénnej systémovej fibrózy</w:t>
      </w:r>
      <w:r w:rsidR="005C55DB" w:rsidRPr="008C1BE2">
        <w:rPr>
          <w:noProof/>
          <w:sz w:val="22"/>
          <w:szCs w:val="22"/>
        </w:rPr>
        <w:t> - NSF</w:t>
      </w:r>
      <w:r w:rsidRPr="008C1BE2">
        <w:rPr>
          <w:noProof/>
          <w:sz w:val="22"/>
          <w:szCs w:val="22"/>
        </w:rPr>
        <w:t xml:space="preserve"> (ktorá zapríčiňuje stvrdnutie kože a môže mať vplyv taktiež na mäkké tkanivo a vnútorné orgány).</w:t>
      </w:r>
    </w:p>
    <w:p w:rsidR="006C540A" w:rsidRPr="00EA0694" w:rsidRDefault="00EA0694" w:rsidP="000D593D">
      <w:pPr>
        <w:autoSpaceDE w:val="0"/>
        <w:autoSpaceDN w:val="0"/>
        <w:spacing w:line="260" w:lineRule="exact"/>
        <w:contextualSpacing/>
        <w:jc w:val="left"/>
        <w:rPr>
          <w:bCs/>
          <w:sz w:val="22"/>
          <w:szCs w:val="22"/>
        </w:rPr>
      </w:pPr>
      <w:r w:rsidRPr="00C83324">
        <w:rPr>
          <w:bCs/>
          <w:sz w:val="22"/>
          <w:szCs w:val="22"/>
        </w:rPr>
        <w:t>Po podaní Gadovistu sa pozorovali zmeny v krvných testoch funkcie obličiek (napr. nárast kreatinínu v sére).</w:t>
      </w:r>
    </w:p>
    <w:p w:rsidR="00EA0694" w:rsidRPr="008C1BE2" w:rsidRDefault="00EA0694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55C95" w:rsidRPr="008C1BE2" w:rsidRDefault="00055C95" w:rsidP="000D593D">
      <w:pPr>
        <w:numPr>
          <w:ilvl w:val="12"/>
          <w:numId w:val="0"/>
        </w:numPr>
        <w:tabs>
          <w:tab w:val="left" w:pos="720"/>
        </w:tabs>
        <w:spacing w:line="260" w:lineRule="exact"/>
        <w:contextualSpacing/>
        <w:jc w:val="left"/>
        <w:rPr>
          <w:rFonts w:eastAsia="Arial Unicode MS"/>
          <w:b/>
          <w:sz w:val="22"/>
          <w:szCs w:val="22"/>
          <w:lang w:eastAsia="zh-CN"/>
        </w:rPr>
      </w:pPr>
      <w:r w:rsidRPr="008C1BE2">
        <w:rPr>
          <w:rFonts w:eastAsia="Arial Unicode MS"/>
          <w:b/>
          <w:sz w:val="22"/>
          <w:szCs w:val="22"/>
          <w:lang w:eastAsia="zh-CN"/>
        </w:rPr>
        <w:lastRenderedPageBreak/>
        <w:t>Hlásenie vedľajších účinkov</w:t>
      </w:r>
    </w:p>
    <w:p w:rsidR="00055C95" w:rsidRPr="008C1BE2" w:rsidRDefault="00055C95" w:rsidP="000D593D">
      <w:pPr>
        <w:spacing w:line="260" w:lineRule="exact"/>
        <w:contextualSpacing/>
        <w:jc w:val="left"/>
        <w:rPr>
          <w:rFonts w:eastAsia="Arial Unicode MS"/>
          <w:sz w:val="22"/>
          <w:szCs w:val="22"/>
          <w:lang w:eastAsia="zh-CN"/>
        </w:rPr>
      </w:pPr>
      <w:r w:rsidRPr="008C1BE2">
        <w:rPr>
          <w:rFonts w:eastAsia="Arial Unicode MS"/>
          <w:sz w:val="22"/>
          <w:szCs w:val="22"/>
          <w:lang w:eastAsia="zh-CN"/>
        </w:rPr>
        <w:t>Ak sa u vás vyskytne akýkoľvek vedľajší účinok, obráťte sa na svojho lekára</w:t>
      </w:r>
      <w:r w:rsidR="005C55DB" w:rsidRPr="008C1BE2">
        <w:rPr>
          <w:rFonts w:eastAsia="Arial Unicode MS"/>
          <w:sz w:val="22"/>
          <w:szCs w:val="22"/>
          <w:lang w:eastAsia="zh-CN"/>
        </w:rPr>
        <w:t xml:space="preserve"> alebo rádiológa</w:t>
      </w:r>
      <w:r w:rsidRPr="008C1BE2">
        <w:rPr>
          <w:rFonts w:eastAsia="Arial Unicode MS"/>
          <w:sz w:val="22"/>
          <w:szCs w:val="22"/>
          <w:lang w:eastAsia="zh-CN"/>
        </w:rPr>
        <w:t xml:space="preserve">. To sa týka aj akýchkoľvek vedľajších účinkov, ktoré nie sú uvedené v tejto písomnej informácii. Vedľajšie účinky môžete hlásiť aj priamo </w:t>
      </w:r>
      <w:r w:rsidR="00CC2DF3">
        <w:rPr>
          <w:rFonts w:eastAsia="Arial Unicode MS"/>
          <w:sz w:val="22"/>
          <w:szCs w:val="22"/>
          <w:lang w:eastAsia="zh-CN"/>
        </w:rPr>
        <w:t>na</w:t>
      </w:r>
      <w:r w:rsidR="00CC2DF3" w:rsidRPr="008C1BE2">
        <w:rPr>
          <w:rFonts w:eastAsia="Arial Unicode MS"/>
          <w:sz w:val="22"/>
          <w:szCs w:val="22"/>
          <w:lang w:eastAsia="zh-CN"/>
        </w:rPr>
        <w:t xml:space="preserve"> </w:t>
      </w:r>
      <w:r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národné </w:t>
      </w:r>
      <w:r w:rsidR="00CC2DF3">
        <w:rPr>
          <w:rFonts w:eastAsia="Arial Unicode MS"/>
          <w:sz w:val="22"/>
          <w:szCs w:val="22"/>
          <w:highlight w:val="lightGray"/>
          <w:lang w:eastAsia="zh-CN"/>
        </w:rPr>
        <w:t>centrum</w:t>
      </w:r>
      <w:r w:rsidR="00CC2DF3" w:rsidRPr="008C1BE2">
        <w:rPr>
          <w:rFonts w:eastAsia="Arial Unicode MS"/>
          <w:sz w:val="22"/>
          <w:szCs w:val="22"/>
          <w:highlight w:val="lightGray"/>
          <w:lang w:eastAsia="zh-CN"/>
        </w:rPr>
        <w:t xml:space="preserve"> </w:t>
      </w:r>
      <w:r w:rsidRPr="008C1BE2">
        <w:rPr>
          <w:rFonts w:eastAsia="Arial Unicode MS"/>
          <w:sz w:val="22"/>
          <w:szCs w:val="22"/>
          <w:highlight w:val="lightGray"/>
          <w:lang w:eastAsia="zh-CN"/>
        </w:rPr>
        <w:t>hlásenia uvedené v </w:t>
      </w:r>
      <w:hyperlink r:id="rId9" w:history="1">
        <w:r w:rsidRPr="000E7F20">
          <w:rPr>
            <w:rStyle w:val="Hypertextovprepojenie"/>
            <w:rFonts w:eastAsia="Arial Unicode MS"/>
            <w:sz w:val="22"/>
            <w:szCs w:val="22"/>
            <w:highlight w:val="lightGray"/>
            <w:lang w:eastAsia="zh-CN"/>
          </w:rPr>
          <w:t>Prílohe V</w:t>
        </w:r>
      </w:hyperlink>
      <w:r w:rsidRPr="000E7F20">
        <w:rPr>
          <w:rFonts w:eastAsia="Arial Unicode MS"/>
          <w:sz w:val="22"/>
          <w:szCs w:val="22"/>
          <w:lang w:eastAsia="zh-CN"/>
        </w:rPr>
        <w:t>. Hlásením vedľajších účinkov môžete prispieť k získaniu ďalších informácií o bezpečnosti tohto li</w:t>
      </w:r>
      <w:r w:rsidRPr="008C1BE2">
        <w:rPr>
          <w:rFonts w:eastAsia="Arial Unicode MS"/>
          <w:sz w:val="22"/>
          <w:szCs w:val="22"/>
          <w:lang w:eastAsia="zh-CN"/>
        </w:rPr>
        <w:t>eku.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055C95" w:rsidRPr="008C1BE2" w:rsidRDefault="00055C95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5</w:t>
      </w:r>
      <w:r w:rsidR="00713F24" w:rsidRPr="008C1BE2">
        <w:rPr>
          <w:b/>
          <w:bCs/>
          <w:sz w:val="22"/>
          <w:szCs w:val="22"/>
        </w:rPr>
        <w:t>.</w:t>
      </w:r>
      <w:r w:rsidR="00713F24" w:rsidRPr="008C1BE2">
        <w:rPr>
          <w:b/>
          <w:bCs/>
          <w:sz w:val="22"/>
          <w:szCs w:val="22"/>
        </w:rPr>
        <w:tab/>
      </w:r>
      <w:r w:rsidRPr="008C1BE2">
        <w:rPr>
          <w:b/>
          <w:bCs/>
          <w:sz w:val="22"/>
          <w:szCs w:val="22"/>
        </w:rPr>
        <w:t>A</w:t>
      </w:r>
      <w:r w:rsidR="00055C95" w:rsidRPr="008C1BE2">
        <w:rPr>
          <w:b/>
          <w:bCs/>
          <w:sz w:val="22"/>
          <w:szCs w:val="22"/>
        </w:rPr>
        <w:t xml:space="preserve">ko uchovávať </w:t>
      </w:r>
      <w:r w:rsidRPr="008C1BE2">
        <w:rPr>
          <w:b/>
          <w:bCs/>
          <w:sz w:val="22"/>
          <w:szCs w:val="22"/>
        </w:rPr>
        <w:t>Gadovist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073E79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Tento liek u</w:t>
      </w:r>
      <w:r w:rsidR="006C540A" w:rsidRPr="003510C7">
        <w:rPr>
          <w:sz w:val="22"/>
          <w:szCs w:val="22"/>
        </w:rPr>
        <w:t xml:space="preserve">chovávajte mimo </w:t>
      </w:r>
      <w:r w:rsidR="00F81A27" w:rsidRPr="003510C7">
        <w:rPr>
          <w:sz w:val="22"/>
          <w:szCs w:val="22"/>
        </w:rPr>
        <w:t xml:space="preserve">dohľadu </w:t>
      </w:r>
      <w:r w:rsidR="006C540A" w:rsidRPr="003510C7">
        <w:rPr>
          <w:sz w:val="22"/>
          <w:szCs w:val="22"/>
        </w:rPr>
        <w:t xml:space="preserve">a </w:t>
      </w:r>
      <w:r w:rsidR="00F81A27" w:rsidRPr="003510C7">
        <w:rPr>
          <w:sz w:val="22"/>
          <w:szCs w:val="22"/>
        </w:rPr>
        <w:t xml:space="preserve">dosahu </w:t>
      </w:r>
      <w:r w:rsidR="006C540A" w:rsidRPr="003510C7">
        <w:rPr>
          <w:sz w:val="22"/>
          <w:szCs w:val="22"/>
        </w:rPr>
        <w:t>detí.</w:t>
      </w:r>
    </w:p>
    <w:p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 xml:space="preserve">Nepoužívajte </w:t>
      </w:r>
      <w:r w:rsidR="00F81A27" w:rsidRPr="003510C7">
        <w:rPr>
          <w:sz w:val="22"/>
          <w:szCs w:val="22"/>
        </w:rPr>
        <w:t xml:space="preserve">tento liek </w:t>
      </w:r>
      <w:r w:rsidRPr="003510C7">
        <w:rPr>
          <w:sz w:val="22"/>
          <w:szCs w:val="22"/>
        </w:rPr>
        <w:t>po</w:t>
      </w:r>
      <w:r w:rsidR="000D593D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dátume exspirácie, ktorý je uvedený na štítku</w:t>
      </w:r>
      <w:r w:rsidR="001F78B0" w:rsidRPr="003510C7">
        <w:rPr>
          <w:sz w:val="22"/>
          <w:szCs w:val="22"/>
        </w:rPr>
        <w:t xml:space="preserve"> a škatuľke</w:t>
      </w:r>
      <w:r w:rsidRPr="003510C7">
        <w:rPr>
          <w:sz w:val="22"/>
          <w:szCs w:val="22"/>
        </w:rPr>
        <w:t xml:space="preserve"> </w:t>
      </w:r>
      <w:r w:rsidR="00F81A27" w:rsidRPr="003510C7">
        <w:rPr>
          <w:sz w:val="22"/>
          <w:szCs w:val="22"/>
        </w:rPr>
        <w:t>po</w:t>
      </w:r>
      <w:r w:rsidRPr="003510C7">
        <w:rPr>
          <w:sz w:val="22"/>
          <w:szCs w:val="22"/>
        </w:rPr>
        <w:t xml:space="preserve"> EXP. Dátum</w:t>
      </w:r>
      <w:r w:rsidR="001F78B0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exspirácie sa vzťahuje na posledný deň v</w:t>
      </w:r>
      <w:r w:rsidR="00267449" w:rsidRPr="003510C7">
        <w:rPr>
          <w:sz w:val="22"/>
          <w:szCs w:val="22"/>
        </w:rPr>
        <w:t xml:space="preserve"> danom </w:t>
      </w:r>
      <w:r w:rsidRPr="003510C7">
        <w:rPr>
          <w:sz w:val="22"/>
          <w:szCs w:val="22"/>
        </w:rPr>
        <w:t>mesiaci.</w:t>
      </w:r>
      <w:r w:rsidR="00073E79" w:rsidRPr="003510C7">
        <w:rPr>
          <w:sz w:val="22"/>
          <w:szCs w:val="22"/>
        </w:rPr>
        <w:t xml:space="preserve"> Tento liek nevyžaduje žiadne zvláštne podmienky na uchovávanie.</w:t>
      </w:r>
    </w:p>
    <w:p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1F78B0" w:rsidRPr="003510C7" w:rsidRDefault="005B16B4" w:rsidP="000D593D">
      <w:pPr>
        <w:adjustRightInd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Chemická,</w:t>
      </w:r>
      <w:r w:rsidR="00073E79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fyzikálna a mikrobiologická stabilita pri používaní bola preukázaná po dobu 24</w:t>
      </w:r>
      <w:r w:rsidR="005366DC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hodín pri</w:t>
      </w:r>
      <w:r w:rsidR="0010410E" w:rsidRPr="00E31E81">
        <w:rPr>
          <w:sz w:val="22"/>
          <w:szCs w:val="22"/>
        </w:rPr>
        <w:t xml:space="preserve"> teplote</w:t>
      </w:r>
      <w:r w:rsidRPr="00E31E81">
        <w:rPr>
          <w:sz w:val="22"/>
          <w:szCs w:val="22"/>
        </w:rPr>
        <w:t xml:space="preserve"> 20</w:t>
      </w:r>
      <w:r w:rsidR="005366DC" w:rsidRPr="00E31E81">
        <w:rPr>
          <w:sz w:val="22"/>
          <w:szCs w:val="22"/>
        </w:rPr>
        <w:noBreakHyphen/>
      </w:r>
      <w:r w:rsidRPr="00E31E81">
        <w:rPr>
          <w:sz w:val="22"/>
          <w:szCs w:val="22"/>
        </w:rPr>
        <w:t>25°C. Z mikrobiologického hľadiska sa má liek použiť okamžite</w:t>
      </w:r>
      <w:r w:rsidR="00BB2CFE" w:rsidRPr="00E31E81">
        <w:rPr>
          <w:sz w:val="22"/>
          <w:szCs w:val="22"/>
        </w:rPr>
        <w:t xml:space="preserve"> po otvorení</w:t>
      </w:r>
      <w:r w:rsidRPr="003510C7">
        <w:rPr>
          <w:sz w:val="22"/>
          <w:szCs w:val="22"/>
        </w:rPr>
        <w:t>.</w:t>
      </w:r>
      <w:r w:rsidR="004B0760" w:rsidRPr="003510C7">
        <w:rPr>
          <w:sz w:val="22"/>
          <w:szCs w:val="22"/>
        </w:rPr>
        <w:t xml:space="preserve"> </w:t>
      </w:r>
    </w:p>
    <w:p w:rsidR="004B0760" w:rsidRPr="00E31E81" w:rsidRDefault="004B076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637BB" w:rsidRPr="008C1BE2" w:rsidRDefault="00E637BB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 xml:space="preserve">Tento liek je číry bezfarebný až bledožltý injekčný roztok. </w:t>
      </w:r>
      <w:r w:rsidR="00267449" w:rsidRPr="00E31E81">
        <w:rPr>
          <w:sz w:val="22"/>
          <w:szCs w:val="22"/>
        </w:rPr>
        <w:t xml:space="preserve">Liek </w:t>
      </w:r>
      <w:r w:rsidRPr="00E31E81">
        <w:rPr>
          <w:sz w:val="22"/>
          <w:szCs w:val="22"/>
        </w:rPr>
        <w:t>sa nesmie použiť v</w:t>
      </w:r>
      <w:r w:rsidR="000D593D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prípade silnej zmeny sfarbenia, </w:t>
      </w:r>
      <w:r w:rsidR="00B77887" w:rsidRPr="00E31E81">
        <w:rPr>
          <w:sz w:val="22"/>
          <w:szCs w:val="22"/>
        </w:rPr>
        <w:t xml:space="preserve">prítomnosti </w:t>
      </w:r>
      <w:r w:rsidRPr="00E31E81">
        <w:rPr>
          <w:sz w:val="22"/>
          <w:szCs w:val="22"/>
        </w:rPr>
        <w:t xml:space="preserve">nečistôt alebo </w:t>
      </w:r>
      <w:r w:rsidR="00B77887" w:rsidRPr="00E31E81">
        <w:rPr>
          <w:sz w:val="22"/>
          <w:szCs w:val="22"/>
        </w:rPr>
        <w:t>ak sa obal zdá byť poškodený</w:t>
      </w:r>
      <w:r w:rsidRPr="00E31E81">
        <w:rPr>
          <w:sz w:val="22"/>
          <w:szCs w:val="22"/>
        </w:rPr>
        <w:t>.</w:t>
      </w:r>
    </w:p>
    <w:p w:rsidR="001F78B0" w:rsidRPr="008C1BE2" w:rsidRDefault="001F78B0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Lieky sa nesmú likvidovať odpadovou vodou alebo domovým odpadom. </w:t>
      </w:r>
      <w:r w:rsidR="004B0760" w:rsidRPr="008C1BE2">
        <w:rPr>
          <w:sz w:val="22"/>
          <w:szCs w:val="22"/>
        </w:rPr>
        <w:t>Nepoužitý liek vráťte do</w:t>
      </w:r>
      <w:r w:rsidR="000D593D" w:rsidRPr="00075902">
        <w:rPr>
          <w:sz w:val="22"/>
          <w:szCs w:val="22"/>
        </w:rPr>
        <w:t> </w:t>
      </w:r>
      <w:r w:rsidR="004B0760" w:rsidRPr="008C1BE2">
        <w:rPr>
          <w:sz w:val="22"/>
          <w:szCs w:val="22"/>
        </w:rPr>
        <w:t xml:space="preserve">lekárne. </w:t>
      </w:r>
      <w:r w:rsidRPr="008C1BE2">
        <w:rPr>
          <w:sz w:val="22"/>
          <w:szCs w:val="22"/>
        </w:rPr>
        <w:t>Tieto opatrenia pomôžu chrániť životné prostredie.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6. </w:t>
      </w:r>
      <w:r w:rsidR="00650EA5" w:rsidRPr="008C1BE2">
        <w:rPr>
          <w:b/>
          <w:bCs/>
          <w:sz w:val="22"/>
          <w:szCs w:val="22"/>
        </w:rPr>
        <w:tab/>
      </w:r>
      <w:r w:rsidR="00055C95" w:rsidRPr="008C1BE2">
        <w:rPr>
          <w:b/>
          <w:bCs/>
          <w:sz w:val="22"/>
          <w:szCs w:val="22"/>
        </w:rPr>
        <w:t>Obsah balenia a ďalšie informácie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Čo Gadovist obsahuje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77887" w:rsidRPr="000E7F20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Liečivo</w:t>
      </w:r>
      <w:r w:rsidRPr="000E7F20">
        <w:rPr>
          <w:sz w:val="22"/>
          <w:szCs w:val="22"/>
        </w:rPr>
        <w:t xml:space="preserve"> je gadobutrol</w:t>
      </w:r>
      <w:r w:rsidR="00B77887" w:rsidRPr="000E7F20">
        <w:rPr>
          <w:sz w:val="22"/>
          <w:szCs w:val="22"/>
        </w:rPr>
        <w:t>.</w:t>
      </w:r>
    </w:p>
    <w:p w:rsidR="006C540A" w:rsidRPr="008C1BE2" w:rsidRDefault="00B77887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1</w:t>
      </w:r>
      <w:r w:rsidR="005366DC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073E79">
        <w:rPr>
          <w:sz w:val="22"/>
          <w:szCs w:val="22"/>
        </w:rPr>
        <w:t xml:space="preserve">injekčného </w:t>
      </w:r>
      <w:r w:rsidRPr="008C1BE2">
        <w:rPr>
          <w:sz w:val="22"/>
          <w:szCs w:val="22"/>
        </w:rPr>
        <w:t xml:space="preserve">roztoku obsahuje </w:t>
      </w:r>
      <w:r w:rsidR="006C540A" w:rsidRPr="008C1BE2">
        <w:rPr>
          <w:sz w:val="22"/>
          <w:szCs w:val="22"/>
        </w:rPr>
        <w:t>604,72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mg</w:t>
      </w:r>
      <w:r w:rsidRPr="008C1BE2">
        <w:rPr>
          <w:sz w:val="22"/>
          <w:szCs w:val="22"/>
        </w:rPr>
        <w:t xml:space="preserve"> gadobutrolu</w:t>
      </w:r>
      <w:r w:rsidR="006C540A" w:rsidRPr="008C1BE2">
        <w:rPr>
          <w:sz w:val="22"/>
          <w:szCs w:val="22"/>
        </w:rPr>
        <w:t xml:space="preserve"> </w:t>
      </w:r>
      <w:r w:rsidR="00073E79">
        <w:rPr>
          <w:sz w:val="22"/>
          <w:szCs w:val="22"/>
        </w:rPr>
        <w:t>(</w:t>
      </w:r>
      <w:r w:rsidR="006C540A" w:rsidRPr="008C1BE2">
        <w:rPr>
          <w:sz w:val="22"/>
          <w:szCs w:val="22"/>
        </w:rPr>
        <w:t>čo zodpovedá 1</w:t>
      </w:r>
      <w:r w:rsidR="000D593D" w:rsidRPr="00075902">
        <w:rPr>
          <w:sz w:val="22"/>
          <w:szCs w:val="22"/>
        </w:rPr>
        <w:t> </w:t>
      </w:r>
      <w:r w:rsidR="006C540A" w:rsidRPr="008C1BE2">
        <w:rPr>
          <w:sz w:val="22"/>
          <w:szCs w:val="22"/>
        </w:rPr>
        <w:t>mmolu</w:t>
      </w:r>
      <w:r w:rsidRPr="008C1BE2">
        <w:rPr>
          <w:sz w:val="22"/>
          <w:szCs w:val="22"/>
        </w:rPr>
        <w:t xml:space="preserve"> </w:t>
      </w:r>
      <w:r w:rsidR="004E2E8E">
        <w:rPr>
          <w:sz w:val="22"/>
          <w:szCs w:val="22"/>
        </w:rPr>
        <w:t xml:space="preserve">gadobutrolu </w:t>
      </w:r>
      <w:r w:rsidRPr="008C1BE2">
        <w:rPr>
          <w:sz w:val="22"/>
          <w:szCs w:val="22"/>
        </w:rPr>
        <w:t>s obsahom 15</w:t>
      </w:r>
      <w:r w:rsidR="004E2E8E">
        <w:rPr>
          <w:sz w:val="22"/>
          <w:szCs w:val="22"/>
        </w:rPr>
        <w:t>7</w:t>
      </w:r>
      <w:r w:rsidRPr="008C1BE2">
        <w:rPr>
          <w:sz w:val="22"/>
          <w:szCs w:val="22"/>
        </w:rPr>
        <w:t>,25</w:t>
      </w:r>
      <w:r w:rsidR="000D593D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mg gadolínia</w:t>
      </w:r>
      <w:r w:rsidR="00073E79">
        <w:rPr>
          <w:sz w:val="22"/>
          <w:szCs w:val="22"/>
        </w:rPr>
        <w:t>)</w:t>
      </w:r>
      <w:r w:rsidR="006C540A" w:rsidRPr="008C1BE2">
        <w:rPr>
          <w:sz w:val="22"/>
          <w:szCs w:val="22"/>
        </w:rPr>
        <w:t>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F957A1">
        <w:rPr>
          <w:b/>
          <w:sz w:val="22"/>
          <w:szCs w:val="22"/>
        </w:rPr>
        <w:t>Ďalšie zložky</w:t>
      </w:r>
      <w:r w:rsidRPr="000E7F20">
        <w:rPr>
          <w:sz w:val="22"/>
          <w:szCs w:val="22"/>
        </w:rPr>
        <w:t xml:space="preserve"> sú sodná soľ kalkobutrolu</w:t>
      </w:r>
      <w:r w:rsidR="00B77887" w:rsidRPr="000E7F20">
        <w:rPr>
          <w:sz w:val="22"/>
          <w:szCs w:val="22"/>
        </w:rPr>
        <w:t xml:space="preserve"> (pozri koniec časti</w:t>
      </w:r>
      <w:r w:rsidR="000D593D" w:rsidRPr="00075902">
        <w:rPr>
          <w:sz w:val="22"/>
          <w:szCs w:val="22"/>
        </w:rPr>
        <w:t> </w:t>
      </w:r>
      <w:r w:rsidR="00B77887" w:rsidRPr="000E7F20">
        <w:rPr>
          <w:sz w:val="22"/>
          <w:szCs w:val="22"/>
        </w:rPr>
        <w:t>2)</w:t>
      </w:r>
      <w:r w:rsidRPr="008C1BE2">
        <w:rPr>
          <w:sz w:val="22"/>
          <w:szCs w:val="22"/>
        </w:rPr>
        <w:t>, trometamol, kyselina chlorovodíková</w:t>
      </w:r>
      <w:r w:rsidR="00B77887" w:rsidRPr="008C1BE2">
        <w:rPr>
          <w:sz w:val="22"/>
          <w:szCs w:val="22"/>
        </w:rPr>
        <w:t> </w:t>
      </w:r>
      <w:r w:rsidR="00B77887" w:rsidRPr="00F957A1">
        <w:rPr>
          <w:sz w:val="22"/>
          <w:szCs w:val="22"/>
        </w:rPr>
        <w:t>1</w:t>
      </w:r>
      <w:r w:rsidR="00073E79">
        <w:rPr>
          <w:sz w:val="22"/>
          <w:szCs w:val="22"/>
        </w:rPr>
        <w:t>N</w:t>
      </w:r>
      <w:r w:rsidR="00B77887" w:rsidRPr="008C1BE2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a voda na injekciu.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97D28" w:rsidRPr="003510C7" w:rsidRDefault="00E97D28" w:rsidP="000D593D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E31E81">
        <w:rPr>
          <w:rFonts w:eastAsia="MS Mincho"/>
          <w:sz w:val="22"/>
          <w:szCs w:val="22"/>
          <w:lang w:eastAsia="ja-JP"/>
        </w:rPr>
        <w:t xml:space="preserve">1 injekčná liekovka s </w:t>
      </w:r>
      <w:r w:rsidR="00A52E17" w:rsidRPr="00E31E81">
        <w:rPr>
          <w:rFonts w:eastAsia="MS Mincho"/>
          <w:sz w:val="22"/>
          <w:szCs w:val="22"/>
          <w:lang w:eastAsia="ja-JP"/>
        </w:rPr>
        <w:t>2</w:t>
      </w:r>
      <w:r w:rsidR="00E57C90" w:rsidRPr="003510C7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ml roztoku obsahuje 1 209,44</w:t>
      </w:r>
      <w:r w:rsidR="00E57C90" w:rsidRPr="003510C7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mg gadobutrolu.</w:t>
      </w:r>
    </w:p>
    <w:p w:rsidR="006C540A" w:rsidRPr="00E31E81" w:rsidRDefault="006C540A" w:rsidP="000D593D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3510C7">
        <w:rPr>
          <w:rFonts w:eastAsia="MS Mincho"/>
          <w:sz w:val="22"/>
          <w:szCs w:val="22"/>
          <w:lang w:eastAsia="ja-JP"/>
        </w:rPr>
        <w:t>1 injekčná liekovka so 7,5</w:t>
      </w:r>
      <w:r w:rsidR="00E57C90" w:rsidRPr="003510C7">
        <w:rPr>
          <w:sz w:val="22"/>
          <w:szCs w:val="22"/>
        </w:rPr>
        <w:t> </w:t>
      </w:r>
      <w:r w:rsidRPr="003510C7">
        <w:rPr>
          <w:rFonts w:eastAsia="MS Mincho"/>
          <w:sz w:val="22"/>
          <w:szCs w:val="22"/>
          <w:lang w:eastAsia="ja-JP"/>
        </w:rPr>
        <w:t>ml roztoku obsahuje 4</w:t>
      </w:r>
      <w:r w:rsidR="004B0760" w:rsidRPr="003510C7">
        <w:rPr>
          <w:rFonts w:eastAsia="MS Mincho"/>
          <w:sz w:val="22"/>
          <w:szCs w:val="22"/>
          <w:lang w:eastAsia="ja-JP"/>
        </w:rPr>
        <w:t> </w:t>
      </w:r>
      <w:r w:rsidRPr="00E31E81">
        <w:rPr>
          <w:rFonts w:eastAsia="MS Mincho"/>
          <w:sz w:val="22"/>
          <w:szCs w:val="22"/>
          <w:lang w:eastAsia="ja-JP"/>
        </w:rPr>
        <w:t>535</w:t>
      </w:r>
      <w:r w:rsidR="004B0760" w:rsidRPr="00E31E81">
        <w:rPr>
          <w:rFonts w:eastAsia="MS Mincho"/>
          <w:sz w:val="22"/>
          <w:szCs w:val="22"/>
          <w:lang w:eastAsia="ja-JP"/>
        </w:rPr>
        <w:t>,4</w:t>
      </w:r>
      <w:r w:rsidR="00E57C90"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mg gadobutrolu.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E31E81">
        <w:rPr>
          <w:rFonts w:eastAsia="MS Mincho"/>
          <w:sz w:val="22"/>
          <w:szCs w:val="22"/>
          <w:lang w:eastAsia="ja-JP"/>
        </w:rPr>
        <w:t>1 injekčná liekovka s 15</w:t>
      </w:r>
      <w:r w:rsidR="00E57C90"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ml roztoku obsahuje 9</w:t>
      </w:r>
      <w:r w:rsidR="004B0760" w:rsidRPr="00E31E81">
        <w:rPr>
          <w:rFonts w:eastAsia="MS Mincho"/>
          <w:sz w:val="22"/>
          <w:szCs w:val="22"/>
          <w:lang w:eastAsia="ja-JP"/>
        </w:rPr>
        <w:t> </w:t>
      </w:r>
      <w:r w:rsidRPr="00E31E81">
        <w:rPr>
          <w:rFonts w:eastAsia="MS Mincho"/>
          <w:sz w:val="22"/>
          <w:szCs w:val="22"/>
          <w:lang w:eastAsia="ja-JP"/>
        </w:rPr>
        <w:t>070</w:t>
      </w:r>
      <w:r w:rsidR="004B0760" w:rsidRPr="00E31E81">
        <w:rPr>
          <w:rFonts w:eastAsia="MS Mincho"/>
          <w:sz w:val="22"/>
          <w:szCs w:val="22"/>
          <w:lang w:eastAsia="ja-JP"/>
        </w:rPr>
        <w:t>,8</w:t>
      </w:r>
      <w:r w:rsidR="00E57C90" w:rsidRPr="00E31E81">
        <w:rPr>
          <w:sz w:val="22"/>
          <w:szCs w:val="22"/>
        </w:rPr>
        <w:t> </w:t>
      </w:r>
      <w:r w:rsidRPr="00E31E81">
        <w:rPr>
          <w:rFonts w:eastAsia="MS Mincho"/>
          <w:sz w:val="22"/>
          <w:szCs w:val="22"/>
          <w:lang w:eastAsia="ja-JP"/>
        </w:rPr>
        <w:t>mg gadobutrolu.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C1BE2">
        <w:rPr>
          <w:rFonts w:eastAsia="MS Mincho"/>
          <w:sz w:val="22"/>
          <w:szCs w:val="22"/>
          <w:lang w:eastAsia="ja-JP"/>
        </w:rPr>
        <w:t>1 injekčná liekovka s 30</w:t>
      </w:r>
      <w:r w:rsidR="00E57C90"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ml roztoku obsahuje 18</w:t>
      </w:r>
      <w:r w:rsidR="004B0760" w:rsidRPr="008C1BE2">
        <w:rPr>
          <w:rFonts w:eastAsia="MS Mincho"/>
          <w:sz w:val="22"/>
          <w:szCs w:val="22"/>
          <w:lang w:eastAsia="ja-JP"/>
        </w:rPr>
        <w:t> </w:t>
      </w:r>
      <w:r w:rsidRPr="008C1BE2">
        <w:rPr>
          <w:rFonts w:eastAsia="MS Mincho"/>
          <w:sz w:val="22"/>
          <w:szCs w:val="22"/>
          <w:lang w:eastAsia="ja-JP"/>
        </w:rPr>
        <w:t>141</w:t>
      </w:r>
      <w:r w:rsidR="004B0760" w:rsidRPr="008C1BE2">
        <w:rPr>
          <w:rFonts w:eastAsia="MS Mincho"/>
          <w:sz w:val="22"/>
          <w:szCs w:val="22"/>
          <w:lang w:eastAsia="ja-JP"/>
        </w:rPr>
        <w:t>,6</w:t>
      </w:r>
      <w:r w:rsidR="00E57C90"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mg gadobutrolu.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rFonts w:eastAsia="MS Mincho"/>
          <w:sz w:val="22"/>
          <w:szCs w:val="22"/>
          <w:lang w:eastAsia="ja-JP"/>
        </w:rPr>
      </w:pPr>
      <w:r w:rsidRPr="008C1BE2">
        <w:rPr>
          <w:rFonts w:eastAsia="MS Mincho"/>
          <w:sz w:val="22"/>
          <w:szCs w:val="22"/>
          <w:lang w:eastAsia="ja-JP"/>
        </w:rPr>
        <w:t>1 infúzna fľaša so 65</w:t>
      </w:r>
      <w:r w:rsidR="00E57C90"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ml roztoku obsahuje 39</w:t>
      </w:r>
      <w:r w:rsidR="004B0760" w:rsidRPr="008C1BE2">
        <w:rPr>
          <w:rFonts w:eastAsia="MS Mincho"/>
          <w:sz w:val="22"/>
          <w:szCs w:val="22"/>
          <w:lang w:eastAsia="ja-JP"/>
        </w:rPr>
        <w:t> </w:t>
      </w:r>
      <w:r w:rsidRPr="008C1BE2">
        <w:rPr>
          <w:rFonts w:eastAsia="MS Mincho"/>
          <w:sz w:val="22"/>
          <w:szCs w:val="22"/>
          <w:lang w:eastAsia="ja-JP"/>
        </w:rPr>
        <w:t>30</w:t>
      </w:r>
      <w:r w:rsidR="004B0760" w:rsidRPr="008C1BE2">
        <w:rPr>
          <w:rFonts w:eastAsia="MS Mincho"/>
          <w:sz w:val="22"/>
          <w:szCs w:val="22"/>
          <w:lang w:eastAsia="ja-JP"/>
        </w:rPr>
        <w:t>6,8</w:t>
      </w:r>
      <w:r w:rsidR="00E57C90" w:rsidRPr="00075902">
        <w:rPr>
          <w:sz w:val="22"/>
          <w:szCs w:val="22"/>
        </w:rPr>
        <w:t> </w:t>
      </w:r>
      <w:r w:rsidRPr="008C1BE2">
        <w:rPr>
          <w:rFonts w:eastAsia="MS Mincho"/>
          <w:sz w:val="22"/>
          <w:szCs w:val="22"/>
          <w:lang w:eastAsia="ja-JP"/>
        </w:rPr>
        <w:t>mg gadobutrolu.</w:t>
      </w:r>
    </w:p>
    <w:p w:rsidR="006C540A" w:rsidRPr="009B03E8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>1 naplnená injekčná striekačka s 5,0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 roztoku obsahuje 3</w:t>
      </w:r>
      <w:r w:rsidR="0020689B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023</w:t>
      </w:r>
      <w:r w:rsidR="0020689B" w:rsidRPr="009B03E8">
        <w:rPr>
          <w:sz w:val="22"/>
          <w:szCs w:val="22"/>
          <w:highlight w:val="lightGray"/>
        </w:rPr>
        <w:t>,6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mg gadobutrolu.</w:t>
      </w:r>
    </w:p>
    <w:p w:rsidR="006C540A" w:rsidRPr="009B03E8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>1 naplnená injekčná striekačka so 7,5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 roztoku obsahuje 4</w:t>
      </w:r>
      <w:r w:rsidR="004B076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535</w:t>
      </w:r>
      <w:r w:rsidR="004B0760" w:rsidRPr="009B03E8">
        <w:rPr>
          <w:sz w:val="22"/>
          <w:szCs w:val="22"/>
          <w:highlight w:val="lightGray"/>
        </w:rPr>
        <w:t>,4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mg gadobutrolu.</w:t>
      </w:r>
    </w:p>
    <w:p w:rsidR="006C540A" w:rsidRPr="009B03E8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>1 naplnená injekčná striekačka s 10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 roztoku obsahuje 6</w:t>
      </w:r>
      <w:r w:rsidR="0020689B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047</w:t>
      </w:r>
      <w:r w:rsidR="0020689B" w:rsidRPr="009B03E8">
        <w:rPr>
          <w:sz w:val="22"/>
          <w:szCs w:val="22"/>
          <w:highlight w:val="lightGray"/>
        </w:rPr>
        <w:t>,2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mg gadobutrolu.</w:t>
      </w:r>
    </w:p>
    <w:p w:rsidR="006C540A" w:rsidRPr="009B03E8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>1 naplnená injekčná striekačka s 15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 roztoku obsahuje 9</w:t>
      </w:r>
      <w:r w:rsidR="004B076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070</w:t>
      </w:r>
      <w:r w:rsidR="004B0760" w:rsidRPr="009B03E8">
        <w:rPr>
          <w:sz w:val="22"/>
          <w:szCs w:val="22"/>
          <w:highlight w:val="lightGray"/>
        </w:rPr>
        <w:t>,8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mg gadobutrolu.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  <w:highlight w:val="lightGray"/>
        </w:rPr>
        <w:t>1 naplnená injekčná striekačka s 20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 roztoku obsahuje 12</w:t>
      </w:r>
      <w:r w:rsidR="0020689B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094</w:t>
      </w:r>
      <w:r w:rsidR="0020689B" w:rsidRPr="009B03E8">
        <w:rPr>
          <w:sz w:val="22"/>
          <w:szCs w:val="22"/>
          <w:highlight w:val="lightGray"/>
        </w:rPr>
        <w:t>,4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mg gadobutrolu.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BD18D8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6C540A" w:rsidRPr="008C1BE2">
        <w:rPr>
          <w:b/>
          <w:bCs/>
          <w:sz w:val="22"/>
          <w:szCs w:val="22"/>
        </w:rPr>
        <w:lastRenderedPageBreak/>
        <w:t>Ako vyzerá Gadovist a obsah balenia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Gadovist je číry bezfarebný až bledožltý </w:t>
      </w:r>
      <w:r w:rsidR="004B0760" w:rsidRPr="008C1BE2">
        <w:rPr>
          <w:sz w:val="22"/>
          <w:szCs w:val="22"/>
        </w:rPr>
        <w:t xml:space="preserve">injekčný </w:t>
      </w:r>
      <w:r w:rsidRPr="008C1BE2">
        <w:rPr>
          <w:sz w:val="22"/>
          <w:szCs w:val="22"/>
        </w:rPr>
        <w:t xml:space="preserve">roztok. 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Obsah balenia:</w:t>
      </w:r>
    </w:p>
    <w:p w:rsidR="00E97D28" w:rsidRPr="003510C7" w:rsidRDefault="00E97D28" w:rsidP="000D593D">
      <w:pPr>
        <w:pStyle w:val="Pta"/>
        <w:tabs>
          <w:tab w:val="clear" w:pos="4536"/>
          <w:tab w:val="clear" w:pos="9072"/>
        </w:tabs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Jedna alebo tri injekčné liekovky s 2 ml</w:t>
      </w:r>
      <w:r w:rsidR="00E502FD" w:rsidRPr="00E31E81">
        <w:rPr>
          <w:sz w:val="22"/>
          <w:szCs w:val="22"/>
        </w:rPr>
        <w:t xml:space="preserve">  injekčného roztoku</w:t>
      </w:r>
    </w:p>
    <w:p w:rsidR="006C540A" w:rsidRPr="008C1BE2" w:rsidRDefault="006C540A" w:rsidP="000D593D">
      <w:pPr>
        <w:pStyle w:val="Pta"/>
        <w:tabs>
          <w:tab w:val="clear" w:pos="4536"/>
          <w:tab w:val="clear" w:pos="9072"/>
        </w:tabs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Jedn</w:t>
      </w:r>
      <w:r w:rsidRPr="00E31E81">
        <w:rPr>
          <w:sz w:val="22"/>
          <w:szCs w:val="22"/>
        </w:rPr>
        <w:t>a alebo desať injekčných liekoviek so 7,5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ml; 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ml; 30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</w:t>
      </w:r>
      <w:r w:rsidR="00E502FD" w:rsidRPr="00E31E81">
        <w:rPr>
          <w:sz w:val="22"/>
          <w:szCs w:val="22"/>
        </w:rPr>
        <w:t xml:space="preserve"> injekčného</w:t>
      </w:r>
      <w:r w:rsidR="00E502FD" w:rsidRPr="008C1BE2">
        <w:rPr>
          <w:sz w:val="22"/>
          <w:szCs w:val="22"/>
        </w:rPr>
        <w:t xml:space="preserve"> roztoku</w:t>
      </w:r>
    </w:p>
    <w:p w:rsidR="00835451" w:rsidRPr="008C1BE2" w:rsidRDefault="00835451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Jedna alebo desať infúznych fliaš so 65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 xml:space="preserve">ml </w:t>
      </w:r>
      <w:r w:rsidR="00E502FD" w:rsidRPr="008C1BE2">
        <w:rPr>
          <w:sz w:val="22"/>
          <w:szCs w:val="22"/>
        </w:rPr>
        <w:t xml:space="preserve">injekčného roztoku </w:t>
      </w:r>
      <w:r w:rsidRPr="008C1BE2">
        <w:rPr>
          <w:sz w:val="22"/>
          <w:szCs w:val="22"/>
        </w:rPr>
        <w:t>(v 10</w:t>
      </w:r>
      <w:r w:rsidR="00E502FD" w:rsidRPr="008C1BE2">
        <w:rPr>
          <w:sz w:val="22"/>
          <w:szCs w:val="22"/>
        </w:rPr>
        <w:t>0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 fľaši)</w:t>
      </w:r>
    </w:p>
    <w:p w:rsidR="007732F4" w:rsidRPr="009B03E8" w:rsidRDefault="006C540A" w:rsidP="000D593D">
      <w:pPr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 xml:space="preserve">Jedna, päť alebo desať </w:t>
      </w:r>
      <w:r w:rsidR="00A5252E" w:rsidRPr="009B03E8">
        <w:rPr>
          <w:sz w:val="22"/>
          <w:szCs w:val="22"/>
          <w:highlight w:val="lightGray"/>
        </w:rPr>
        <w:t xml:space="preserve">sklenených </w:t>
      </w:r>
      <w:r w:rsidRPr="009B03E8">
        <w:rPr>
          <w:sz w:val="22"/>
          <w:szCs w:val="22"/>
          <w:highlight w:val="lightGray"/>
        </w:rPr>
        <w:t>naplnených injekčných striekačiek s 5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ml; 7,5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ml; 10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ml</w:t>
      </w:r>
      <w:r w:rsidR="007732F4" w:rsidRPr="009B03E8">
        <w:rPr>
          <w:sz w:val="22"/>
          <w:szCs w:val="22"/>
          <w:highlight w:val="lightGray"/>
        </w:rPr>
        <w:t xml:space="preserve"> </w:t>
      </w:r>
      <w:r w:rsidR="00A313F4" w:rsidRPr="009B03E8">
        <w:rPr>
          <w:sz w:val="22"/>
          <w:szCs w:val="22"/>
          <w:highlight w:val="lightGray"/>
        </w:rPr>
        <w:t xml:space="preserve">injekčného roztoku </w:t>
      </w:r>
      <w:r w:rsidR="007732F4" w:rsidRPr="009B03E8">
        <w:rPr>
          <w:sz w:val="22"/>
          <w:szCs w:val="22"/>
          <w:highlight w:val="lightGray"/>
        </w:rPr>
        <w:t>(v 10</w:t>
      </w:r>
      <w:r w:rsidR="00E57C90" w:rsidRPr="009B03E8">
        <w:rPr>
          <w:sz w:val="22"/>
          <w:szCs w:val="22"/>
          <w:highlight w:val="lightGray"/>
        </w:rPr>
        <w:t> </w:t>
      </w:r>
      <w:r w:rsidR="007732F4" w:rsidRPr="009B03E8">
        <w:rPr>
          <w:sz w:val="22"/>
          <w:szCs w:val="22"/>
          <w:highlight w:val="lightGray"/>
        </w:rPr>
        <w:t xml:space="preserve">ml </w:t>
      </w:r>
      <w:r w:rsidR="00B9355B" w:rsidRPr="009B03E8">
        <w:rPr>
          <w:sz w:val="22"/>
          <w:szCs w:val="22"/>
          <w:highlight w:val="lightGray"/>
        </w:rPr>
        <w:t xml:space="preserve">sklenenej </w:t>
      </w:r>
      <w:r w:rsidR="007732F4" w:rsidRPr="009B03E8">
        <w:rPr>
          <w:sz w:val="22"/>
          <w:szCs w:val="22"/>
          <w:highlight w:val="lightGray"/>
        </w:rPr>
        <w:t>naplnenej injekčnej striekačke)</w:t>
      </w:r>
    </w:p>
    <w:p w:rsidR="007732F4" w:rsidRPr="009B03E8" w:rsidRDefault="007732F4" w:rsidP="000D593D">
      <w:pPr>
        <w:spacing w:line="260" w:lineRule="exact"/>
        <w:contextualSpacing/>
        <w:jc w:val="left"/>
        <w:rPr>
          <w:sz w:val="22"/>
          <w:szCs w:val="22"/>
          <w:highlight w:val="lightGray"/>
        </w:rPr>
      </w:pPr>
      <w:r w:rsidRPr="009B03E8">
        <w:rPr>
          <w:sz w:val="22"/>
          <w:szCs w:val="22"/>
          <w:highlight w:val="lightGray"/>
        </w:rPr>
        <w:t xml:space="preserve">Jedna, päť alebo desať </w:t>
      </w:r>
      <w:r w:rsidR="00A5252E" w:rsidRPr="009B03E8">
        <w:rPr>
          <w:sz w:val="22"/>
          <w:szCs w:val="22"/>
          <w:highlight w:val="lightGray"/>
        </w:rPr>
        <w:t xml:space="preserve">sklenených </w:t>
      </w:r>
      <w:r w:rsidRPr="009B03E8">
        <w:rPr>
          <w:sz w:val="22"/>
          <w:szCs w:val="22"/>
          <w:highlight w:val="lightGray"/>
        </w:rPr>
        <w:t>naplnených injekčných striekačiek s</w:t>
      </w:r>
      <w:r w:rsidR="006C540A" w:rsidRPr="009B03E8">
        <w:rPr>
          <w:sz w:val="22"/>
          <w:szCs w:val="22"/>
          <w:highlight w:val="lightGray"/>
        </w:rPr>
        <w:t xml:space="preserve"> 15</w:t>
      </w:r>
      <w:r w:rsidR="00E57C90" w:rsidRPr="009B03E8">
        <w:rPr>
          <w:sz w:val="22"/>
          <w:szCs w:val="22"/>
          <w:highlight w:val="lightGray"/>
        </w:rPr>
        <w:t> </w:t>
      </w:r>
      <w:r w:rsidR="006C540A" w:rsidRPr="009B03E8">
        <w:rPr>
          <w:sz w:val="22"/>
          <w:szCs w:val="22"/>
          <w:highlight w:val="lightGray"/>
        </w:rPr>
        <w:t>ml</w:t>
      </w:r>
      <w:r w:rsidR="0020689B" w:rsidRPr="009B03E8">
        <w:rPr>
          <w:sz w:val="22"/>
          <w:szCs w:val="22"/>
          <w:highlight w:val="lightGray"/>
        </w:rPr>
        <w:t xml:space="preserve"> injekčného roztoku</w:t>
      </w:r>
      <w:r w:rsidRPr="009B03E8">
        <w:rPr>
          <w:sz w:val="22"/>
          <w:szCs w:val="22"/>
          <w:highlight w:val="lightGray"/>
        </w:rPr>
        <w:t xml:space="preserve"> (v 17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 xml:space="preserve">ml </w:t>
      </w:r>
      <w:r w:rsidR="00B9355B" w:rsidRPr="009B03E8">
        <w:rPr>
          <w:sz w:val="22"/>
          <w:szCs w:val="22"/>
          <w:highlight w:val="lightGray"/>
        </w:rPr>
        <w:t xml:space="preserve">sklenenej </w:t>
      </w:r>
      <w:r w:rsidRPr="009B03E8">
        <w:rPr>
          <w:sz w:val="22"/>
          <w:szCs w:val="22"/>
          <w:highlight w:val="lightGray"/>
        </w:rPr>
        <w:t>naplnenej injekčnej striekačke)</w:t>
      </w:r>
    </w:p>
    <w:p w:rsidR="00B9355B" w:rsidRPr="00F957A1" w:rsidRDefault="007732F4" w:rsidP="00B9355B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  <w:highlight w:val="lightGray"/>
        </w:rPr>
        <w:t xml:space="preserve">Jedna, päť alebo desať </w:t>
      </w:r>
      <w:r w:rsidR="00A5252E" w:rsidRPr="009B03E8">
        <w:rPr>
          <w:sz w:val="22"/>
          <w:szCs w:val="22"/>
          <w:highlight w:val="lightGray"/>
        </w:rPr>
        <w:t xml:space="preserve">sklenených </w:t>
      </w:r>
      <w:r w:rsidRPr="009B03E8">
        <w:rPr>
          <w:sz w:val="22"/>
          <w:szCs w:val="22"/>
          <w:highlight w:val="lightGray"/>
        </w:rPr>
        <w:t xml:space="preserve">naplnených injekčných striekačiek s </w:t>
      </w:r>
      <w:r w:rsidR="006C540A" w:rsidRPr="009B03E8">
        <w:rPr>
          <w:sz w:val="22"/>
          <w:szCs w:val="22"/>
          <w:highlight w:val="lightGray"/>
        </w:rPr>
        <w:t>20</w:t>
      </w:r>
      <w:r w:rsidR="00E57C90" w:rsidRPr="009B03E8">
        <w:rPr>
          <w:sz w:val="22"/>
          <w:szCs w:val="22"/>
          <w:highlight w:val="lightGray"/>
        </w:rPr>
        <w:t> </w:t>
      </w:r>
      <w:r w:rsidR="006C540A" w:rsidRPr="009B03E8">
        <w:rPr>
          <w:sz w:val="22"/>
          <w:szCs w:val="22"/>
          <w:highlight w:val="lightGray"/>
        </w:rPr>
        <w:t>ml</w:t>
      </w:r>
      <w:r w:rsidR="0020689B" w:rsidRPr="009B03E8">
        <w:rPr>
          <w:sz w:val="22"/>
          <w:szCs w:val="22"/>
          <w:highlight w:val="lightGray"/>
        </w:rPr>
        <w:t xml:space="preserve"> injekčného roztoku</w:t>
      </w:r>
      <w:r w:rsidR="00B9355B" w:rsidRPr="009B03E8">
        <w:rPr>
          <w:sz w:val="22"/>
          <w:szCs w:val="22"/>
          <w:highlight w:val="lightGray"/>
        </w:rPr>
        <w:t xml:space="preserve"> (v 20 ml sklenenej naplnenej injekčnej striekačke)</w:t>
      </w:r>
    </w:p>
    <w:p w:rsidR="00540EAF" w:rsidRPr="009B03E8" w:rsidRDefault="00540EAF" w:rsidP="00540EAF">
      <w:pPr>
        <w:spacing w:line="260" w:lineRule="exact"/>
        <w:contextualSpacing/>
        <w:jc w:val="left"/>
        <w:rPr>
          <w:sz w:val="22"/>
          <w:szCs w:val="22"/>
          <w:highlight w:val="darkGray"/>
        </w:rPr>
      </w:pPr>
      <w:r w:rsidRPr="009B03E8">
        <w:rPr>
          <w:sz w:val="22"/>
          <w:szCs w:val="22"/>
          <w:highlight w:val="darkGray"/>
        </w:rPr>
        <w:t>Jedna alebo päť plastových naplnených injekčných striekačiek s 5 ml; 7,5 ml; 10 ml injekčného roztoku (v 10 ml plastovej naplnenej injekčnej striekačke)</w:t>
      </w:r>
    </w:p>
    <w:p w:rsidR="00540EAF" w:rsidRPr="009B03E8" w:rsidRDefault="00540EAF" w:rsidP="00540EAF">
      <w:pPr>
        <w:spacing w:line="260" w:lineRule="exact"/>
        <w:contextualSpacing/>
        <w:jc w:val="left"/>
        <w:rPr>
          <w:sz w:val="22"/>
          <w:szCs w:val="22"/>
          <w:highlight w:val="darkGray"/>
        </w:rPr>
      </w:pPr>
      <w:r w:rsidRPr="009B03E8">
        <w:rPr>
          <w:sz w:val="22"/>
          <w:szCs w:val="22"/>
          <w:highlight w:val="darkGray"/>
        </w:rPr>
        <w:t>Jedna alebo päť plastových naplnených injekčných striekačiek s 15 ml injekčného roztoku (v 20 ml plastovej naplnenej injekčnej striekačke)</w:t>
      </w:r>
    </w:p>
    <w:p w:rsidR="00540EAF" w:rsidRPr="00F957A1" w:rsidRDefault="00540EAF" w:rsidP="00540EAF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  <w:highlight w:val="darkGray"/>
        </w:rPr>
        <w:t>Jedna alebo päť plastových naplnených injekčných striekačiek s 20 ml injekčného roztoku (v 20 ml plastovej naplnenej injekčnej striekačke)</w:t>
      </w:r>
    </w:p>
    <w:p w:rsidR="006C540A" w:rsidRPr="000E7F20" w:rsidRDefault="006C540A" w:rsidP="000D593D">
      <w:pPr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</w:t>
      </w:r>
      <w:r w:rsidR="00A313F4">
        <w:rPr>
          <w:sz w:val="22"/>
          <w:szCs w:val="22"/>
        </w:rPr>
        <w:t>a trh nemusia byť uvedené</w:t>
      </w:r>
      <w:r w:rsidRPr="008C1BE2">
        <w:rPr>
          <w:sz w:val="22"/>
          <w:szCs w:val="22"/>
        </w:rPr>
        <w:t xml:space="preserve"> všetky veľkosti balenia.</w:t>
      </w: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0D593D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Držiteľ rozhodnutia o registrácii </w:t>
      </w:r>
    </w:p>
    <w:p w:rsidR="006C540A" w:rsidRPr="009B03E8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 xml:space="preserve">Bayer AG </w:t>
      </w:r>
    </w:p>
    <w:p w:rsidR="00F957A1" w:rsidRPr="009B03E8" w:rsidRDefault="00CC2DF3" w:rsidP="00F957A1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Kaiser-Wilhelm-Allee 1</w:t>
      </w:r>
    </w:p>
    <w:p w:rsidR="006C540A" w:rsidRPr="009B03E8" w:rsidRDefault="00CC2DF3" w:rsidP="00E57C90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513 73 Leverkusen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</w:rPr>
        <w:t>Nemecko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>Výrobca:</w:t>
      </w:r>
    </w:p>
    <w:p w:rsidR="006C540A" w:rsidRPr="008C1BE2" w:rsidRDefault="006C540A" w:rsidP="00E57C90">
      <w:pPr>
        <w:tabs>
          <w:tab w:val="left" w:pos="8789"/>
        </w:tabs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 xml:space="preserve">Bayer AG 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Müllerstrasse 178</w:t>
      </w:r>
    </w:p>
    <w:p w:rsidR="006C540A" w:rsidRPr="008C1BE2" w:rsidRDefault="00F01AB6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13353</w:t>
      </w:r>
      <w:r w:rsidR="006C540A" w:rsidRPr="008C1BE2">
        <w:rPr>
          <w:sz w:val="22"/>
          <w:szCs w:val="22"/>
        </w:rPr>
        <w:t xml:space="preserve"> Berlín, Nemecko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8C1BE2">
        <w:rPr>
          <w:b/>
          <w:bCs/>
          <w:sz w:val="22"/>
          <w:szCs w:val="22"/>
        </w:rPr>
        <w:t xml:space="preserve">Táto písomná informácia pre </w:t>
      </w:r>
      <w:r w:rsidR="007A1C17" w:rsidRPr="008C1BE2">
        <w:rPr>
          <w:b/>
          <w:bCs/>
          <w:sz w:val="22"/>
          <w:szCs w:val="22"/>
        </w:rPr>
        <w:t xml:space="preserve">používateľa </w:t>
      </w:r>
      <w:r w:rsidRPr="008C1BE2">
        <w:rPr>
          <w:b/>
          <w:bCs/>
          <w:sz w:val="22"/>
          <w:szCs w:val="22"/>
        </w:rPr>
        <w:t xml:space="preserve">bola naposledy </w:t>
      </w:r>
      <w:r w:rsidR="00861368">
        <w:rPr>
          <w:b/>
          <w:bCs/>
          <w:sz w:val="22"/>
          <w:szCs w:val="22"/>
        </w:rPr>
        <w:t>aktualizovaná</w:t>
      </w:r>
      <w:r w:rsidR="00861368" w:rsidRPr="008C1BE2">
        <w:rPr>
          <w:b/>
          <w:bCs/>
          <w:sz w:val="22"/>
          <w:szCs w:val="22"/>
        </w:rPr>
        <w:t xml:space="preserve"> </w:t>
      </w:r>
      <w:r w:rsidRPr="008C1BE2">
        <w:rPr>
          <w:b/>
          <w:bCs/>
          <w:sz w:val="22"/>
          <w:szCs w:val="22"/>
        </w:rPr>
        <w:t>v</w:t>
      </w:r>
      <w:r w:rsidR="000C61D6">
        <w:rPr>
          <w:b/>
          <w:bCs/>
          <w:sz w:val="22"/>
          <w:szCs w:val="22"/>
        </w:rPr>
        <w:t> 03/2018.</w:t>
      </w:r>
    </w:p>
    <w:p w:rsidR="00055C95" w:rsidRPr="008C1BE2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5C95" w:rsidRPr="008C1BE2" w:rsidRDefault="00055C95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-----------------------------------------------------------------------------------------------------------------------------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Nasledujúca informácia je určená len pre lekárov a zdravotníckych pracovníkov: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F957A1" w:rsidRDefault="006C540A" w:rsidP="00F957A1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F957A1">
        <w:rPr>
          <w:b/>
          <w:sz w:val="22"/>
          <w:szCs w:val="22"/>
        </w:rPr>
        <w:t>Po</w:t>
      </w:r>
      <w:r w:rsidR="00861368">
        <w:rPr>
          <w:b/>
          <w:sz w:val="22"/>
          <w:szCs w:val="22"/>
        </w:rPr>
        <w:t>rucha</w:t>
      </w:r>
      <w:r w:rsidRPr="00F957A1">
        <w:rPr>
          <w:b/>
          <w:sz w:val="22"/>
          <w:szCs w:val="22"/>
        </w:rPr>
        <w:t xml:space="preserve"> funkci</w:t>
      </w:r>
      <w:r w:rsidR="00861368">
        <w:rPr>
          <w:b/>
          <w:sz w:val="22"/>
          <w:szCs w:val="22"/>
        </w:rPr>
        <w:t>e</w:t>
      </w:r>
      <w:r w:rsidRPr="00F957A1">
        <w:rPr>
          <w:b/>
          <w:sz w:val="22"/>
          <w:szCs w:val="22"/>
        </w:rPr>
        <w:t xml:space="preserve"> obličiek </w:t>
      </w:r>
    </w:p>
    <w:p w:rsidR="006C540A" w:rsidRPr="000E7F20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0E7F20" w:rsidRDefault="00BD6A8D" w:rsidP="00E57C90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  <w:r w:rsidRPr="000E7F20">
        <w:rPr>
          <w:b/>
          <w:bCs/>
          <w:sz w:val="22"/>
          <w:szCs w:val="22"/>
        </w:rPr>
        <w:t>Pred podaním Gadovistu sa odporúča, aby sa všetci pacienti podrobili skríningu dysfunkcie obličiek pomocou laboratórnych vyšetrení.</w:t>
      </w:r>
    </w:p>
    <w:p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 akútn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alebo chronick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ťažk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(GFR</w:t>
      </w:r>
      <w:r w:rsidR="00474842" w:rsidRPr="008C1BE2">
        <w:rPr>
          <w:sz w:val="22"/>
          <w:szCs w:val="22"/>
          <w:lang w:eastAsia="en-US"/>
        </w:rPr>
        <w:t> &lt; </w:t>
      </w:r>
      <w:r w:rsidRPr="008C1BE2">
        <w:rPr>
          <w:sz w:val="22"/>
          <w:szCs w:val="22"/>
          <w:lang w:eastAsia="en-US"/>
        </w:rPr>
        <w:t>30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ml/min/1,73</w:t>
      </w:r>
      <w:r w:rsidR="00474842" w:rsidRPr="008C1BE2">
        <w:rPr>
          <w:sz w:val="22"/>
          <w:szCs w:val="22"/>
          <w:lang w:eastAsia="en-US"/>
        </w:rPr>
        <w:t> </w:t>
      </w:r>
      <w:r w:rsidRPr="008C1BE2">
        <w:rPr>
          <w:sz w:val="22"/>
          <w:szCs w:val="22"/>
          <w:lang w:eastAsia="en-US"/>
        </w:rPr>
        <w:t>m</w:t>
      </w:r>
      <w:r w:rsidRPr="00E57C90">
        <w:rPr>
          <w:sz w:val="22"/>
          <w:szCs w:val="22"/>
          <w:vertAlign w:val="superscript"/>
          <w:lang w:eastAsia="en-US"/>
        </w:rPr>
        <w:t>2</w:t>
      </w:r>
      <w:r w:rsidRPr="000E7F20">
        <w:rPr>
          <w:sz w:val="22"/>
          <w:szCs w:val="22"/>
          <w:lang w:eastAsia="en-US"/>
        </w:rPr>
        <w:t>) sú hlásenia o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nefrogénnej systémovej fibróze (NSF) spojenej s používaním niektorých kontrastných látok obsahujúcich gadolínium. Pacienti, ktorí podstupujú transplantáciu pečene sú vystavení osobitnému riziku, </w:t>
      </w:r>
      <w:r w:rsidRPr="000E7F20">
        <w:rPr>
          <w:sz w:val="22"/>
          <w:szCs w:val="22"/>
          <w:lang w:eastAsia="en-US"/>
        </w:rPr>
        <w:lastRenderedPageBreak/>
        <w:t>pretože výskyt akútneho renálneho zlyhania je v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  <w:lang w:eastAsia="en-US"/>
        </w:rPr>
        <w:t xml:space="preserve">tejto skupine vysoký. </w:t>
      </w:r>
      <w:r w:rsidRPr="008C1BE2">
        <w:rPr>
          <w:sz w:val="22"/>
          <w:szCs w:val="22"/>
          <w:lang w:eastAsia="en-US"/>
        </w:rPr>
        <w:t>Keďže pri používaní Gadovistu existuje možnosť výskytu NSF,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s ťažk</w:t>
      </w:r>
      <w:r w:rsidR="00861368">
        <w:rPr>
          <w:sz w:val="22"/>
          <w:szCs w:val="22"/>
          <w:lang w:eastAsia="en-US"/>
        </w:rPr>
        <w:t>ou</w:t>
      </w:r>
      <w:r w:rsidRPr="008C1BE2">
        <w:rPr>
          <w:sz w:val="22"/>
          <w:szCs w:val="22"/>
          <w:lang w:eastAsia="en-US"/>
        </w:rPr>
        <w:t xml:space="preserve"> po</w:t>
      </w:r>
      <w:r w:rsidR="00861368">
        <w:rPr>
          <w:sz w:val="22"/>
          <w:szCs w:val="22"/>
          <w:lang w:eastAsia="en-US"/>
        </w:rPr>
        <w:t>ruchou</w:t>
      </w:r>
      <w:r w:rsidRPr="008C1BE2">
        <w:rPr>
          <w:sz w:val="22"/>
          <w:szCs w:val="22"/>
          <w:lang w:eastAsia="en-US"/>
        </w:rPr>
        <w:t xml:space="preserve"> funkcie obličiek a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 v perioperačnom období transplantácie pečene sa má preto používať iba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starostlivom zhodnotení pomeru rizika </w:t>
      </w:r>
      <w:r w:rsidR="00861368">
        <w:rPr>
          <w:sz w:val="22"/>
          <w:szCs w:val="22"/>
          <w:lang w:eastAsia="en-US"/>
        </w:rPr>
        <w:t>a</w:t>
      </w:r>
      <w:r w:rsidR="00861368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prínosu a ak je diagnostická informácia nevyhnutná a nedá sa získať nekontrastným zobrazovaním MR</w:t>
      </w:r>
      <w:r w:rsidR="00603B6B">
        <w:rPr>
          <w:sz w:val="22"/>
          <w:szCs w:val="22"/>
          <w:lang w:eastAsia="en-US"/>
        </w:rPr>
        <w:t>I</w:t>
      </w:r>
      <w:r w:rsidRPr="008C1BE2">
        <w:rPr>
          <w:sz w:val="22"/>
          <w:szCs w:val="22"/>
          <w:lang w:eastAsia="en-US"/>
        </w:rPr>
        <w:t xml:space="preserve">. </w:t>
      </w:r>
      <w:r w:rsidR="00E71D7E" w:rsidRPr="008C1BE2">
        <w:rPr>
          <w:sz w:val="22"/>
          <w:szCs w:val="22"/>
        </w:rPr>
        <w:t>Ak sa použitiu Gadovistu nemožno vyhnúť, dávka</w:t>
      </w:r>
      <w:r w:rsidR="00E57C90">
        <w:rPr>
          <w:sz w:val="22"/>
          <w:szCs w:val="22"/>
        </w:rPr>
        <w:t xml:space="preserve"> </w:t>
      </w:r>
      <w:r w:rsidR="00E71D7E" w:rsidRPr="008C1BE2">
        <w:rPr>
          <w:sz w:val="22"/>
          <w:szCs w:val="22"/>
        </w:rPr>
        <w:t>nesmie prekročiť 0,1</w:t>
      </w:r>
      <w:r w:rsidR="00E57C90" w:rsidRPr="00075902">
        <w:rPr>
          <w:sz w:val="22"/>
          <w:szCs w:val="22"/>
        </w:rPr>
        <w:t> </w:t>
      </w:r>
      <w:r w:rsidR="00E71D7E" w:rsidRPr="008C1BE2">
        <w:rPr>
          <w:sz w:val="22"/>
          <w:szCs w:val="22"/>
        </w:rPr>
        <w:t>mmol/kg telesnej hmotnosti. Počas vyšetrenia na nesmie použiť viac ako jedna</w:t>
      </w:r>
      <w:r w:rsidR="00E57C90">
        <w:rPr>
          <w:sz w:val="22"/>
          <w:szCs w:val="22"/>
        </w:rPr>
        <w:t xml:space="preserve"> </w:t>
      </w:r>
      <w:r w:rsidR="00E71D7E" w:rsidRPr="008C1BE2">
        <w:rPr>
          <w:sz w:val="22"/>
          <w:szCs w:val="22"/>
        </w:rPr>
        <w:t>dávka. Z</w:t>
      </w:r>
      <w:r w:rsidR="00E57C90" w:rsidRPr="00075902">
        <w:rPr>
          <w:sz w:val="22"/>
          <w:szCs w:val="22"/>
        </w:rPr>
        <w:t> </w:t>
      </w:r>
      <w:r w:rsidR="00E71D7E" w:rsidRPr="008C1BE2">
        <w:rPr>
          <w:sz w:val="22"/>
          <w:szCs w:val="22"/>
        </w:rPr>
        <w:t>dôvodu chýbajúcich informácií o</w:t>
      </w:r>
      <w:r w:rsidR="00E57C90" w:rsidRPr="00075902">
        <w:rPr>
          <w:sz w:val="22"/>
          <w:szCs w:val="22"/>
        </w:rPr>
        <w:t> </w:t>
      </w:r>
      <w:r w:rsidR="00E71D7E" w:rsidRPr="008C1BE2">
        <w:rPr>
          <w:sz w:val="22"/>
          <w:szCs w:val="22"/>
        </w:rPr>
        <w:t>opakovanom podávaní sa injekcie Gadovi</w:t>
      </w:r>
      <w:r w:rsidR="00861368">
        <w:rPr>
          <w:sz w:val="22"/>
          <w:szCs w:val="22"/>
        </w:rPr>
        <w:t>s</w:t>
      </w:r>
      <w:r w:rsidR="00E71D7E" w:rsidRPr="008C1BE2">
        <w:rPr>
          <w:sz w:val="22"/>
          <w:szCs w:val="22"/>
        </w:rPr>
        <w:t>tu nesmú opakovať pokiaľ nie je interval medzi injekciami minimálne 7</w:t>
      </w:r>
      <w:r w:rsidR="00E57C90" w:rsidRPr="00075902">
        <w:rPr>
          <w:sz w:val="22"/>
          <w:szCs w:val="22"/>
        </w:rPr>
        <w:t> </w:t>
      </w:r>
      <w:r w:rsidR="00E71D7E" w:rsidRPr="008C1BE2">
        <w:rPr>
          <w:sz w:val="22"/>
          <w:szCs w:val="22"/>
        </w:rPr>
        <w:t>dní.</w:t>
      </w:r>
    </w:p>
    <w:p w:rsidR="005C27E3" w:rsidRPr="008C1BE2" w:rsidRDefault="005C27E3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Keďže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 xml:space="preserve">starších pacientov môže byť renálny klírens gadobutrolu </w:t>
      </w:r>
      <w:r w:rsidR="00664CF9">
        <w:rPr>
          <w:sz w:val="22"/>
          <w:szCs w:val="22"/>
          <w:lang w:eastAsia="en-US"/>
        </w:rPr>
        <w:t>porušený</w:t>
      </w:r>
      <w:r w:rsidRPr="008C1BE2">
        <w:rPr>
          <w:sz w:val="22"/>
          <w:szCs w:val="22"/>
          <w:lang w:eastAsia="en-US"/>
        </w:rPr>
        <w:t>, je osobitne dôležité</w:t>
      </w:r>
      <w:r w:rsidR="00E57C90">
        <w:rPr>
          <w:sz w:val="22"/>
          <w:szCs w:val="22"/>
          <w:lang w:eastAsia="en-US"/>
        </w:rPr>
        <w:t xml:space="preserve"> </w:t>
      </w:r>
      <w:r w:rsidRPr="008C1BE2">
        <w:rPr>
          <w:sz w:val="22"/>
          <w:szCs w:val="22"/>
          <w:lang w:eastAsia="en-US"/>
        </w:rPr>
        <w:t>pacientov vo veku 65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rokov a starších podrobiť skríningu dysfunkcie obličiek.</w:t>
      </w:r>
    </w:p>
    <w:p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</w:p>
    <w:p w:rsidR="00BD6A8D" w:rsidRPr="008C1BE2" w:rsidRDefault="00BD6A8D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Hemodialýza krátko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Gadovistu môže byť prospešná na odstránenie Gadovistu z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4F7ADC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pacientov,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ktorých sa doposiaľ hemodialýza nevykonávala.</w:t>
      </w:r>
    </w:p>
    <w:p w:rsidR="00BD6A8D" w:rsidRPr="008C1BE2" w:rsidRDefault="00BD6A8D" w:rsidP="00E57C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60" w:lineRule="exact"/>
        <w:contextualSpacing/>
        <w:jc w:val="left"/>
        <w:rPr>
          <w:sz w:val="22"/>
          <w:szCs w:val="22"/>
        </w:rPr>
      </w:pPr>
    </w:p>
    <w:p w:rsidR="00E71D7E" w:rsidRPr="008C1BE2" w:rsidRDefault="00E71D7E" w:rsidP="00F957A1">
      <w:pPr>
        <w:numPr>
          <w:ilvl w:val="0"/>
          <w:numId w:val="43"/>
        </w:numPr>
        <w:autoSpaceDE w:val="0"/>
        <w:autoSpaceDN w:val="0"/>
        <w:spacing w:line="260" w:lineRule="exact"/>
        <w:ind w:left="567" w:hanging="567"/>
        <w:contextualSpacing/>
        <w:jc w:val="left"/>
        <w:rPr>
          <w:b/>
          <w:bCs/>
          <w:sz w:val="22"/>
          <w:szCs w:val="22"/>
          <w:lang w:eastAsia="en-US"/>
        </w:rPr>
      </w:pPr>
      <w:r w:rsidRPr="008C1BE2">
        <w:rPr>
          <w:b/>
          <w:bCs/>
          <w:sz w:val="22"/>
          <w:szCs w:val="22"/>
          <w:lang w:eastAsia="en-US"/>
        </w:rPr>
        <w:t>Gravidita a laktácia</w:t>
      </w:r>
    </w:p>
    <w:p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 xml:space="preserve">Gadovist sa nemá používať počas gravidity pokiaľ si klinický stav ženy nevyžaduje </w:t>
      </w:r>
      <w:r w:rsidR="001F3A30">
        <w:rPr>
          <w:sz w:val="22"/>
          <w:szCs w:val="22"/>
          <w:lang w:eastAsia="en-US"/>
        </w:rPr>
        <w:t xml:space="preserve">jeho </w:t>
      </w:r>
      <w:r w:rsidRPr="008C1BE2">
        <w:rPr>
          <w:sz w:val="22"/>
          <w:szCs w:val="22"/>
          <w:lang w:eastAsia="en-US"/>
        </w:rPr>
        <w:t>použitie.</w:t>
      </w:r>
    </w:p>
    <w:p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E71D7E" w:rsidRPr="008C1BE2" w:rsidRDefault="00E71D7E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Pokračovanie v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dojčení alebo prerušenie dojčenia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obdobie 24 hodín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podaní Gadovistu má byť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uvážení lekára a dojčiacej matky.</w:t>
      </w:r>
    </w:p>
    <w:p w:rsidR="006C540A" w:rsidRPr="008C1BE2" w:rsidRDefault="006C540A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5C27E3" w:rsidRPr="00F957A1" w:rsidRDefault="001F3A30" w:rsidP="00F957A1">
      <w:pPr>
        <w:numPr>
          <w:ilvl w:val="0"/>
          <w:numId w:val="43"/>
        </w:numPr>
        <w:spacing w:line="260" w:lineRule="exact"/>
        <w:ind w:left="567" w:hanging="567"/>
        <w:contextualSpacing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Hypersenzitívne r</w:t>
      </w:r>
      <w:r w:rsidR="005C27E3" w:rsidRPr="00F957A1">
        <w:rPr>
          <w:b/>
          <w:sz w:val="22"/>
          <w:szCs w:val="22"/>
          <w:u w:val="single"/>
        </w:rPr>
        <w:t>eakcie</w:t>
      </w:r>
    </w:p>
    <w:p w:rsidR="005C27E3" w:rsidRPr="000E7F20" w:rsidRDefault="005C27E3" w:rsidP="00E57C90">
      <w:pPr>
        <w:spacing w:line="260" w:lineRule="exact"/>
        <w:contextualSpacing/>
        <w:jc w:val="left"/>
        <w:rPr>
          <w:sz w:val="22"/>
          <w:szCs w:val="22"/>
        </w:rPr>
      </w:pPr>
    </w:p>
    <w:p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 xml:space="preserve">Podanie Gadovistu môže </w:t>
      </w:r>
      <w:r w:rsidR="004D04FD" w:rsidRPr="0052046E">
        <w:rPr>
          <w:sz w:val="22"/>
          <w:szCs w:val="22"/>
        </w:rPr>
        <w:t>byť spojené,</w:t>
      </w:r>
      <w:r w:rsidR="004D04FD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 xml:space="preserve">tak ako u ostatných intravenóznych kontrastných látok </w:t>
      </w:r>
      <w:r w:rsidR="004D04FD">
        <w:rPr>
          <w:sz w:val="22"/>
          <w:szCs w:val="22"/>
          <w:u w:val="single"/>
        </w:rPr>
        <w:t>,</w:t>
      </w:r>
      <w:r w:rsidRPr="0052046E">
        <w:rPr>
          <w:sz w:val="22"/>
          <w:szCs w:val="22"/>
        </w:rPr>
        <w:t xml:space="preserve"> s anafylaktoidnými reakciami/ </w:t>
      </w:r>
      <w:r w:rsidR="001F3A30" w:rsidRPr="0052046E">
        <w:rPr>
          <w:sz w:val="22"/>
          <w:szCs w:val="22"/>
        </w:rPr>
        <w:t>hypersenzitívnymi</w:t>
      </w:r>
      <w:r w:rsidR="001F3A30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>reakciami , alebo ďalšími idiosynkratickými reakciami, ktoré</w:t>
      </w:r>
      <w:r w:rsidR="00E57C90" w:rsidRPr="00075902">
        <w:rPr>
          <w:sz w:val="22"/>
          <w:szCs w:val="22"/>
        </w:rPr>
        <w:t> </w:t>
      </w:r>
      <w:r w:rsidRPr="0052046E">
        <w:rPr>
          <w:sz w:val="22"/>
          <w:szCs w:val="22"/>
        </w:rPr>
        <w:t>sú charakterizované kardiovaskulárnymi, respiračnými alebo kožnými prejavmi v rozsahu až po</w:t>
      </w:r>
      <w:r w:rsidR="00E57C90" w:rsidRPr="00075902">
        <w:rPr>
          <w:sz w:val="22"/>
          <w:szCs w:val="22"/>
        </w:rPr>
        <w:t> </w:t>
      </w:r>
      <w:r w:rsidRPr="0052046E">
        <w:rPr>
          <w:sz w:val="22"/>
          <w:szCs w:val="22"/>
        </w:rPr>
        <w:t>závažné reakcie vrátane šoku. Pacienti s kardiovaskulárnymi ochoreniami sú vo všeobecnosti náchyln</w:t>
      </w:r>
      <w:r w:rsidR="001F3A30">
        <w:rPr>
          <w:sz w:val="22"/>
          <w:szCs w:val="22"/>
          <w:u w:val="single"/>
        </w:rPr>
        <w:t>ejš</w:t>
      </w:r>
      <w:r w:rsidRPr="0052046E">
        <w:rPr>
          <w:sz w:val="22"/>
          <w:szCs w:val="22"/>
        </w:rPr>
        <w:t>í na v</w:t>
      </w:r>
      <w:r w:rsidR="0019236A" w:rsidRPr="003510C7">
        <w:rPr>
          <w:sz w:val="22"/>
          <w:szCs w:val="22"/>
        </w:rPr>
        <w:t>á</w:t>
      </w:r>
      <w:r w:rsidRPr="0052046E">
        <w:rPr>
          <w:sz w:val="22"/>
          <w:szCs w:val="22"/>
        </w:rPr>
        <w:t>žn</w:t>
      </w:r>
      <w:r w:rsidR="0019236A" w:rsidRPr="0052046E">
        <w:rPr>
          <w:sz w:val="22"/>
          <w:szCs w:val="22"/>
        </w:rPr>
        <w:t>e</w:t>
      </w:r>
      <w:r w:rsidRPr="0052046E">
        <w:rPr>
          <w:sz w:val="22"/>
          <w:szCs w:val="22"/>
        </w:rPr>
        <w:t xml:space="preserve"> alebo </w:t>
      </w:r>
      <w:r w:rsidR="00E737C4" w:rsidRPr="0052046E">
        <w:rPr>
          <w:sz w:val="22"/>
          <w:szCs w:val="22"/>
        </w:rPr>
        <w:t>až</w:t>
      </w:r>
      <w:r w:rsidRPr="0052046E">
        <w:rPr>
          <w:sz w:val="22"/>
          <w:szCs w:val="22"/>
        </w:rPr>
        <w:t xml:space="preserve"> fatálne dôsledky závažných </w:t>
      </w:r>
      <w:r w:rsidR="001F3A30" w:rsidRPr="0052046E">
        <w:rPr>
          <w:sz w:val="22"/>
          <w:szCs w:val="22"/>
        </w:rPr>
        <w:t>hypersenzitívnych</w:t>
      </w:r>
      <w:r w:rsidR="001F3A30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>reakcií.</w:t>
      </w:r>
    </w:p>
    <w:p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52046E" w:rsidRDefault="003B0252" w:rsidP="00E57C90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 xml:space="preserve">Riziko </w:t>
      </w:r>
      <w:r w:rsidR="001F3A30" w:rsidRPr="0052046E">
        <w:rPr>
          <w:sz w:val="22"/>
          <w:szCs w:val="22"/>
        </w:rPr>
        <w:t>hypersenzitívnych</w:t>
      </w:r>
      <w:r w:rsidR="001F3A30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>reakcií môže byť vyššie v prípade:</w:t>
      </w:r>
    </w:p>
    <w:p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predošlých reakcií na kontrastné látky</w:t>
      </w:r>
      <w:r w:rsidR="00E57C90">
        <w:rPr>
          <w:sz w:val="22"/>
          <w:szCs w:val="22"/>
          <w:u w:val="single"/>
        </w:rPr>
        <w:t>,</w:t>
      </w:r>
    </w:p>
    <w:p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bronchiálnej astmy v</w:t>
      </w:r>
      <w:r w:rsidR="00E57C90">
        <w:rPr>
          <w:sz w:val="22"/>
          <w:szCs w:val="22"/>
          <w:u w:val="single"/>
        </w:rPr>
        <w:t> </w:t>
      </w:r>
      <w:r w:rsidRPr="0052046E">
        <w:rPr>
          <w:sz w:val="22"/>
          <w:szCs w:val="22"/>
        </w:rPr>
        <w:t>anamnéze</w:t>
      </w:r>
      <w:r w:rsidR="00E57C90">
        <w:rPr>
          <w:sz w:val="22"/>
          <w:szCs w:val="22"/>
          <w:u w:val="single"/>
        </w:rPr>
        <w:t>,</w:t>
      </w:r>
    </w:p>
    <w:p w:rsidR="003B0252" w:rsidRPr="0052046E" w:rsidRDefault="003B0252" w:rsidP="00E57C90">
      <w:pPr>
        <w:widowControl/>
        <w:numPr>
          <w:ilvl w:val="0"/>
          <w:numId w:val="28"/>
        </w:numPr>
        <w:autoSpaceDE w:val="0"/>
        <w:autoSpaceDN w:val="0"/>
        <w:spacing w:line="260" w:lineRule="exact"/>
        <w:ind w:left="0" w:firstLine="0"/>
        <w:contextualSpacing/>
        <w:jc w:val="left"/>
        <w:textAlignment w:val="auto"/>
        <w:rPr>
          <w:sz w:val="22"/>
          <w:szCs w:val="22"/>
        </w:rPr>
      </w:pPr>
      <w:r w:rsidRPr="0052046E">
        <w:rPr>
          <w:sz w:val="22"/>
          <w:szCs w:val="22"/>
        </w:rPr>
        <w:t>alergických stavov v</w:t>
      </w:r>
      <w:r w:rsidR="00E57C90">
        <w:rPr>
          <w:sz w:val="22"/>
          <w:szCs w:val="22"/>
          <w:u w:val="single"/>
        </w:rPr>
        <w:t> </w:t>
      </w:r>
      <w:r w:rsidRPr="0052046E">
        <w:rPr>
          <w:sz w:val="22"/>
          <w:szCs w:val="22"/>
        </w:rPr>
        <w:t>anamnéze</w:t>
      </w:r>
      <w:r w:rsidR="00E57C90">
        <w:rPr>
          <w:sz w:val="22"/>
          <w:szCs w:val="22"/>
          <w:u w:val="single"/>
        </w:rPr>
        <w:t>.</w:t>
      </w:r>
    </w:p>
    <w:p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52046E">
        <w:rPr>
          <w:sz w:val="22"/>
          <w:szCs w:val="22"/>
        </w:rPr>
        <w:t xml:space="preserve">Rozhodnutiu o použití Gadovistu u pacientov s alergickou predispozíciou musí predchádzať veľmi dôkladné posúdenie pomeru rizika </w:t>
      </w:r>
      <w:r w:rsidR="00723211" w:rsidRPr="0052046E">
        <w:rPr>
          <w:sz w:val="22"/>
          <w:szCs w:val="22"/>
        </w:rPr>
        <w:t>a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prínosu</w:t>
      </w:r>
      <w:r w:rsidRPr="0052046E">
        <w:rPr>
          <w:sz w:val="22"/>
          <w:szCs w:val="22"/>
          <w:u w:val="single"/>
        </w:rPr>
        <w:t>.</w:t>
      </w:r>
    </w:p>
    <w:p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Väčšina týchto reakcií sa objaví do pol hodiny po</w:t>
      </w:r>
      <w:r w:rsidR="00E57C90" w:rsidRPr="0052046E">
        <w:rPr>
          <w:sz w:val="22"/>
          <w:szCs w:val="22"/>
        </w:rPr>
        <w:t> </w:t>
      </w:r>
      <w:r w:rsidRPr="0052046E">
        <w:rPr>
          <w:sz w:val="22"/>
          <w:szCs w:val="22"/>
        </w:rPr>
        <w:t>podaní lieku. Preto sa po</w:t>
      </w:r>
      <w:r w:rsidR="00E57C90" w:rsidRPr="00075902">
        <w:rPr>
          <w:sz w:val="22"/>
          <w:szCs w:val="22"/>
        </w:rPr>
        <w:t> </w:t>
      </w:r>
      <w:r w:rsidRPr="0052046E">
        <w:rPr>
          <w:sz w:val="22"/>
          <w:szCs w:val="22"/>
        </w:rPr>
        <w:t>podaní odporúča sledovanie pacienta.</w:t>
      </w:r>
    </w:p>
    <w:p w:rsidR="003B0252" w:rsidRPr="0052046E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 xml:space="preserve">Je potrebná medikácia na liečbu </w:t>
      </w:r>
      <w:r w:rsidR="00723211" w:rsidRPr="0052046E">
        <w:rPr>
          <w:sz w:val="22"/>
          <w:szCs w:val="22"/>
        </w:rPr>
        <w:t>hypersenzitívnych</w:t>
      </w:r>
      <w:r w:rsidR="00723211">
        <w:rPr>
          <w:sz w:val="22"/>
          <w:szCs w:val="22"/>
          <w:u w:val="single"/>
        </w:rPr>
        <w:t xml:space="preserve"> </w:t>
      </w:r>
      <w:r w:rsidRPr="0052046E">
        <w:rPr>
          <w:sz w:val="22"/>
          <w:szCs w:val="22"/>
        </w:rPr>
        <w:t xml:space="preserve">reakcií ako aj pripravenosť na zavedenie </w:t>
      </w:r>
      <w:r w:rsidR="00EF2E16" w:rsidRPr="0052046E">
        <w:rPr>
          <w:sz w:val="22"/>
          <w:szCs w:val="22"/>
        </w:rPr>
        <w:t xml:space="preserve">opatrení </w:t>
      </w:r>
      <w:r w:rsidRPr="0052046E">
        <w:rPr>
          <w:sz w:val="22"/>
          <w:szCs w:val="22"/>
        </w:rPr>
        <w:t>neodkladnej starost</w:t>
      </w:r>
      <w:r w:rsidR="00B87022" w:rsidRPr="0052046E">
        <w:rPr>
          <w:sz w:val="22"/>
          <w:szCs w:val="22"/>
        </w:rPr>
        <w:t>l</w:t>
      </w:r>
      <w:r w:rsidRPr="0052046E">
        <w:rPr>
          <w:sz w:val="22"/>
          <w:szCs w:val="22"/>
        </w:rPr>
        <w:t>ivosti.</w:t>
      </w:r>
    </w:p>
    <w:p w:rsidR="005C27E3" w:rsidRPr="0019236A" w:rsidRDefault="003B025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52046E">
        <w:rPr>
          <w:sz w:val="22"/>
          <w:szCs w:val="22"/>
        </w:rPr>
        <w:t>Zriedkavo sa vyskytli oneskorené reakcie (po</w:t>
      </w:r>
      <w:r w:rsidR="00E57C90" w:rsidRPr="00075902">
        <w:rPr>
          <w:sz w:val="22"/>
          <w:szCs w:val="22"/>
        </w:rPr>
        <w:t> </w:t>
      </w:r>
      <w:r w:rsidRPr="0019236A">
        <w:rPr>
          <w:sz w:val="22"/>
          <w:szCs w:val="22"/>
        </w:rPr>
        <w:t xml:space="preserve">hodinách až </w:t>
      </w:r>
      <w:r w:rsidR="00723211" w:rsidRPr="0052046E">
        <w:rPr>
          <w:sz w:val="22"/>
          <w:szCs w:val="22"/>
        </w:rPr>
        <w:t>niekoľkých</w:t>
      </w:r>
      <w:r w:rsidR="00723211">
        <w:rPr>
          <w:sz w:val="22"/>
          <w:szCs w:val="22"/>
          <w:u w:val="single"/>
        </w:rPr>
        <w:t xml:space="preserve"> </w:t>
      </w:r>
      <w:r w:rsidRPr="0019236A">
        <w:rPr>
          <w:sz w:val="22"/>
          <w:szCs w:val="22"/>
        </w:rPr>
        <w:t>dňoch)</w:t>
      </w:r>
      <w:r w:rsidR="005C27E3" w:rsidRPr="0019236A">
        <w:rPr>
          <w:sz w:val="22"/>
          <w:szCs w:val="22"/>
        </w:rPr>
        <w:t>.</w:t>
      </w:r>
    </w:p>
    <w:p w:rsidR="005C27E3" w:rsidRPr="000E7F20" w:rsidRDefault="005C27E3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20689B" w:rsidRDefault="00474842" w:rsidP="0020689B">
      <w:pPr>
        <w:numPr>
          <w:ilvl w:val="0"/>
          <w:numId w:val="35"/>
        </w:numPr>
        <w:tabs>
          <w:tab w:val="left" w:pos="567"/>
        </w:tabs>
        <w:spacing w:line="260" w:lineRule="exact"/>
        <w:ind w:left="0" w:firstLine="0"/>
        <w:contextualSpacing/>
        <w:jc w:val="left"/>
        <w:rPr>
          <w:b/>
          <w:sz w:val="22"/>
          <w:szCs w:val="22"/>
          <w:u w:val="single"/>
        </w:rPr>
      </w:pPr>
      <w:r w:rsidRPr="0020689B">
        <w:rPr>
          <w:b/>
          <w:sz w:val="22"/>
          <w:szCs w:val="22"/>
          <w:u w:val="single"/>
        </w:rPr>
        <w:t>Záchvaty kŕčov</w:t>
      </w:r>
    </w:p>
    <w:p w:rsidR="00474842" w:rsidRPr="000E7F20" w:rsidRDefault="00474842" w:rsidP="00F83339">
      <w:pPr>
        <w:spacing w:line="260" w:lineRule="exact"/>
        <w:contextualSpacing/>
        <w:jc w:val="left"/>
        <w:rPr>
          <w:sz w:val="22"/>
          <w:szCs w:val="22"/>
        </w:rPr>
      </w:pPr>
    </w:p>
    <w:p w:rsidR="00474842" w:rsidRPr="008C1BE2" w:rsidRDefault="00474842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Ta</w:t>
      </w:r>
      <w:r w:rsidRPr="008C1BE2">
        <w:rPr>
          <w:sz w:val="22"/>
          <w:szCs w:val="22"/>
        </w:rPr>
        <w:t>k ako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iných kontrastných látok obsahujúcich gadolínium, aj tu je potrebná osobitná opatrnosť u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pacientov s nízkym prahom pre vznik záchvatov</w:t>
      </w:r>
      <w:r w:rsidR="00613735" w:rsidRPr="008C1BE2">
        <w:rPr>
          <w:sz w:val="22"/>
          <w:szCs w:val="22"/>
        </w:rPr>
        <w:t xml:space="preserve"> kŕčov.</w:t>
      </w:r>
    </w:p>
    <w:p w:rsidR="006C540A" w:rsidRPr="0020689B" w:rsidRDefault="00BD18D8" w:rsidP="00BD18D8">
      <w:pPr>
        <w:spacing w:line="260" w:lineRule="exact"/>
        <w:contextualSpacing/>
        <w:jc w:val="left"/>
        <w:rPr>
          <w:b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="006C540A" w:rsidRPr="0020689B">
        <w:rPr>
          <w:b/>
          <w:sz w:val="22"/>
          <w:szCs w:val="22"/>
          <w:u w:val="single"/>
        </w:rPr>
        <w:lastRenderedPageBreak/>
        <w:t>Predávkovanie</w:t>
      </w:r>
    </w:p>
    <w:p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0E7F20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V prípade neúmyselného predávkovania sa z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>preventívnych dôvodov odporúča monitorovanie kardiovaskulárneho systému (vrátane EKG) a kontrola funkcie obličiek.</w:t>
      </w:r>
    </w:p>
    <w:p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052FA6" w:rsidRPr="008C1BE2" w:rsidRDefault="00052FA6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lang w:eastAsia="en-US"/>
        </w:rPr>
      </w:pPr>
      <w:r w:rsidRPr="008C1BE2">
        <w:rPr>
          <w:sz w:val="22"/>
          <w:szCs w:val="22"/>
          <w:lang w:eastAsia="en-US"/>
        </w:rPr>
        <w:t>U pacientov s insuficienciou obličiek možno v prípade predávkovania Gadovist odstrániť hemodialýzou. Po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3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hemodialýzach sa z organizmu odstráni približne 98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% látky. Neexistujú však dôkazy, že hemodialýza je vhodná na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  <w:lang w:eastAsia="en-US"/>
        </w:rPr>
        <w:t>prevenciu nefrogénnej systémovej fibrózy (NSF).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20689B" w:rsidRDefault="006C540A" w:rsidP="0020689B">
      <w:pPr>
        <w:numPr>
          <w:ilvl w:val="0"/>
          <w:numId w:val="6"/>
        </w:numPr>
        <w:tabs>
          <w:tab w:val="clear" w:pos="720"/>
          <w:tab w:val="left" w:pos="567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20689B">
        <w:rPr>
          <w:b/>
          <w:sz w:val="22"/>
          <w:szCs w:val="22"/>
        </w:rPr>
        <w:t>Pred injekčným podaním</w:t>
      </w:r>
    </w:p>
    <w:p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531A8" w:rsidRPr="000E7F20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Tento liek je určený len na jednorazové použitie.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Tento liek je číry</w:t>
      </w:r>
      <w:r w:rsidR="004D04FD">
        <w:rPr>
          <w:sz w:val="22"/>
          <w:szCs w:val="22"/>
        </w:rPr>
        <w:t>,</w:t>
      </w:r>
      <w:r w:rsidRPr="008C1BE2">
        <w:rPr>
          <w:sz w:val="22"/>
          <w:szCs w:val="22"/>
        </w:rPr>
        <w:t xml:space="preserve"> bezfarebný až bledožltý roztok. Pred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použitím sa musí vizuálne skontrolovať.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Gadovist sa nesmie použiť v prípade silnej zmeny sfarbenia, výskytu nečistôt alebo poškodenia obalu.</w:t>
      </w:r>
    </w:p>
    <w:p w:rsidR="006C540A" w:rsidRPr="008C1BE2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20689B" w:rsidRDefault="00AC6B21" w:rsidP="00F83339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line="260" w:lineRule="exact"/>
        <w:ind w:left="0" w:firstLine="0"/>
        <w:contextualSpacing/>
        <w:jc w:val="left"/>
        <w:rPr>
          <w:b/>
          <w:sz w:val="22"/>
          <w:szCs w:val="22"/>
        </w:rPr>
      </w:pPr>
      <w:r w:rsidRPr="0020689B">
        <w:rPr>
          <w:b/>
          <w:sz w:val="22"/>
          <w:szCs w:val="22"/>
        </w:rPr>
        <w:t>Návod</w:t>
      </w:r>
      <w:r w:rsidR="003A0579" w:rsidRPr="0020689B">
        <w:rPr>
          <w:b/>
          <w:sz w:val="22"/>
          <w:szCs w:val="22"/>
        </w:rPr>
        <w:t xml:space="preserve"> </w:t>
      </w:r>
      <w:r w:rsidRPr="0020689B">
        <w:rPr>
          <w:b/>
          <w:sz w:val="22"/>
          <w:szCs w:val="22"/>
        </w:rPr>
        <w:t>na</w:t>
      </w:r>
      <w:r w:rsidR="003A0579" w:rsidRPr="0020689B">
        <w:rPr>
          <w:b/>
          <w:sz w:val="22"/>
          <w:szCs w:val="22"/>
        </w:rPr>
        <w:t xml:space="preserve"> použitie</w:t>
      </w:r>
    </w:p>
    <w:p w:rsidR="006C54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bCs/>
          <w:sz w:val="22"/>
          <w:szCs w:val="22"/>
        </w:rPr>
      </w:pPr>
    </w:p>
    <w:p w:rsidR="00B9510A" w:rsidRPr="000E7F20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20689B">
        <w:rPr>
          <w:bCs/>
          <w:sz w:val="22"/>
          <w:szCs w:val="22"/>
          <w:u w:val="single"/>
        </w:rPr>
        <w:t>Injekčné liekovky</w:t>
      </w:r>
      <w:r w:rsidR="00A2493A">
        <w:rPr>
          <w:bCs/>
          <w:sz w:val="22"/>
          <w:szCs w:val="22"/>
          <w:u w:val="single"/>
        </w:rPr>
        <w:t xml:space="preserve"> </w:t>
      </w:r>
      <w:r w:rsidR="00B9510A" w:rsidRPr="000E7F20">
        <w:rPr>
          <w:sz w:val="22"/>
          <w:szCs w:val="22"/>
        </w:rPr>
        <w:t>Gadovist sa musí odoberať do</w:t>
      </w:r>
      <w:r w:rsidR="004F7ADC" w:rsidRPr="00075902">
        <w:rPr>
          <w:sz w:val="22"/>
          <w:szCs w:val="22"/>
        </w:rPr>
        <w:t> </w:t>
      </w:r>
      <w:r w:rsidR="00B9510A" w:rsidRPr="000E7F20">
        <w:rPr>
          <w:sz w:val="22"/>
          <w:szCs w:val="22"/>
        </w:rPr>
        <w:t>injekčnej striekačky z</w:t>
      </w:r>
      <w:r w:rsidR="00E57C90" w:rsidRPr="00075902">
        <w:rPr>
          <w:sz w:val="22"/>
          <w:szCs w:val="22"/>
        </w:rPr>
        <w:t> </w:t>
      </w:r>
      <w:r w:rsidR="00B9510A" w:rsidRPr="000E7F20">
        <w:rPr>
          <w:sz w:val="22"/>
          <w:szCs w:val="22"/>
        </w:rPr>
        <w:t>injekčnej liekovky bezprostredne pred</w:t>
      </w:r>
      <w:r w:rsidR="00E57C90" w:rsidRPr="00075902">
        <w:rPr>
          <w:sz w:val="22"/>
          <w:szCs w:val="22"/>
        </w:rPr>
        <w:t> </w:t>
      </w:r>
      <w:r w:rsidR="00B9510A" w:rsidRPr="000E7F20">
        <w:rPr>
          <w:sz w:val="22"/>
          <w:szCs w:val="22"/>
        </w:rPr>
        <w:t>použitím.</w:t>
      </w:r>
      <w:r w:rsidR="004F7ADC">
        <w:rPr>
          <w:sz w:val="22"/>
          <w:szCs w:val="22"/>
        </w:rPr>
        <w:t xml:space="preserve"> </w:t>
      </w:r>
      <w:r w:rsidR="00B9510A" w:rsidRPr="000E7F20">
        <w:rPr>
          <w:sz w:val="22"/>
          <w:szCs w:val="22"/>
        </w:rPr>
        <w:t>Gumová zátka sa nikdy nesmie prepichnúť viac ako jedenkrát.</w:t>
      </w:r>
    </w:p>
    <w:p w:rsidR="004C3EBC" w:rsidRPr="008C1BE2" w:rsidRDefault="004C3EB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:rsidR="006531A8" w:rsidRPr="003510C7" w:rsidRDefault="006531A8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20689B">
        <w:rPr>
          <w:sz w:val="22"/>
          <w:szCs w:val="22"/>
          <w:u w:val="single"/>
        </w:rPr>
        <w:t xml:space="preserve">65 ml infúzne fľaše </w:t>
      </w:r>
      <w:r w:rsidRPr="000E7F20">
        <w:rPr>
          <w:sz w:val="22"/>
          <w:szCs w:val="22"/>
          <w:lang w:eastAsia="de-DE"/>
        </w:rPr>
        <w:t xml:space="preserve">Ak sa tento liek plánuje podať pomocou </w:t>
      </w:r>
      <w:r w:rsidRPr="000E7F20">
        <w:rPr>
          <w:sz w:val="22"/>
          <w:szCs w:val="22"/>
        </w:rPr>
        <w:t>automatického injektora</w:t>
      </w:r>
      <w:r w:rsidRPr="008C1BE2">
        <w:rPr>
          <w:sz w:val="22"/>
          <w:szCs w:val="22"/>
          <w:lang w:eastAsia="de-DE"/>
        </w:rPr>
        <w:t xml:space="preserve">, vhodnosť </w:t>
      </w:r>
      <w:r w:rsidR="00664CF9" w:rsidRPr="008C1BE2">
        <w:rPr>
          <w:sz w:val="22"/>
          <w:szCs w:val="22"/>
          <w:lang w:eastAsia="de-DE"/>
        </w:rPr>
        <w:t>jeho</w:t>
      </w:r>
      <w:r w:rsidR="00E57C90" w:rsidRPr="00075902">
        <w:rPr>
          <w:sz w:val="22"/>
          <w:szCs w:val="22"/>
        </w:rPr>
        <w:t> </w:t>
      </w:r>
      <w:r w:rsidRPr="003510C7">
        <w:rPr>
          <w:sz w:val="22"/>
          <w:szCs w:val="22"/>
          <w:lang w:eastAsia="de-DE"/>
        </w:rPr>
        <w:t>plánované</w:t>
      </w:r>
      <w:r w:rsidR="00664CF9" w:rsidRPr="003510C7">
        <w:rPr>
          <w:sz w:val="22"/>
          <w:szCs w:val="22"/>
          <w:lang w:eastAsia="de-DE"/>
        </w:rPr>
        <w:t>ho</w:t>
      </w:r>
      <w:r w:rsidRPr="003510C7">
        <w:rPr>
          <w:sz w:val="22"/>
          <w:szCs w:val="22"/>
          <w:lang w:eastAsia="de-DE"/>
        </w:rPr>
        <w:t xml:space="preserve"> použiti</w:t>
      </w:r>
      <w:r w:rsidR="00664CF9" w:rsidRPr="003510C7">
        <w:rPr>
          <w:sz w:val="22"/>
          <w:szCs w:val="22"/>
          <w:lang w:eastAsia="de-DE"/>
        </w:rPr>
        <w:t>a</w:t>
      </w:r>
      <w:r w:rsidRPr="003510C7">
        <w:rPr>
          <w:sz w:val="22"/>
          <w:szCs w:val="22"/>
          <w:lang w:eastAsia="de-DE"/>
        </w:rPr>
        <w:t xml:space="preserve"> musí byť potvrdená výrobcom zdravotníckej pomôcky.</w:t>
      </w:r>
      <w:r w:rsidR="00E57C90" w:rsidRPr="003510C7">
        <w:rPr>
          <w:sz w:val="22"/>
          <w:szCs w:val="22"/>
          <w:lang w:eastAsia="de-DE"/>
        </w:rPr>
        <w:t xml:space="preserve"> </w:t>
      </w:r>
      <w:r w:rsidRPr="003510C7">
        <w:rPr>
          <w:sz w:val="22"/>
          <w:szCs w:val="22"/>
        </w:rPr>
        <w:t>Striktne sa musia dodržiavať aj všetky ďalšie pokyny výrobcu príslušného zariadenia.</w:t>
      </w:r>
    </w:p>
    <w:p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785A9A" w:rsidRDefault="00613AB4" w:rsidP="00F83339">
      <w:pPr>
        <w:spacing w:line="260" w:lineRule="exact"/>
        <w:contextualSpacing/>
        <w:jc w:val="left"/>
        <w:rPr>
          <w:sz w:val="22"/>
          <w:szCs w:val="22"/>
        </w:rPr>
      </w:pPr>
      <w:r w:rsidRPr="009B03E8">
        <w:rPr>
          <w:sz w:val="22"/>
          <w:szCs w:val="22"/>
          <w:highlight w:val="lightGray"/>
          <w:u w:val="single"/>
        </w:rPr>
        <w:t xml:space="preserve">Naplnené injekčné striekačky </w:t>
      </w:r>
      <w:r w:rsidRPr="009B03E8">
        <w:rPr>
          <w:sz w:val="22"/>
          <w:szCs w:val="22"/>
          <w:highlight w:val="lightGray"/>
        </w:rPr>
        <w:t>Naplnená injekčná striekačka sa musí vybrať z balenia a pripravovať na podanie injekcie až bezprostredne pred použitím. Uzáver pripájacieho kužeľa striekačky sa má z naplnenej injekčnej striekačky odstrániť bezprostredne pred</w:t>
      </w:r>
      <w:r w:rsidR="00E57C90" w:rsidRPr="009B03E8">
        <w:rPr>
          <w:sz w:val="22"/>
          <w:szCs w:val="22"/>
          <w:highlight w:val="lightGray"/>
        </w:rPr>
        <w:t> </w:t>
      </w:r>
      <w:r w:rsidRPr="009B03E8">
        <w:rPr>
          <w:sz w:val="22"/>
          <w:szCs w:val="22"/>
          <w:highlight w:val="lightGray"/>
        </w:rPr>
        <w:t>použitím.</w:t>
      </w:r>
      <w:r w:rsidRPr="00785A9A">
        <w:rPr>
          <w:sz w:val="22"/>
          <w:szCs w:val="22"/>
        </w:rPr>
        <w:t xml:space="preserve"> </w:t>
      </w:r>
    </w:p>
    <w:p w:rsidR="00E143E2" w:rsidRPr="00785A9A" w:rsidRDefault="00E143E2" w:rsidP="00E143E2">
      <w:pPr>
        <w:spacing w:line="240" w:lineRule="auto"/>
        <w:contextualSpacing/>
        <w:jc w:val="left"/>
        <w:rPr>
          <w:sz w:val="22"/>
          <w:szCs w:val="22"/>
        </w:rPr>
      </w:pPr>
    </w:p>
    <w:p w:rsidR="00E143E2" w:rsidRPr="009B03E8" w:rsidRDefault="00E143E2" w:rsidP="00E143E2">
      <w:pPr>
        <w:autoSpaceDE w:val="0"/>
        <w:autoSpaceDN w:val="0"/>
        <w:spacing w:line="240" w:lineRule="auto"/>
        <w:rPr>
          <w:b/>
          <w:sz w:val="22"/>
          <w:szCs w:val="22"/>
          <w:highlight w:val="lightGray"/>
        </w:rPr>
      </w:pPr>
      <w:r w:rsidRPr="009B03E8">
        <w:rPr>
          <w:b/>
          <w:sz w:val="22"/>
          <w:szCs w:val="22"/>
          <w:highlight w:val="lightGray"/>
        </w:rPr>
        <w:t>Sklenená naplnená injekčná striekačka: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227"/>
        <w:gridCol w:w="4391"/>
      </w:tblGrid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RUČNÉ PODANIE INJEKCIE</w: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</w:tr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s1026" type="#_x0000_t75" style="position:absolute;left:0;text-align:left;margin-left:-5.4pt;margin-top:0;width:162.15pt;height:93.55pt;z-index:251650560;visibility:visible;mso-position-horizontal-relative:text;mso-position-vertical-relative:text" wrapcoords="-100 0 -100 21427 21600 21427 21600 0 -100 0">
                  <v:imagedata r:id="rId10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noProof/>
                <w:sz w:val="22"/>
                <w:szCs w:val="22"/>
                <w:highlight w:val="lightGray"/>
                <w:lang w:val="de-DE" w:eastAsia="de-DE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pict>
                <v:shape id="Grafik 12" o:spid="_x0000_s1027" type="#_x0000_t75" style="position:absolute;left:0;text-align:left;margin-left:-5.4pt;margin-top:0;width:162.5pt;height:93.55pt;z-index:251651584;visibility:visible;mso-position-horizontal-relative:text;mso-position-vertical-relative:text" wrapcoords="-100 0 -100 21427 21600 21427 21600 0 -100 0">
                  <v:imagedata r:id="rId11" o:title="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1. Otvorte balenie</w: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2. Piest zaskrutkujte na injekčnú striekačku</w:t>
            </w:r>
          </w:p>
        </w:tc>
      </w:tr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pict>
                <v:shape id="Grafik 13" o:spid="_x0000_s1028" type="#_x0000_t75" style="position:absolute;left:0;text-align:left;margin-left:-5.2pt;margin-top:2.9pt;width:161.4pt;height:93.55pt;z-index:251652608;visibility:visible;mso-position-horizontal-relative:text;mso-position-vertical-relative:text" wrapcoords="-100 0 -100 21427 21600 21427 21600 0 -100 0">
                  <v:imagedata r:id="rId12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pict>
                <v:shape id="Grafik 14" o:spid="_x0000_s1029" type="#_x0000_t75" style="position:absolute;left:0;text-align:left;margin-left:-4.9pt;margin-top:2.9pt;width:161.8pt;height:93.55pt;z-index:251653632;visibility:visible;mso-position-horizontal-relative:text;mso-position-vertical-relative:text" wrapcoords="-100 0 -100 21427 21600 21427 21600 0 -100 0">
                  <v:imagedata r:id="rId13" o:title="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3. Odlomte ochranný kryt</w: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4. Odstráňte ochranný kryt</w:t>
            </w:r>
          </w:p>
        </w:tc>
      </w:tr>
      <w:tr w:rsidR="00E143E2" w:rsidRPr="009B03E8" w:rsidTr="00F42777">
        <w:tc>
          <w:tcPr>
            <w:tcW w:w="4040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lastRenderedPageBreak/>
              <w:pict>
                <v:shape id="Grafik 15" o:spid="_x0000_s1030" type="#_x0000_t75" style="position:absolute;left:0;text-align:left;margin-left:-5.3pt;margin-top:2.85pt;width:161pt;height:93.55pt;z-index:251654656;visibility:visible;mso-position-horizontal-relative:text;mso-position-vertical-relative:text" wrapcoords="-100 0 -100 21427 21600 21427 21600 0 -100 0">
                  <v:imagedata r:id="rId14" o:title=""/>
                  <w10:wrap type="tight"/>
                </v:shape>
              </w:pic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9B03E8" w:rsidRDefault="00BD18D8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>
              <w:rPr>
                <w:noProof/>
                <w:sz w:val="22"/>
                <w:szCs w:val="22"/>
                <w:highlight w:val="lightGray"/>
              </w:rPr>
              <w:pict>
                <v:shape id="Grafik 16" o:spid="_x0000_s1031" type="#_x0000_t75" style="position:absolute;left:0;text-align:left;margin-left:-5.4pt;margin-top:2.85pt;width:161.15pt;height:93.55pt;z-index:251655680;visibility:visible;mso-position-horizontal-relative:text;mso-position-vertical-relative:text" wrapcoords="-100 0 -100 21427 21600 21427 21600 0 -100 0">
                  <v:imagedata r:id="rId15" o:title=""/>
                  <w10:wrap type="tight"/>
                </v:shape>
              </w:pict>
            </w:r>
          </w:p>
        </w:tc>
      </w:tr>
      <w:tr w:rsidR="00E143E2" w:rsidRPr="00F070D4" w:rsidTr="00F42777">
        <w:tc>
          <w:tcPr>
            <w:tcW w:w="4040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  <w:r w:rsidRPr="009B03E8">
              <w:rPr>
                <w:sz w:val="22"/>
                <w:szCs w:val="22"/>
                <w:highlight w:val="lightGray"/>
              </w:rPr>
              <w:t>5. Odstráňte gumový uzáver</w:t>
            </w:r>
          </w:p>
        </w:tc>
        <w:tc>
          <w:tcPr>
            <w:tcW w:w="227" w:type="dxa"/>
            <w:shd w:val="clear" w:color="auto" w:fill="auto"/>
          </w:tcPr>
          <w:p w:rsidR="00E143E2" w:rsidRPr="009B03E8" w:rsidRDefault="00E143E2" w:rsidP="00F42777">
            <w:pPr>
              <w:autoSpaceDE w:val="0"/>
              <w:autoSpaceDN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391" w:type="dxa"/>
            <w:shd w:val="clear" w:color="auto" w:fill="auto"/>
          </w:tcPr>
          <w:p w:rsidR="00E143E2" w:rsidRPr="00F070D4" w:rsidRDefault="00E143E2" w:rsidP="00F42777">
            <w:pPr>
              <w:autoSpaceDE w:val="0"/>
              <w:autoSpaceDN w:val="0"/>
              <w:rPr>
                <w:sz w:val="22"/>
                <w:szCs w:val="22"/>
              </w:rPr>
            </w:pPr>
            <w:r w:rsidRPr="009B03E8">
              <w:rPr>
                <w:sz w:val="22"/>
                <w:szCs w:val="22"/>
                <w:highlight w:val="lightGray"/>
              </w:rPr>
              <w:t>6. Vytlačte vzduch z injekčnej striekačky</w:t>
            </w:r>
          </w:p>
        </w:tc>
      </w:tr>
    </w:tbl>
    <w:p w:rsidR="00E143E2" w:rsidRPr="009B03E8" w:rsidRDefault="00E143E2" w:rsidP="00E143E2">
      <w:pPr>
        <w:keepNext/>
        <w:keepLines/>
        <w:autoSpaceDE w:val="0"/>
        <w:autoSpaceDN w:val="0"/>
        <w:rPr>
          <w:b/>
          <w:color w:val="000000"/>
          <w:sz w:val="22"/>
          <w:szCs w:val="22"/>
          <w:highlight w:val="darkGray"/>
        </w:rPr>
      </w:pPr>
      <w:bookmarkStart w:id="0" w:name="_GoBack"/>
      <w:bookmarkEnd w:id="0"/>
      <w:r w:rsidRPr="009B03E8">
        <w:rPr>
          <w:b/>
          <w:sz w:val="22"/>
          <w:szCs w:val="22"/>
          <w:highlight w:val="darkGray"/>
        </w:rPr>
        <w:lastRenderedPageBreak/>
        <w:t>Plastová naplnená injekčná striekačka:</w:t>
      </w:r>
    </w:p>
    <w:tbl>
      <w:tblPr>
        <w:tblW w:w="7614" w:type="dxa"/>
        <w:tblInd w:w="108" w:type="dxa"/>
        <w:tblLook w:val="04A0" w:firstRow="1" w:lastRow="0" w:firstColumn="1" w:lastColumn="0" w:noHBand="0" w:noVBand="1"/>
      </w:tblPr>
      <w:tblGrid>
        <w:gridCol w:w="3685"/>
        <w:gridCol w:w="284"/>
        <w:gridCol w:w="3645"/>
      </w:tblGrid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RUČNÉ PODANIE INJEKCIE</w: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PODANIE INJEKCIE POMOCOU  INJEKTORA</w: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ind w:right="-108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9" o:spid="_x0000_s1033" type="#_x0000_t75" alt="01" style="position:absolute;left:0;text-align:left;margin-left:-5.4pt;margin-top:.85pt;width:157.9pt;height:79.1pt;z-index:251657728;visibility:visible;mso-position-horizontal-relative:text;mso-position-vertical-relative:text" wrapcoords="-102 0 -102 21394 21600 21394 21600 0 -102 0">
                  <v:imagedata r:id="rId16" o:title="01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8" o:spid="_x0000_s1032" type="#_x0000_t75" alt="06" style="position:absolute;left:0;text-align:left;margin-left:-5.45pt;margin-top:.2pt;width:158pt;height:79pt;z-index:251656704;visibility:visible;mso-position-horizontal-relative:text;mso-position-vertical-relative:text" wrapcoords="-102 0 -102 21394 21600 21394 21600 0 -102 0">
                  <v:imagedata r:id="rId16" o:title="06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1. Otvorte balenie</w: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1. Otvorte balenie</w: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7" o:spid="_x0000_s1035" type="#_x0000_t75" alt="02" style="position:absolute;left:0;text-align:left;margin-left:-5.4pt;margin-top:.45pt;width:158pt;height:79pt;z-index:251659776;visibility:visible;mso-position-horizontal-relative:text;mso-position-vertical-relative:text" wrapcoords="-102 0 -102 21394 21600 21394 21600 0 -102 0">
                  <v:imagedata r:id="rId17" o:title="02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6" o:spid="_x0000_s1034" type="#_x0000_t75" alt="07" style="position:absolute;left:0;text-align:left;margin-left:-5.45pt;margin-top:.55pt;width:158pt;height:79pt;z-index:251658752;visibility:visible;mso-position-horizontal-relative:text;mso-position-vertical-relative:text" wrapcoords="-102 0 -102 21394 21600 21394 21600 0 -102 0">
                  <v:imagedata r:id="rId18" o:title="07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2. Vyberte injekčnú striekačku a piest z obalu</w: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2. Vyberte injekčnú striekačku z obalu</w: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5" o:spid="_x0000_s1037" type="#_x0000_t75" alt="03" style="position:absolute;left:0;text-align:left;margin-left:-5.4pt;margin-top:1pt;width:158.45pt;height:79.55pt;z-index:251661824;visibility:visible;mso-position-horizontal-relative:text;mso-position-vertical-relative:text" wrapcoords="-102 0 -102 21396 21600 21396 21600 0 -102 0">
                  <v:imagedata r:id="rId19" o:title="03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4" o:spid="_x0000_s1036" type="#_x0000_t75" alt="08" style="position:absolute;left:0;text-align:left;margin-left:-5.45pt;margin-top:1.05pt;width:158pt;height:79pt;z-index:251660800;visibility:visible;mso-position-horizontal-relative:text;mso-position-vertical-relative:text" wrapcoords="-102 0 -102 21394 21600 21394 21600 0 -102 0">
                  <v:imagedata r:id="rId20" o:title="08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 xml:space="preserve">3. Zasuňte piest do injekčnej striekačky otáčaním v smere hodinových ručičiek </w: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3. Odskrutkujte uzáver</w: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3" o:spid="_x0000_s1039" type="#_x0000_t75" alt="04" style="position:absolute;left:0;text-align:left;margin-left:-5.4pt;margin-top:0;width:158pt;height:79pt;z-index:251663872;visibility:visible;mso-position-horizontal-relative:text;mso-position-vertical-relative:text" wrapcoords="-102 0 -102 21394 21600 21394 21600 0 -102 0">
                  <v:imagedata r:id="rId21" o:title="04"/>
                  <w10:wrap type="tight"/>
                </v:shape>
              </w:pic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</w:p>
        </w:tc>
        <w:tc>
          <w:tcPr>
            <w:tcW w:w="364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2" o:spid="_x0000_s1038" type="#_x0000_t75" alt="09" style="position:absolute;left:0;text-align:left;margin-left:-5.45pt;margin-top:.15pt;width:158pt;height:79pt;z-index:251662848;visibility:visible;mso-position-horizontal-relative:text;mso-position-vertical-relative:text" wrapcoords="-102 0 -102 21394 21600 21394 21600 0 -102 0">
                  <v:imagedata r:id="rId22" o:title="09"/>
                  <w10:wrap type="tight"/>
                </v:shape>
              </w:pict>
            </w:r>
          </w:p>
        </w:tc>
      </w:tr>
      <w:tr w:rsidR="00E143E2" w:rsidRPr="009B03E8" w:rsidTr="00F42777">
        <w:tc>
          <w:tcPr>
            <w:tcW w:w="3685" w:type="dxa"/>
            <w:shd w:val="clear" w:color="auto" w:fill="auto"/>
          </w:tcPr>
          <w:p w:rsidR="00E143E2" w:rsidRPr="009B03E8" w:rsidRDefault="00BD18D8" w:rsidP="00F42777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 w:val="22"/>
                <w:szCs w:val="22"/>
                <w:highlight w:val="darkGray"/>
                <w:lang w:val="en-US" w:eastAsia="de-DE"/>
              </w:rPr>
            </w:pPr>
            <w:r>
              <w:rPr>
                <w:noProof/>
                <w:sz w:val="22"/>
                <w:szCs w:val="22"/>
                <w:highlight w:val="darkGray"/>
              </w:rPr>
              <w:pict>
                <v:shape id="Grafik 1" o:spid="_x0000_s1040" type="#_x0000_t75" alt="05" style="position:absolute;left:0;text-align:left;margin-left:-5.4pt;margin-top:25pt;width:158pt;height:79pt;z-index:251664896;visibility:visible;mso-position-horizontal-relative:text;mso-position-vertical-relative:text" wrapcoords="-102 0 -102 21394 21600 21394 21600 0 -102 0">
                  <v:imagedata r:id="rId23" o:title="05"/>
                  <w10:wrap type="tight"/>
                </v:shape>
              </w:pict>
            </w:r>
            <w:r w:rsidR="00E143E2" w:rsidRPr="009B03E8">
              <w:rPr>
                <w:rFonts w:eastAsia="Calibri"/>
                <w:sz w:val="22"/>
                <w:szCs w:val="22"/>
                <w:highlight w:val="darkGray"/>
              </w:rPr>
              <w:t>4. Odskrutkujte uzáver</w:t>
            </w:r>
          </w:p>
        </w:tc>
        <w:tc>
          <w:tcPr>
            <w:tcW w:w="284" w:type="dxa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 w:val="22"/>
                <w:szCs w:val="22"/>
                <w:highlight w:val="darkGray"/>
                <w:lang w:val="en-US" w:eastAsia="de-DE"/>
              </w:rPr>
            </w:pPr>
          </w:p>
        </w:tc>
        <w:tc>
          <w:tcPr>
            <w:tcW w:w="3645" w:type="dxa"/>
            <w:vMerge w:val="restart"/>
            <w:shd w:val="clear" w:color="auto" w:fill="auto"/>
          </w:tcPr>
          <w:p w:rsidR="00E143E2" w:rsidRPr="009B03E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sz w:val="22"/>
                <w:szCs w:val="22"/>
                <w:highlight w:val="darkGray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>4. Pripojte pripájací kužeľ injekčnej striekačky na hadičku injektora a pokračujte podľa pokynov výrobcu injektora</w:t>
            </w:r>
          </w:p>
        </w:tc>
      </w:tr>
      <w:tr w:rsidR="00E143E2" w:rsidRPr="009206A5" w:rsidTr="00F42777">
        <w:tc>
          <w:tcPr>
            <w:tcW w:w="3685" w:type="dxa"/>
            <w:shd w:val="clear" w:color="auto" w:fill="auto"/>
          </w:tcPr>
          <w:p w:rsidR="00E143E2" w:rsidRPr="00BF2BDD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sz w:val="22"/>
                <w:szCs w:val="22"/>
                <w:lang w:eastAsia="de-DE"/>
              </w:rPr>
            </w:pPr>
            <w:r w:rsidRPr="009B03E8">
              <w:rPr>
                <w:rFonts w:eastAsia="Calibri"/>
                <w:color w:val="000000"/>
                <w:sz w:val="22"/>
                <w:szCs w:val="22"/>
                <w:highlight w:val="darkGray"/>
              </w:rPr>
              <w:t xml:space="preserve">5. </w:t>
            </w:r>
            <w:r w:rsidRPr="009B03E8">
              <w:rPr>
                <w:sz w:val="22"/>
                <w:szCs w:val="22"/>
                <w:highlight w:val="darkGray"/>
              </w:rPr>
              <w:t>Vytlačte vzduch z injekčnej striekačky</w:t>
            </w:r>
          </w:p>
        </w:tc>
        <w:tc>
          <w:tcPr>
            <w:tcW w:w="284" w:type="dxa"/>
            <w:shd w:val="clear" w:color="auto" w:fill="auto"/>
          </w:tcPr>
          <w:p w:rsidR="00E143E2" w:rsidRPr="001970C9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  <w:noProof/>
                <w:lang w:eastAsia="de-DE"/>
              </w:rPr>
            </w:pPr>
          </w:p>
        </w:tc>
        <w:tc>
          <w:tcPr>
            <w:tcW w:w="3645" w:type="dxa"/>
            <w:vMerge/>
            <w:shd w:val="clear" w:color="auto" w:fill="auto"/>
          </w:tcPr>
          <w:p w:rsidR="00E143E2" w:rsidRPr="008C4508" w:rsidRDefault="00E143E2" w:rsidP="00F42777">
            <w:pPr>
              <w:keepNext/>
              <w:keepLines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E143E2" w:rsidRPr="008C1BE2" w:rsidRDefault="00E143E2" w:rsidP="00E143E2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CF4A2C" w:rsidRPr="003510C7" w:rsidRDefault="00CF4A2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3510C7" w:rsidRDefault="00CF4A2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lastRenderedPageBreak/>
        <w:t>Kontrastná látka, ktorá sa nepoužila pri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jednom vyšetrení, sa musí zlikvidovať.</w:t>
      </w:r>
    </w:p>
    <w:p w:rsidR="00613AB4" w:rsidRPr="003510C7" w:rsidRDefault="0074250C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noProof/>
          <w:sz w:val="22"/>
          <w:szCs w:val="22"/>
        </w:rPr>
        <w:t xml:space="preserve">Nepoužitý liek </w:t>
      </w:r>
      <w:r w:rsidRPr="003510C7">
        <w:rPr>
          <w:sz w:val="22"/>
          <w:szCs w:val="22"/>
        </w:rPr>
        <w:t xml:space="preserve">alebo odpad vzniknutý z lieku </w:t>
      </w:r>
      <w:r w:rsidRPr="003510C7">
        <w:rPr>
          <w:noProof/>
          <w:sz w:val="22"/>
          <w:szCs w:val="22"/>
        </w:rPr>
        <w:t>treba vrátiť do lekárne.</w:t>
      </w:r>
    </w:p>
    <w:p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3510C7" w:rsidRDefault="00613AB4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Čas použiteľnosti po prvom otvorení obalu:</w:t>
      </w:r>
    </w:p>
    <w:p w:rsidR="00613AB4" w:rsidRPr="00E31E81" w:rsidRDefault="00E91B21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I</w:t>
      </w:r>
      <w:r w:rsidR="00613AB4" w:rsidRPr="003510C7">
        <w:rPr>
          <w:sz w:val="22"/>
          <w:szCs w:val="22"/>
        </w:rPr>
        <w:t>njekčný roztok, ktorý sa nepoužil pri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vyšetrení, sa musí zlikvidovať. Chemická</w:t>
      </w:r>
      <w:r w:rsidR="00794F4C" w:rsidRPr="00E31E81">
        <w:rPr>
          <w:sz w:val="22"/>
          <w:szCs w:val="22"/>
        </w:rPr>
        <w:t>,</w:t>
      </w:r>
      <w:r w:rsidR="00613AB4" w:rsidRPr="00E31E81">
        <w:rPr>
          <w:sz w:val="22"/>
          <w:szCs w:val="22"/>
        </w:rPr>
        <w:t xml:space="preserve"> fyzikálna</w:t>
      </w:r>
      <w:r w:rsidR="00794F4C" w:rsidRPr="00E31E81">
        <w:rPr>
          <w:sz w:val="22"/>
          <w:szCs w:val="22"/>
        </w:rPr>
        <w:t xml:space="preserve"> a mikrobiologická</w:t>
      </w:r>
      <w:r w:rsidR="00613AB4" w:rsidRPr="00E31E81">
        <w:rPr>
          <w:sz w:val="22"/>
          <w:szCs w:val="22"/>
        </w:rPr>
        <w:t xml:space="preserve"> stabilita pri používaní bola preukázaná po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>dobu 24</w:t>
      </w:r>
      <w:r w:rsidR="00E57C90" w:rsidRPr="003510C7">
        <w:rPr>
          <w:sz w:val="22"/>
          <w:szCs w:val="22"/>
        </w:rPr>
        <w:t> </w:t>
      </w:r>
      <w:r w:rsidR="00613AB4" w:rsidRPr="00E31E81">
        <w:rPr>
          <w:sz w:val="22"/>
          <w:szCs w:val="22"/>
        </w:rPr>
        <w:t xml:space="preserve">hodín pri </w:t>
      </w:r>
      <w:r w:rsidR="004D04FD" w:rsidRPr="00E31E81">
        <w:rPr>
          <w:sz w:val="22"/>
          <w:szCs w:val="22"/>
        </w:rPr>
        <w:t>teplote</w:t>
      </w:r>
      <w:r w:rsidR="00E143E2">
        <w:rPr>
          <w:sz w:val="22"/>
          <w:szCs w:val="22"/>
        </w:rPr>
        <w:t xml:space="preserve"> </w:t>
      </w:r>
      <w:r w:rsidR="00794F4C" w:rsidRPr="00E31E81">
        <w:rPr>
          <w:sz w:val="22"/>
          <w:szCs w:val="22"/>
        </w:rPr>
        <w:t>20 – 25°C</w:t>
      </w:r>
      <w:r w:rsidR="00613AB4" w:rsidRPr="00E31E81">
        <w:rPr>
          <w:sz w:val="22"/>
          <w:szCs w:val="22"/>
        </w:rPr>
        <w:t xml:space="preserve">. </w:t>
      </w:r>
      <w:r w:rsidR="00613AB4" w:rsidRPr="003510C7">
        <w:rPr>
          <w:sz w:val="22"/>
          <w:szCs w:val="22"/>
        </w:rPr>
        <w:t>Z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mikrobiologického hľadiska sa má liek použiť okamžite. Ak nie je možné okamžité použitie, za</w:t>
      </w:r>
      <w:r w:rsidR="00E57C90" w:rsidRPr="003510C7">
        <w:rPr>
          <w:sz w:val="22"/>
          <w:szCs w:val="22"/>
        </w:rPr>
        <w:t> </w:t>
      </w:r>
      <w:r w:rsidR="00613AB4" w:rsidRPr="003510C7">
        <w:rPr>
          <w:sz w:val="22"/>
          <w:szCs w:val="22"/>
        </w:rPr>
        <w:t>dobu uskladnenia a podmienky skladovania zodpovedá používateľ</w:t>
      </w:r>
      <w:r w:rsidR="004F7ADC" w:rsidRPr="003510C7">
        <w:rPr>
          <w:sz w:val="22"/>
          <w:szCs w:val="22"/>
        </w:rPr>
        <w:t>.</w:t>
      </w:r>
    </w:p>
    <w:p w:rsidR="00613AB4" w:rsidRPr="00E31E81" w:rsidRDefault="00613AB4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13AB4" w:rsidRPr="00E31E81" w:rsidRDefault="00E71D7E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  <w:lang w:eastAsia="en-US"/>
        </w:rPr>
        <w:t>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  <w:lang w:eastAsia="en-US"/>
        </w:rPr>
        <w:t>záznam z vyšetrenia pacienta sa má nalepiť odlepovací označovací štítok z injekčných liekoviek/injekčných striekačiek/ fliaš, aby bolo možné presne zaznamenať, ktorá kontrastná látka obsahujúca gadolínium sa použila. Má sa zaznamenať aj použitá dávka.</w:t>
      </w:r>
      <w:r w:rsidR="00F82A70" w:rsidRPr="00E31E81">
        <w:rPr>
          <w:sz w:val="22"/>
          <w:szCs w:val="22"/>
        </w:rPr>
        <w:t xml:space="preserve"> </w:t>
      </w:r>
    </w:p>
    <w:p w:rsidR="00613AB4" w:rsidRPr="003510C7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Ak sa používa elektronická zdravotná dokumentácia, má sa do záznamu z vyšetrenia pacienta vložiť názov lieku, číslo šarže a použitá dávka.</w:t>
      </w:r>
    </w:p>
    <w:p w:rsidR="0081034D" w:rsidRPr="003510C7" w:rsidRDefault="0081034D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Dávkovanie</w:t>
      </w:r>
    </w:p>
    <w:p w:rsidR="006C540A" w:rsidRPr="003510C7" w:rsidRDefault="006C540A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03B6B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603B6B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:rsidR="00603B6B" w:rsidRPr="003510C7" w:rsidRDefault="00603B6B" w:rsidP="00F83339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sz w:val="22"/>
          <w:szCs w:val="22"/>
          <w:u w:val="single"/>
        </w:rPr>
      </w:pPr>
      <w:r w:rsidRPr="003510C7">
        <w:rPr>
          <w:i/>
          <w:sz w:val="22"/>
          <w:szCs w:val="22"/>
          <w:u w:val="single"/>
        </w:rPr>
        <w:t>Dospelí</w:t>
      </w:r>
    </w:p>
    <w:p w:rsidR="00FD6E88" w:rsidRPr="000E7F20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</w:p>
    <w:p w:rsidR="006C540A" w:rsidRPr="000E7F20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0E7F20">
        <w:rPr>
          <w:sz w:val="22"/>
          <w:szCs w:val="22"/>
          <w:u w:val="single"/>
        </w:rPr>
        <w:t>Indikácie pre CNS:</w:t>
      </w:r>
    </w:p>
    <w:p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Odporúčaná dávka pre dospelých je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mmolu na kilogram telesnej hmotnosti (mmol/kg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telesnej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hmotnosti). To zodpovedá 0,1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</w:t>
      </w:r>
      <w:r w:rsidR="00E57C90">
        <w:rPr>
          <w:sz w:val="22"/>
          <w:szCs w:val="22"/>
        </w:rPr>
        <w:t xml:space="preserve"> </w:t>
      </w:r>
      <w:r w:rsidR="00980C2D" w:rsidRPr="008C1BE2">
        <w:rPr>
          <w:sz w:val="22"/>
          <w:szCs w:val="22"/>
        </w:rPr>
        <w:t>1,0 mol/l</w:t>
      </w:r>
      <w:r w:rsidR="00E57C90" w:rsidRPr="00075902">
        <w:rPr>
          <w:sz w:val="22"/>
          <w:szCs w:val="22"/>
        </w:rPr>
        <w:t> </w:t>
      </w:r>
      <w:r w:rsidR="00980C2D" w:rsidRPr="008C1BE2">
        <w:rPr>
          <w:sz w:val="22"/>
          <w:szCs w:val="22"/>
        </w:rPr>
        <w:t>roztoku</w:t>
      </w:r>
      <w:r w:rsidRPr="008C1BE2">
        <w:rPr>
          <w:sz w:val="22"/>
          <w:szCs w:val="22"/>
        </w:rPr>
        <w:t>/kg telesnej hmotnosti.</w:t>
      </w:r>
    </w:p>
    <w:p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8C1BE2">
        <w:rPr>
          <w:sz w:val="22"/>
          <w:szCs w:val="22"/>
        </w:rPr>
        <w:t>Ak pretrváva výrazné klinické podozrenie na lézie napriek normálnemu výsledku MR</w:t>
      </w:r>
      <w:r w:rsidR="00603B6B">
        <w:rPr>
          <w:sz w:val="22"/>
          <w:szCs w:val="22"/>
        </w:rPr>
        <w:t>I</w:t>
      </w:r>
      <w:r w:rsidRPr="008C1BE2">
        <w:rPr>
          <w:sz w:val="22"/>
          <w:szCs w:val="22"/>
        </w:rPr>
        <w:t xml:space="preserve"> alebo ak by</w:t>
      </w:r>
      <w:r w:rsidR="00E57C90">
        <w:rPr>
          <w:sz w:val="22"/>
          <w:szCs w:val="22"/>
        </w:rPr>
        <w:t xml:space="preserve"> </w:t>
      </w:r>
      <w:r w:rsidRPr="008C1BE2">
        <w:rPr>
          <w:sz w:val="22"/>
          <w:szCs w:val="22"/>
        </w:rPr>
        <w:t>presnejšie informácie mohli ovplyvniť liečbu pacienta, môže sa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30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minút od prvej injekcie podať ďalšia injekcia až do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0,2</w:t>
      </w:r>
      <w:r w:rsidR="00E57C90" w:rsidRPr="00075902">
        <w:rPr>
          <w:sz w:val="22"/>
          <w:szCs w:val="22"/>
        </w:rPr>
        <w:t> </w:t>
      </w:r>
      <w:r w:rsidRPr="008C1BE2">
        <w:rPr>
          <w:sz w:val="22"/>
          <w:szCs w:val="22"/>
        </w:rPr>
        <w:t>ml/kg telesnej hmotnosti.</w:t>
      </w:r>
    </w:p>
    <w:p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3156C7" w:rsidRPr="0020689B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20689B">
        <w:rPr>
          <w:sz w:val="22"/>
          <w:szCs w:val="22"/>
          <w:u w:val="single"/>
        </w:rPr>
        <w:t>Zobrazovanie celého tela pomocou MR</w:t>
      </w:r>
      <w:r w:rsidR="00603B6B">
        <w:rPr>
          <w:sz w:val="22"/>
          <w:szCs w:val="22"/>
          <w:u w:val="single"/>
        </w:rPr>
        <w:t>I</w:t>
      </w:r>
      <w:r w:rsidRPr="0020689B">
        <w:rPr>
          <w:sz w:val="22"/>
          <w:szCs w:val="22"/>
          <w:u w:val="single"/>
        </w:rPr>
        <w:t xml:space="preserve"> (okrem MRA)</w:t>
      </w:r>
    </w:p>
    <w:p w:rsidR="003156C7" w:rsidRPr="000E7F20" w:rsidRDefault="003156C7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0E7F20">
        <w:rPr>
          <w:sz w:val="22"/>
          <w:szCs w:val="22"/>
        </w:rPr>
        <w:t>Na zodpovedanie klinickej otázky je vo všeobecnosti postačujúce podanie 0,1</w:t>
      </w:r>
      <w:r w:rsidR="00E57C90" w:rsidRPr="00075902">
        <w:rPr>
          <w:sz w:val="22"/>
          <w:szCs w:val="22"/>
        </w:rPr>
        <w:t> </w:t>
      </w:r>
      <w:r w:rsidRPr="000E7F20">
        <w:rPr>
          <w:sz w:val="22"/>
          <w:szCs w:val="22"/>
        </w:rPr>
        <w:t xml:space="preserve">ml Gadovistu na kilogram telesnej hmotnosti. </w:t>
      </w:r>
    </w:p>
    <w:p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  <w:u w:val="single"/>
        </w:rPr>
      </w:pPr>
      <w:r w:rsidRPr="003510C7">
        <w:rPr>
          <w:sz w:val="22"/>
          <w:szCs w:val="22"/>
          <w:u w:val="single"/>
        </w:rPr>
        <w:t>CE-MRA: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Zobrazenie 1 zorného poľa (FOV): 7,5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ml pre telesnú hmotnosť do</w:t>
      </w:r>
      <w:r w:rsidR="00E57C90" w:rsidRPr="003510C7">
        <w:rPr>
          <w:sz w:val="22"/>
          <w:szCs w:val="22"/>
        </w:rPr>
        <w:t> </w:t>
      </w:r>
      <w:r w:rsidRPr="003510C7">
        <w:rPr>
          <w:sz w:val="22"/>
          <w:szCs w:val="22"/>
        </w:rPr>
        <w:t>75 kg, 10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0,1 – 0,15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Zobrazenie &gt;1 zorného poľa (FOV): 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 pre telesnú hmotnosť 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75 kg,</w:t>
      </w:r>
      <w:r w:rsidR="00E57C90" w:rsidRPr="00E31E81">
        <w:rPr>
          <w:sz w:val="22"/>
          <w:szCs w:val="22"/>
        </w:rPr>
        <w:t xml:space="preserve">  </w:t>
      </w:r>
      <w:r w:rsidRPr="00E31E81">
        <w:rPr>
          <w:sz w:val="22"/>
          <w:szCs w:val="22"/>
        </w:rPr>
        <w:t>20 ml pre telesnú hmotnosť 75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kg a viac (čo zodpovedá 0,2 – 0,3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mmol/kg telesnej hmotnosti).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E31E81" w:rsidRDefault="00FD6E88" w:rsidP="002C475E">
      <w:pPr>
        <w:numPr>
          <w:ilvl w:val="0"/>
          <w:numId w:val="35"/>
        </w:numPr>
        <w:autoSpaceDE w:val="0"/>
        <w:autoSpaceDN w:val="0"/>
        <w:spacing w:line="260" w:lineRule="exact"/>
        <w:ind w:left="0" w:firstLine="0"/>
        <w:contextualSpacing/>
        <w:jc w:val="left"/>
        <w:rPr>
          <w:i/>
          <w:sz w:val="22"/>
          <w:szCs w:val="22"/>
          <w:u w:val="single"/>
        </w:rPr>
      </w:pPr>
      <w:r w:rsidRPr="00E31E81">
        <w:rPr>
          <w:i/>
          <w:sz w:val="22"/>
          <w:szCs w:val="22"/>
          <w:u w:val="single"/>
        </w:rPr>
        <w:t xml:space="preserve">Pediatrická </w:t>
      </w:r>
      <w:r w:rsidR="00BD032B" w:rsidRPr="00E31E81">
        <w:rPr>
          <w:i/>
          <w:sz w:val="22"/>
          <w:szCs w:val="22"/>
          <w:u w:val="single"/>
        </w:rPr>
        <w:t>populácia</w:t>
      </w:r>
    </w:p>
    <w:p w:rsidR="00FD6E88" w:rsidRPr="00E31E81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FD6E88" w:rsidRPr="003510C7" w:rsidRDefault="00FD6E88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 xml:space="preserve">Pre deti </w:t>
      </w:r>
      <w:r w:rsidR="00505F82" w:rsidRPr="00E31E81">
        <w:rPr>
          <w:sz w:val="22"/>
          <w:szCs w:val="22"/>
        </w:rPr>
        <w:t>každého veku (vrátane donosených novorodencov)</w:t>
      </w:r>
      <w:r w:rsidR="00343E8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 xml:space="preserve">sa pre všetky indikácie </w:t>
      </w:r>
      <w:r w:rsidR="00505F82" w:rsidRPr="00E31E81">
        <w:rPr>
          <w:sz w:val="22"/>
          <w:szCs w:val="22"/>
        </w:rPr>
        <w:t xml:space="preserve">(pozri časť 1) </w:t>
      </w:r>
      <w:r w:rsidRPr="00E31E81">
        <w:rPr>
          <w:sz w:val="22"/>
          <w:szCs w:val="22"/>
        </w:rPr>
        <w:t>odporúča dávka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mmol </w:t>
      </w:r>
      <w:r w:rsidR="00505F82" w:rsidRPr="00E31E81">
        <w:rPr>
          <w:sz w:val="22"/>
          <w:szCs w:val="22"/>
        </w:rPr>
        <w:t>gadobutrolu</w:t>
      </w:r>
      <w:r w:rsidRPr="00E31E81">
        <w:rPr>
          <w:sz w:val="22"/>
          <w:szCs w:val="22"/>
        </w:rPr>
        <w:t xml:space="preserve"> na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kilogram telesnej hmotnosti (zodpovedá 0,1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ml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Gadovistu na kilogram telesnej hmotnosti).</w:t>
      </w:r>
    </w:p>
    <w:p w:rsidR="00505F82" w:rsidRPr="00E31E81" w:rsidRDefault="00505F82" w:rsidP="00505F82">
      <w:pPr>
        <w:spacing w:line="260" w:lineRule="exact"/>
        <w:contextualSpacing/>
        <w:jc w:val="left"/>
        <w:rPr>
          <w:bCs/>
          <w:sz w:val="22"/>
          <w:szCs w:val="22"/>
        </w:rPr>
      </w:pPr>
    </w:p>
    <w:p w:rsidR="00FD6E88" w:rsidRPr="003510C7" w:rsidRDefault="00505F82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bCs/>
          <w:sz w:val="22"/>
          <w:szCs w:val="22"/>
        </w:rPr>
        <w:t xml:space="preserve">Z dôvodu nezrelej funkcie obličiek u novorodencov do 4.týždňa veku a dojčiat do 1 roku, sa má Gadovist použiť u týchto pacientov iba po starostlivom zvážení a dávka nesmie prekročiť 0,1 mmol/kg telesnej hmotnosti. Počas vyšetrenia sa nesmie použiť viac ako jedna dávka. Z dôvodu chýbajúcich informácií o </w:t>
      </w:r>
      <w:r w:rsidRPr="00E31E81">
        <w:rPr>
          <w:bCs/>
          <w:sz w:val="22"/>
          <w:szCs w:val="22"/>
        </w:rPr>
        <w:lastRenderedPageBreak/>
        <w:t>opakovanom podávaní sa injekcie Gadovistu nesmú opakovať pokiaľ nie je interval medzi injekciami minimálne 7 dní.</w:t>
      </w:r>
    </w:p>
    <w:p w:rsidR="004B0760" w:rsidRPr="003510C7" w:rsidRDefault="004B0760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3510C7" w:rsidRDefault="006C540A" w:rsidP="002C475E">
      <w:pPr>
        <w:autoSpaceDE w:val="0"/>
        <w:autoSpaceDN w:val="0"/>
        <w:spacing w:line="260" w:lineRule="exact"/>
        <w:contextualSpacing/>
        <w:jc w:val="left"/>
        <w:rPr>
          <w:b/>
          <w:sz w:val="22"/>
          <w:szCs w:val="22"/>
        </w:rPr>
      </w:pPr>
      <w:r w:rsidRPr="003510C7">
        <w:rPr>
          <w:b/>
          <w:sz w:val="22"/>
          <w:szCs w:val="22"/>
        </w:rPr>
        <w:t>Zobrazenie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3510C7">
        <w:rPr>
          <w:sz w:val="22"/>
          <w:szCs w:val="22"/>
        </w:rPr>
        <w:t>Požadovaná dávka sa podáva intravenózne ako bolusová injekcia. Vysokokontrastná MR</w:t>
      </w:r>
      <w:r w:rsidR="00603B6B">
        <w:rPr>
          <w:sz w:val="22"/>
          <w:szCs w:val="22"/>
        </w:rPr>
        <w:t>I</w:t>
      </w:r>
      <w:r w:rsidRPr="003510C7">
        <w:rPr>
          <w:sz w:val="22"/>
          <w:szCs w:val="22"/>
        </w:rPr>
        <w:t xml:space="preserve"> sa môže</w:t>
      </w:r>
      <w:r w:rsidR="002D1ADF" w:rsidRPr="003510C7">
        <w:rPr>
          <w:sz w:val="22"/>
          <w:szCs w:val="22"/>
        </w:rPr>
        <w:t xml:space="preserve"> </w:t>
      </w:r>
      <w:r w:rsidRPr="003510C7">
        <w:rPr>
          <w:sz w:val="22"/>
          <w:szCs w:val="22"/>
        </w:rPr>
        <w:t>vykonávať okamžite po</w:t>
      </w:r>
      <w:r w:rsidR="00E57C90" w:rsidRPr="003510C7">
        <w:rPr>
          <w:sz w:val="22"/>
          <w:szCs w:val="22"/>
        </w:rPr>
        <w:t> </w:t>
      </w:r>
      <w:r w:rsidRPr="00E31E81">
        <w:rPr>
          <w:sz w:val="22"/>
          <w:szCs w:val="22"/>
        </w:rPr>
        <w:t>podaní (krátko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injekčnom podaní v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závislosti od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použitých impulzných sekvencií a protokolu vyšetrenia).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Optimáln</w:t>
      </w:r>
      <w:r w:rsidR="002D1ADF" w:rsidRPr="00E31E81">
        <w:rPr>
          <w:sz w:val="22"/>
          <w:szCs w:val="22"/>
        </w:rPr>
        <w:t xml:space="preserve">e zosilnenie signálu </w:t>
      </w:r>
      <w:r w:rsidRPr="00E31E81">
        <w:rPr>
          <w:sz w:val="22"/>
          <w:szCs w:val="22"/>
        </w:rPr>
        <w:t xml:space="preserve">sa pozoruje </w:t>
      </w:r>
      <w:r w:rsidR="00385657" w:rsidRPr="00E31E81">
        <w:rPr>
          <w:sz w:val="22"/>
          <w:szCs w:val="22"/>
        </w:rPr>
        <w:t>pre</w:t>
      </w:r>
      <w:r w:rsidR="00E57C90" w:rsidRPr="00E31E81">
        <w:rPr>
          <w:sz w:val="22"/>
          <w:szCs w:val="22"/>
        </w:rPr>
        <w:t> </w:t>
      </w:r>
      <w:r w:rsidR="00385657" w:rsidRPr="00E31E81">
        <w:rPr>
          <w:sz w:val="22"/>
          <w:szCs w:val="22"/>
        </w:rPr>
        <w:t xml:space="preserve">CE-MRA </w:t>
      </w:r>
      <w:r w:rsidRPr="00E31E81">
        <w:rPr>
          <w:sz w:val="22"/>
          <w:szCs w:val="22"/>
        </w:rPr>
        <w:t xml:space="preserve">počas prvého arteriálneho prechodu a </w:t>
      </w:r>
      <w:r w:rsidR="00385657" w:rsidRPr="00E31E81">
        <w:rPr>
          <w:sz w:val="22"/>
          <w:szCs w:val="22"/>
        </w:rPr>
        <w:t xml:space="preserve">pri vyšetrení CNS </w:t>
      </w:r>
      <w:r w:rsidRPr="00E31E81">
        <w:rPr>
          <w:sz w:val="22"/>
          <w:szCs w:val="22"/>
        </w:rPr>
        <w:t>do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približne</w:t>
      </w:r>
      <w:r w:rsidR="002D1ADF" w:rsidRPr="00E31E81">
        <w:rPr>
          <w:sz w:val="22"/>
          <w:szCs w:val="22"/>
        </w:rPr>
        <w:t xml:space="preserve"> </w:t>
      </w:r>
      <w:r w:rsidRPr="00E31E81">
        <w:rPr>
          <w:sz w:val="22"/>
          <w:szCs w:val="22"/>
        </w:rPr>
        <w:t>15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minút po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 xml:space="preserve">injekcii Gadovistu (čas závisí od typu lézie/tkaniva). 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Na vyšetrenia so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zvýšeným kontrastom sú obzvlášť vhodné T1-vážené skenovacie sekvencie.</w:t>
      </w:r>
    </w:p>
    <w:p w:rsidR="006C540A" w:rsidRPr="00E31E81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</w:p>
    <w:p w:rsidR="006C540A" w:rsidRPr="008C1BE2" w:rsidRDefault="006C540A" w:rsidP="002C475E">
      <w:pPr>
        <w:autoSpaceDE w:val="0"/>
        <w:autoSpaceDN w:val="0"/>
        <w:spacing w:line="260" w:lineRule="exact"/>
        <w:contextualSpacing/>
        <w:jc w:val="left"/>
        <w:rPr>
          <w:sz w:val="22"/>
          <w:szCs w:val="22"/>
        </w:rPr>
      </w:pPr>
      <w:r w:rsidRPr="00E31E81">
        <w:rPr>
          <w:sz w:val="22"/>
          <w:szCs w:val="22"/>
        </w:rPr>
        <w:t>Ďalšie informácie o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používaní Gadovistu sú uvedené v časti</w:t>
      </w:r>
      <w:r w:rsidR="00E57C90" w:rsidRPr="00E31E81">
        <w:rPr>
          <w:sz w:val="22"/>
          <w:szCs w:val="22"/>
        </w:rPr>
        <w:t> </w:t>
      </w:r>
      <w:r w:rsidRPr="00E31E81">
        <w:rPr>
          <w:sz w:val="22"/>
          <w:szCs w:val="22"/>
        </w:rPr>
        <w:t>3 tejto písomnej informácie pre</w:t>
      </w:r>
      <w:r w:rsidR="00E57C90" w:rsidRPr="00E31E81">
        <w:rPr>
          <w:sz w:val="22"/>
          <w:szCs w:val="22"/>
        </w:rPr>
        <w:t> </w:t>
      </w:r>
      <w:r w:rsidR="007A1C17" w:rsidRPr="00E31E81">
        <w:rPr>
          <w:sz w:val="22"/>
          <w:szCs w:val="22"/>
        </w:rPr>
        <w:t>používateľa</w:t>
      </w:r>
      <w:r w:rsidRPr="00E31E81">
        <w:rPr>
          <w:sz w:val="22"/>
          <w:szCs w:val="22"/>
        </w:rPr>
        <w:t>.</w:t>
      </w:r>
    </w:p>
    <w:p w:rsidR="006C540A" w:rsidRPr="008C1BE2" w:rsidRDefault="006C540A" w:rsidP="002C475E">
      <w:pPr>
        <w:autoSpaceDE w:val="0"/>
        <w:autoSpaceDN w:val="0"/>
        <w:jc w:val="left"/>
        <w:rPr>
          <w:b/>
          <w:bCs/>
          <w:sz w:val="22"/>
          <w:szCs w:val="22"/>
        </w:rPr>
      </w:pPr>
    </w:p>
    <w:sectPr w:rsidR="006C540A" w:rsidRPr="008C1BE2" w:rsidSect="00FE69FF">
      <w:headerReference w:type="default" r:id="rId24"/>
      <w:footerReference w:type="default" r:id="rId25"/>
      <w:headerReference w:type="first" r:id="rId26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2F" w:rsidRDefault="00382A2F" w:rsidP="00A01EF4">
      <w:r>
        <w:separator/>
      </w:r>
    </w:p>
  </w:endnote>
  <w:endnote w:type="continuationSeparator" w:id="0">
    <w:p w:rsidR="00382A2F" w:rsidRDefault="00382A2F" w:rsidP="00A01EF4">
      <w:r>
        <w:continuationSeparator/>
      </w:r>
    </w:p>
  </w:endnote>
  <w:endnote w:type="continuationNotice" w:id="1">
    <w:p w:rsidR="00382A2F" w:rsidRDefault="00382A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F4" w:rsidRDefault="00A01EF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D18D8">
      <w:rPr>
        <w:noProof/>
      </w:rPr>
      <w:t>13</w:t>
    </w:r>
    <w:r>
      <w:fldChar w:fldCharType="end"/>
    </w:r>
  </w:p>
  <w:p w:rsidR="00A01EF4" w:rsidRDefault="00A01E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2F" w:rsidRDefault="00382A2F" w:rsidP="00A01EF4">
      <w:r>
        <w:separator/>
      </w:r>
    </w:p>
  </w:footnote>
  <w:footnote w:type="continuationSeparator" w:id="0">
    <w:p w:rsidR="00382A2F" w:rsidRDefault="00382A2F" w:rsidP="00A01EF4">
      <w:r>
        <w:continuationSeparator/>
      </w:r>
    </w:p>
  </w:footnote>
  <w:footnote w:type="continuationNotice" w:id="1">
    <w:p w:rsidR="00382A2F" w:rsidRDefault="00382A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D6" w:rsidRDefault="000C61D6" w:rsidP="00BD18D8">
    <w:pPr>
      <w:pStyle w:val="Hlavika"/>
      <w:tabs>
        <w:tab w:val="clear" w:pos="4536"/>
        <w:tab w:val="clear" w:pos="9072"/>
        <w:tab w:val="center" w:pos="4703"/>
      </w:tabs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2017/06504-ZIA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F3" w:rsidRDefault="00603B6B" w:rsidP="009B03E8">
    <w:pPr>
      <w:pStyle w:val="Hlavika"/>
      <w:spacing w:line="240" w:lineRule="auto"/>
    </w:pPr>
    <w:r w:rsidRPr="00603B6B">
      <w:rPr>
        <w:sz w:val="18"/>
        <w:szCs w:val="18"/>
      </w:rPr>
      <w:t>Pr</w:t>
    </w:r>
    <w:r>
      <w:rPr>
        <w:sz w:val="18"/>
        <w:szCs w:val="18"/>
      </w:rPr>
      <w:t>íloha č.2 k notifikácii o zmene, ev.č.: VS 7326084291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C0AC3"/>
    <w:multiLevelType w:val="hybridMultilevel"/>
    <w:tmpl w:val="00D09B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8D595E"/>
    <w:multiLevelType w:val="hybridMultilevel"/>
    <w:tmpl w:val="36E45104"/>
    <w:lvl w:ilvl="0" w:tplc="76F87A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1E845A1B"/>
    <w:multiLevelType w:val="hybridMultilevel"/>
    <w:tmpl w:val="1B726D2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A27FD"/>
    <w:multiLevelType w:val="hybridMultilevel"/>
    <w:tmpl w:val="800CD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F28C1"/>
    <w:multiLevelType w:val="hybridMultilevel"/>
    <w:tmpl w:val="68C0E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E56267"/>
    <w:multiLevelType w:val="hybridMultilevel"/>
    <w:tmpl w:val="C6B230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A41AF5"/>
    <w:multiLevelType w:val="hybridMultilevel"/>
    <w:tmpl w:val="E4AC4FC6"/>
    <w:lvl w:ilvl="0" w:tplc="20C6C81C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3AB908A9"/>
    <w:multiLevelType w:val="hybridMultilevel"/>
    <w:tmpl w:val="10E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378D9"/>
    <w:multiLevelType w:val="hybridMultilevel"/>
    <w:tmpl w:val="0486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86EA5"/>
    <w:multiLevelType w:val="hybridMultilevel"/>
    <w:tmpl w:val="E9F04FD4"/>
    <w:lvl w:ilvl="0" w:tplc="F84E4CD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BB2B43"/>
    <w:multiLevelType w:val="hybridMultilevel"/>
    <w:tmpl w:val="C6ECCBD6"/>
    <w:lvl w:ilvl="0" w:tplc="0407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FF5A67"/>
    <w:multiLevelType w:val="hybridMultilevel"/>
    <w:tmpl w:val="C0ACF7CC"/>
    <w:lvl w:ilvl="0" w:tplc="C088D0B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01FD6"/>
    <w:multiLevelType w:val="hybridMultilevel"/>
    <w:tmpl w:val="32649E52"/>
    <w:lvl w:ilvl="0" w:tplc="A8C416FA">
      <w:start w:val="4"/>
      <w:numFmt w:val="bullet"/>
      <w:lvlText w:val="-"/>
      <w:lvlJc w:val="left"/>
      <w:pPr>
        <w:tabs>
          <w:tab w:val="num" w:pos="1584"/>
        </w:tabs>
        <w:ind w:left="1584" w:hanging="43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>
    <w:nsid w:val="429A53E6"/>
    <w:multiLevelType w:val="hybridMultilevel"/>
    <w:tmpl w:val="DFB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06CC4"/>
    <w:multiLevelType w:val="hybridMultilevel"/>
    <w:tmpl w:val="CFBE2ECA"/>
    <w:lvl w:ilvl="0" w:tplc="A8C416FA">
      <w:start w:val="4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C726F"/>
    <w:multiLevelType w:val="hybridMultilevel"/>
    <w:tmpl w:val="C978BF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E65ED3"/>
    <w:multiLevelType w:val="hybridMultilevel"/>
    <w:tmpl w:val="FDB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D17DE"/>
    <w:multiLevelType w:val="hybridMultilevel"/>
    <w:tmpl w:val="C89CA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A61316"/>
    <w:multiLevelType w:val="hybridMultilevel"/>
    <w:tmpl w:val="E5F221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2F71E34"/>
    <w:multiLevelType w:val="hybridMultilevel"/>
    <w:tmpl w:val="FF0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40DF7"/>
    <w:multiLevelType w:val="hybridMultilevel"/>
    <w:tmpl w:val="6EFAD41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442513"/>
    <w:multiLevelType w:val="hybridMultilevel"/>
    <w:tmpl w:val="EC7E654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9A7CBD"/>
    <w:multiLevelType w:val="hybridMultilevel"/>
    <w:tmpl w:val="81D672B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DE0802"/>
    <w:multiLevelType w:val="hybridMultilevel"/>
    <w:tmpl w:val="6A8C0BE4"/>
    <w:lvl w:ilvl="0" w:tplc="81783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12257"/>
    <w:multiLevelType w:val="hybridMultilevel"/>
    <w:tmpl w:val="FF8415A0"/>
    <w:lvl w:ilvl="0" w:tplc="A8C416FA">
      <w:start w:val="4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1A665A"/>
    <w:multiLevelType w:val="hybridMultilevel"/>
    <w:tmpl w:val="A20654BC"/>
    <w:lvl w:ilvl="0" w:tplc="D3B8E6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9A78FA"/>
    <w:multiLevelType w:val="hybridMultilevel"/>
    <w:tmpl w:val="4392BA8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54C66"/>
    <w:multiLevelType w:val="hybridMultilevel"/>
    <w:tmpl w:val="797C1A1C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46C3755"/>
    <w:multiLevelType w:val="hybridMultilevel"/>
    <w:tmpl w:val="12F48DDA"/>
    <w:lvl w:ilvl="0" w:tplc="186C34A0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61E25BB"/>
    <w:multiLevelType w:val="hybridMultilevel"/>
    <w:tmpl w:val="4490ABA2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F727A9"/>
    <w:multiLevelType w:val="hybridMultilevel"/>
    <w:tmpl w:val="83A823FE"/>
    <w:lvl w:ilvl="0" w:tplc="C088D0B4">
      <w:start w:val="26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51484"/>
    <w:multiLevelType w:val="hybridMultilevel"/>
    <w:tmpl w:val="3F7CFAC2"/>
    <w:lvl w:ilvl="0" w:tplc="E05EF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2"/>
  </w:num>
  <w:num w:numId="4">
    <w:abstractNumId w:val="9"/>
  </w:num>
  <w:num w:numId="5">
    <w:abstractNumId w:val="37"/>
  </w:num>
  <w:num w:numId="6">
    <w:abstractNumId w:val="26"/>
  </w:num>
  <w:num w:numId="7">
    <w:abstractNumId w:val="36"/>
  </w:num>
  <w:num w:numId="8">
    <w:abstractNumId w:val="6"/>
  </w:num>
  <w:num w:numId="9">
    <w:abstractNumId w:val="5"/>
  </w:num>
  <w:num w:numId="10">
    <w:abstractNumId w:val="3"/>
  </w:num>
  <w:num w:numId="11">
    <w:abstractNumId w:val="30"/>
  </w:num>
  <w:num w:numId="12">
    <w:abstractNumId w:val="32"/>
  </w:num>
  <w:num w:numId="13">
    <w:abstractNumId w:val="29"/>
  </w:num>
  <w:num w:numId="14">
    <w:abstractNumId w:val="31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4"/>
  </w:num>
  <w:num w:numId="17">
    <w:abstractNumId w:val="17"/>
  </w:num>
  <w:num w:numId="18">
    <w:abstractNumId w:val="34"/>
  </w:num>
  <w:num w:numId="19">
    <w:abstractNumId w:val="16"/>
  </w:num>
  <w:num w:numId="20">
    <w:abstractNumId w:val="33"/>
  </w:num>
  <w:num w:numId="21">
    <w:abstractNumId w:val="35"/>
  </w:num>
  <w:num w:numId="22">
    <w:abstractNumId w:val="21"/>
  </w:num>
  <w:num w:numId="23">
    <w:abstractNumId w:val="19"/>
  </w:num>
  <w:num w:numId="24">
    <w:abstractNumId w:val="18"/>
  </w:num>
  <w:num w:numId="25">
    <w:abstractNumId w:val="24"/>
  </w:num>
  <w:num w:numId="26">
    <w:abstractNumId w:val="14"/>
  </w:num>
  <w:num w:numId="27">
    <w:abstractNumId w:val="23"/>
  </w:num>
  <w:num w:numId="28">
    <w:abstractNumId w:val="22"/>
  </w:num>
  <w:num w:numId="29">
    <w:abstractNumId w:val="13"/>
  </w:num>
  <w:num w:numId="30">
    <w:abstractNumId w:val="42"/>
  </w:num>
  <w:num w:numId="31">
    <w:abstractNumId w:val="10"/>
  </w:num>
  <w:num w:numId="32">
    <w:abstractNumId w:val="11"/>
  </w:num>
  <w:num w:numId="33">
    <w:abstractNumId w:val="25"/>
  </w:num>
  <w:num w:numId="34">
    <w:abstractNumId w:val="12"/>
  </w:num>
  <w:num w:numId="35">
    <w:abstractNumId w:val="20"/>
  </w:num>
  <w:num w:numId="36">
    <w:abstractNumId w:val="15"/>
  </w:num>
  <w:num w:numId="37">
    <w:abstractNumId w:val="39"/>
  </w:num>
  <w:num w:numId="38">
    <w:abstractNumId w:val="7"/>
  </w:num>
  <w:num w:numId="39">
    <w:abstractNumId w:val="40"/>
  </w:num>
  <w:num w:numId="40">
    <w:abstractNumId w:val="41"/>
  </w:num>
  <w:num w:numId="41">
    <w:abstractNumId w:val="27"/>
  </w:num>
  <w:num w:numId="42">
    <w:abstractNumId w:val="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40A"/>
    <w:rsid w:val="00004793"/>
    <w:rsid w:val="00022664"/>
    <w:rsid w:val="000237D9"/>
    <w:rsid w:val="00034494"/>
    <w:rsid w:val="00043F7D"/>
    <w:rsid w:val="00045B41"/>
    <w:rsid w:val="0005065C"/>
    <w:rsid w:val="000509B1"/>
    <w:rsid w:val="00052FA6"/>
    <w:rsid w:val="00053873"/>
    <w:rsid w:val="00055C95"/>
    <w:rsid w:val="00071192"/>
    <w:rsid w:val="00073E79"/>
    <w:rsid w:val="00084CC4"/>
    <w:rsid w:val="00094C84"/>
    <w:rsid w:val="000A7C24"/>
    <w:rsid w:val="000B37E9"/>
    <w:rsid w:val="000C61D6"/>
    <w:rsid w:val="000D593D"/>
    <w:rsid w:val="000D5E0C"/>
    <w:rsid w:val="000E00FB"/>
    <w:rsid w:val="000E7F20"/>
    <w:rsid w:val="000F69F2"/>
    <w:rsid w:val="0010410E"/>
    <w:rsid w:val="001175B1"/>
    <w:rsid w:val="00126232"/>
    <w:rsid w:val="00130013"/>
    <w:rsid w:val="00132755"/>
    <w:rsid w:val="001513A5"/>
    <w:rsid w:val="001641D9"/>
    <w:rsid w:val="00164FAB"/>
    <w:rsid w:val="00167D9F"/>
    <w:rsid w:val="00173657"/>
    <w:rsid w:val="0019236A"/>
    <w:rsid w:val="00192424"/>
    <w:rsid w:val="001A4B6F"/>
    <w:rsid w:val="001B0360"/>
    <w:rsid w:val="001D6291"/>
    <w:rsid w:val="001E700C"/>
    <w:rsid w:val="001F0239"/>
    <w:rsid w:val="001F3A30"/>
    <w:rsid w:val="001F78B0"/>
    <w:rsid w:val="00203A99"/>
    <w:rsid w:val="00203FA9"/>
    <w:rsid w:val="0020689B"/>
    <w:rsid w:val="00217ECD"/>
    <w:rsid w:val="00226761"/>
    <w:rsid w:val="00230800"/>
    <w:rsid w:val="00235540"/>
    <w:rsid w:val="002368F4"/>
    <w:rsid w:val="00257354"/>
    <w:rsid w:val="002607C7"/>
    <w:rsid w:val="00263DAC"/>
    <w:rsid w:val="00267449"/>
    <w:rsid w:val="002707AA"/>
    <w:rsid w:val="00280D35"/>
    <w:rsid w:val="002A4AA6"/>
    <w:rsid w:val="002B00C3"/>
    <w:rsid w:val="002C475E"/>
    <w:rsid w:val="002D1542"/>
    <w:rsid w:val="002D1ADF"/>
    <w:rsid w:val="002E06D8"/>
    <w:rsid w:val="00302286"/>
    <w:rsid w:val="003156C7"/>
    <w:rsid w:val="00320AFE"/>
    <w:rsid w:val="00322E16"/>
    <w:rsid w:val="003401E7"/>
    <w:rsid w:val="003413DD"/>
    <w:rsid w:val="00343E8F"/>
    <w:rsid w:val="003510C7"/>
    <w:rsid w:val="00354F9A"/>
    <w:rsid w:val="00363559"/>
    <w:rsid w:val="003726FC"/>
    <w:rsid w:val="00376407"/>
    <w:rsid w:val="00380930"/>
    <w:rsid w:val="00382A2F"/>
    <w:rsid w:val="00385657"/>
    <w:rsid w:val="003A0579"/>
    <w:rsid w:val="003B0252"/>
    <w:rsid w:val="003C2F9C"/>
    <w:rsid w:val="003C6F3E"/>
    <w:rsid w:val="003D2924"/>
    <w:rsid w:val="003D46D0"/>
    <w:rsid w:val="003E136A"/>
    <w:rsid w:val="003E211D"/>
    <w:rsid w:val="004025B1"/>
    <w:rsid w:val="00420F3D"/>
    <w:rsid w:val="004232A1"/>
    <w:rsid w:val="0043063B"/>
    <w:rsid w:val="00440F21"/>
    <w:rsid w:val="0045256C"/>
    <w:rsid w:val="00457777"/>
    <w:rsid w:val="0046594E"/>
    <w:rsid w:val="0047215D"/>
    <w:rsid w:val="00474842"/>
    <w:rsid w:val="0049307C"/>
    <w:rsid w:val="004B0760"/>
    <w:rsid w:val="004B30BC"/>
    <w:rsid w:val="004B7DE4"/>
    <w:rsid w:val="004C3EBC"/>
    <w:rsid w:val="004C6CF4"/>
    <w:rsid w:val="004D04FD"/>
    <w:rsid w:val="004D5A7F"/>
    <w:rsid w:val="004E22B5"/>
    <w:rsid w:val="004E2355"/>
    <w:rsid w:val="004E2E8E"/>
    <w:rsid w:val="004F7ADC"/>
    <w:rsid w:val="0050209F"/>
    <w:rsid w:val="00504A82"/>
    <w:rsid w:val="00505F82"/>
    <w:rsid w:val="005157BD"/>
    <w:rsid w:val="0052046E"/>
    <w:rsid w:val="00522E26"/>
    <w:rsid w:val="005366DC"/>
    <w:rsid w:val="00540EAF"/>
    <w:rsid w:val="00544F8B"/>
    <w:rsid w:val="00561892"/>
    <w:rsid w:val="00564D9C"/>
    <w:rsid w:val="005700CB"/>
    <w:rsid w:val="00576E9D"/>
    <w:rsid w:val="00577696"/>
    <w:rsid w:val="005871A4"/>
    <w:rsid w:val="00590A3D"/>
    <w:rsid w:val="00591D34"/>
    <w:rsid w:val="005A17C8"/>
    <w:rsid w:val="005B16B4"/>
    <w:rsid w:val="005C27E3"/>
    <w:rsid w:val="005C55DB"/>
    <w:rsid w:val="005C72F3"/>
    <w:rsid w:val="005D1C84"/>
    <w:rsid w:val="005D53A8"/>
    <w:rsid w:val="005D6AC5"/>
    <w:rsid w:val="005E0144"/>
    <w:rsid w:val="005E726F"/>
    <w:rsid w:val="00603B6B"/>
    <w:rsid w:val="006053E4"/>
    <w:rsid w:val="00613735"/>
    <w:rsid w:val="00613AB4"/>
    <w:rsid w:val="00620C5B"/>
    <w:rsid w:val="00637657"/>
    <w:rsid w:val="00637DAC"/>
    <w:rsid w:val="00650EA5"/>
    <w:rsid w:val="006531A8"/>
    <w:rsid w:val="00664CF9"/>
    <w:rsid w:val="006771CB"/>
    <w:rsid w:val="006827F0"/>
    <w:rsid w:val="006B257D"/>
    <w:rsid w:val="006B4081"/>
    <w:rsid w:val="006C540A"/>
    <w:rsid w:val="006D490B"/>
    <w:rsid w:val="006D7861"/>
    <w:rsid w:val="00706F8F"/>
    <w:rsid w:val="00711B1E"/>
    <w:rsid w:val="00713F24"/>
    <w:rsid w:val="007203CD"/>
    <w:rsid w:val="00723211"/>
    <w:rsid w:val="007300DB"/>
    <w:rsid w:val="00732E8E"/>
    <w:rsid w:val="0074250C"/>
    <w:rsid w:val="007505E8"/>
    <w:rsid w:val="00755B29"/>
    <w:rsid w:val="00764063"/>
    <w:rsid w:val="0076574D"/>
    <w:rsid w:val="007732F4"/>
    <w:rsid w:val="00773358"/>
    <w:rsid w:val="00781EF3"/>
    <w:rsid w:val="007825D4"/>
    <w:rsid w:val="00785A9A"/>
    <w:rsid w:val="00794F4C"/>
    <w:rsid w:val="007A1C17"/>
    <w:rsid w:val="007C75FC"/>
    <w:rsid w:val="007E0B26"/>
    <w:rsid w:val="007F04F7"/>
    <w:rsid w:val="008023A3"/>
    <w:rsid w:val="00804994"/>
    <w:rsid w:val="0081034D"/>
    <w:rsid w:val="00824574"/>
    <w:rsid w:val="00830BA4"/>
    <w:rsid w:val="00835451"/>
    <w:rsid w:val="00841EB0"/>
    <w:rsid w:val="00842AB9"/>
    <w:rsid w:val="00861368"/>
    <w:rsid w:val="00861A89"/>
    <w:rsid w:val="00863E3C"/>
    <w:rsid w:val="00872E73"/>
    <w:rsid w:val="00881ACC"/>
    <w:rsid w:val="008B5FE0"/>
    <w:rsid w:val="008C1BE2"/>
    <w:rsid w:val="008D1ECC"/>
    <w:rsid w:val="008E7472"/>
    <w:rsid w:val="008F2417"/>
    <w:rsid w:val="00901142"/>
    <w:rsid w:val="00921C6D"/>
    <w:rsid w:val="00925EFB"/>
    <w:rsid w:val="0093407F"/>
    <w:rsid w:val="00934F55"/>
    <w:rsid w:val="00935A06"/>
    <w:rsid w:val="00937682"/>
    <w:rsid w:val="00941A7D"/>
    <w:rsid w:val="0094732F"/>
    <w:rsid w:val="00950234"/>
    <w:rsid w:val="009707B7"/>
    <w:rsid w:val="00976FE5"/>
    <w:rsid w:val="00977C1D"/>
    <w:rsid w:val="00980C2D"/>
    <w:rsid w:val="00985216"/>
    <w:rsid w:val="009A34B7"/>
    <w:rsid w:val="009A782F"/>
    <w:rsid w:val="009B03E8"/>
    <w:rsid w:val="009B56C9"/>
    <w:rsid w:val="009C6ECF"/>
    <w:rsid w:val="009E101F"/>
    <w:rsid w:val="009E4789"/>
    <w:rsid w:val="009F71C7"/>
    <w:rsid w:val="00A01EF4"/>
    <w:rsid w:val="00A170D5"/>
    <w:rsid w:val="00A2493A"/>
    <w:rsid w:val="00A313F4"/>
    <w:rsid w:val="00A46FB0"/>
    <w:rsid w:val="00A5252E"/>
    <w:rsid w:val="00A52E17"/>
    <w:rsid w:val="00A5531A"/>
    <w:rsid w:val="00A61393"/>
    <w:rsid w:val="00A86E25"/>
    <w:rsid w:val="00AA5F14"/>
    <w:rsid w:val="00AB4A6A"/>
    <w:rsid w:val="00AC6B21"/>
    <w:rsid w:val="00AC6F5B"/>
    <w:rsid w:val="00AE529B"/>
    <w:rsid w:val="00AF36F8"/>
    <w:rsid w:val="00AF5DDB"/>
    <w:rsid w:val="00B0167F"/>
    <w:rsid w:val="00B01B3F"/>
    <w:rsid w:val="00B1136C"/>
    <w:rsid w:val="00B141D8"/>
    <w:rsid w:val="00B47F6C"/>
    <w:rsid w:val="00B5577E"/>
    <w:rsid w:val="00B77887"/>
    <w:rsid w:val="00B87022"/>
    <w:rsid w:val="00B9055C"/>
    <w:rsid w:val="00B91635"/>
    <w:rsid w:val="00B9355B"/>
    <w:rsid w:val="00B9510A"/>
    <w:rsid w:val="00BB2CFE"/>
    <w:rsid w:val="00BC3FE7"/>
    <w:rsid w:val="00BD032B"/>
    <w:rsid w:val="00BD0906"/>
    <w:rsid w:val="00BD18D8"/>
    <w:rsid w:val="00BD6A8D"/>
    <w:rsid w:val="00C04B4D"/>
    <w:rsid w:val="00C1090C"/>
    <w:rsid w:val="00C14FB3"/>
    <w:rsid w:val="00C1598E"/>
    <w:rsid w:val="00C23D05"/>
    <w:rsid w:val="00C37C27"/>
    <w:rsid w:val="00C37E5B"/>
    <w:rsid w:val="00C43F9D"/>
    <w:rsid w:val="00C44663"/>
    <w:rsid w:val="00C473EA"/>
    <w:rsid w:val="00C6066B"/>
    <w:rsid w:val="00C71680"/>
    <w:rsid w:val="00C74940"/>
    <w:rsid w:val="00C777C4"/>
    <w:rsid w:val="00C83324"/>
    <w:rsid w:val="00C970B5"/>
    <w:rsid w:val="00CB3B62"/>
    <w:rsid w:val="00CC2DF3"/>
    <w:rsid w:val="00CC5E50"/>
    <w:rsid w:val="00CD1F95"/>
    <w:rsid w:val="00CD2D24"/>
    <w:rsid w:val="00CD3028"/>
    <w:rsid w:val="00CD59D6"/>
    <w:rsid w:val="00CF2162"/>
    <w:rsid w:val="00CF4A2C"/>
    <w:rsid w:val="00D2512E"/>
    <w:rsid w:val="00D25FC1"/>
    <w:rsid w:val="00D3295C"/>
    <w:rsid w:val="00D57E3A"/>
    <w:rsid w:val="00D862E1"/>
    <w:rsid w:val="00D8653F"/>
    <w:rsid w:val="00DF6518"/>
    <w:rsid w:val="00E06C7C"/>
    <w:rsid w:val="00E13E3E"/>
    <w:rsid w:val="00E143E2"/>
    <w:rsid w:val="00E16A86"/>
    <w:rsid w:val="00E17271"/>
    <w:rsid w:val="00E20412"/>
    <w:rsid w:val="00E208F3"/>
    <w:rsid w:val="00E22058"/>
    <w:rsid w:val="00E31BED"/>
    <w:rsid w:val="00E31E81"/>
    <w:rsid w:val="00E431B0"/>
    <w:rsid w:val="00E502FD"/>
    <w:rsid w:val="00E51A9B"/>
    <w:rsid w:val="00E57C90"/>
    <w:rsid w:val="00E637BB"/>
    <w:rsid w:val="00E64EE8"/>
    <w:rsid w:val="00E71D7E"/>
    <w:rsid w:val="00E737C4"/>
    <w:rsid w:val="00E86E59"/>
    <w:rsid w:val="00E91B21"/>
    <w:rsid w:val="00E93FAB"/>
    <w:rsid w:val="00E97D28"/>
    <w:rsid w:val="00EA0694"/>
    <w:rsid w:val="00EC75AB"/>
    <w:rsid w:val="00ED1312"/>
    <w:rsid w:val="00ED21AD"/>
    <w:rsid w:val="00ED77EB"/>
    <w:rsid w:val="00EF2E16"/>
    <w:rsid w:val="00F01246"/>
    <w:rsid w:val="00F01AB6"/>
    <w:rsid w:val="00F0491E"/>
    <w:rsid w:val="00F16B80"/>
    <w:rsid w:val="00F354B3"/>
    <w:rsid w:val="00F4271C"/>
    <w:rsid w:val="00F42777"/>
    <w:rsid w:val="00F42FA1"/>
    <w:rsid w:val="00F72A02"/>
    <w:rsid w:val="00F81A27"/>
    <w:rsid w:val="00F82A70"/>
    <w:rsid w:val="00F83339"/>
    <w:rsid w:val="00F841EA"/>
    <w:rsid w:val="00F90BD5"/>
    <w:rsid w:val="00F957A1"/>
    <w:rsid w:val="00FA4BA2"/>
    <w:rsid w:val="00FA6A38"/>
    <w:rsid w:val="00FC58A1"/>
    <w:rsid w:val="00FD6E88"/>
    <w:rsid w:val="00FE4392"/>
    <w:rsid w:val="00FE69FF"/>
    <w:rsid w:val="00FE7EB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outlineLvl w:val="0"/>
    </w:pPr>
    <w:rPr>
      <w:b/>
      <w:bCs/>
      <w:sz w:val="22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22"/>
      <w:szCs w:val="21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y"/>
    <w:pPr>
      <w:autoSpaceDE w:val="0"/>
      <w:autoSpaceDN w:val="0"/>
    </w:pPr>
    <w:rPr>
      <w:sz w:val="22"/>
      <w:szCs w:val="21"/>
    </w:rPr>
  </w:style>
  <w:style w:type="paragraph" w:customStyle="1" w:styleId="Para0s">
    <w:name w:val="Para:0:s"/>
    <w:basedOn w:val="Normlny"/>
    <w:link w:val="Para0sZchn"/>
    <w:rsid w:val="00713F24"/>
    <w:pPr>
      <w:spacing w:after="220"/>
    </w:pPr>
    <w:rPr>
      <w:szCs w:val="20"/>
      <w:lang w:val="en-US" w:eastAsia="de-DE"/>
    </w:rPr>
  </w:style>
  <w:style w:type="paragraph" w:customStyle="1" w:styleId="Smalltext100">
    <w:name w:val="Smalltext10:0"/>
    <w:basedOn w:val="Normlny"/>
    <w:rsid w:val="00713F24"/>
    <w:rPr>
      <w:sz w:val="20"/>
      <w:szCs w:val="20"/>
      <w:lang w:val="en-US" w:eastAsia="de-DE"/>
    </w:rPr>
  </w:style>
  <w:style w:type="character" w:customStyle="1" w:styleId="Para0sZchn">
    <w:name w:val="Para:0:s Zchn"/>
    <w:link w:val="Para0s"/>
    <w:locked/>
    <w:rsid w:val="00713F24"/>
    <w:rPr>
      <w:sz w:val="24"/>
      <w:lang w:eastAsia="de-DE"/>
    </w:rPr>
  </w:style>
  <w:style w:type="paragraph" w:styleId="Textbubliny">
    <w:name w:val="Balloon Text"/>
    <w:basedOn w:val="Normlny"/>
    <w:link w:val="TextbublinyChar"/>
    <w:rsid w:val="00402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5B1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055C95"/>
    <w:rPr>
      <w:color w:val="0000FF"/>
      <w:u w:val="single"/>
    </w:rPr>
  </w:style>
  <w:style w:type="paragraph" w:styleId="Hlavika">
    <w:name w:val="header"/>
    <w:basedOn w:val="Normlny"/>
    <w:link w:val="HlavikaChar"/>
    <w:rsid w:val="00A0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01EF4"/>
    <w:rPr>
      <w:sz w:val="24"/>
      <w:szCs w:val="24"/>
    </w:rPr>
  </w:style>
  <w:style w:type="character" w:customStyle="1" w:styleId="PtaChar">
    <w:name w:val="Päta Char"/>
    <w:link w:val="Pta"/>
    <w:uiPriority w:val="99"/>
    <w:rsid w:val="00A01EF4"/>
  </w:style>
  <w:style w:type="paragraph" w:styleId="truktradokumentu">
    <w:name w:val="Document Map"/>
    <w:basedOn w:val="Normlny"/>
    <w:semiHidden/>
    <w:rsid w:val="00E208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8C1BE2"/>
    <w:rPr>
      <w:sz w:val="24"/>
      <w:szCs w:val="24"/>
    </w:rPr>
  </w:style>
  <w:style w:type="character" w:styleId="Odkaznakomentr">
    <w:name w:val="annotation reference"/>
    <w:rsid w:val="0030228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2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2286"/>
  </w:style>
  <w:style w:type="paragraph" w:styleId="Predmetkomentra">
    <w:name w:val="annotation subject"/>
    <w:basedOn w:val="Textkomentra"/>
    <w:next w:val="Textkomentra"/>
    <w:link w:val="PredmetkomentraChar"/>
    <w:rsid w:val="00302286"/>
    <w:rPr>
      <w:b/>
      <w:bCs/>
    </w:rPr>
  </w:style>
  <w:style w:type="character" w:customStyle="1" w:styleId="PredmetkomentraChar">
    <w:name w:val="Predmet komentára Char"/>
    <w:link w:val="Predmetkomentra"/>
    <w:rsid w:val="00302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1BD1-56E4-4CB7-A548-876572F1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3523</Words>
  <Characters>20086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Bayer</Company>
  <LinksUpToDate>false</LinksUpToDate>
  <CharactersWithSpaces>23562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a</dc:creator>
  <cp:lastModifiedBy>Skladaná, Judita</cp:lastModifiedBy>
  <cp:revision>2</cp:revision>
  <cp:lastPrinted>2015-02-03T15:35:00Z</cp:lastPrinted>
  <dcterms:created xsi:type="dcterms:W3CDTF">2018-03-15T13:19:00Z</dcterms:created>
  <dcterms:modified xsi:type="dcterms:W3CDTF">2018-03-15T13:19:00Z</dcterms:modified>
</cp:coreProperties>
</file>