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18" w:rsidRPr="00652ED2" w:rsidRDefault="005F2CBD" w:rsidP="00194B27">
      <w:pPr>
        <w:spacing w:after="0"/>
        <w:jc w:val="center"/>
        <w:rPr>
          <w:sz w:val="22"/>
          <w:szCs w:val="22"/>
        </w:rPr>
      </w:pPr>
      <w:r w:rsidRPr="00652ED2">
        <w:rPr>
          <w:b/>
          <w:bCs/>
          <w:noProof/>
          <w:sz w:val="22"/>
          <w:szCs w:val="22"/>
        </w:rPr>
        <w:t>Písomná informácia pre používateľa</w:t>
      </w:r>
    </w:p>
    <w:p w:rsidR="00467218" w:rsidRPr="00652ED2" w:rsidRDefault="00467218" w:rsidP="00194B27">
      <w:pPr>
        <w:spacing w:after="0"/>
        <w:jc w:val="center"/>
        <w:rPr>
          <w:sz w:val="22"/>
          <w:szCs w:val="22"/>
        </w:rPr>
      </w:pPr>
    </w:p>
    <w:p w:rsidR="000B69B0" w:rsidRPr="00652ED2" w:rsidRDefault="00824837" w:rsidP="00194B27">
      <w:pPr>
        <w:spacing w:after="0"/>
        <w:jc w:val="center"/>
        <w:rPr>
          <w:b/>
          <w:sz w:val="22"/>
          <w:szCs w:val="22"/>
        </w:rPr>
      </w:pPr>
      <w:r w:rsidRPr="00652ED2">
        <w:rPr>
          <w:b/>
          <w:sz w:val="22"/>
          <w:szCs w:val="22"/>
        </w:rPr>
        <w:t>Ibalgin Junior</w:t>
      </w:r>
    </w:p>
    <w:p w:rsidR="005F2CBD" w:rsidRPr="00652ED2" w:rsidRDefault="005F2CBD" w:rsidP="00194B27">
      <w:pPr>
        <w:spacing w:after="0"/>
        <w:jc w:val="center"/>
        <w:rPr>
          <w:sz w:val="22"/>
          <w:szCs w:val="22"/>
        </w:rPr>
      </w:pPr>
    </w:p>
    <w:p w:rsidR="00467218" w:rsidRPr="00652ED2" w:rsidRDefault="00D91856" w:rsidP="00194B27">
      <w:pPr>
        <w:spacing w:after="0"/>
        <w:jc w:val="center"/>
        <w:rPr>
          <w:sz w:val="22"/>
          <w:szCs w:val="22"/>
        </w:rPr>
      </w:pPr>
      <w:r w:rsidRPr="00652ED2">
        <w:rPr>
          <w:sz w:val="22"/>
          <w:szCs w:val="22"/>
        </w:rPr>
        <w:t>200</w:t>
      </w:r>
      <w:r w:rsidR="00350DE1" w:rsidRPr="00652ED2">
        <w:rPr>
          <w:sz w:val="22"/>
          <w:szCs w:val="22"/>
        </w:rPr>
        <w:t xml:space="preserve"> </w:t>
      </w:r>
      <w:r w:rsidRPr="00652ED2">
        <w:rPr>
          <w:sz w:val="22"/>
          <w:szCs w:val="22"/>
        </w:rPr>
        <w:t>mg/5</w:t>
      </w:r>
      <w:r w:rsidR="00350DE1" w:rsidRPr="00652ED2">
        <w:rPr>
          <w:sz w:val="22"/>
          <w:szCs w:val="22"/>
        </w:rPr>
        <w:t xml:space="preserve"> </w:t>
      </w:r>
      <w:r w:rsidRPr="00652ED2">
        <w:rPr>
          <w:sz w:val="22"/>
          <w:szCs w:val="22"/>
        </w:rPr>
        <w:t>ml</w:t>
      </w:r>
      <w:r w:rsidR="00467218" w:rsidRPr="00652ED2">
        <w:rPr>
          <w:sz w:val="22"/>
          <w:szCs w:val="22"/>
        </w:rPr>
        <w:t xml:space="preserve"> </w:t>
      </w:r>
      <w:r w:rsidR="005F2CBD" w:rsidRPr="00652ED2">
        <w:rPr>
          <w:sz w:val="22"/>
          <w:szCs w:val="22"/>
        </w:rPr>
        <w:t>per</w:t>
      </w:r>
      <w:r w:rsidR="00467218" w:rsidRPr="00652ED2">
        <w:rPr>
          <w:sz w:val="22"/>
          <w:szCs w:val="22"/>
        </w:rPr>
        <w:t>or</w:t>
      </w:r>
      <w:r w:rsidR="005F2CBD" w:rsidRPr="00652ED2">
        <w:rPr>
          <w:sz w:val="22"/>
          <w:szCs w:val="22"/>
        </w:rPr>
        <w:t>á</w:t>
      </w:r>
      <w:r w:rsidR="00467218" w:rsidRPr="00652ED2">
        <w:rPr>
          <w:sz w:val="22"/>
          <w:szCs w:val="22"/>
        </w:rPr>
        <w:t>l</w:t>
      </w:r>
      <w:r w:rsidR="005F2CBD" w:rsidRPr="00652ED2">
        <w:rPr>
          <w:sz w:val="22"/>
          <w:szCs w:val="22"/>
        </w:rPr>
        <w:t>na</w:t>
      </w:r>
      <w:r w:rsidR="00467218" w:rsidRPr="00652ED2">
        <w:rPr>
          <w:sz w:val="22"/>
          <w:szCs w:val="22"/>
        </w:rPr>
        <w:t xml:space="preserve"> suspen</w:t>
      </w:r>
      <w:r w:rsidR="005F2CBD" w:rsidRPr="00652ED2">
        <w:rPr>
          <w:sz w:val="22"/>
          <w:szCs w:val="22"/>
        </w:rPr>
        <w:t>zia</w:t>
      </w:r>
    </w:p>
    <w:p w:rsidR="00467218" w:rsidRPr="00652ED2" w:rsidRDefault="00D25971" w:rsidP="00194B27">
      <w:pPr>
        <w:spacing w:after="0"/>
        <w:jc w:val="center"/>
        <w:rPr>
          <w:sz w:val="22"/>
          <w:szCs w:val="22"/>
        </w:rPr>
      </w:pPr>
      <w:r w:rsidRPr="00652ED2">
        <w:rPr>
          <w:sz w:val="22"/>
          <w:szCs w:val="22"/>
        </w:rPr>
        <w:t>ibuprofén</w:t>
      </w:r>
    </w:p>
    <w:p w:rsidR="002E3047" w:rsidRPr="00652ED2" w:rsidRDefault="002E3047" w:rsidP="00005545">
      <w:pPr>
        <w:spacing w:after="0"/>
        <w:jc w:val="left"/>
        <w:rPr>
          <w:sz w:val="22"/>
          <w:szCs w:val="22"/>
        </w:rPr>
      </w:pPr>
    </w:p>
    <w:p w:rsidR="004C0BC4" w:rsidRPr="00652ED2" w:rsidRDefault="004C0BC4" w:rsidP="00005545">
      <w:pPr>
        <w:spacing w:after="0"/>
        <w:jc w:val="left"/>
        <w:rPr>
          <w:sz w:val="22"/>
          <w:szCs w:val="22"/>
        </w:rPr>
      </w:pPr>
    </w:p>
    <w:p w:rsidR="005F2CBD" w:rsidRPr="00652ED2" w:rsidRDefault="005F2CBD" w:rsidP="0098748E">
      <w:pPr>
        <w:numPr>
          <w:ilvl w:val="12"/>
          <w:numId w:val="0"/>
        </w:numPr>
        <w:ind w:right="-2"/>
        <w:jc w:val="left"/>
        <w:rPr>
          <w:noProof/>
          <w:sz w:val="22"/>
          <w:szCs w:val="22"/>
        </w:rPr>
      </w:pPr>
      <w:r w:rsidRPr="00652ED2">
        <w:rPr>
          <w:b/>
          <w:bCs/>
          <w:noProof/>
          <w:sz w:val="22"/>
          <w:szCs w:val="22"/>
        </w:rPr>
        <w:t>Pozorne si prečítajte</w:t>
      </w:r>
      <w:r w:rsidRPr="00652ED2">
        <w:rPr>
          <w:noProof/>
          <w:sz w:val="22"/>
          <w:szCs w:val="22"/>
        </w:rPr>
        <w:t xml:space="preserve"> </w:t>
      </w:r>
      <w:r w:rsidRPr="00652ED2">
        <w:rPr>
          <w:b/>
          <w:bCs/>
          <w:noProof/>
          <w:sz w:val="22"/>
          <w:szCs w:val="22"/>
        </w:rPr>
        <w:t>celú písomnú informáciu predtým, ako začnete užívať tento liek, pretože obsahuje pre vás dôležité informácie.</w:t>
      </w:r>
    </w:p>
    <w:p w:rsidR="005F2CBD" w:rsidRPr="00652ED2" w:rsidRDefault="005F2CBD" w:rsidP="0098748E">
      <w:pPr>
        <w:jc w:val="left"/>
        <w:rPr>
          <w:noProof/>
          <w:sz w:val="22"/>
          <w:szCs w:val="22"/>
        </w:rPr>
      </w:pPr>
      <w:r w:rsidRPr="00652ED2">
        <w:rPr>
          <w:noProof/>
          <w:sz w:val="22"/>
          <w:szCs w:val="22"/>
        </w:rPr>
        <w:t xml:space="preserve">Vždy užívajte tento liek presne tak, ako je to uvedené v tejto </w:t>
      </w:r>
      <w:r w:rsidR="000236E9" w:rsidRPr="00652ED2">
        <w:rPr>
          <w:noProof/>
          <w:sz w:val="22"/>
          <w:szCs w:val="22"/>
        </w:rPr>
        <w:t xml:space="preserve">písomnej </w:t>
      </w:r>
      <w:r w:rsidRPr="00652ED2">
        <w:rPr>
          <w:noProof/>
          <w:sz w:val="22"/>
          <w:szCs w:val="22"/>
        </w:rPr>
        <w:t>informácii alebo ako vám povedal váš lekár alebo lekárnik.</w:t>
      </w:r>
    </w:p>
    <w:p w:rsidR="005F2CBD" w:rsidRPr="00652ED2" w:rsidRDefault="005F2CBD" w:rsidP="005F2CBD">
      <w:pPr>
        <w:numPr>
          <w:ilvl w:val="0"/>
          <w:numId w:val="28"/>
        </w:numPr>
        <w:spacing w:after="0"/>
        <w:ind w:left="567" w:right="-2" w:hanging="567"/>
        <w:jc w:val="left"/>
        <w:rPr>
          <w:noProof/>
          <w:sz w:val="22"/>
          <w:szCs w:val="22"/>
        </w:rPr>
      </w:pPr>
      <w:r w:rsidRPr="00652ED2">
        <w:rPr>
          <w:noProof/>
          <w:sz w:val="22"/>
          <w:szCs w:val="22"/>
        </w:rPr>
        <w:t>Túto písomnú informáciu si uschovajte. Možno bude potrebné, aby ste si ju znovu prečítali.</w:t>
      </w:r>
    </w:p>
    <w:p w:rsidR="005F2CBD" w:rsidRPr="00652ED2" w:rsidRDefault="005F2CBD" w:rsidP="005F2CBD">
      <w:pPr>
        <w:numPr>
          <w:ilvl w:val="0"/>
          <w:numId w:val="28"/>
        </w:numPr>
        <w:spacing w:after="0"/>
        <w:ind w:left="567" w:right="-2" w:hanging="567"/>
        <w:jc w:val="left"/>
        <w:rPr>
          <w:noProof/>
          <w:sz w:val="22"/>
          <w:szCs w:val="22"/>
        </w:rPr>
      </w:pPr>
      <w:r w:rsidRPr="00652ED2">
        <w:rPr>
          <w:noProof/>
          <w:sz w:val="22"/>
          <w:szCs w:val="22"/>
        </w:rPr>
        <w:t xml:space="preserve">Ak potrebujete ďalšie informácie alebo radu, obráťte sa </w:t>
      </w:r>
      <w:r w:rsidRPr="00652ED2">
        <w:rPr>
          <w:sz w:val="22"/>
          <w:szCs w:val="22"/>
        </w:rPr>
        <w:t xml:space="preserve">na </w:t>
      </w:r>
      <w:r w:rsidRPr="00652ED2">
        <w:rPr>
          <w:noProof/>
          <w:sz w:val="22"/>
          <w:szCs w:val="22"/>
        </w:rPr>
        <w:t>svojho lekárnika.</w:t>
      </w:r>
    </w:p>
    <w:p w:rsidR="005F2CBD" w:rsidRPr="00652ED2" w:rsidRDefault="005F2CBD" w:rsidP="005F2CBD">
      <w:pPr>
        <w:numPr>
          <w:ilvl w:val="0"/>
          <w:numId w:val="28"/>
        </w:numPr>
        <w:spacing w:after="0"/>
        <w:ind w:left="567" w:right="-2" w:hanging="567"/>
        <w:jc w:val="left"/>
        <w:rPr>
          <w:noProof/>
          <w:sz w:val="22"/>
          <w:szCs w:val="22"/>
        </w:rPr>
      </w:pPr>
      <w:r w:rsidRPr="00652ED2">
        <w:rPr>
          <w:noProof/>
          <w:sz w:val="22"/>
          <w:szCs w:val="22"/>
        </w:rPr>
        <w:t>Ak sa u</w:t>
      </w:r>
      <w:r w:rsidR="00A37737" w:rsidRPr="00652ED2">
        <w:rPr>
          <w:noProof/>
          <w:sz w:val="22"/>
          <w:szCs w:val="22"/>
        </w:rPr>
        <w:t> </w:t>
      </w:r>
      <w:r w:rsidRPr="00652ED2">
        <w:rPr>
          <w:noProof/>
          <w:sz w:val="22"/>
          <w:szCs w:val="22"/>
        </w:rPr>
        <w:t>vá</w:t>
      </w:r>
      <w:r w:rsidR="00A37737" w:rsidRPr="00652ED2">
        <w:rPr>
          <w:noProof/>
          <w:sz w:val="22"/>
          <w:szCs w:val="22"/>
        </w:rPr>
        <w:t>šho dieťaťa</w:t>
      </w:r>
      <w:r w:rsidRPr="00652ED2">
        <w:rPr>
          <w:noProof/>
          <w:sz w:val="22"/>
          <w:szCs w:val="22"/>
        </w:rPr>
        <w:t xml:space="preserve"> vyskytne akýkoľvek vedľajší účinok, obráťte sa na svojho lekára alebo lekárnika. To sa týka aj akýchkoľvek vedľajších účinkov</w:t>
      </w:r>
      <w:r w:rsidRPr="00652ED2">
        <w:rPr>
          <w:sz w:val="22"/>
          <w:szCs w:val="22"/>
        </w:rPr>
        <w:t>,</w:t>
      </w:r>
      <w:r w:rsidRPr="00652ED2">
        <w:rPr>
          <w:noProof/>
          <w:sz w:val="22"/>
          <w:szCs w:val="22"/>
        </w:rPr>
        <w:t xml:space="preserve"> ktoré nie sú uvedené v tejto písomnej informácii. Pozri časť 4.</w:t>
      </w:r>
    </w:p>
    <w:p w:rsidR="005F2CBD" w:rsidRPr="00652ED2" w:rsidRDefault="005F2CBD" w:rsidP="005F2CBD">
      <w:pPr>
        <w:numPr>
          <w:ilvl w:val="0"/>
          <w:numId w:val="28"/>
        </w:numPr>
        <w:spacing w:after="0"/>
        <w:ind w:left="567" w:right="-2" w:hanging="567"/>
        <w:jc w:val="left"/>
        <w:rPr>
          <w:noProof/>
          <w:sz w:val="22"/>
          <w:szCs w:val="22"/>
        </w:rPr>
      </w:pPr>
      <w:r w:rsidRPr="00652ED2">
        <w:rPr>
          <w:sz w:val="22"/>
          <w:szCs w:val="22"/>
        </w:rPr>
        <w:t xml:space="preserve">Ak sa vaše dieťa do 3 dní nebude cítiť lepšie alebo sa bude cítiť horšie, musíte sa obrátiť </w:t>
      </w:r>
      <w:r w:rsidR="00C41F2A" w:rsidRPr="00652ED2">
        <w:rPr>
          <w:sz w:val="22"/>
          <w:szCs w:val="22"/>
        </w:rPr>
        <w:t xml:space="preserve">na </w:t>
      </w:r>
      <w:r w:rsidRPr="00652ED2">
        <w:rPr>
          <w:sz w:val="22"/>
          <w:szCs w:val="22"/>
        </w:rPr>
        <w:t>lekára.</w:t>
      </w:r>
    </w:p>
    <w:p w:rsidR="00467218" w:rsidRPr="00652ED2" w:rsidRDefault="00467218" w:rsidP="00005545">
      <w:pPr>
        <w:spacing w:after="0"/>
        <w:jc w:val="left"/>
        <w:rPr>
          <w:sz w:val="22"/>
          <w:szCs w:val="22"/>
        </w:rPr>
      </w:pPr>
    </w:p>
    <w:p w:rsidR="005F2CBD" w:rsidRPr="00652ED2" w:rsidRDefault="005F2CBD" w:rsidP="005F2CBD">
      <w:pPr>
        <w:numPr>
          <w:ilvl w:val="12"/>
          <w:numId w:val="0"/>
        </w:numPr>
        <w:spacing w:after="0"/>
        <w:ind w:right="-2"/>
        <w:outlineLvl w:val="0"/>
        <w:rPr>
          <w:noProof/>
          <w:sz w:val="22"/>
          <w:szCs w:val="22"/>
        </w:rPr>
      </w:pPr>
      <w:r w:rsidRPr="00652ED2">
        <w:rPr>
          <w:b/>
          <w:bCs/>
          <w:noProof/>
          <w:sz w:val="22"/>
          <w:szCs w:val="22"/>
        </w:rPr>
        <w:t>V tejto písomnej informácii sa dozviete</w:t>
      </w:r>
      <w:r w:rsidRPr="00652ED2">
        <w:rPr>
          <w:noProof/>
          <w:sz w:val="22"/>
          <w:szCs w:val="22"/>
        </w:rPr>
        <w:t xml:space="preserve">: </w:t>
      </w:r>
    </w:p>
    <w:p w:rsidR="005F2CBD" w:rsidRPr="00652ED2" w:rsidRDefault="005F2CBD" w:rsidP="005F2CBD">
      <w:pPr>
        <w:spacing w:after="0"/>
        <w:ind w:right="-29"/>
        <w:rPr>
          <w:sz w:val="22"/>
          <w:szCs w:val="22"/>
        </w:rPr>
      </w:pPr>
      <w:r w:rsidRPr="00652ED2">
        <w:rPr>
          <w:noProof/>
          <w:sz w:val="22"/>
          <w:szCs w:val="22"/>
        </w:rPr>
        <w:t>1.</w:t>
      </w:r>
      <w:r w:rsidRPr="00652ED2">
        <w:rPr>
          <w:noProof/>
          <w:sz w:val="22"/>
          <w:szCs w:val="22"/>
        </w:rPr>
        <w:tab/>
        <w:t xml:space="preserve">Čo je </w:t>
      </w:r>
      <w:r w:rsidR="00824837" w:rsidRPr="00652ED2">
        <w:rPr>
          <w:sz w:val="22"/>
          <w:szCs w:val="22"/>
        </w:rPr>
        <w:t>Ibalgin Junior</w:t>
      </w:r>
      <w:r w:rsidRPr="00652ED2">
        <w:rPr>
          <w:noProof/>
          <w:sz w:val="22"/>
          <w:szCs w:val="22"/>
        </w:rPr>
        <w:t xml:space="preserve"> </w:t>
      </w:r>
      <w:r w:rsidRPr="00652ED2">
        <w:rPr>
          <w:sz w:val="22"/>
          <w:szCs w:val="22"/>
        </w:rPr>
        <w:t>a</w:t>
      </w:r>
      <w:r w:rsidRPr="00652ED2">
        <w:rPr>
          <w:noProof/>
          <w:sz w:val="22"/>
          <w:szCs w:val="22"/>
        </w:rPr>
        <w:t> na čo sa používa</w:t>
      </w:r>
    </w:p>
    <w:p w:rsidR="005F2CBD" w:rsidRPr="00652ED2" w:rsidRDefault="005F2CBD" w:rsidP="005F2CBD">
      <w:pPr>
        <w:spacing w:after="0"/>
        <w:ind w:right="-29"/>
        <w:rPr>
          <w:noProof/>
          <w:sz w:val="22"/>
          <w:szCs w:val="22"/>
        </w:rPr>
      </w:pPr>
      <w:r w:rsidRPr="00652ED2">
        <w:rPr>
          <w:noProof/>
          <w:sz w:val="22"/>
          <w:szCs w:val="22"/>
        </w:rPr>
        <w:t>2.</w:t>
      </w:r>
      <w:r w:rsidRPr="00652ED2">
        <w:rPr>
          <w:noProof/>
          <w:sz w:val="22"/>
          <w:szCs w:val="22"/>
        </w:rPr>
        <w:tab/>
        <w:t xml:space="preserve">Čo potrebujete vedieť predtým, ako </w:t>
      </w:r>
      <w:r w:rsidR="00B337DC" w:rsidRPr="00652ED2">
        <w:rPr>
          <w:noProof/>
          <w:sz w:val="22"/>
          <w:szCs w:val="22"/>
        </w:rPr>
        <w:t>po</w:t>
      </w:r>
      <w:r w:rsidRPr="00652ED2">
        <w:rPr>
          <w:noProof/>
          <w:sz w:val="22"/>
          <w:szCs w:val="22"/>
        </w:rPr>
        <w:t xml:space="preserve">užijete </w:t>
      </w:r>
      <w:r w:rsidR="00824837" w:rsidRPr="00652ED2">
        <w:rPr>
          <w:sz w:val="22"/>
          <w:szCs w:val="22"/>
        </w:rPr>
        <w:t>Ibalgin Junior</w:t>
      </w:r>
      <w:r w:rsidR="00EA20E8" w:rsidRPr="00652ED2">
        <w:rPr>
          <w:noProof/>
          <w:sz w:val="22"/>
          <w:szCs w:val="22"/>
        </w:rPr>
        <w:t xml:space="preserve"> pre dieťa</w:t>
      </w:r>
    </w:p>
    <w:p w:rsidR="005F2CBD" w:rsidRPr="00652ED2" w:rsidRDefault="005F2CBD" w:rsidP="005F2CBD">
      <w:pPr>
        <w:spacing w:after="0"/>
        <w:ind w:right="-29"/>
        <w:rPr>
          <w:noProof/>
          <w:sz w:val="22"/>
          <w:szCs w:val="22"/>
        </w:rPr>
      </w:pPr>
      <w:r w:rsidRPr="00652ED2">
        <w:rPr>
          <w:noProof/>
          <w:sz w:val="22"/>
          <w:szCs w:val="22"/>
        </w:rPr>
        <w:t>3.</w:t>
      </w:r>
      <w:r w:rsidRPr="00652ED2">
        <w:rPr>
          <w:noProof/>
          <w:sz w:val="22"/>
          <w:szCs w:val="22"/>
        </w:rPr>
        <w:tab/>
        <w:t xml:space="preserve">Ako </w:t>
      </w:r>
      <w:r w:rsidR="00B337DC" w:rsidRPr="00652ED2">
        <w:rPr>
          <w:noProof/>
          <w:sz w:val="22"/>
          <w:szCs w:val="22"/>
        </w:rPr>
        <w:t>po</w:t>
      </w:r>
      <w:r w:rsidRPr="00652ED2">
        <w:rPr>
          <w:noProof/>
          <w:sz w:val="22"/>
          <w:szCs w:val="22"/>
        </w:rPr>
        <w:t xml:space="preserve">užívať </w:t>
      </w:r>
      <w:r w:rsidR="00824837" w:rsidRPr="00652ED2">
        <w:rPr>
          <w:sz w:val="22"/>
          <w:szCs w:val="22"/>
        </w:rPr>
        <w:t>Ibalgin Junior</w:t>
      </w:r>
    </w:p>
    <w:p w:rsidR="005F2CBD" w:rsidRPr="00652ED2" w:rsidRDefault="005F2CBD" w:rsidP="005F2CBD">
      <w:pPr>
        <w:spacing w:after="0"/>
        <w:ind w:right="-29"/>
        <w:rPr>
          <w:noProof/>
          <w:sz w:val="22"/>
          <w:szCs w:val="22"/>
        </w:rPr>
      </w:pPr>
      <w:r w:rsidRPr="00652ED2">
        <w:rPr>
          <w:noProof/>
          <w:sz w:val="22"/>
          <w:szCs w:val="22"/>
        </w:rPr>
        <w:t>4.</w:t>
      </w:r>
      <w:r w:rsidRPr="00652ED2">
        <w:rPr>
          <w:noProof/>
          <w:sz w:val="22"/>
          <w:szCs w:val="22"/>
        </w:rPr>
        <w:tab/>
        <w:t>Možné vedľajšie účinky</w:t>
      </w:r>
    </w:p>
    <w:p w:rsidR="005F2CBD" w:rsidRPr="00652ED2" w:rsidRDefault="005F2CBD" w:rsidP="005F2CBD">
      <w:pPr>
        <w:spacing w:after="0"/>
        <w:ind w:right="-29"/>
        <w:rPr>
          <w:noProof/>
          <w:sz w:val="22"/>
          <w:szCs w:val="22"/>
        </w:rPr>
      </w:pPr>
      <w:r w:rsidRPr="00652ED2">
        <w:rPr>
          <w:noProof/>
          <w:sz w:val="22"/>
          <w:szCs w:val="22"/>
        </w:rPr>
        <w:t>5.</w:t>
      </w:r>
      <w:r w:rsidRPr="00652ED2">
        <w:rPr>
          <w:noProof/>
          <w:sz w:val="22"/>
          <w:szCs w:val="22"/>
        </w:rPr>
        <w:tab/>
        <w:t xml:space="preserve">Ako uchovávať </w:t>
      </w:r>
      <w:r w:rsidR="00824837" w:rsidRPr="00652ED2">
        <w:rPr>
          <w:sz w:val="22"/>
          <w:szCs w:val="22"/>
        </w:rPr>
        <w:t>Ibalgin Junior</w:t>
      </w:r>
    </w:p>
    <w:p w:rsidR="005F2CBD" w:rsidRPr="00652ED2" w:rsidRDefault="005F2CBD" w:rsidP="005F2CBD">
      <w:pPr>
        <w:spacing w:after="0"/>
        <w:ind w:right="-29"/>
        <w:rPr>
          <w:noProof/>
          <w:sz w:val="22"/>
          <w:szCs w:val="22"/>
        </w:rPr>
      </w:pPr>
      <w:r w:rsidRPr="00652ED2">
        <w:rPr>
          <w:noProof/>
          <w:sz w:val="22"/>
          <w:szCs w:val="22"/>
        </w:rPr>
        <w:t>6.</w:t>
      </w:r>
      <w:r w:rsidRPr="00652ED2">
        <w:rPr>
          <w:noProof/>
          <w:sz w:val="22"/>
          <w:szCs w:val="22"/>
        </w:rPr>
        <w:tab/>
        <w:t>Obsah balenia a ďalšie informácie</w:t>
      </w:r>
    </w:p>
    <w:p w:rsidR="00467218" w:rsidRPr="00652ED2" w:rsidRDefault="00467218" w:rsidP="00005545">
      <w:pPr>
        <w:spacing w:after="0"/>
        <w:jc w:val="left"/>
        <w:rPr>
          <w:sz w:val="22"/>
          <w:szCs w:val="22"/>
        </w:rPr>
      </w:pPr>
    </w:p>
    <w:p w:rsidR="00592A9D" w:rsidRPr="00652ED2" w:rsidRDefault="00592A9D" w:rsidP="00005545">
      <w:pPr>
        <w:spacing w:after="0"/>
        <w:jc w:val="left"/>
        <w:rPr>
          <w:sz w:val="22"/>
          <w:szCs w:val="22"/>
        </w:rPr>
      </w:pPr>
    </w:p>
    <w:p w:rsidR="005F2CBD" w:rsidRPr="00652ED2" w:rsidRDefault="005F2CBD" w:rsidP="005F2CBD">
      <w:pPr>
        <w:numPr>
          <w:ilvl w:val="12"/>
          <w:numId w:val="0"/>
        </w:numPr>
        <w:ind w:right="-2"/>
        <w:rPr>
          <w:b/>
          <w:bCs/>
          <w:noProof/>
          <w:sz w:val="22"/>
          <w:szCs w:val="22"/>
        </w:rPr>
      </w:pPr>
      <w:r w:rsidRPr="00652ED2">
        <w:rPr>
          <w:b/>
          <w:bCs/>
          <w:noProof/>
          <w:sz w:val="22"/>
          <w:szCs w:val="22"/>
        </w:rPr>
        <w:t>1.</w:t>
      </w:r>
      <w:r w:rsidRPr="00652ED2">
        <w:rPr>
          <w:noProof/>
          <w:sz w:val="22"/>
          <w:szCs w:val="22"/>
        </w:rPr>
        <w:tab/>
      </w:r>
      <w:r w:rsidRPr="00652ED2">
        <w:rPr>
          <w:b/>
          <w:bCs/>
          <w:noProof/>
          <w:sz w:val="22"/>
          <w:szCs w:val="22"/>
        </w:rPr>
        <w:t xml:space="preserve">Čo je </w:t>
      </w:r>
      <w:r w:rsidR="00221210" w:rsidRPr="00652ED2">
        <w:rPr>
          <w:b/>
          <w:bCs/>
          <w:noProof/>
          <w:sz w:val="22"/>
          <w:szCs w:val="22"/>
        </w:rPr>
        <w:t>Ibalgin Junior</w:t>
      </w:r>
      <w:r w:rsidRPr="00652ED2">
        <w:rPr>
          <w:b/>
          <w:bCs/>
          <w:sz w:val="22"/>
          <w:szCs w:val="22"/>
        </w:rPr>
        <w:t xml:space="preserve"> </w:t>
      </w:r>
      <w:r w:rsidRPr="00652ED2">
        <w:rPr>
          <w:b/>
          <w:bCs/>
          <w:noProof/>
          <w:sz w:val="22"/>
          <w:szCs w:val="22"/>
        </w:rPr>
        <w:t>a na čo sa používa</w:t>
      </w:r>
    </w:p>
    <w:p w:rsidR="00467218" w:rsidRPr="00652ED2" w:rsidRDefault="00467218" w:rsidP="00005545">
      <w:pPr>
        <w:spacing w:after="0"/>
        <w:jc w:val="left"/>
        <w:rPr>
          <w:sz w:val="22"/>
          <w:szCs w:val="22"/>
        </w:rPr>
      </w:pPr>
    </w:p>
    <w:p w:rsidR="00443C45" w:rsidRPr="00652ED2" w:rsidRDefault="00D25971" w:rsidP="00005545">
      <w:pPr>
        <w:spacing w:after="0"/>
        <w:jc w:val="left"/>
        <w:rPr>
          <w:sz w:val="22"/>
          <w:szCs w:val="22"/>
        </w:rPr>
      </w:pPr>
      <w:r w:rsidRPr="00652ED2">
        <w:rPr>
          <w:sz w:val="22"/>
          <w:szCs w:val="22"/>
        </w:rPr>
        <w:t>Ibuprofén</w:t>
      </w:r>
      <w:r w:rsidR="00467218" w:rsidRPr="00652ED2">
        <w:rPr>
          <w:sz w:val="22"/>
          <w:szCs w:val="22"/>
        </w:rPr>
        <w:t xml:space="preserve"> </w:t>
      </w:r>
      <w:r w:rsidR="00443C45" w:rsidRPr="00652ED2">
        <w:rPr>
          <w:sz w:val="22"/>
          <w:szCs w:val="22"/>
        </w:rPr>
        <w:t>patrí do skupiny liekov známych ako nesteroidné protizápalové liečivá (NSAID)</w:t>
      </w:r>
      <w:r w:rsidR="00467218" w:rsidRPr="00652ED2">
        <w:rPr>
          <w:sz w:val="22"/>
          <w:szCs w:val="22"/>
        </w:rPr>
        <w:t>. T</w:t>
      </w:r>
      <w:r w:rsidR="00443C45" w:rsidRPr="00652ED2">
        <w:rPr>
          <w:sz w:val="22"/>
          <w:szCs w:val="22"/>
        </w:rPr>
        <w:t xml:space="preserve">ieto lieky pôsobia tak, že zmenia reakciu tela </w:t>
      </w:r>
      <w:r w:rsidR="00467218" w:rsidRPr="00652ED2">
        <w:rPr>
          <w:sz w:val="22"/>
          <w:szCs w:val="22"/>
        </w:rPr>
        <w:t>n</w:t>
      </w:r>
      <w:r w:rsidR="00443C45" w:rsidRPr="00652ED2">
        <w:rPr>
          <w:sz w:val="22"/>
          <w:szCs w:val="22"/>
        </w:rPr>
        <w:t>a bolesť,</w:t>
      </w:r>
      <w:r w:rsidR="00467218" w:rsidRPr="00652ED2">
        <w:rPr>
          <w:sz w:val="22"/>
          <w:szCs w:val="22"/>
        </w:rPr>
        <w:t xml:space="preserve"> </w:t>
      </w:r>
      <w:r w:rsidR="00443C45" w:rsidRPr="00652ED2">
        <w:rPr>
          <w:sz w:val="22"/>
          <w:szCs w:val="22"/>
        </w:rPr>
        <w:t>zápal</w:t>
      </w:r>
      <w:r w:rsidR="00467218" w:rsidRPr="00652ED2">
        <w:rPr>
          <w:sz w:val="22"/>
          <w:szCs w:val="22"/>
        </w:rPr>
        <w:t xml:space="preserve"> a </w:t>
      </w:r>
      <w:r w:rsidR="00443C45" w:rsidRPr="00652ED2">
        <w:rPr>
          <w:sz w:val="22"/>
          <w:szCs w:val="22"/>
        </w:rPr>
        <w:t>vysokú telesnú teplotu</w:t>
      </w:r>
      <w:r w:rsidR="00467218" w:rsidRPr="00652ED2">
        <w:rPr>
          <w:sz w:val="22"/>
          <w:szCs w:val="22"/>
        </w:rPr>
        <w:t>.</w:t>
      </w:r>
    </w:p>
    <w:p w:rsidR="00467218" w:rsidRPr="00652ED2" w:rsidRDefault="00824837" w:rsidP="00005545">
      <w:pPr>
        <w:spacing w:after="0"/>
        <w:jc w:val="left"/>
        <w:rPr>
          <w:sz w:val="22"/>
          <w:szCs w:val="22"/>
        </w:rPr>
      </w:pPr>
      <w:r w:rsidRPr="00652ED2">
        <w:rPr>
          <w:sz w:val="22"/>
          <w:szCs w:val="22"/>
        </w:rPr>
        <w:t>Ibalgin Junior</w:t>
      </w:r>
      <w:r w:rsidR="008F7698" w:rsidRPr="00652ED2">
        <w:rPr>
          <w:sz w:val="22"/>
          <w:szCs w:val="22"/>
        </w:rPr>
        <w:t xml:space="preserve"> je určený na krátkodobú symptomatickú liečbu</w:t>
      </w:r>
      <w:r w:rsidR="00467218" w:rsidRPr="00652ED2">
        <w:rPr>
          <w:sz w:val="22"/>
          <w:szCs w:val="22"/>
        </w:rPr>
        <w:t>:</w:t>
      </w:r>
    </w:p>
    <w:p w:rsidR="00467218" w:rsidRPr="00652ED2" w:rsidRDefault="008F7698" w:rsidP="00005545">
      <w:pPr>
        <w:pStyle w:val="Odsekzoznamu"/>
        <w:numPr>
          <w:ilvl w:val="0"/>
          <w:numId w:val="6"/>
        </w:numPr>
        <w:spacing w:after="0"/>
        <w:jc w:val="left"/>
        <w:rPr>
          <w:sz w:val="22"/>
          <w:szCs w:val="22"/>
        </w:rPr>
      </w:pPr>
      <w:r w:rsidRPr="00652ED2">
        <w:rPr>
          <w:sz w:val="22"/>
          <w:szCs w:val="22"/>
        </w:rPr>
        <w:t>horúčky</w:t>
      </w:r>
    </w:p>
    <w:p w:rsidR="00467218" w:rsidRPr="00652ED2" w:rsidRDefault="00467218">
      <w:pPr>
        <w:pStyle w:val="Odsekzoznamu"/>
        <w:numPr>
          <w:ilvl w:val="0"/>
          <w:numId w:val="6"/>
        </w:numPr>
        <w:spacing w:after="0"/>
        <w:jc w:val="left"/>
        <w:rPr>
          <w:sz w:val="22"/>
          <w:szCs w:val="22"/>
        </w:rPr>
      </w:pPr>
      <w:r w:rsidRPr="00652ED2">
        <w:rPr>
          <w:sz w:val="22"/>
          <w:szCs w:val="22"/>
        </w:rPr>
        <w:t>mi</w:t>
      </w:r>
      <w:r w:rsidR="008F7698" w:rsidRPr="00652ED2">
        <w:rPr>
          <w:sz w:val="22"/>
          <w:szCs w:val="22"/>
        </w:rPr>
        <w:t>ernej až stredne silnej bolesti</w:t>
      </w:r>
      <w:r w:rsidR="00391B65" w:rsidRPr="00652ED2">
        <w:rPr>
          <w:sz w:val="22"/>
          <w:szCs w:val="22"/>
        </w:rPr>
        <w:t>,</w:t>
      </w:r>
      <w:r w:rsidR="008F7698" w:rsidRPr="00652ED2">
        <w:rPr>
          <w:sz w:val="22"/>
          <w:szCs w:val="22"/>
        </w:rPr>
        <w:t xml:space="preserve"> vrátane</w:t>
      </w:r>
      <w:r w:rsidR="00391B65" w:rsidRPr="00652ED2">
        <w:rPr>
          <w:sz w:val="22"/>
          <w:szCs w:val="22"/>
        </w:rPr>
        <w:t xml:space="preserve"> bolesti hlavy alebo bolesti zubov</w:t>
      </w:r>
    </w:p>
    <w:p w:rsidR="00467218" w:rsidRPr="00652ED2" w:rsidRDefault="00467218" w:rsidP="00005545">
      <w:pPr>
        <w:spacing w:after="0"/>
        <w:jc w:val="left"/>
        <w:rPr>
          <w:sz w:val="22"/>
          <w:szCs w:val="22"/>
        </w:rPr>
      </w:pPr>
    </w:p>
    <w:p w:rsidR="00450E29" w:rsidRPr="00652ED2" w:rsidRDefault="00824837" w:rsidP="00450E29">
      <w:pPr>
        <w:spacing w:after="0"/>
        <w:jc w:val="left"/>
        <w:rPr>
          <w:sz w:val="22"/>
          <w:szCs w:val="22"/>
        </w:rPr>
      </w:pPr>
      <w:r w:rsidRPr="00652ED2">
        <w:rPr>
          <w:sz w:val="22"/>
          <w:szCs w:val="22"/>
        </w:rPr>
        <w:t>Ibalgin Junior</w:t>
      </w:r>
      <w:r w:rsidR="00391B65" w:rsidRPr="00652ED2">
        <w:rPr>
          <w:sz w:val="22"/>
          <w:szCs w:val="22"/>
        </w:rPr>
        <w:t xml:space="preserve"> začína účinkovať v priebehu 15 minút a znižuje horúčku u detí po dobu až 8 hodín</w:t>
      </w:r>
      <w:r w:rsidR="00450E29" w:rsidRPr="00652ED2">
        <w:rPr>
          <w:sz w:val="22"/>
          <w:szCs w:val="22"/>
        </w:rPr>
        <w:t>.</w:t>
      </w:r>
    </w:p>
    <w:p w:rsidR="00450E29" w:rsidRPr="00652ED2" w:rsidRDefault="00450E29" w:rsidP="00450E29">
      <w:pPr>
        <w:spacing w:after="0"/>
        <w:jc w:val="left"/>
        <w:rPr>
          <w:sz w:val="22"/>
          <w:szCs w:val="22"/>
        </w:rPr>
      </w:pPr>
    </w:p>
    <w:p w:rsidR="00F26AFB" w:rsidRPr="00652ED2" w:rsidRDefault="00391B65" w:rsidP="00450E29">
      <w:pPr>
        <w:spacing w:after="0"/>
        <w:jc w:val="left"/>
        <w:rPr>
          <w:sz w:val="22"/>
          <w:szCs w:val="22"/>
        </w:rPr>
      </w:pPr>
      <w:r w:rsidRPr="00652ED2">
        <w:rPr>
          <w:sz w:val="22"/>
          <w:szCs w:val="22"/>
        </w:rPr>
        <w:t xml:space="preserve">Ak sa vaše dieťa do 3 dní nebude cítiť lepšie alebo sa bude cítiť horšie, musíte sa obrátiť </w:t>
      </w:r>
      <w:r w:rsidR="005175E6" w:rsidRPr="00652ED2">
        <w:rPr>
          <w:sz w:val="22"/>
          <w:szCs w:val="22"/>
        </w:rPr>
        <w:t xml:space="preserve">na </w:t>
      </w:r>
      <w:r w:rsidRPr="00652ED2">
        <w:rPr>
          <w:sz w:val="22"/>
          <w:szCs w:val="22"/>
        </w:rPr>
        <w:t>lekára</w:t>
      </w:r>
      <w:r w:rsidR="005175E6" w:rsidRPr="00652ED2">
        <w:rPr>
          <w:sz w:val="22"/>
          <w:szCs w:val="22"/>
        </w:rPr>
        <w:t>.</w:t>
      </w:r>
    </w:p>
    <w:p w:rsidR="00F26AFB" w:rsidRPr="00652ED2" w:rsidRDefault="00F26AFB" w:rsidP="00450E29">
      <w:pPr>
        <w:spacing w:after="0"/>
        <w:jc w:val="left"/>
        <w:rPr>
          <w:sz w:val="22"/>
          <w:szCs w:val="22"/>
        </w:rPr>
      </w:pPr>
    </w:p>
    <w:p w:rsidR="00592A9D" w:rsidRPr="00652ED2" w:rsidRDefault="00592A9D" w:rsidP="00005545">
      <w:pPr>
        <w:spacing w:after="0"/>
        <w:jc w:val="left"/>
        <w:rPr>
          <w:sz w:val="22"/>
          <w:szCs w:val="22"/>
        </w:rPr>
      </w:pPr>
    </w:p>
    <w:p w:rsidR="007548B6" w:rsidRPr="00652ED2" w:rsidRDefault="00B337DC" w:rsidP="00B337DC">
      <w:pPr>
        <w:pStyle w:val="2PIL"/>
        <w:rPr>
          <w:rFonts w:cs="Times New Roman"/>
          <w:sz w:val="22"/>
          <w:szCs w:val="22"/>
          <w:lang w:val="sk-SK"/>
        </w:rPr>
      </w:pPr>
      <w:r w:rsidRPr="00652ED2">
        <w:rPr>
          <w:rFonts w:cs="Times New Roman"/>
          <w:bCs w:val="0"/>
          <w:noProof/>
          <w:sz w:val="22"/>
          <w:szCs w:val="22"/>
          <w:lang w:val="sk-SK"/>
        </w:rPr>
        <w:t>2.</w:t>
      </w:r>
      <w:r w:rsidRPr="00652ED2">
        <w:rPr>
          <w:rFonts w:cs="Times New Roman"/>
          <w:bCs w:val="0"/>
          <w:noProof/>
          <w:sz w:val="22"/>
          <w:szCs w:val="22"/>
          <w:lang w:val="sk-SK"/>
        </w:rPr>
        <w:tab/>
        <w:t xml:space="preserve">Čo potrebujete vedieť predtým, ako užijete </w:t>
      </w:r>
      <w:r w:rsidR="00824837" w:rsidRPr="00652ED2">
        <w:rPr>
          <w:rFonts w:cs="Times New Roman"/>
          <w:bCs w:val="0"/>
          <w:sz w:val="22"/>
          <w:szCs w:val="22"/>
          <w:lang w:val="sk-SK"/>
        </w:rPr>
        <w:t>Ibalgin Junior</w:t>
      </w:r>
      <w:r w:rsidRPr="00652ED2">
        <w:rPr>
          <w:rFonts w:cs="Times New Roman"/>
          <w:bCs w:val="0"/>
          <w:sz w:val="22"/>
          <w:szCs w:val="22"/>
          <w:lang w:val="sk-SK"/>
        </w:rPr>
        <w:t xml:space="preserve"> </w:t>
      </w:r>
      <w:r w:rsidR="00EA20E8" w:rsidRPr="00652ED2">
        <w:rPr>
          <w:rFonts w:cs="Times New Roman"/>
          <w:bCs w:val="0"/>
          <w:sz w:val="22"/>
          <w:szCs w:val="22"/>
          <w:lang w:val="sk-SK"/>
        </w:rPr>
        <w:t>pre dieťa</w:t>
      </w:r>
    </w:p>
    <w:p w:rsidR="00A5370A" w:rsidRPr="00652ED2" w:rsidRDefault="00A5370A" w:rsidP="00005545">
      <w:pPr>
        <w:spacing w:after="0"/>
        <w:jc w:val="left"/>
        <w:rPr>
          <w:sz w:val="22"/>
          <w:szCs w:val="22"/>
        </w:rPr>
      </w:pPr>
    </w:p>
    <w:p w:rsidR="00467218" w:rsidRPr="00652ED2" w:rsidRDefault="00B337DC" w:rsidP="00005545">
      <w:pPr>
        <w:spacing w:after="0"/>
        <w:jc w:val="left"/>
        <w:rPr>
          <w:b/>
          <w:sz w:val="22"/>
          <w:szCs w:val="22"/>
        </w:rPr>
      </w:pPr>
      <w:r w:rsidRPr="00652ED2">
        <w:rPr>
          <w:b/>
          <w:sz w:val="22"/>
          <w:szCs w:val="22"/>
        </w:rPr>
        <w:t>Nepoužívajte</w:t>
      </w:r>
      <w:r w:rsidR="00467218" w:rsidRPr="00652ED2">
        <w:rPr>
          <w:b/>
          <w:sz w:val="22"/>
          <w:szCs w:val="22"/>
        </w:rPr>
        <w:t xml:space="preserve"> </w:t>
      </w:r>
      <w:r w:rsidR="00824837" w:rsidRPr="00652ED2">
        <w:rPr>
          <w:b/>
          <w:bCs/>
          <w:sz w:val="22"/>
          <w:szCs w:val="22"/>
        </w:rPr>
        <w:t>Ibalgin Junior</w:t>
      </w:r>
      <w:r w:rsidRPr="00652ED2">
        <w:rPr>
          <w:b/>
          <w:bCs/>
          <w:sz w:val="22"/>
          <w:szCs w:val="22"/>
        </w:rPr>
        <w:t xml:space="preserve"> pre</w:t>
      </w:r>
      <w:r w:rsidR="00A0050F" w:rsidRPr="00652ED2">
        <w:rPr>
          <w:b/>
          <w:bCs/>
          <w:sz w:val="22"/>
          <w:szCs w:val="22"/>
        </w:rPr>
        <w:t xml:space="preserve"> dieťa</w:t>
      </w:r>
      <w:r w:rsidR="00467218" w:rsidRPr="00652ED2">
        <w:rPr>
          <w:b/>
          <w:sz w:val="22"/>
          <w:szCs w:val="22"/>
        </w:rPr>
        <w:t>:</w:t>
      </w:r>
    </w:p>
    <w:p w:rsidR="00467218" w:rsidRPr="00652ED2" w:rsidRDefault="00A0050F" w:rsidP="00E3636C">
      <w:pPr>
        <w:pStyle w:val="Odsekzoznamu"/>
        <w:numPr>
          <w:ilvl w:val="0"/>
          <w:numId w:val="7"/>
        </w:numPr>
        <w:spacing w:after="0"/>
        <w:jc w:val="left"/>
        <w:rPr>
          <w:sz w:val="22"/>
          <w:szCs w:val="22"/>
        </w:rPr>
      </w:pPr>
      <w:r w:rsidRPr="00652ED2">
        <w:rPr>
          <w:sz w:val="22"/>
          <w:szCs w:val="22"/>
        </w:rPr>
        <w:t xml:space="preserve">ak je alergické na </w:t>
      </w:r>
      <w:r w:rsidR="00D25971" w:rsidRPr="00652ED2">
        <w:rPr>
          <w:sz w:val="22"/>
          <w:szCs w:val="22"/>
        </w:rPr>
        <w:t>ibuprofén</w:t>
      </w:r>
      <w:r w:rsidRPr="00652ED2">
        <w:rPr>
          <w:sz w:val="22"/>
          <w:szCs w:val="22"/>
        </w:rPr>
        <w:t xml:space="preserve"> alebo na iné podobné lieky proti bolesti (NSAID) alebo na ktorúkoľvek z ďalších zložiek tohto lieku</w:t>
      </w:r>
      <w:r w:rsidR="005E7DEA" w:rsidRPr="005E7DEA">
        <w:rPr>
          <w:sz w:val="22"/>
          <w:szCs w:val="22"/>
        </w:rPr>
        <w:t xml:space="preserve"> </w:t>
      </w:r>
      <w:r w:rsidR="00E3636C" w:rsidRPr="00652ED2">
        <w:rPr>
          <w:sz w:val="22"/>
          <w:szCs w:val="22"/>
        </w:rPr>
        <w:t>(</w:t>
      </w:r>
      <w:r w:rsidR="005E7DEA">
        <w:rPr>
          <w:sz w:val="22"/>
          <w:szCs w:val="22"/>
        </w:rPr>
        <w:t>uvedených v časti 6);</w:t>
      </w:r>
    </w:p>
    <w:p w:rsidR="00467218" w:rsidRPr="00652ED2" w:rsidRDefault="005E7DEA" w:rsidP="00005545">
      <w:pPr>
        <w:pStyle w:val="Odsekzoznamu"/>
        <w:numPr>
          <w:ilvl w:val="0"/>
          <w:numId w:val="7"/>
        </w:numPr>
        <w:spacing w:after="0"/>
        <w:jc w:val="left"/>
        <w:rPr>
          <w:sz w:val="22"/>
          <w:szCs w:val="22"/>
        </w:rPr>
      </w:pPr>
      <w:r>
        <w:rPr>
          <w:sz w:val="22"/>
          <w:szCs w:val="22"/>
        </w:rPr>
        <w:t>ak niekedy po užití kyseliny acetylsalicylovej (aspirínu) alebo iných podobných liekov proti bolesti (NSAID) trpelo dýchavičnosťou, astmou, nádchou alebo žihľavkou;</w:t>
      </w:r>
    </w:p>
    <w:p w:rsidR="00467218" w:rsidRPr="00652ED2" w:rsidRDefault="005E7DEA" w:rsidP="00005545">
      <w:pPr>
        <w:pStyle w:val="Odsekzoznamu"/>
        <w:numPr>
          <w:ilvl w:val="0"/>
          <w:numId w:val="7"/>
        </w:numPr>
        <w:spacing w:after="0"/>
        <w:jc w:val="left"/>
        <w:rPr>
          <w:sz w:val="22"/>
          <w:szCs w:val="22"/>
        </w:rPr>
      </w:pPr>
      <w:r>
        <w:rPr>
          <w:sz w:val="22"/>
          <w:szCs w:val="22"/>
        </w:rPr>
        <w:t>ak niekedy malo krvácanie v tráviacom trakte alebo perforáciu (prederavenie) v súvislosti s predchádzajúcim užívaním NSAID;</w:t>
      </w:r>
    </w:p>
    <w:p w:rsidR="00467218" w:rsidRPr="00652ED2" w:rsidRDefault="005E7DEA" w:rsidP="00005545">
      <w:pPr>
        <w:pStyle w:val="Odsekzoznamu"/>
        <w:numPr>
          <w:ilvl w:val="0"/>
          <w:numId w:val="7"/>
        </w:numPr>
        <w:spacing w:after="0"/>
        <w:jc w:val="left"/>
        <w:rPr>
          <w:sz w:val="22"/>
          <w:szCs w:val="22"/>
        </w:rPr>
      </w:pPr>
      <w:r>
        <w:rPr>
          <w:sz w:val="22"/>
          <w:szCs w:val="22"/>
        </w:rPr>
        <w:t>ak v súčasnosti má alebo malo opakujúce sa vredy žalúdka/dvanástnika (peptické vredy) alebo krvácanie (dve alebo viac epizód preukázaných vredov alebo krvácania);</w:t>
      </w:r>
    </w:p>
    <w:p w:rsidR="00467218" w:rsidRPr="00652ED2" w:rsidRDefault="005E7DEA" w:rsidP="00005545">
      <w:pPr>
        <w:pStyle w:val="Odsekzoznamu"/>
        <w:numPr>
          <w:ilvl w:val="0"/>
          <w:numId w:val="7"/>
        </w:numPr>
        <w:spacing w:after="0"/>
        <w:jc w:val="left"/>
        <w:rPr>
          <w:sz w:val="22"/>
          <w:szCs w:val="22"/>
        </w:rPr>
      </w:pPr>
      <w:r>
        <w:rPr>
          <w:sz w:val="22"/>
          <w:szCs w:val="22"/>
        </w:rPr>
        <w:t>ak má závažné zlyhávanie pečene, obličiek alebo srdca;</w:t>
      </w:r>
    </w:p>
    <w:p w:rsidR="00467218" w:rsidRPr="00652ED2" w:rsidRDefault="005E7DEA" w:rsidP="00005545">
      <w:pPr>
        <w:pStyle w:val="Odsekzoznamu"/>
        <w:numPr>
          <w:ilvl w:val="0"/>
          <w:numId w:val="7"/>
        </w:numPr>
        <w:spacing w:after="0"/>
        <w:jc w:val="left"/>
        <w:rPr>
          <w:sz w:val="22"/>
          <w:szCs w:val="22"/>
        </w:rPr>
      </w:pPr>
      <w:r>
        <w:rPr>
          <w:sz w:val="22"/>
          <w:szCs w:val="22"/>
        </w:rPr>
        <w:t>ak má krvácanie do mozgu (cerebrovaskulárne krvácanie) alebo iné aktívne krvácanie;</w:t>
      </w:r>
    </w:p>
    <w:p w:rsidR="00467218" w:rsidRPr="00652ED2" w:rsidRDefault="005E7DEA" w:rsidP="00005545">
      <w:pPr>
        <w:pStyle w:val="Odsekzoznamu"/>
        <w:numPr>
          <w:ilvl w:val="0"/>
          <w:numId w:val="7"/>
        </w:numPr>
        <w:spacing w:after="0"/>
        <w:jc w:val="left"/>
        <w:rPr>
          <w:sz w:val="22"/>
          <w:szCs w:val="22"/>
        </w:rPr>
      </w:pPr>
      <w:r>
        <w:rPr>
          <w:sz w:val="22"/>
          <w:szCs w:val="22"/>
        </w:rPr>
        <w:t xml:space="preserve">ak má poruchu zrážania krvi, pretože </w:t>
      </w:r>
      <w:r w:rsidR="00D25971">
        <w:rPr>
          <w:sz w:val="22"/>
          <w:szCs w:val="22"/>
        </w:rPr>
        <w:t>ibuprofén</w:t>
      </w:r>
      <w:r>
        <w:rPr>
          <w:sz w:val="22"/>
          <w:szCs w:val="22"/>
        </w:rPr>
        <w:t xml:space="preserve"> môže predlžovať čas krvácania;</w:t>
      </w:r>
    </w:p>
    <w:p w:rsidR="00467218" w:rsidRPr="00652ED2" w:rsidRDefault="005E7DEA" w:rsidP="00005545">
      <w:pPr>
        <w:pStyle w:val="Odsekzoznamu"/>
        <w:numPr>
          <w:ilvl w:val="0"/>
          <w:numId w:val="7"/>
        </w:numPr>
        <w:spacing w:after="0"/>
        <w:jc w:val="left"/>
        <w:rPr>
          <w:sz w:val="22"/>
          <w:szCs w:val="22"/>
        </w:rPr>
      </w:pPr>
      <w:r>
        <w:rPr>
          <w:sz w:val="22"/>
          <w:szCs w:val="22"/>
        </w:rPr>
        <w:lastRenderedPageBreak/>
        <w:t>ak má neobjasnené poruchy krvotvorby, ako je trombocytopénia.</w:t>
      </w:r>
    </w:p>
    <w:p w:rsidR="00467218" w:rsidRPr="00652ED2" w:rsidRDefault="00467218" w:rsidP="00005545">
      <w:pPr>
        <w:spacing w:after="0"/>
        <w:jc w:val="left"/>
        <w:rPr>
          <w:sz w:val="22"/>
          <w:szCs w:val="22"/>
        </w:rPr>
      </w:pPr>
    </w:p>
    <w:p w:rsidR="00467218" w:rsidRPr="00652ED2" w:rsidRDefault="005E7DEA" w:rsidP="00005545">
      <w:pPr>
        <w:spacing w:after="0"/>
        <w:jc w:val="left"/>
        <w:rPr>
          <w:sz w:val="22"/>
          <w:szCs w:val="22"/>
        </w:rPr>
      </w:pPr>
      <w:r>
        <w:rPr>
          <w:sz w:val="22"/>
          <w:szCs w:val="22"/>
        </w:rPr>
        <w:t>Ak tento liek užíva žena: neužívajte ho počas posledných 3 mesiacov tehotenstva.</w:t>
      </w:r>
    </w:p>
    <w:p w:rsidR="00467218" w:rsidRPr="00652ED2" w:rsidRDefault="00467218" w:rsidP="00005545">
      <w:pPr>
        <w:spacing w:after="0"/>
        <w:jc w:val="left"/>
        <w:rPr>
          <w:sz w:val="22"/>
          <w:szCs w:val="22"/>
        </w:rPr>
      </w:pPr>
    </w:p>
    <w:p w:rsidR="001906A2" w:rsidRPr="00652ED2" w:rsidRDefault="005E7DEA" w:rsidP="00005545">
      <w:pPr>
        <w:spacing w:after="0"/>
        <w:jc w:val="left"/>
        <w:rPr>
          <w:b/>
          <w:bCs/>
          <w:noProof/>
          <w:sz w:val="22"/>
          <w:szCs w:val="22"/>
        </w:rPr>
      </w:pPr>
      <w:r>
        <w:rPr>
          <w:b/>
          <w:bCs/>
          <w:noProof/>
          <w:sz w:val="22"/>
          <w:szCs w:val="22"/>
        </w:rPr>
        <w:t>Upozornenia a opatrenia</w:t>
      </w:r>
    </w:p>
    <w:p w:rsidR="001906A2" w:rsidRPr="00652ED2" w:rsidRDefault="001906A2" w:rsidP="00005545">
      <w:pPr>
        <w:spacing w:after="0"/>
        <w:jc w:val="left"/>
        <w:rPr>
          <w:b/>
          <w:bCs/>
          <w:noProof/>
          <w:sz w:val="22"/>
          <w:szCs w:val="22"/>
        </w:rPr>
      </w:pPr>
    </w:p>
    <w:p w:rsidR="00467218" w:rsidRPr="00652ED2" w:rsidRDefault="005E7DEA" w:rsidP="00005545">
      <w:pPr>
        <w:spacing w:after="0"/>
        <w:jc w:val="left"/>
        <w:rPr>
          <w:sz w:val="22"/>
          <w:szCs w:val="22"/>
        </w:rPr>
      </w:pPr>
      <w:r>
        <w:rPr>
          <w:sz w:val="22"/>
          <w:szCs w:val="22"/>
        </w:rPr>
        <w:t>Predtým, ako začnete užívať Ibalgin Junior</w:t>
      </w:r>
      <w:r>
        <w:rPr>
          <w:noProof/>
          <w:sz w:val="22"/>
          <w:szCs w:val="22"/>
        </w:rPr>
        <w:t xml:space="preserve"> pre vaše dieťa,</w:t>
      </w:r>
      <w:r>
        <w:rPr>
          <w:sz w:val="22"/>
          <w:szCs w:val="22"/>
        </w:rPr>
        <w:t xml:space="preserve"> obráťte sa na svojho lekára alebo lekárnika, ak vaše dieťa:</w:t>
      </w:r>
    </w:p>
    <w:p w:rsidR="00336865" w:rsidRPr="00652ED2" w:rsidRDefault="00336865" w:rsidP="00005545">
      <w:pPr>
        <w:spacing w:after="0"/>
        <w:jc w:val="left"/>
        <w:rPr>
          <w:sz w:val="22"/>
          <w:szCs w:val="22"/>
        </w:rPr>
      </w:pPr>
    </w:p>
    <w:p w:rsidR="00467218" w:rsidRPr="00652ED2" w:rsidRDefault="005E7DEA" w:rsidP="00005545">
      <w:pPr>
        <w:pStyle w:val="Odsekzoznamu"/>
        <w:numPr>
          <w:ilvl w:val="0"/>
          <w:numId w:val="8"/>
        </w:numPr>
        <w:spacing w:after="0"/>
        <w:jc w:val="left"/>
        <w:rPr>
          <w:sz w:val="22"/>
          <w:szCs w:val="22"/>
        </w:rPr>
      </w:pPr>
      <w:r>
        <w:rPr>
          <w:sz w:val="22"/>
          <w:szCs w:val="22"/>
        </w:rPr>
        <w:t>užíva akékoľvek iné lieky proti bolesti (NSAID) alebo kyselinu acetylsalicylovú (aspirín) s dennou dávkou prevyšujúcou 75 mg;</w:t>
      </w:r>
    </w:p>
    <w:p w:rsidR="00467218" w:rsidRPr="00652ED2" w:rsidRDefault="005E7DEA" w:rsidP="00005545">
      <w:pPr>
        <w:pStyle w:val="Odsekzoznamu"/>
        <w:numPr>
          <w:ilvl w:val="0"/>
          <w:numId w:val="8"/>
        </w:numPr>
        <w:spacing w:after="0"/>
        <w:jc w:val="left"/>
        <w:rPr>
          <w:sz w:val="22"/>
          <w:szCs w:val="22"/>
        </w:rPr>
      </w:pPr>
      <w:r>
        <w:rPr>
          <w:sz w:val="22"/>
          <w:szCs w:val="22"/>
        </w:rPr>
        <w:t>má určité ochorenia kože (systémový lupus erythematosus (SLE) alebo zmiešané ochorenie spojivového tkaniva);</w:t>
      </w:r>
    </w:p>
    <w:p w:rsidR="00467218" w:rsidRPr="00652ED2" w:rsidRDefault="005E7DEA" w:rsidP="00005545">
      <w:pPr>
        <w:pStyle w:val="Odsekzoznamu"/>
        <w:numPr>
          <w:ilvl w:val="0"/>
          <w:numId w:val="8"/>
        </w:numPr>
        <w:spacing w:after="0"/>
        <w:jc w:val="left"/>
        <w:rPr>
          <w:sz w:val="22"/>
          <w:szCs w:val="22"/>
        </w:rPr>
      </w:pPr>
      <w:r>
        <w:rPr>
          <w:sz w:val="22"/>
          <w:szCs w:val="22"/>
        </w:rPr>
        <w:t>má alebo niekedy malo ochorenie čriev (ulceróznu kolitídu alebo Crohnovu chorobu), pretože tieto ochorenia sa môžu zhoršiť (pozri časť 4 „Možné vedľajšie účinky“);</w:t>
      </w:r>
    </w:p>
    <w:p w:rsidR="00467218" w:rsidRPr="00652ED2" w:rsidRDefault="005E7DEA" w:rsidP="00005545">
      <w:pPr>
        <w:pStyle w:val="Odsekzoznamu"/>
        <w:numPr>
          <w:ilvl w:val="0"/>
          <w:numId w:val="8"/>
        </w:numPr>
        <w:spacing w:after="0"/>
        <w:jc w:val="left"/>
        <w:rPr>
          <w:sz w:val="22"/>
          <w:szCs w:val="22"/>
        </w:rPr>
      </w:pPr>
      <w:r>
        <w:rPr>
          <w:sz w:val="22"/>
          <w:szCs w:val="22"/>
        </w:rPr>
        <w:t>má zníženú funkciu obličiek;</w:t>
      </w:r>
    </w:p>
    <w:p w:rsidR="00467218" w:rsidRPr="00652ED2" w:rsidRDefault="005E7DEA" w:rsidP="00350AB4">
      <w:pPr>
        <w:pStyle w:val="Odsekzoznamu"/>
        <w:numPr>
          <w:ilvl w:val="0"/>
          <w:numId w:val="8"/>
        </w:numPr>
        <w:spacing w:after="0"/>
        <w:jc w:val="left"/>
        <w:rPr>
          <w:sz w:val="22"/>
          <w:szCs w:val="22"/>
        </w:rPr>
      </w:pPr>
      <w:r>
        <w:rPr>
          <w:sz w:val="22"/>
          <w:szCs w:val="22"/>
        </w:rPr>
        <w:t>má poruchy pečene;</w:t>
      </w:r>
      <w:r w:rsidR="00D25971">
        <w:rPr>
          <w:sz w:val="22"/>
          <w:szCs w:val="22"/>
        </w:rPr>
        <w:t xml:space="preserve"> </w:t>
      </w:r>
      <w:r>
        <w:rPr>
          <w:sz w:val="22"/>
          <w:szCs w:val="22"/>
        </w:rPr>
        <w:t>užíva iné lieky, ktoré by mohli zvyšovať riziko tvorby vredov alebo krvácania, ako sú perorálne kortikosteroidy (ako je prednizolón), lieky proti zrážaniu krvi (ako je warfarín), selektívne inhibítory spätného vychytávania sérotonínu (lieky na depresiu) alebo látky znižujúce krvnú zrážanlivosť (ako je kyselina acetylsalicylová), v týchto prípadoch je potrebná opatrnosť.</w:t>
      </w:r>
    </w:p>
    <w:p w:rsidR="00467218" w:rsidRPr="00652ED2" w:rsidRDefault="005E7DEA" w:rsidP="00005545">
      <w:pPr>
        <w:pStyle w:val="Odsekzoznamu"/>
        <w:numPr>
          <w:ilvl w:val="0"/>
          <w:numId w:val="8"/>
        </w:numPr>
        <w:spacing w:after="0"/>
        <w:jc w:val="left"/>
        <w:rPr>
          <w:sz w:val="22"/>
          <w:szCs w:val="22"/>
        </w:rPr>
      </w:pPr>
      <w:r>
        <w:rPr>
          <w:sz w:val="22"/>
          <w:szCs w:val="22"/>
        </w:rPr>
        <w:t>užíva iný NSAID liek (vrátane inhibítorov COX-2, ako je celekoxib alebo etorikoxib), pretože súbežnému užívaniu týchto liekov sa treba vyhýbať;</w:t>
      </w:r>
    </w:p>
    <w:p w:rsidR="000236E9" w:rsidRPr="00652ED2" w:rsidRDefault="005E7DEA" w:rsidP="00005545">
      <w:pPr>
        <w:pStyle w:val="Odsekzoznamu"/>
        <w:numPr>
          <w:ilvl w:val="0"/>
          <w:numId w:val="8"/>
        </w:numPr>
        <w:spacing w:after="0"/>
        <w:jc w:val="left"/>
        <w:rPr>
          <w:sz w:val="22"/>
          <w:szCs w:val="22"/>
        </w:rPr>
      </w:pPr>
      <w:r>
        <w:rPr>
          <w:sz w:val="22"/>
          <w:szCs w:val="22"/>
        </w:rPr>
        <w:t>má alebo niekedy malo problémy so srdcom, vrátane srdcového zlyhania, angíny pektoris (bolesť na hrudi), alebo ak vaše dieťa malo srdcový infarkt, podstúpilo operáciu srdca (koronárny bypass), má ochorenie periférnych artérií (slabá cirkulácia v nohách alebo chodidlách z dôvodu zúžených alebo zablokovaných ciev), alebo akúkoľvek mozgovú príhodu (vrátane malej mozgovej príhody alebo prechodného ischemického záchvatu);</w:t>
      </w:r>
    </w:p>
    <w:p w:rsidR="00354641" w:rsidRPr="00652ED2" w:rsidRDefault="005E7DEA" w:rsidP="00005545">
      <w:pPr>
        <w:pStyle w:val="Odsekzoznamu"/>
        <w:numPr>
          <w:ilvl w:val="0"/>
          <w:numId w:val="8"/>
        </w:numPr>
        <w:spacing w:after="0"/>
        <w:jc w:val="left"/>
        <w:rPr>
          <w:sz w:val="22"/>
          <w:szCs w:val="22"/>
        </w:rPr>
      </w:pPr>
      <w:r>
        <w:rPr>
          <w:sz w:val="22"/>
          <w:szCs w:val="22"/>
        </w:rPr>
        <w:t>má alebo niekedy malo vysoký krvný tlak, cukrovku, vysoký cholesterol, alebo niektorý člen vašej rodiny mal srdcové ochorenie alebo mozgovú príhodu, alebo pacient je fajčiar;</w:t>
      </w:r>
    </w:p>
    <w:p w:rsidR="004E22E2" w:rsidRPr="00652ED2" w:rsidRDefault="005E7DEA" w:rsidP="00005545">
      <w:pPr>
        <w:pStyle w:val="Odsekzoznamu"/>
        <w:numPr>
          <w:ilvl w:val="0"/>
          <w:numId w:val="8"/>
        </w:numPr>
        <w:spacing w:after="0"/>
        <w:jc w:val="left"/>
        <w:rPr>
          <w:sz w:val="22"/>
          <w:szCs w:val="22"/>
        </w:rPr>
      </w:pPr>
      <w:r>
        <w:rPr>
          <w:sz w:val="22"/>
          <w:szCs w:val="22"/>
        </w:rPr>
        <w:t>práve podstúpilo väčší chirurgický zákrok;</w:t>
      </w:r>
    </w:p>
    <w:p w:rsidR="004E22E2" w:rsidRPr="00652ED2" w:rsidRDefault="005E7DEA" w:rsidP="00005545">
      <w:pPr>
        <w:pStyle w:val="Odsekzoznamu"/>
        <w:numPr>
          <w:ilvl w:val="0"/>
          <w:numId w:val="8"/>
        </w:numPr>
        <w:spacing w:after="0"/>
        <w:jc w:val="left"/>
        <w:rPr>
          <w:sz w:val="22"/>
          <w:szCs w:val="22"/>
        </w:rPr>
      </w:pPr>
      <w:r>
        <w:rPr>
          <w:sz w:val="22"/>
          <w:szCs w:val="22"/>
        </w:rPr>
        <w:t>je dehydratované (má odvodnený organizmus), pretože existuje zvýšené riziko problémov s obličkami.</w:t>
      </w:r>
    </w:p>
    <w:p w:rsidR="004E22E2" w:rsidRPr="00652ED2" w:rsidRDefault="004E22E2" w:rsidP="00391BD0">
      <w:pPr>
        <w:spacing w:after="0"/>
        <w:jc w:val="left"/>
        <w:rPr>
          <w:sz w:val="22"/>
          <w:szCs w:val="22"/>
        </w:rPr>
      </w:pPr>
    </w:p>
    <w:p w:rsidR="004E22E2" w:rsidRPr="00652ED2" w:rsidRDefault="005E7DEA" w:rsidP="00391BD0">
      <w:pPr>
        <w:spacing w:after="0"/>
        <w:jc w:val="left"/>
        <w:rPr>
          <w:sz w:val="22"/>
          <w:szCs w:val="22"/>
        </w:rPr>
      </w:pPr>
      <w:r>
        <w:rPr>
          <w:sz w:val="22"/>
          <w:szCs w:val="22"/>
        </w:rPr>
        <w:t>Nežiaduce účinky sa môžu minimalizovať užívaním najnižšej účinnej dávky počas čo najkratšej doby.</w:t>
      </w:r>
    </w:p>
    <w:p w:rsidR="004E22E2" w:rsidRPr="00652ED2" w:rsidRDefault="004E22E2" w:rsidP="00391BD0">
      <w:pPr>
        <w:spacing w:after="0"/>
        <w:jc w:val="left"/>
        <w:rPr>
          <w:sz w:val="22"/>
          <w:szCs w:val="22"/>
        </w:rPr>
      </w:pPr>
    </w:p>
    <w:p w:rsidR="00467218" w:rsidRPr="00652ED2" w:rsidRDefault="005E7DEA" w:rsidP="00391BD0">
      <w:pPr>
        <w:spacing w:after="0"/>
        <w:jc w:val="left"/>
        <w:rPr>
          <w:sz w:val="22"/>
          <w:szCs w:val="22"/>
        </w:rPr>
      </w:pPr>
      <w:r>
        <w:rPr>
          <w:sz w:val="22"/>
          <w:szCs w:val="22"/>
        </w:rPr>
        <w:t>Vo všeobecnosti časté užívanie (niektorých druhov) liekov proti bolesti môže viesť k trvalým závažným problémom s obličkami.</w:t>
      </w:r>
    </w:p>
    <w:p w:rsidR="004E22E2" w:rsidRPr="00652ED2" w:rsidRDefault="004E22E2" w:rsidP="00391BD0">
      <w:pPr>
        <w:spacing w:after="0"/>
        <w:jc w:val="left"/>
        <w:rPr>
          <w:sz w:val="22"/>
          <w:szCs w:val="22"/>
        </w:rPr>
      </w:pPr>
    </w:p>
    <w:p w:rsidR="00467218" w:rsidRPr="00652ED2" w:rsidRDefault="005E7DEA" w:rsidP="00391BD0">
      <w:pPr>
        <w:spacing w:after="0"/>
        <w:jc w:val="left"/>
        <w:rPr>
          <w:sz w:val="22"/>
          <w:szCs w:val="22"/>
        </w:rPr>
      </w:pPr>
      <w:r>
        <w:rPr>
          <w:sz w:val="22"/>
          <w:szCs w:val="22"/>
        </w:rPr>
        <w:t>Môže sa u dieťaťa vyskytnúť dýchavičnosť, ak má alebo malo astmu, chronickú nádchu, nosné polypy alebo alergické ochorenia.</w:t>
      </w:r>
    </w:p>
    <w:p w:rsidR="00956C9D" w:rsidRPr="00652ED2" w:rsidRDefault="00956C9D" w:rsidP="00391BD0">
      <w:pPr>
        <w:spacing w:after="0"/>
        <w:jc w:val="left"/>
        <w:rPr>
          <w:sz w:val="22"/>
          <w:szCs w:val="22"/>
        </w:rPr>
      </w:pPr>
    </w:p>
    <w:p w:rsidR="00467218" w:rsidRPr="00652ED2" w:rsidRDefault="005E7DEA" w:rsidP="00391BD0">
      <w:pPr>
        <w:spacing w:after="0"/>
        <w:jc w:val="left"/>
        <w:rPr>
          <w:sz w:val="22"/>
          <w:szCs w:val="22"/>
        </w:rPr>
      </w:pPr>
      <w:r>
        <w:rPr>
          <w:sz w:val="22"/>
          <w:szCs w:val="22"/>
        </w:rPr>
        <w:t>Veľmi zriedkavo boli v súvislosti s používaním NSAID hlásené závažné kožné reakcie (ako je Stevensov</w:t>
      </w:r>
      <w:r>
        <w:rPr>
          <w:sz w:val="22"/>
          <w:szCs w:val="22"/>
        </w:rPr>
        <w:noBreakHyphen/>
        <w:t>Johnsonov syndróm). Užívanie Ibalginu Junior sa má okamžite ukončiť pri prvom výskyte kožnej vyrážky, mukóznych lézií (poškodenie sliznice) alebo akýchkoľvek iných príznakov alergických reakcií.</w:t>
      </w:r>
    </w:p>
    <w:p w:rsidR="00467218" w:rsidRPr="00652ED2" w:rsidRDefault="00467218" w:rsidP="00A37737">
      <w:pPr>
        <w:pStyle w:val="Odsekzoznamu"/>
        <w:spacing w:after="0"/>
        <w:ind w:left="360"/>
        <w:jc w:val="left"/>
        <w:rPr>
          <w:sz w:val="22"/>
          <w:szCs w:val="22"/>
        </w:rPr>
      </w:pPr>
    </w:p>
    <w:p w:rsidR="00956C9D" w:rsidRPr="00652ED2" w:rsidRDefault="00956C9D" w:rsidP="00956C9D">
      <w:pPr>
        <w:pStyle w:val="Odsekzoznamu"/>
        <w:spacing w:after="0"/>
        <w:ind w:left="360"/>
        <w:jc w:val="left"/>
        <w:rPr>
          <w:sz w:val="22"/>
          <w:szCs w:val="22"/>
        </w:rPr>
      </w:pPr>
    </w:p>
    <w:p w:rsidR="00467218" w:rsidRPr="00652ED2" w:rsidRDefault="005E7DEA" w:rsidP="00391BD0">
      <w:pPr>
        <w:spacing w:after="0"/>
        <w:jc w:val="left"/>
        <w:rPr>
          <w:sz w:val="22"/>
          <w:szCs w:val="22"/>
        </w:rPr>
      </w:pPr>
      <w:r>
        <w:rPr>
          <w:sz w:val="22"/>
          <w:szCs w:val="22"/>
        </w:rPr>
        <w:t xml:space="preserve">Počas ovčích kiahní (varicela) sa odporúča vyhýbať užívaniu </w:t>
      </w:r>
      <w:r w:rsidR="00824837" w:rsidRPr="00652ED2">
        <w:rPr>
          <w:sz w:val="22"/>
          <w:szCs w:val="22"/>
        </w:rPr>
        <w:t>Ibalginu Junior</w:t>
      </w:r>
      <w:r w:rsidR="00956C9D" w:rsidRPr="00652ED2">
        <w:rPr>
          <w:sz w:val="22"/>
          <w:szCs w:val="22"/>
        </w:rPr>
        <w:t>.</w:t>
      </w:r>
    </w:p>
    <w:p w:rsidR="00956C9D" w:rsidRPr="00652ED2" w:rsidRDefault="00956C9D" w:rsidP="00391BD0">
      <w:pPr>
        <w:pStyle w:val="Odsekzoznamu"/>
        <w:spacing w:after="0"/>
        <w:ind w:left="360"/>
        <w:jc w:val="left"/>
        <w:rPr>
          <w:sz w:val="22"/>
          <w:szCs w:val="22"/>
        </w:rPr>
      </w:pPr>
    </w:p>
    <w:p w:rsidR="00467218" w:rsidRPr="00652ED2" w:rsidRDefault="005E7DEA" w:rsidP="00391BD0">
      <w:pPr>
        <w:spacing w:after="0"/>
        <w:jc w:val="left"/>
        <w:rPr>
          <w:sz w:val="22"/>
          <w:szCs w:val="22"/>
        </w:rPr>
      </w:pPr>
      <w:r>
        <w:rPr>
          <w:sz w:val="22"/>
          <w:szCs w:val="22"/>
        </w:rPr>
        <w:t xml:space="preserve">Protizápalové lieky a lieky proti bolesti, ako </w:t>
      </w:r>
      <w:r w:rsidR="00D25971">
        <w:rPr>
          <w:sz w:val="22"/>
          <w:szCs w:val="22"/>
        </w:rPr>
        <w:t>ibuprofén</w:t>
      </w:r>
      <w:r>
        <w:rPr>
          <w:sz w:val="22"/>
          <w:szCs w:val="22"/>
        </w:rPr>
        <w:t>, môžu byť spojené s malým zvýšeným rizikom srdcového infarktu alebo mozgovej príhody, najmä ak sa užívajú vo vysokých dávkach. Neprekračujte odporúčanú dávku ani trvanie liečby – 3 dni.</w:t>
      </w:r>
    </w:p>
    <w:p w:rsidR="00467218" w:rsidRPr="00652ED2" w:rsidRDefault="00467218" w:rsidP="00005545">
      <w:pPr>
        <w:spacing w:after="0"/>
        <w:jc w:val="left"/>
        <w:rPr>
          <w:sz w:val="22"/>
          <w:szCs w:val="22"/>
        </w:rPr>
      </w:pPr>
    </w:p>
    <w:p w:rsidR="00467218" w:rsidRPr="00652ED2" w:rsidRDefault="005E7DEA" w:rsidP="00005545">
      <w:pPr>
        <w:spacing w:after="0"/>
        <w:jc w:val="left"/>
        <w:rPr>
          <w:sz w:val="22"/>
          <w:szCs w:val="22"/>
        </w:rPr>
      </w:pPr>
      <w:r>
        <w:rPr>
          <w:sz w:val="22"/>
          <w:szCs w:val="22"/>
          <w:lang w:eastAsia="cs-CZ"/>
        </w:rPr>
        <w:t>Krvácanie v tráviacom</w:t>
      </w:r>
      <w:r>
        <w:rPr>
          <w:spacing w:val="-4"/>
          <w:sz w:val="22"/>
          <w:szCs w:val="22"/>
        </w:rPr>
        <w:t xml:space="preserve"> trakte</w:t>
      </w:r>
      <w:r>
        <w:rPr>
          <w:sz w:val="22"/>
          <w:szCs w:val="22"/>
          <w:lang w:eastAsia="cs-CZ"/>
        </w:rPr>
        <w:t xml:space="preserve">, tvorba vredov alebo prederavenie, ktoré môžu byť smrteľné, sa zaznamenali v súvislosti so všetkými </w:t>
      </w:r>
      <w:r>
        <w:rPr>
          <w:sz w:val="22"/>
          <w:szCs w:val="22"/>
        </w:rPr>
        <w:t>NSAID</w:t>
      </w:r>
      <w:r>
        <w:rPr>
          <w:sz w:val="22"/>
          <w:szCs w:val="22"/>
          <w:lang w:eastAsia="cs-CZ"/>
        </w:rPr>
        <w:t xml:space="preserve"> kedykoľvek počas liečby, a to s varovnými príznakmi </w:t>
      </w:r>
      <w:r>
        <w:rPr>
          <w:sz w:val="22"/>
          <w:szCs w:val="22"/>
          <w:lang w:eastAsia="cs-CZ"/>
        </w:rPr>
        <w:lastRenderedPageBreak/>
        <w:t>alebo bez nich alebo s predchádzajúcou anamnézou závažných príhod postihujúcich tráviaci trakt. Ak sa vyskytne krvácanie v tráviacom trakte alebo prederavenie, liečba sa má okamžite ukončiť</w:t>
      </w:r>
      <w:r>
        <w:rPr>
          <w:sz w:val="22"/>
          <w:szCs w:val="22"/>
        </w:rPr>
        <w:t xml:space="preserve">. </w:t>
      </w:r>
      <w:r>
        <w:rPr>
          <w:sz w:val="22"/>
          <w:szCs w:val="22"/>
          <w:lang w:eastAsia="cs-CZ"/>
        </w:rPr>
        <w:t xml:space="preserve">Riziko krvácania v tráviacom trakte, vredov alebo prederavenia je vyššie so zvyšujúcimi sa dávkami </w:t>
      </w:r>
      <w:r>
        <w:rPr>
          <w:sz w:val="22"/>
          <w:szCs w:val="22"/>
        </w:rPr>
        <w:t>NSAID</w:t>
      </w:r>
      <w:r>
        <w:rPr>
          <w:sz w:val="22"/>
          <w:szCs w:val="22"/>
          <w:lang w:eastAsia="cs-CZ"/>
        </w:rPr>
        <w:t xml:space="preserve">, u pacientov s prekonaným vredom, predovšetkým komplikovaný s krvácaním alebo prederavením (pozri časť 2 </w:t>
      </w:r>
      <w:r>
        <w:rPr>
          <w:sz w:val="22"/>
          <w:szCs w:val="22"/>
        </w:rPr>
        <w:t>„</w:t>
      </w:r>
      <w:r>
        <w:rPr>
          <w:sz w:val="22"/>
          <w:szCs w:val="22"/>
          <w:lang w:eastAsia="cs-CZ"/>
        </w:rPr>
        <w:t>Neužívajte</w:t>
      </w:r>
      <w:r>
        <w:rPr>
          <w:sz w:val="22"/>
          <w:szCs w:val="22"/>
        </w:rPr>
        <w:t xml:space="preserve"> Ibalgin Junior</w:t>
      </w:r>
      <w:r>
        <w:rPr>
          <w:noProof/>
          <w:sz w:val="22"/>
          <w:szCs w:val="22"/>
        </w:rPr>
        <w:t>)</w:t>
      </w:r>
      <w:r>
        <w:rPr>
          <w:sz w:val="22"/>
          <w:szCs w:val="22"/>
        </w:rPr>
        <w:t xml:space="preserve"> a u starších osôb. </w:t>
      </w:r>
      <w:r>
        <w:rPr>
          <w:sz w:val="22"/>
          <w:szCs w:val="22"/>
          <w:lang w:eastAsia="cs-CZ"/>
        </w:rPr>
        <w:t>Títo pacienti majú začínať liečbu najnižšou dostupnou dávkou.</w:t>
      </w:r>
      <w:r>
        <w:rPr>
          <w:sz w:val="22"/>
          <w:szCs w:val="22"/>
        </w:rPr>
        <w:t xml:space="preserve"> U týchto pacientov a takisto u pacientov vyžadujúcich súbežnú liečbu nízkou dávkou kyseliny acetylsalicylovej alebo inými liečivami, ktoré pravdepodobne zvyšujú gastrointestinálne riziko, sa má zvážiť kombinovaná liečba s protektívnymi látkami (napr. misoprostolom alebo inhibítormi protónovej pumpy).</w:t>
      </w:r>
    </w:p>
    <w:p w:rsidR="00467218" w:rsidRPr="00652ED2" w:rsidRDefault="00467218" w:rsidP="00005545">
      <w:pPr>
        <w:spacing w:after="0"/>
        <w:jc w:val="left"/>
        <w:rPr>
          <w:sz w:val="22"/>
          <w:szCs w:val="22"/>
        </w:rPr>
      </w:pPr>
    </w:p>
    <w:p w:rsidR="00692B03" w:rsidRPr="00652ED2" w:rsidRDefault="005E7DEA" w:rsidP="00692B03">
      <w:pPr>
        <w:rPr>
          <w:sz w:val="22"/>
          <w:szCs w:val="22"/>
        </w:rPr>
      </w:pPr>
      <w:r>
        <w:rPr>
          <w:sz w:val="22"/>
          <w:szCs w:val="22"/>
        </w:rPr>
        <w:t xml:space="preserve">NSAID, ako je </w:t>
      </w:r>
      <w:r w:rsidR="00D25971">
        <w:rPr>
          <w:sz w:val="22"/>
          <w:szCs w:val="22"/>
        </w:rPr>
        <w:t>ibuprofén</w:t>
      </w:r>
      <w:r>
        <w:rPr>
          <w:sz w:val="22"/>
          <w:szCs w:val="22"/>
        </w:rPr>
        <w:t>, môžu maskovať príznaky infekcie a horúčky.</w:t>
      </w:r>
    </w:p>
    <w:p w:rsidR="00692B03" w:rsidRPr="00652ED2" w:rsidRDefault="00692B03" w:rsidP="00692B03">
      <w:pPr>
        <w:rPr>
          <w:sz w:val="22"/>
          <w:szCs w:val="22"/>
        </w:rPr>
      </w:pPr>
    </w:p>
    <w:p w:rsidR="00467218" w:rsidRPr="00652ED2" w:rsidRDefault="005E7DEA" w:rsidP="00692B03">
      <w:pPr>
        <w:spacing w:after="0"/>
        <w:jc w:val="left"/>
        <w:rPr>
          <w:sz w:val="22"/>
          <w:szCs w:val="22"/>
        </w:rPr>
      </w:pPr>
      <w:r>
        <w:rPr>
          <w:sz w:val="22"/>
          <w:szCs w:val="22"/>
          <w:lang w:eastAsia="cs-CZ"/>
        </w:rPr>
        <w:t xml:space="preserve">Ak sa ktorékoľvek z vyššie uvedených ochorení vyskytuje u vášho dieťaťa, </w:t>
      </w:r>
      <w:r>
        <w:rPr>
          <w:sz w:val="22"/>
          <w:szCs w:val="22"/>
        </w:rPr>
        <w:t xml:space="preserve">pred použitím Ibalginu Junior </w:t>
      </w:r>
      <w:r>
        <w:rPr>
          <w:sz w:val="22"/>
          <w:szCs w:val="22"/>
          <w:lang w:eastAsia="cs-CZ"/>
        </w:rPr>
        <w:t>sa poraďte s lekárom</w:t>
      </w:r>
      <w:r>
        <w:rPr>
          <w:sz w:val="22"/>
          <w:szCs w:val="22"/>
        </w:rPr>
        <w:t>.</w:t>
      </w:r>
    </w:p>
    <w:p w:rsidR="00467218" w:rsidRPr="00652ED2" w:rsidRDefault="00467218" w:rsidP="00005545">
      <w:pPr>
        <w:spacing w:after="0"/>
        <w:jc w:val="left"/>
        <w:rPr>
          <w:sz w:val="22"/>
          <w:szCs w:val="22"/>
        </w:rPr>
      </w:pPr>
    </w:p>
    <w:p w:rsidR="00A5370A" w:rsidRPr="00652ED2" w:rsidRDefault="005E7DEA" w:rsidP="00005545">
      <w:pPr>
        <w:spacing w:after="0"/>
        <w:jc w:val="left"/>
        <w:rPr>
          <w:b/>
          <w:sz w:val="22"/>
          <w:szCs w:val="22"/>
        </w:rPr>
      </w:pPr>
      <w:r>
        <w:rPr>
          <w:b/>
          <w:sz w:val="22"/>
          <w:szCs w:val="22"/>
        </w:rPr>
        <w:t xml:space="preserve">Ak tento liek užíva dospelý: </w:t>
      </w:r>
    </w:p>
    <w:p w:rsidR="00CB7AB0" w:rsidRPr="00652ED2" w:rsidRDefault="00CB7AB0" w:rsidP="00005545">
      <w:pPr>
        <w:spacing w:after="0"/>
        <w:jc w:val="left"/>
        <w:rPr>
          <w:sz w:val="22"/>
          <w:szCs w:val="22"/>
        </w:rPr>
      </w:pPr>
    </w:p>
    <w:p w:rsidR="00467218" w:rsidRPr="00652ED2" w:rsidRDefault="005E7DEA" w:rsidP="00005545">
      <w:pPr>
        <w:spacing w:after="0"/>
        <w:jc w:val="left"/>
        <w:rPr>
          <w:sz w:val="22"/>
          <w:szCs w:val="22"/>
          <w:u w:val="single"/>
        </w:rPr>
      </w:pPr>
      <w:r>
        <w:rPr>
          <w:sz w:val="22"/>
          <w:szCs w:val="22"/>
          <w:u w:val="single"/>
        </w:rPr>
        <w:t>Staršie osoby</w:t>
      </w:r>
    </w:p>
    <w:p w:rsidR="00467218" w:rsidRPr="00652ED2" w:rsidRDefault="005E7DEA" w:rsidP="00005545">
      <w:pPr>
        <w:spacing w:after="0"/>
        <w:jc w:val="left"/>
        <w:rPr>
          <w:sz w:val="22"/>
          <w:szCs w:val="22"/>
        </w:rPr>
      </w:pPr>
      <w:r>
        <w:rPr>
          <w:sz w:val="22"/>
          <w:szCs w:val="22"/>
        </w:rPr>
        <w:t>U starších osôb je zvýšené riziko nežiaducich udalostí pri užívaní NSAID, predovšetkým tých, ktoré sa týkajú žalúdka a čriev. Pre viac informácií pozri časť 4 „Možné vedľajšie účinky“.</w:t>
      </w:r>
    </w:p>
    <w:p w:rsidR="00467218" w:rsidRPr="00652ED2" w:rsidRDefault="005E7DEA" w:rsidP="00005545">
      <w:pPr>
        <w:spacing w:after="0"/>
        <w:jc w:val="left"/>
        <w:rPr>
          <w:sz w:val="22"/>
          <w:szCs w:val="22"/>
        </w:rPr>
      </w:pPr>
      <w:r>
        <w:rPr>
          <w:sz w:val="22"/>
          <w:szCs w:val="22"/>
        </w:rPr>
        <w:t xml:space="preserve"> </w:t>
      </w:r>
    </w:p>
    <w:p w:rsidR="00467218" w:rsidRPr="00652ED2" w:rsidRDefault="005E7DEA" w:rsidP="00005545">
      <w:pPr>
        <w:spacing w:after="0"/>
        <w:jc w:val="left"/>
        <w:rPr>
          <w:sz w:val="22"/>
          <w:szCs w:val="22"/>
        </w:rPr>
      </w:pPr>
      <w:r>
        <w:rPr>
          <w:sz w:val="22"/>
          <w:szCs w:val="22"/>
        </w:rPr>
        <w:t>Ak ste v minulosti mali</w:t>
      </w:r>
      <w:r>
        <w:rPr>
          <w:spacing w:val="-4"/>
          <w:sz w:val="22"/>
          <w:szCs w:val="22"/>
        </w:rPr>
        <w:t xml:space="preserve"> </w:t>
      </w:r>
      <w:r>
        <w:rPr>
          <w:sz w:val="22"/>
          <w:szCs w:val="22"/>
        </w:rPr>
        <w:t>poškodenie žalúdočno-črevného traktu (</w:t>
      </w:r>
      <w:r>
        <w:rPr>
          <w:spacing w:val="-4"/>
          <w:sz w:val="22"/>
          <w:szCs w:val="22"/>
        </w:rPr>
        <w:t>gastrotoxicitu)</w:t>
      </w:r>
      <w:r>
        <w:rPr>
          <w:sz w:val="22"/>
          <w:szCs w:val="22"/>
        </w:rPr>
        <w:t>, hlavne v staršom veku, máte lekárovi hlásiť všetky neobvyklé brušné príznaky (najmä žalúdočno-črevné krvácanie) predovšetkým v počiatočných fázach liečby.</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bCs/>
          <w:sz w:val="22"/>
          <w:szCs w:val="22"/>
        </w:rPr>
        <w:t xml:space="preserve">Iné lieky a </w:t>
      </w:r>
      <w:r>
        <w:rPr>
          <w:b/>
          <w:bCs/>
          <w:noProof/>
          <w:sz w:val="22"/>
          <w:szCs w:val="22"/>
        </w:rPr>
        <w:t>Ibalgin Junior</w:t>
      </w:r>
    </w:p>
    <w:p w:rsidR="00467218" w:rsidRPr="00652ED2" w:rsidRDefault="00467218" w:rsidP="00005545">
      <w:pPr>
        <w:spacing w:after="0"/>
        <w:jc w:val="left"/>
        <w:rPr>
          <w:sz w:val="22"/>
          <w:szCs w:val="22"/>
        </w:rPr>
      </w:pPr>
    </w:p>
    <w:p w:rsidR="00467218" w:rsidRPr="00652ED2" w:rsidRDefault="005E7DEA" w:rsidP="00005545">
      <w:pPr>
        <w:spacing w:after="0"/>
        <w:jc w:val="left"/>
        <w:rPr>
          <w:sz w:val="22"/>
          <w:szCs w:val="22"/>
        </w:rPr>
      </w:pPr>
      <w:r>
        <w:rPr>
          <w:noProof/>
          <w:sz w:val="22"/>
          <w:szCs w:val="22"/>
        </w:rPr>
        <w:t>Ak vaše dieťa teraz užíva alebo v poslednom čase užívalo, či práve bude užívať ďalšie lieky, povedzte to svojmu lekárovi alebo lekárnikovi</w:t>
      </w:r>
    </w:p>
    <w:p w:rsidR="00956C9D" w:rsidRPr="00652ED2" w:rsidRDefault="00956C9D" w:rsidP="00005545">
      <w:pPr>
        <w:spacing w:after="0"/>
        <w:jc w:val="left"/>
        <w:rPr>
          <w:sz w:val="22"/>
          <w:szCs w:val="22"/>
        </w:rPr>
      </w:pPr>
    </w:p>
    <w:p w:rsidR="00956C9D" w:rsidRPr="00652ED2" w:rsidRDefault="005E7DEA" w:rsidP="00391BD0">
      <w:pPr>
        <w:numPr>
          <w:ilvl w:val="12"/>
          <w:numId w:val="0"/>
        </w:numPr>
        <w:ind w:right="-2"/>
        <w:rPr>
          <w:sz w:val="22"/>
          <w:szCs w:val="22"/>
        </w:rPr>
      </w:pPr>
      <w:r>
        <w:rPr>
          <w:sz w:val="22"/>
          <w:szCs w:val="22"/>
        </w:rPr>
        <w:t>Ibalgin Junior môže ovplyvňovať alebo byť ovplyvnený niektorými inými liekmi. Napríklad:</w:t>
      </w:r>
    </w:p>
    <w:p w:rsidR="00467218" w:rsidRPr="00652ED2" w:rsidRDefault="005E7DEA" w:rsidP="00005545">
      <w:pPr>
        <w:pStyle w:val="Odsekzoznamu"/>
        <w:numPr>
          <w:ilvl w:val="0"/>
          <w:numId w:val="9"/>
        </w:numPr>
        <w:spacing w:after="0"/>
        <w:jc w:val="left"/>
        <w:rPr>
          <w:sz w:val="22"/>
          <w:szCs w:val="22"/>
        </w:rPr>
      </w:pPr>
      <w:r>
        <w:rPr>
          <w:sz w:val="22"/>
          <w:szCs w:val="22"/>
        </w:rPr>
        <w:t>kortikosteroidy (ako je prednizolón), pretože tieto lieky môžu zvýšiť riziko žalúdočných a črevných vredov alebo krvácania;</w:t>
      </w:r>
    </w:p>
    <w:p w:rsidR="00467218" w:rsidRPr="00652ED2" w:rsidRDefault="005E7DEA" w:rsidP="00005545">
      <w:pPr>
        <w:pStyle w:val="Odsekzoznamu"/>
        <w:numPr>
          <w:ilvl w:val="0"/>
          <w:numId w:val="9"/>
        </w:numPr>
        <w:spacing w:after="0"/>
        <w:jc w:val="left"/>
        <w:rPr>
          <w:sz w:val="22"/>
          <w:szCs w:val="22"/>
        </w:rPr>
      </w:pPr>
      <w:r>
        <w:rPr>
          <w:sz w:val="22"/>
          <w:szCs w:val="22"/>
        </w:rPr>
        <w:t>iný NSAID liek (vrátane inhibítorov COX</w:t>
      </w:r>
      <w:r>
        <w:rPr>
          <w:sz w:val="22"/>
          <w:szCs w:val="22"/>
        </w:rPr>
        <w:noBreakHyphen/>
        <w:t xml:space="preserve">2, ako je </w:t>
      </w:r>
      <w:r w:rsidR="00714C00" w:rsidRPr="00652ED2">
        <w:rPr>
          <w:sz w:val="22"/>
          <w:szCs w:val="22"/>
        </w:rPr>
        <w:t>celekoxib alebo etorik</w:t>
      </w:r>
      <w:r w:rsidR="00467218" w:rsidRPr="00652ED2">
        <w:rPr>
          <w:sz w:val="22"/>
          <w:szCs w:val="22"/>
        </w:rPr>
        <w:t>oxib)</w:t>
      </w:r>
      <w:r>
        <w:rPr>
          <w:sz w:val="22"/>
          <w:szCs w:val="22"/>
        </w:rPr>
        <w:t>;</w:t>
      </w:r>
    </w:p>
    <w:p w:rsidR="00A311D2" w:rsidRPr="00652ED2" w:rsidRDefault="005E7DEA" w:rsidP="00005545">
      <w:pPr>
        <w:pStyle w:val="Odsekzoznamu"/>
        <w:numPr>
          <w:ilvl w:val="0"/>
          <w:numId w:val="9"/>
        </w:numPr>
        <w:spacing w:after="0"/>
        <w:jc w:val="left"/>
        <w:rPr>
          <w:sz w:val="22"/>
          <w:szCs w:val="22"/>
        </w:rPr>
      </w:pPr>
      <w:r>
        <w:rPr>
          <w:sz w:val="22"/>
          <w:szCs w:val="22"/>
        </w:rPr>
        <w:t xml:space="preserve">liekmi, ktoré sú </w:t>
      </w:r>
      <w:r w:rsidRPr="005E7DEA">
        <w:rPr>
          <w:sz w:val="22"/>
          <w:szCs w:val="22"/>
        </w:rPr>
        <w:t>antikoagulan</w:t>
      </w:r>
      <w:r w:rsidR="00D25971">
        <w:rPr>
          <w:sz w:val="22"/>
          <w:szCs w:val="22"/>
        </w:rPr>
        <w:t>cia</w:t>
      </w:r>
      <w:r w:rsidRPr="005E7DEA">
        <w:rPr>
          <w:sz w:val="22"/>
          <w:szCs w:val="22"/>
        </w:rPr>
        <w:t>mi</w:t>
      </w:r>
      <w:r w:rsidR="00714C00" w:rsidRPr="00652ED2">
        <w:rPr>
          <w:sz w:val="22"/>
          <w:szCs w:val="22"/>
        </w:rPr>
        <w:t xml:space="preserve"> (</w:t>
      </w:r>
      <w:r w:rsidR="003F3BF2" w:rsidRPr="00652ED2">
        <w:rPr>
          <w:sz w:val="22"/>
          <w:szCs w:val="22"/>
        </w:rPr>
        <w:t>čo znam</w:t>
      </w:r>
      <w:r>
        <w:rPr>
          <w:sz w:val="22"/>
          <w:szCs w:val="22"/>
        </w:rPr>
        <w:t xml:space="preserve">ená, že zrieďujú krv a zamedzujú vzniku krvným zrazeninám, ,napr. aspirín/kyselina acetylsalicylová, warfarín, tiklopidín); </w:t>
      </w:r>
    </w:p>
    <w:p w:rsidR="00467218" w:rsidRPr="00652ED2" w:rsidRDefault="005E7DEA" w:rsidP="00005545">
      <w:pPr>
        <w:pStyle w:val="Odsekzoznamu"/>
        <w:numPr>
          <w:ilvl w:val="0"/>
          <w:numId w:val="9"/>
        </w:numPr>
        <w:spacing w:after="0"/>
        <w:jc w:val="left"/>
        <w:rPr>
          <w:sz w:val="22"/>
          <w:szCs w:val="22"/>
        </w:rPr>
      </w:pPr>
      <w:r>
        <w:rPr>
          <w:sz w:val="22"/>
          <w:szCs w:val="22"/>
        </w:rPr>
        <w:t>liekmi, ktoré znižujú vysoký krvný tlak (inhibítory ACE, ako je kaptopril, betablokátory, ako</w:t>
      </w:r>
      <w:r w:rsidRPr="005E7DEA">
        <w:rPr>
          <w:sz w:val="22"/>
          <w:szCs w:val="22"/>
        </w:rPr>
        <w:t xml:space="preserve"> sú lieky obsahujúce atenolol</w:t>
      </w:r>
      <w:r w:rsidR="00714C00" w:rsidRPr="00652ED2">
        <w:rPr>
          <w:sz w:val="22"/>
          <w:szCs w:val="22"/>
        </w:rPr>
        <w:t>, angiotenzínu II</w:t>
      </w:r>
      <w:r>
        <w:rPr>
          <w:sz w:val="22"/>
          <w:szCs w:val="22"/>
        </w:rPr>
        <w:t xml:space="preserve"> receptoroví antagonisty, ako je losartan);</w:t>
      </w:r>
    </w:p>
    <w:p w:rsidR="00467218" w:rsidRPr="00652ED2" w:rsidRDefault="005E7DEA" w:rsidP="00005545">
      <w:pPr>
        <w:pStyle w:val="Odsekzoznamu"/>
        <w:numPr>
          <w:ilvl w:val="0"/>
          <w:numId w:val="9"/>
        </w:numPr>
        <w:spacing w:after="0"/>
        <w:jc w:val="left"/>
        <w:rPr>
          <w:sz w:val="22"/>
          <w:szCs w:val="22"/>
        </w:rPr>
      </w:pPr>
      <w:r>
        <w:rPr>
          <w:sz w:val="22"/>
          <w:szCs w:val="22"/>
        </w:rPr>
        <w:t>antiagregačné látky (ako je kyselina acetylsalicylová) a selektívne inhibítory spätného vychytávania sérotonínu (liek proti depresii), pretože to môže zvýšiť riziko žalúdočných a črevných vedľajších účinkov;</w:t>
      </w:r>
    </w:p>
    <w:p w:rsidR="00467218" w:rsidRPr="00652ED2" w:rsidRDefault="005E7DEA" w:rsidP="00005545">
      <w:pPr>
        <w:pStyle w:val="Odsekzoznamu"/>
        <w:numPr>
          <w:ilvl w:val="0"/>
          <w:numId w:val="9"/>
        </w:numPr>
        <w:spacing w:after="0"/>
        <w:jc w:val="left"/>
        <w:rPr>
          <w:sz w:val="22"/>
          <w:szCs w:val="22"/>
        </w:rPr>
      </w:pPr>
      <w:r>
        <w:rPr>
          <w:sz w:val="22"/>
          <w:szCs w:val="22"/>
        </w:rPr>
        <w:t>lieky na vysoký krvný tlak a močopudné tablety (diuretiká), pretože NSAID môžu oslabiť účinky týchto liekov a môžu predstavovať zvýšené riziko pre obličky; v tomto prípade sa uistite, že vaše dieťa počas dňa pije dostatok vody;</w:t>
      </w:r>
    </w:p>
    <w:p w:rsidR="006428E7" w:rsidRPr="00652ED2" w:rsidRDefault="005E7DEA" w:rsidP="00CE31A6">
      <w:pPr>
        <w:pStyle w:val="Odsekzoznamu"/>
        <w:numPr>
          <w:ilvl w:val="0"/>
          <w:numId w:val="9"/>
        </w:numPr>
        <w:spacing w:after="0"/>
        <w:jc w:val="left"/>
        <w:rPr>
          <w:sz w:val="22"/>
          <w:szCs w:val="22"/>
        </w:rPr>
      </w:pPr>
      <w:r>
        <w:rPr>
          <w:sz w:val="22"/>
          <w:szCs w:val="22"/>
        </w:rPr>
        <w:t>metotrexát (liek na liečbu rakoviny alebo reumatizmu), pretože účinok metotrexátu sa môže zvýšiť;</w:t>
      </w:r>
    </w:p>
    <w:p w:rsidR="00467218" w:rsidRPr="00652ED2" w:rsidRDefault="005E7DEA" w:rsidP="00CE31A6">
      <w:pPr>
        <w:pStyle w:val="Odsekzoznamu"/>
        <w:numPr>
          <w:ilvl w:val="0"/>
          <w:numId w:val="9"/>
        </w:numPr>
        <w:spacing w:after="0"/>
        <w:jc w:val="left"/>
        <w:rPr>
          <w:sz w:val="22"/>
          <w:szCs w:val="22"/>
        </w:rPr>
      </w:pPr>
      <w:r>
        <w:rPr>
          <w:sz w:val="22"/>
          <w:szCs w:val="22"/>
        </w:rPr>
        <w:t>takrolimus (liek na potlačenie imunitnej reakcie), pretože riziko poškodenia obličiek je zvýšené;</w:t>
      </w:r>
    </w:p>
    <w:p w:rsidR="00467218" w:rsidRPr="00652ED2" w:rsidRDefault="005E7DEA" w:rsidP="00005545">
      <w:pPr>
        <w:pStyle w:val="Odsekzoznamu"/>
        <w:numPr>
          <w:ilvl w:val="0"/>
          <w:numId w:val="9"/>
        </w:numPr>
        <w:spacing w:after="0"/>
        <w:jc w:val="left"/>
        <w:rPr>
          <w:sz w:val="22"/>
          <w:szCs w:val="22"/>
        </w:rPr>
      </w:pPr>
      <w:r>
        <w:rPr>
          <w:sz w:val="22"/>
          <w:szCs w:val="22"/>
        </w:rPr>
        <w:t>cyklosporín (liek na potlačenie imunitnej reakcie), pretože existuje obmedzený dôkaz o zvýšenom riziku poškodenia obličiek;</w:t>
      </w:r>
    </w:p>
    <w:p w:rsidR="00467218" w:rsidRPr="00652ED2" w:rsidRDefault="005E7DEA" w:rsidP="00005545">
      <w:pPr>
        <w:pStyle w:val="Odsekzoznamu"/>
        <w:numPr>
          <w:ilvl w:val="0"/>
          <w:numId w:val="9"/>
        </w:numPr>
        <w:spacing w:after="0"/>
        <w:jc w:val="left"/>
        <w:rPr>
          <w:sz w:val="22"/>
          <w:szCs w:val="22"/>
        </w:rPr>
      </w:pPr>
      <w:r>
        <w:rPr>
          <w:sz w:val="22"/>
          <w:szCs w:val="22"/>
        </w:rPr>
        <w:t xml:space="preserve">zidovudín (liek na liečbu AIDS), pretože užívanie </w:t>
      </w:r>
      <w:r w:rsidR="00824837" w:rsidRPr="00652ED2">
        <w:rPr>
          <w:sz w:val="22"/>
          <w:szCs w:val="22"/>
        </w:rPr>
        <w:t>Ibalginu Junior</w:t>
      </w:r>
      <w:r w:rsidR="00341D2A" w:rsidRPr="00652ED2">
        <w:rPr>
          <w:sz w:val="22"/>
          <w:szCs w:val="22"/>
        </w:rPr>
        <w:t xml:space="preserve"> môže viesť k zvýšenému riziku krvácania do k</w:t>
      </w:r>
      <w:r>
        <w:rPr>
          <w:sz w:val="22"/>
          <w:szCs w:val="22"/>
        </w:rPr>
        <w:t>ĺbu alebo krvácania, ktoré vedie k opuchu u HIV+ hemofilikov;</w:t>
      </w:r>
    </w:p>
    <w:p w:rsidR="00467218" w:rsidRPr="00652ED2" w:rsidRDefault="005E7DEA" w:rsidP="00005545">
      <w:pPr>
        <w:pStyle w:val="Odsekzoznamu"/>
        <w:numPr>
          <w:ilvl w:val="0"/>
          <w:numId w:val="9"/>
        </w:numPr>
        <w:spacing w:after="0"/>
        <w:jc w:val="left"/>
        <w:rPr>
          <w:sz w:val="22"/>
          <w:szCs w:val="22"/>
        </w:rPr>
      </w:pPr>
      <w:r>
        <w:rPr>
          <w:sz w:val="22"/>
          <w:szCs w:val="22"/>
        </w:rPr>
        <w:t xml:space="preserve">deriváty sulfonylmočoviny: klinické vyšetrenia preukázali vzájomné ovplyvnenie medzi NSAID a antidiabetikami (derivátmi sulfonylmočoviny); hoci vzájomné ovplyvnenie medzi </w:t>
      </w:r>
      <w:r w:rsidR="00D25971">
        <w:rPr>
          <w:sz w:val="22"/>
          <w:szCs w:val="22"/>
        </w:rPr>
        <w:t>ibuprofénom</w:t>
      </w:r>
      <w:r>
        <w:rPr>
          <w:sz w:val="22"/>
          <w:szCs w:val="22"/>
        </w:rPr>
        <w:t xml:space="preserve"> a derivátmi sulfonylmočoviny sa dosiaľ nepopísali, preventívne sa pri súbežnom užívaní odporúča kontrola hodnôt glukózy v krvi;</w:t>
      </w:r>
    </w:p>
    <w:p w:rsidR="00467218" w:rsidRPr="00652ED2" w:rsidRDefault="005E7DEA" w:rsidP="00005545">
      <w:pPr>
        <w:pStyle w:val="Odsekzoznamu"/>
        <w:numPr>
          <w:ilvl w:val="0"/>
          <w:numId w:val="9"/>
        </w:numPr>
        <w:spacing w:after="0"/>
        <w:jc w:val="left"/>
        <w:rPr>
          <w:sz w:val="22"/>
          <w:szCs w:val="22"/>
        </w:rPr>
      </w:pPr>
      <w:r>
        <w:rPr>
          <w:sz w:val="22"/>
          <w:szCs w:val="22"/>
        </w:rPr>
        <w:lastRenderedPageBreak/>
        <w:t xml:space="preserve">probenecid a sulfinpyrazón: lieky, ktoré obsahujú probenecid alebo sulfinpyrazón, môžu oneskoriť vylučovanie </w:t>
      </w:r>
      <w:r w:rsidR="00D25971">
        <w:rPr>
          <w:sz w:val="22"/>
          <w:szCs w:val="22"/>
        </w:rPr>
        <w:t>ibuprofénu</w:t>
      </w:r>
      <w:r>
        <w:rPr>
          <w:sz w:val="22"/>
          <w:szCs w:val="22"/>
        </w:rPr>
        <w:t>;</w:t>
      </w:r>
    </w:p>
    <w:p w:rsidR="004718C8" w:rsidRPr="00652ED2" w:rsidRDefault="005E7DEA" w:rsidP="004718C8">
      <w:pPr>
        <w:pStyle w:val="Odsekzoznamu"/>
        <w:numPr>
          <w:ilvl w:val="0"/>
          <w:numId w:val="9"/>
        </w:numPr>
        <w:spacing w:after="0"/>
        <w:jc w:val="left"/>
        <w:rPr>
          <w:sz w:val="22"/>
          <w:szCs w:val="22"/>
        </w:rPr>
      </w:pPr>
      <w:r>
        <w:rPr>
          <w:sz w:val="22"/>
          <w:szCs w:val="22"/>
        </w:rPr>
        <w:t>baklofén: existujú klinické údaje naznačujúce, že NSAID môžu zvyšovať plazmatickú hladinu baklofénu;</w:t>
      </w:r>
    </w:p>
    <w:p w:rsidR="004718C8" w:rsidRPr="00652ED2" w:rsidRDefault="005E7DEA" w:rsidP="004718C8">
      <w:pPr>
        <w:pStyle w:val="Odsekzoznamu"/>
        <w:numPr>
          <w:ilvl w:val="0"/>
          <w:numId w:val="9"/>
        </w:numPr>
        <w:spacing w:after="0"/>
        <w:jc w:val="left"/>
        <w:rPr>
          <w:sz w:val="22"/>
          <w:szCs w:val="22"/>
        </w:rPr>
      </w:pPr>
      <w:r>
        <w:rPr>
          <w:sz w:val="22"/>
          <w:szCs w:val="22"/>
        </w:rPr>
        <w:t>ritonavir: užívanie tohto lieku môže zvýšiť plazmatické koncentrácie NSAID;</w:t>
      </w:r>
    </w:p>
    <w:p w:rsidR="00D5696E" w:rsidRPr="00652ED2" w:rsidRDefault="005E7DEA" w:rsidP="004718C8">
      <w:pPr>
        <w:pStyle w:val="Odsekzoznamu"/>
        <w:numPr>
          <w:ilvl w:val="0"/>
          <w:numId w:val="9"/>
        </w:numPr>
        <w:spacing w:after="0"/>
        <w:jc w:val="left"/>
        <w:rPr>
          <w:sz w:val="22"/>
          <w:szCs w:val="22"/>
        </w:rPr>
      </w:pPr>
      <w:r>
        <w:rPr>
          <w:sz w:val="22"/>
          <w:szCs w:val="22"/>
        </w:rPr>
        <w:t>aminoglykozidy (antibiotiká), pretože NSAID môžu znížiť vylučovanie aminoglykozidov;</w:t>
      </w:r>
    </w:p>
    <w:p w:rsidR="00467218" w:rsidRPr="00652ED2" w:rsidRDefault="005E7DEA" w:rsidP="00005545">
      <w:pPr>
        <w:pStyle w:val="Odsekzoznamu"/>
        <w:numPr>
          <w:ilvl w:val="0"/>
          <w:numId w:val="9"/>
        </w:numPr>
        <w:spacing w:after="0"/>
        <w:jc w:val="left"/>
        <w:rPr>
          <w:sz w:val="22"/>
          <w:szCs w:val="22"/>
        </w:rPr>
      </w:pPr>
      <w:r>
        <w:rPr>
          <w:sz w:val="22"/>
          <w:szCs w:val="22"/>
        </w:rPr>
        <w:t xml:space="preserve">digoxín, fenytoín a lítium: </w:t>
      </w:r>
      <w:r w:rsidR="00D25971">
        <w:rPr>
          <w:sz w:val="22"/>
          <w:szCs w:val="22"/>
        </w:rPr>
        <w:t>ibuprofén</w:t>
      </w:r>
      <w:r>
        <w:rPr>
          <w:sz w:val="22"/>
          <w:szCs w:val="22"/>
        </w:rPr>
        <w:t xml:space="preserve"> môže zvýšiť plazmatické koncentrácie týchto liekov;</w:t>
      </w:r>
    </w:p>
    <w:p w:rsidR="00467218" w:rsidRPr="00652ED2" w:rsidRDefault="005E7DEA" w:rsidP="00005545">
      <w:pPr>
        <w:pStyle w:val="Odsekzoznamu"/>
        <w:numPr>
          <w:ilvl w:val="0"/>
          <w:numId w:val="9"/>
        </w:numPr>
        <w:spacing w:after="0"/>
        <w:jc w:val="left"/>
        <w:rPr>
          <w:sz w:val="22"/>
          <w:szCs w:val="22"/>
        </w:rPr>
      </w:pPr>
      <w:r>
        <w:rPr>
          <w:sz w:val="22"/>
          <w:szCs w:val="22"/>
        </w:rPr>
        <w:t>chinolónové antibiotiká, pretože užívanie týchto liekov a NSAID môže zvýšiť riziko kŕčov;</w:t>
      </w:r>
    </w:p>
    <w:p w:rsidR="00467218" w:rsidRPr="00652ED2" w:rsidRDefault="005E7DEA" w:rsidP="00005545">
      <w:pPr>
        <w:pStyle w:val="Odsekzoznamu"/>
        <w:numPr>
          <w:ilvl w:val="0"/>
          <w:numId w:val="9"/>
        </w:numPr>
        <w:spacing w:after="0"/>
        <w:jc w:val="left"/>
        <w:rPr>
          <w:sz w:val="22"/>
          <w:szCs w:val="22"/>
        </w:rPr>
      </w:pPr>
      <w:r>
        <w:rPr>
          <w:sz w:val="22"/>
          <w:szCs w:val="22"/>
        </w:rPr>
        <w:t>kolestyramín, pretože užívanie NSAID s kolestyramínom môže oneskoriť a znížiť vstrebávanie NSAID;</w:t>
      </w:r>
    </w:p>
    <w:p w:rsidR="00467218" w:rsidRPr="00652ED2" w:rsidRDefault="005E7DEA" w:rsidP="00005545">
      <w:pPr>
        <w:pStyle w:val="Odsekzoznamu"/>
        <w:numPr>
          <w:ilvl w:val="0"/>
          <w:numId w:val="9"/>
        </w:numPr>
        <w:spacing w:after="0"/>
        <w:jc w:val="left"/>
        <w:rPr>
          <w:sz w:val="22"/>
          <w:szCs w:val="22"/>
        </w:rPr>
      </w:pPr>
      <w:r>
        <w:rPr>
          <w:sz w:val="22"/>
          <w:szCs w:val="22"/>
        </w:rPr>
        <w:t>vorikonazol a flukonazol, pretože tieto lieky môžu zvyšovať expozíciu NSAID.</w:t>
      </w:r>
    </w:p>
    <w:p w:rsidR="00467218" w:rsidRPr="00652ED2" w:rsidRDefault="00467218" w:rsidP="00005545">
      <w:pPr>
        <w:spacing w:after="0"/>
        <w:jc w:val="left"/>
        <w:rPr>
          <w:sz w:val="22"/>
          <w:szCs w:val="22"/>
        </w:rPr>
      </w:pPr>
    </w:p>
    <w:p w:rsidR="00417011" w:rsidRPr="00652ED2" w:rsidRDefault="005E7DEA" w:rsidP="00391BD0">
      <w:pPr>
        <w:numPr>
          <w:ilvl w:val="12"/>
          <w:numId w:val="0"/>
        </w:numPr>
        <w:spacing w:after="0"/>
        <w:ind w:right="-2"/>
        <w:jc w:val="left"/>
        <w:rPr>
          <w:sz w:val="22"/>
          <w:szCs w:val="22"/>
        </w:rPr>
      </w:pPr>
      <w:r>
        <w:rPr>
          <w:sz w:val="22"/>
          <w:szCs w:val="22"/>
        </w:rPr>
        <w:t xml:space="preserve">Niektoré iné lieky môžu tiež ovplyvňovať liečbu Ibalginom Junior alebo ňou byť ovplyvňované. </w:t>
      </w:r>
    </w:p>
    <w:p w:rsidR="00417011" w:rsidRPr="00652ED2" w:rsidRDefault="005E7DEA" w:rsidP="00391BD0">
      <w:pPr>
        <w:numPr>
          <w:ilvl w:val="12"/>
          <w:numId w:val="0"/>
        </w:numPr>
        <w:spacing w:after="0"/>
        <w:ind w:right="-2"/>
        <w:jc w:val="left"/>
        <w:rPr>
          <w:sz w:val="22"/>
          <w:szCs w:val="22"/>
        </w:rPr>
      </w:pPr>
      <w:r>
        <w:rPr>
          <w:sz w:val="22"/>
          <w:szCs w:val="22"/>
        </w:rPr>
        <w:t>Pred užitím lieku Ibalgin Junior s inými liekmi je preto potrebné požiadať o radu lekára alebo lekárnika.</w:t>
      </w:r>
    </w:p>
    <w:p w:rsidR="00417011" w:rsidRPr="00652ED2" w:rsidRDefault="00417011" w:rsidP="00005545">
      <w:pPr>
        <w:spacing w:after="0"/>
        <w:jc w:val="left"/>
        <w:rPr>
          <w:sz w:val="22"/>
          <w:szCs w:val="22"/>
        </w:rPr>
      </w:pPr>
    </w:p>
    <w:p w:rsidR="00F12EB9" w:rsidRPr="00652ED2" w:rsidRDefault="005E7DEA" w:rsidP="00F12EB9">
      <w:pPr>
        <w:spacing w:after="0"/>
        <w:jc w:val="left"/>
        <w:rPr>
          <w:b/>
          <w:sz w:val="22"/>
          <w:szCs w:val="22"/>
        </w:rPr>
      </w:pPr>
      <w:r>
        <w:rPr>
          <w:b/>
          <w:sz w:val="22"/>
          <w:szCs w:val="22"/>
        </w:rPr>
        <w:t xml:space="preserve">Ak tento liek užíva dospelý: </w:t>
      </w:r>
    </w:p>
    <w:p w:rsidR="00467218" w:rsidRPr="00652ED2" w:rsidRDefault="005E7DEA" w:rsidP="00005545">
      <w:pPr>
        <w:spacing w:after="0"/>
        <w:jc w:val="left"/>
        <w:rPr>
          <w:sz w:val="22"/>
          <w:szCs w:val="22"/>
        </w:rPr>
      </w:pPr>
      <w:r>
        <w:rPr>
          <w:sz w:val="22"/>
          <w:szCs w:val="22"/>
        </w:rPr>
        <w:t xml:space="preserve"> </w:t>
      </w:r>
    </w:p>
    <w:p w:rsidR="00467218" w:rsidRPr="00652ED2" w:rsidRDefault="005E7DEA" w:rsidP="00005545">
      <w:pPr>
        <w:spacing w:after="0"/>
        <w:jc w:val="left"/>
        <w:rPr>
          <w:b/>
          <w:sz w:val="22"/>
          <w:szCs w:val="22"/>
        </w:rPr>
      </w:pPr>
      <w:r>
        <w:rPr>
          <w:b/>
          <w:sz w:val="22"/>
          <w:szCs w:val="22"/>
        </w:rPr>
        <w:t>Tehotenstvo, dojčenie a plodnosť</w:t>
      </w:r>
    </w:p>
    <w:p w:rsidR="00467218" w:rsidRPr="00652ED2" w:rsidRDefault="00467218" w:rsidP="00005545">
      <w:pPr>
        <w:spacing w:after="0"/>
        <w:jc w:val="left"/>
        <w:rPr>
          <w:sz w:val="22"/>
          <w:szCs w:val="22"/>
        </w:rPr>
      </w:pPr>
    </w:p>
    <w:p w:rsidR="00467218" w:rsidRPr="00652ED2" w:rsidRDefault="005E7DEA" w:rsidP="00CE1375">
      <w:pPr>
        <w:spacing w:after="0"/>
        <w:jc w:val="left"/>
        <w:rPr>
          <w:sz w:val="22"/>
          <w:szCs w:val="22"/>
          <w:u w:val="single"/>
        </w:rPr>
      </w:pPr>
      <w:r>
        <w:rPr>
          <w:sz w:val="22"/>
          <w:szCs w:val="22"/>
          <w:u w:val="single"/>
        </w:rPr>
        <w:t xml:space="preserve">Tehotenstvo </w:t>
      </w:r>
    </w:p>
    <w:p w:rsidR="00467218" w:rsidRPr="00652ED2" w:rsidRDefault="005E7DEA" w:rsidP="00CE1375">
      <w:pPr>
        <w:spacing w:after="0"/>
        <w:jc w:val="left"/>
        <w:rPr>
          <w:sz w:val="22"/>
          <w:szCs w:val="22"/>
        </w:rPr>
      </w:pPr>
      <w:r>
        <w:rPr>
          <w:sz w:val="22"/>
          <w:szCs w:val="22"/>
        </w:rPr>
        <w:t>Informujte svojho lekára, ak otehotniete v priebehu užívania Ibalginu Junior. Neužívajte tento liek v priebehu posledných 3 mesiacov tehotenstva. Vyvarujte sa užívania tohto lieku počas prvých 6 mesiacov tehotenstva, pokiaľ lekár neodporučí inak.</w:t>
      </w:r>
    </w:p>
    <w:p w:rsidR="00467218" w:rsidRPr="00652ED2" w:rsidRDefault="00467218" w:rsidP="00CE1375">
      <w:pPr>
        <w:spacing w:after="0"/>
        <w:jc w:val="left"/>
        <w:rPr>
          <w:sz w:val="22"/>
          <w:szCs w:val="22"/>
        </w:rPr>
      </w:pPr>
    </w:p>
    <w:p w:rsidR="00467218" w:rsidRPr="00652ED2" w:rsidRDefault="005E7DEA" w:rsidP="00CE1375">
      <w:pPr>
        <w:spacing w:after="0"/>
        <w:jc w:val="left"/>
        <w:rPr>
          <w:sz w:val="22"/>
          <w:szCs w:val="22"/>
          <w:u w:val="single"/>
        </w:rPr>
      </w:pPr>
      <w:r>
        <w:rPr>
          <w:sz w:val="22"/>
          <w:szCs w:val="22"/>
          <w:u w:val="single"/>
        </w:rPr>
        <w:t>Dojčenie</w:t>
      </w:r>
    </w:p>
    <w:p w:rsidR="00CE1375" w:rsidRPr="00652ED2" w:rsidRDefault="005E7DEA" w:rsidP="00CE1375">
      <w:pPr>
        <w:spacing w:after="0"/>
        <w:jc w:val="left"/>
        <w:rPr>
          <w:sz w:val="22"/>
          <w:szCs w:val="22"/>
          <w:lang w:eastAsia="cs-CZ"/>
        </w:rPr>
      </w:pPr>
      <w:r>
        <w:rPr>
          <w:sz w:val="22"/>
          <w:szCs w:val="22"/>
          <w:lang w:eastAsia="cs-CZ"/>
        </w:rPr>
        <w:t xml:space="preserve">Len malé množstvá </w:t>
      </w:r>
      <w:r w:rsidR="00D25971">
        <w:rPr>
          <w:sz w:val="22"/>
          <w:szCs w:val="22"/>
          <w:lang w:eastAsia="cs-CZ"/>
        </w:rPr>
        <w:t>ibuprofénu</w:t>
      </w:r>
      <w:r>
        <w:rPr>
          <w:sz w:val="22"/>
          <w:szCs w:val="22"/>
          <w:lang w:eastAsia="cs-CZ"/>
        </w:rPr>
        <w:t xml:space="preserve"> a jeho metabolitov prechádzajú do materského mlieka. Pretože nie sú doposiaľ známe žiadne škodlivé účinky na dieťa, počas krátkodobého užívania </w:t>
      </w:r>
      <w:r w:rsidR="00D25971">
        <w:rPr>
          <w:sz w:val="22"/>
          <w:szCs w:val="22"/>
          <w:lang w:eastAsia="cs-CZ"/>
        </w:rPr>
        <w:t>ibuprofénu</w:t>
      </w:r>
      <w:r>
        <w:rPr>
          <w:sz w:val="22"/>
          <w:szCs w:val="22"/>
          <w:lang w:eastAsia="cs-CZ"/>
        </w:rPr>
        <w:t xml:space="preserve"> v odporúčaných dávkach nie je zvyčajne potrebné prerušiť dojčenie.</w:t>
      </w:r>
    </w:p>
    <w:p w:rsidR="00467218" w:rsidRPr="00652ED2" w:rsidRDefault="005E7DEA" w:rsidP="00005545">
      <w:pPr>
        <w:spacing w:after="0"/>
        <w:jc w:val="left"/>
        <w:rPr>
          <w:sz w:val="22"/>
          <w:szCs w:val="22"/>
          <w:u w:val="single"/>
        </w:rPr>
      </w:pPr>
      <w:r>
        <w:rPr>
          <w:sz w:val="22"/>
          <w:szCs w:val="22"/>
        </w:rPr>
        <w:cr/>
      </w:r>
      <w:r>
        <w:rPr>
          <w:sz w:val="22"/>
          <w:szCs w:val="22"/>
          <w:u w:val="single"/>
        </w:rPr>
        <w:t>Plodnosť</w:t>
      </w:r>
    </w:p>
    <w:p w:rsidR="00467218" w:rsidRPr="00652ED2" w:rsidRDefault="005E7DEA" w:rsidP="00005545">
      <w:pPr>
        <w:spacing w:after="0"/>
        <w:jc w:val="left"/>
        <w:rPr>
          <w:sz w:val="22"/>
          <w:szCs w:val="22"/>
        </w:rPr>
      </w:pPr>
      <w:r>
        <w:rPr>
          <w:sz w:val="22"/>
          <w:szCs w:val="22"/>
        </w:rPr>
        <w:t xml:space="preserve">Ibalgin Junior </w:t>
      </w:r>
      <w:r>
        <w:rPr>
          <w:noProof/>
          <w:sz w:val="22"/>
          <w:szCs w:val="22"/>
        </w:rPr>
        <w:t>patrí do skupiny liekov (NSAID), ktoré môžu narušiť plodnosť u žien. Tento účinok je vratný po ukončení užívania lieku.</w:t>
      </w:r>
    </w:p>
    <w:p w:rsidR="00467218" w:rsidRPr="00652ED2" w:rsidRDefault="00467218" w:rsidP="00005545">
      <w:pPr>
        <w:spacing w:after="0"/>
        <w:jc w:val="left"/>
        <w:rPr>
          <w:sz w:val="22"/>
          <w:szCs w:val="22"/>
        </w:rPr>
      </w:pPr>
    </w:p>
    <w:p w:rsidR="00467218" w:rsidRPr="00652ED2" w:rsidRDefault="005E7DEA" w:rsidP="00005545">
      <w:pPr>
        <w:spacing w:after="0"/>
        <w:jc w:val="left"/>
        <w:rPr>
          <w:sz w:val="22"/>
          <w:szCs w:val="22"/>
        </w:rPr>
      </w:pPr>
      <w:r>
        <w:rPr>
          <w:noProof/>
          <w:sz w:val="22"/>
          <w:szCs w:val="22"/>
        </w:rPr>
        <w:t>Ak ste tehotná alebo dojčíte, ak si myslíte, že ste tehotná alebo ak plánujete otehotnieť, poraďte sa so svojím lekárom alebo lekárnikom predtým, než začnete užívať tento liek.</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noProof/>
          <w:sz w:val="22"/>
          <w:szCs w:val="22"/>
        </w:rPr>
        <w:t>Vedenie vozidiel a obsluha strojov</w:t>
      </w:r>
    </w:p>
    <w:p w:rsidR="00467218" w:rsidRPr="00652ED2" w:rsidRDefault="005E7DEA" w:rsidP="00005545">
      <w:pPr>
        <w:spacing w:after="0"/>
        <w:jc w:val="left"/>
        <w:rPr>
          <w:sz w:val="22"/>
          <w:szCs w:val="22"/>
        </w:rPr>
      </w:pPr>
      <w:r>
        <w:rPr>
          <w:sz w:val="22"/>
          <w:szCs w:val="22"/>
        </w:rPr>
        <w:t>Pri krátkodobom užívaní tento liek nemá žiadny alebo má zanedbateľný vplyv na schopnosť viesť vozidlá a obsluhovať stroje.</w:t>
      </w:r>
    </w:p>
    <w:p w:rsidR="00467218" w:rsidRPr="00652ED2" w:rsidRDefault="00467218" w:rsidP="00005545">
      <w:pPr>
        <w:spacing w:after="0"/>
        <w:jc w:val="left"/>
        <w:rPr>
          <w:sz w:val="22"/>
          <w:szCs w:val="22"/>
        </w:rPr>
      </w:pPr>
    </w:p>
    <w:p w:rsidR="006508E3" w:rsidRPr="00652ED2" w:rsidRDefault="005E7DEA" w:rsidP="00005545">
      <w:pPr>
        <w:spacing w:after="0"/>
        <w:jc w:val="left"/>
        <w:rPr>
          <w:b/>
          <w:sz w:val="22"/>
          <w:szCs w:val="22"/>
        </w:rPr>
      </w:pPr>
      <w:r>
        <w:rPr>
          <w:b/>
          <w:noProof/>
          <w:sz w:val="22"/>
          <w:szCs w:val="22"/>
        </w:rPr>
        <w:t>Ibalgin Junior</w:t>
      </w:r>
      <w:r>
        <w:rPr>
          <w:sz w:val="22"/>
          <w:szCs w:val="22"/>
        </w:rPr>
        <w:t xml:space="preserve"> </w:t>
      </w:r>
      <w:r>
        <w:rPr>
          <w:b/>
          <w:sz w:val="22"/>
          <w:szCs w:val="22"/>
        </w:rPr>
        <w:t>obsahuje sorbitol.</w:t>
      </w:r>
    </w:p>
    <w:p w:rsidR="00467218" w:rsidRPr="00652ED2" w:rsidRDefault="005E7DEA" w:rsidP="00005545">
      <w:pPr>
        <w:spacing w:after="0"/>
        <w:jc w:val="left"/>
        <w:rPr>
          <w:sz w:val="22"/>
          <w:szCs w:val="22"/>
        </w:rPr>
      </w:pPr>
      <w:r>
        <w:rPr>
          <w:sz w:val="22"/>
          <w:szCs w:val="22"/>
        </w:rPr>
        <w:t>Ak vám váš lekár povedal, že vaše dieťa neznáša niektoré cukry, kontaktuje lekára predtým, ako začnete používať tento liek.</w:t>
      </w:r>
    </w:p>
    <w:p w:rsidR="00E25BFD" w:rsidRPr="00652ED2" w:rsidRDefault="00E25BFD" w:rsidP="00005545">
      <w:pPr>
        <w:spacing w:after="0"/>
        <w:jc w:val="left"/>
        <w:rPr>
          <w:sz w:val="22"/>
          <w:szCs w:val="22"/>
        </w:rPr>
      </w:pPr>
    </w:p>
    <w:p w:rsidR="00467218" w:rsidRPr="00652ED2" w:rsidRDefault="00467218" w:rsidP="00005545">
      <w:pPr>
        <w:spacing w:after="0"/>
        <w:jc w:val="left"/>
        <w:rPr>
          <w:sz w:val="22"/>
          <w:szCs w:val="22"/>
        </w:rPr>
      </w:pPr>
    </w:p>
    <w:p w:rsidR="00467218" w:rsidRPr="00652ED2" w:rsidRDefault="005E7DEA" w:rsidP="00005545">
      <w:pPr>
        <w:spacing w:after="0"/>
        <w:jc w:val="left"/>
        <w:rPr>
          <w:sz w:val="22"/>
          <w:szCs w:val="22"/>
        </w:rPr>
      </w:pPr>
      <w:r>
        <w:rPr>
          <w:b/>
          <w:bCs/>
          <w:noProof/>
          <w:sz w:val="22"/>
          <w:szCs w:val="22"/>
        </w:rPr>
        <w:t>3.</w:t>
      </w:r>
      <w:r>
        <w:rPr>
          <w:b/>
          <w:bCs/>
          <w:noProof/>
          <w:sz w:val="22"/>
          <w:szCs w:val="22"/>
        </w:rPr>
        <w:tab/>
        <w:t>Ako používať Ibalgin Junior</w:t>
      </w:r>
    </w:p>
    <w:p w:rsidR="00B337DC" w:rsidRPr="00652ED2" w:rsidRDefault="00B337DC" w:rsidP="00005545">
      <w:pPr>
        <w:spacing w:after="0"/>
        <w:jc w:val="left"/>
        <w:rPr>
          <w:sz w:val="22"/>
          <w:szCs w:val="22"/>
        </w:rPr>
      </w:pPr>
    </w:p>
    <w:p w:rsidR="00467218" w:rsidRPr="00652ED2" w:rsidRDefault="005E7DEA" w:rsidP="00EA20E8">
      <w:pPr>
        <w:spacing w:after="0"/>
        <w:jc w:val="left"/>
        <w:rPr>
          <w:sz w:val="22"/>
          <w:szCs w:val="22"/>
        </w:rPr>
      </w:pPr>
      <w:r>
        <w:rPr>
          <w:sz w:val="22"/>
          <w:szCs w:val="22"/>
        </w:rPr>
        <w:t>Vždy používajte tento liek presne tak, ako je to uvedené v tejto písomnej informácii pre používateľa alebo ako vám povedal váš lekár alebo lekárnik. Ak si nie ste niečím istý, overte si to u svojho lekára alebo lekárnika.</w:t>
      </w:r>
    </w:p>
    <w:p w:rsidR="0089774B" w:rsidRPr="00652ED2" w:rsidRDefault="0089774B" w:rsidP="00005545">
      <w:pPr>
        <w:spacing w:after="0"/>
        <w:jc w:val="left"/>
        <w:rPr>
          <w:sz w:val="22"/>
          <w:szCs w:val="22"/>
        </w:rPr>
      </w:pPr>
    </w:p>
    <w:p w:rsidR="00467218" w:rsidRPr="00652ED2" w:rsidRDefault="005E7DEA" w:rsidP="00005545">
      <w:pPr>
        <w:spacing w:after="0"/>
        <w:jc w:val="left"/>
        <w:rPr>
          <w:sz w:val="22"/>
          <w:szCs w:val="22"/>
        </w:rPr>
      </w:pPr>
      <w:r>
        <w:rPr>
          <w:sz w:val="22"/>
          <w:szCs w:val="22"/>
        </w:rPr>
        <w:t>Na vnútorné použitie.</w:t>
      </w:r>
    </w:p>
    <w:p w:rsidR="00467218" w:rsidRPr="00652ED2" w:rsidRDefault="00467218" w:rsidP="00005545">
      <w:pPr>
        <w:spacing w:after="0"/>
        <w:jc w:val="left"/>
        <w:rPr>
          <w:sz w:val="22"/>
          <w:szCs w:val="22"/>
        </w:rPr>
      </w:pPr>
    </w:p>
    <w:p w:rsidR="00467218" w:rsidRPr="00652ED2" w:rsidRDefault="005E7DEA" w:rsidP="00005545">
      <w:pPr>
        <w:spacing w:after="0"/>
        <w:jc w:val="left"/>
        <w:rPr>
          <w:sz w:val="22"/>
          <w:szCs w:val="22"/>
        </w:rPr>
      </w:pPr>
      <w:r>
        <w:rPr>
          <w:sz w:val="22"/>
          <w:szCs w:val="22"/>
        </w:rPr>
        <w:t>Odporúčaná dávka na liečbu bolesti a horúčky:</w:t>
      </w:r>
    </w:p>
    <w:p w:rsidR="00467218" w:rsidRPr="00652ED2" w:rsidRDefault="00467218" w:rsidP="00EE769F">
      <w:pPr>
        <w:spacing w:after="0"/>
        <w:jc w:val="left"/>
        <w:rPr>
          <w:sz w:val="22"/>
          <w:szCs w:val="22"/>
        </w:rPr>
      </w:pPr>
    </w:p>
    <w:tbl>
      <w:tblPr>
        <w:tblStyle w:val="Mriekatabuky"/>
        <w:tblW w:w="0" w:type="auto"/>
        <w:tblLayout w:type="fixed"/>
        <w:tblLook w:val="04A0"/>
      </w:tblPr>
      <w:tblGrid>
        <w:gridCol w:w="2893"/>
        <w:gridCol w:w="3169"/>
        <w:gridCol w:w="2977"/>
      </w:tblGrid>
      <w:tr w:rsidR="00CB7AB0" w:rsidRPr="00652ED2" w:rsidTr="00A65E32">
        <w:tc>
          <w:tcPr>
            <w:tcW w:w="2893" w:type="dxa"/>
          </w:tcPr>
          <w:p w:rsidR="00EE769F" w:rsidRPr="00652ED2" w:rsidRDefault="00A65E32" w:rsidP="00EE769F">
            <w:pPr>
              <w:spacing w:after="0"/>
              <w:ind w:left="102" w:right="-20"/>
              <w:jc w:val="left"/>
              <w:rPr>
                <w:rFonts w:eastAsia="Times New Roman"/>
                <w:spacing w:val="1"/>
                <w:sz w:val="22"/>
                <w:szCs w:val="22"/>
              </w:rPr>
            </w:pPr>
            <w:r w:rsidRPr="00652ED2">
              <w:rPr>
                <w:rFonts w:eastAsia="Times New Roman"/>
                <w:spacing w:val="1"/>
                <w:sz w:val="22"/>
                <w:szCs w:val="22"/>
              </w:rPr>
              <w:lastRenderedPageBreak/>
              <w:t xml:space="preserve">Vek dieťaťa </w:t>
            </w:r>
          </w:p>
          <w:p w:rsidR="00CB7AB0" w:rsidRPr="00652ED2" w:rsidRDefault="005E7DEA" w:rsidP="00EE769F">
            <w:pPr>
              <w:spacing w:after="0"/>
              <w:ind w:left="102" w:right="-20"/>
              <w:jc w:val="left"/>
              <w:rPr>
                <w:sz w:val="22"/>
                <w:szCs w:val="22"/>
              </w:rPr>
            </w:pPr>
            <w:r>
              <w:rPr>
                <w:rFonts w:eastAsia="Times New Roman"/>
                <w:sz w:val="22"/>
                <w:szCs w:val="22"/>
              </w:rPr>
              <w:t>(</w:t>
            </w:r>
            <w:r>
              <w:rPr>
                <w:rFonts w:eastAsia="Times New Roman"/>
                <w:spacing w:val="1"/>
                <w:sz w:val="22"/>
                <w:szCs w:val="22"/>
              </w:rPr>
              <w:t>hmotnosť</w:t>
            </w:r>
            <w:r>
              <w:rPr>
                <w:rFonts w:eastAsia="Times New Roman"/>
                <w:sz w:val="22"/>
                <w:szCs w:val="22"/>
              </w:rPr>
              <w:t>)</w:t>
            </w:r>
          </w:p>
        </w:tc>
        <w:tc>
          <w:tcPr>
            <w:tcW w:w="3169" w:type="dxa"/>
          </w:tcPr>
          <w:p w:rsidR="00CB7AB0" w:rsidRPr="00652ED2" w:rsidRDefault="005E7DEA" w:rsidP="008E149A">
            <w:pPr>
              <w:spacing w:after="0"/>
              <w:jc w:val="left"/>
              <w:rPr>
                <w:sz w:val="22"/>
                <w:szCs w:val="22"/>
              </w:rPr>
            </w:pPr>
            <w:r>
              <w:rPr>
                <w:sz w:val="22"/>
                <w:szCs w:val="22"/>
              </w:rPr>
              <w:t>Koľko?</w:t>
            </w:r>
          </w:p>
        </w:tc>
        <w:tc>
          <w:tcPr>
            <w:tcW w:w="2977" w:type="dxa"/>
          </w:tcPr>
          <w:p w:rsidR="00CB7AB0" w:rsidRPr="00652ED2" w:rsidRDefault="005E7DEA" w:rsidP="008E149A">
            <w:pPr>
              <w:spacing w:after="0"/>
              <w:jc w:val="left"/>
              <w:rPr>
                <w:sz w:val="22"/>
                <w:szCs w:val="22"/>
              </w:rPr>
            </w:pPr>
            <w:r>
              <w:rPr>
                <w:sz w:val="22"/>
                <w:szCs w:val="22"/>
              </w:rPr>
              <w:t>Ako často počas 24 hodín?*</w:t>
            </w:r>
          </w:p>
        </w:tc>
      </w:tr>
      <w:tr w:rsidR="00CB7AB0" w:rsidRPr="00652ED2" w:rsidTr="00A65E32">
        <w:tc>
          <w:tcPr>
            <w:tcW w:w="2893" w:type="dxa"/>
          </w:tcPr>
          <w:p w:rsidR="00CB7AB0" w:rsidRPr="00652ED2" w:rsidRDefault="00CB7AB0" w:rsidP="00EE769F">
            <w:pPr>
              <w:spacing w:after="0"/>
              <w:jc w:val="left"/>
              <w:rPr>
                <w:sz w:val="22"/>
                <w:szCs w:val="22"/>
              </w:rPr>
            </w:pPr>
            <w:r w:rsidRPr="00652ED2">
              <w:rPr>
                <w:sz w:val="22"/>
                <w:szCs w:val="22"/>
              </w:rPr>
              <w:t xml:space="preserve">6 – 9 </w:t>
            </w:r>
            <w:r w:rsidR="00A65E32" w:rsidRPr="00652ED2">
              <w:rPr>
                <w:sz w:val="22"/>
                <w:szCs w:val="22"/>
              </w:rPr>
              <w:t>rokov</w:t>
            </w:r>
            <w:r w:rsidR="005E7DEA">
              <w:rPr>
                <w:sz w:val="22"/>
                <w:szCs w:val="22"/>
              </w:rPr>
              <w:t xml:space="preserve"> (20 – 29 kg)</w:t>
            </w:r>
          </w:p>
        </w:tc>
        <w:tc>
          <w:tcPr>
            <w:tcW w:w="3169" w:type="dxa"/>
          </w:tcPr>
          <w:p w:rsidR="00CB7AB0" w:rsidRPr="00652ED2" w:rsidRDefault="005E7DEA" w:rsidP="00EE769F">
            <w:pPr>
              <w:spacing w:after="0"/>
              <w:jc w:val="left"/>
              <w:rPr>
                <w:sz w:val="22"/>
                <w:szCs w:val="22"/>
              </w:rPr>
            </w:pPr>
            <w:r>
              <w:rPr>
                <w:sz w:val="22"/>
                <w:szCs w:val="22"/>
              </w:rPr>
              <w:t xml:space="preserve">5 ml </w:t>
            </w:r>
            <w:r>
              <w:rPr>
                <w:rFonts w:eastAsia="Times New Roman"/>
                <w:sz w:val="22"/>
                <w:szCs w:val="22"/>
              </w:rPr>
              <w:t>(200 m</w:t>
            </w:r>
            <w:r>
              <w:rPr>
                <w:rFonts w:eastAsia="Times New Roman"/>
                <w:spacing w:val="-2"/>
                <w:sz w:val="22"/>
                <w:szCs w:val="22"/>
              </w:rPr>
              <w:t>g</w:t>
            </w:r>
            <w:r>
              <w:rPr>
                <w:rFonts w:eastAsia="Times New Roman"/>
                <w:sz w:val="22"/>
                <w:szCs w:val="22"/>
              </w:rPr>
              <w:t xml:space="preserve"> </w:t>
            </w:r>
            <w:r w:rsidR="00D25971">
              <w:rPr>
                <w:rFonts w:eastAsia="Times New Roman"/>
                <w:sz w:val="22"/>
                <w:szCs w:val="22"/>
              </w:rPr>
              <w:t>ibuprofénu</w:t>
            </w:r>
            <w:r>
              <w:rPr>
                <w:rFonts w:eastAsia="Times New Roman"/>
                <w:sz w:val="22"/>
                <w:szCs w:val="22"/>
              </w:rPr>
              <w:t>)</w:t>
            </w:r>
          </w:p>
        </w:tc>
        <w:tc>
          <w:tcPr>
            <w:tcW w:w="2977" w:type="dxa"/>
          </w:tcPr>
          <w:p w:rsidR="00CB7AB0" w:rsidRPr="00652ED2" w:rsidRDefault="005E7DEA" w:rsidP="00EE769F">
            <w:pPr>
              <w:spacing w:after="0"/>
              <w:jc w:val="left"/>
              <w:rPr>
                <w:sz w:val="22"/>
                <w:szCs w:val="22"/>
              </w:rPr>
            </w:pPr>
            <w:r>
              <w:rPr>
                <w:sz w:val="22"/>
                <w:szCs w:val="22"/>
              </w:rPr>
              <w:t>3-krát</w:t>
            </w:r>
          </w:p>
        </w:tc>
      </w:tr>
      <w:tr w:rsidR="00CB7AB0" w:rsidRPr="00652ED2" w:rsidTr="00A65E32">
        <w:tc>
          <w:tcPr>
            <w:tcW w:w="2893" w:type="dxa"/>
          </w:tcPr>
          <w:p w:rsidR="00CB7AB0" w:rsidRPr="00652ED2" w:rsidRDefault="00CB7AB0" w:rsidP="00EE769F">
            <w:pPr>
              <w:spacing w:after="0"/>
              <w:jc w:val="left"/>
              <w:rPr>
                <w:sz w:val="22"/>
                <w:szCs w:val="22"/>
              </w:rPr>
            </w:pPr>
            <w:r w:rsidRPr="00652ED2">
              <w:rPr>
                <w:sz w:val="22"/>
                <w:szCs w:val="22"/>
              </w:rPr>
              <w:t>9</w:t>
            </w:r>
            <w:r w:rsidR="0026291B" w:rsidRPr="00652ED2">
              <w:rPr>
                <w:sz w:val="22"/>
                <w:szCs w:val="22"/>
              </w:rPr>
              <w:t xml:space="preserve"> </w:t>
            </w:r>
            <w:r w:rsidR="005E7DEA">
              <w:rPr>
                <w:sz w:val="22"/>
                <w:szCs w:val="22"/>
              </w:rPr>
              <w:t>– 12 rokov (30 - 40 kg)</w:t>
            </w:r>
          </w:p>
        </w:tc>
        <w:tc>
          <w:tcPr>
            <w:tcW w:w="3169" w:type="dxa"/>
          </w:tcPr>
          <w:p w:rsidR="00CB7AB0" w:rsidRPr="00652ED2" w:rsidRDefault="005E7DEA" w:rsidP="00EE769F">
            <w:pPr>
              <w:spacing w:after="0"/>
              <w:jc w:val="left"/>
              <w:rPr>
                <w:sz w:val="22"/>
                <w:szCs w:val="22"/>
              </w:rPr>
            </w:pPr>
            <w:r>
              <w:rPr>
                <w:sz w:val="22"/>
                <w:szCs w:val="22"/>
              </w:rPr>
              <w:t xml:space="preserve">7,5 ml </w:t>
            </w:r>
            <w:r>
              <w:rPr>
                <w:rFonts w:eastAsia="Times New Roman"/>
                <w:sz w:val="22"/>
                <w:szCs w:val="22"/>
              </w:rPr>
              <w:t>(300 m</w:t>
            </w:r>
            <w:r>
              <w:rPr>
                <w:rFonts w:eastAsia="Times New Roman"/>
                <w:spacing w:val="-2"/>
                <w:sz w:val="22"/>
                <w:szCs w:val="22"/>
              </w:rPr>
              <w:t>g</w:t>
            </w:r>
            <w:r>
              <w:rPr>
                <w:rFonts w:eastAsia="Times New Roman"/>
                <w:sz w:val="22"/>
                <w:szCs w:val="22"/>
              </w:rPr>
              <w:t xml:space="preserve"> </w:t>
            </w:r>
            <w:r w:rsidR="00D25971">
              <w:rPr>
                <w:rFonts w:eastAsia="Times New Roman"/>
                <w:sz w:val="22"/>
                <w:szCs w:val="22"/>
              </w:rPr>
              <w:t>ibuprofénu</w:t>
            </w:r>
            <w:r>
              <w:rPr>
                <w:rFonts w:eastAsia="Times New Roman"/>
                <w:sz w:val="22"/>
                <w:szCs w:val="22"/>
              </w:rPr>
              <w:t>)</w:t>
            </w:r>
          </w:p>
        </w:tc>
        <w:tc>
          <w:tcPr>
            <w:tcW w:w="2977" w:type="dxa"/>
          </w:tcPr>
          <w:p w:rsidR="00CB7AB0" w:rsidRPr="00652ED2" w:rsidRDefault="005E7DEA" w:rsidP="00EE769F">
            <w:pPr>
              <w:spacing w:after="0"/>
              <w:jc w:val="left"/>
              <w:rPr>
                <w:sz w:val="22"/>
                <w:szCs w:val="22"/>
              </w:rPr>
            </w:pPr>
            <w:r>
              <w:rPr>
                <w:sz w:val="22"/>
                <w:szCs w:val="22"/>
              </w:rPr>
              <w:t>3-krát</w:t>
            </w:r>
          </w:p>
        </w:tc>
      </w:tr>
    </w:tbl>
    <w:p w:rsidR="00467218" w:rsidRPr="00652ED2" w:rsidRDefault="00467218" w:rsidP="00EE769F">
      <w:pPr>
        <w:spacing w:after="0"/>
        <w:jc w:val="left"/>
        <w:rPr>
          <w:sz w:val="22"/>
          <w:szCs w:val="22"/>
        </w:rPr>
      </w:pPr>
      <w:r w:rsidRPr="00652ED2">
        <w:rPr>
          <w:sz w:val="22"/>
          <w:szCs w:val="22"/>
        </w:rPr>
        <w:t>*</w:t>
      </w:r>
      <w:r w:rsidR="00A65E32" w:rsidRPr="00652ED2">
        <w:rPr>
          <w:sz w:val="22"/>
          <w:szCs w:val="22"/>
        </w:rPr>
        <w:t>Dávky sa majú podávať približne každých 6 až 8 hodín</w:t>
      </w:r>
      <w:r w:rsidR="005E7DEA">
        <w:rPr>
          <w:sz w:val="22"/>
          <w:szCs w:val="22"/>
        </w:rPr>
        <w:t>.</w:t>
      </w:r>
    </w:p>
    <w:p w:rsidR="00D43BCB" w:rsidRPr="00652ED2" w:rsidRDefault="00D43BCB" w:rsidP="00EE769F">
      <w:pPr>
        <w:spacing w:after="0"/>
        <w:jc w:val="left"/>
        <w:rPr>
          <w:sz w:val="22"/>
          <w:szCs w:val="22"/>
        </w:rPr>
      </w:pPr>
    </w:p>
    <w:p w:rsidR="00467218" w:rsidRPr="00652ED2" w:rsidRDefault="005E7DEA" w:rsidP="00EE769F">
      <w:pPr>
        <w:spacing w:after="0"/>
        <w:jc w:val="left"/>
        <w:rPr>
          <w:sz w:val="22"/>
          <w:szCs w:val="22"/>
        </w:rPr>
      </w:pPr>
      <w:r>
        <w:rPr>
          <w:sz w:val="22"/>
          <w:szCs w:val="22"/>
        </w:rPr>
        <w:t>Liek nie je určený na používanie pre deti mladšie ako 6 rokov alebo s hmotnosťou menej</w:t>
      </w:r>
      <w:r>
        <w:rPr>
          <w:bCs/>
          <w:sz w:val="22"/>
          <w:szCs w:val="22"/>
        </w:rPr>
        <w:t xml:space="preserve"> ako</w:t>
      </w:r>
      <w:r>
        <w:rPr>
          <w:sz w:val="22"/>
          <w:szCs w:val="22"/>
        </w:rPr>
        <w:t xml:space="preserve"> </w:t>
      </w:r>
      <w:smartTag w:uri="urn:schemas-microsoft-com:office:smarttags" w:element="metricconverter">
        <w:smartTagPr>
          <w:attr w:name="ProductID" w:val="20ﾠkg"/>
        </w:smartTagPr>
        <w:r>
          <w:rPr>
            <w:sz w:val="22"/>
            <w:szCs w:val="22"/>
          </w:rPr>
          <w:t>20 kg</w:t>
        </w:r>
      </w:smartTag>
      <w:r>
        <w:rPr>
          <w:sz w:val="22"/>
          <w:szCs w:val="22"/>
        </w:rPr>
        <w:t>.</w:t>
      </w:r>
    </w:p>
    <w:p w:rsidR="00BD1A52" w:rsidRPr="00652ED2" w:rsidRDefault="00BD1A52" w:rsidP="00EE769F">
      <w:pPr>
        <w:pStyle w:val="Zkladntext"/>
        <w:rPr>
          <w:sz w:val="22"/>
          <w:szCs w:val="22"/>
          <w:lang w:val="sk-SK"/>
        </w:rPr>
      </w:pPr>
    </w:p>
    <w:p w:rsidR="008577B4" w:rsidRPr="00652ED2" w:rsidRDefault="005E7DEA" w:rsidP="00EE769F">
      <w:pPr>
        <w:shd w:val="clear" w:color="auto" w:fill="FFFFFF"/>
        <w:spacing w:after="0"/>
        <w:jc w:val="left"/>
        <w:rPr>
          <w:sz w:val="22"/>
          <w:szCs w:val="22"/>
        </w:rPr>
      </w:pPr>
      <w:r>
        <w:rPr>
          <w:sz w:val="22"/>
          <w:szCs w:val="22"/>
        </w:rPr>
        <w:t>Deti (vekové rozmedzie: ≥ 6 rokov do &lt; 12 rokov) a dospievajúci:</w:t>
      </w:r>
    </w:p>
    <w:p w:rsidR="008577B4" w:rsidRPr="00652ED2" w:rsidRDefault="005E7DEA" w:rsidP="00EE769F">
      <w:pPr>
        <w:shd w:val="clear" w:color="auto" w:fill="FFFFFF"/>
        <w:spacing w:after="0"/>
        <w:jc w:val="left"/>
        <w:rPr>
          <w:sz w:val="22"/>
          <w:szCs w:val="22"/>
        </w:rPr>
      </w:pPr>
      <w:r>
        <w:rPr>
          <w:sz w:val="22"/>
          <w:szCs w:val="22"/>
        </w:rPr>
        <w:t>Ak u detí od 6 rokov a dospievajúcich je tento liek potrebné podávať viac ako 3 dni alebo sa príznaky ochorenia zhoršujú, je potrebné poradiť sa s lekárom.</w:t>
      </w:r>
    </w:p>
    <w:p w:rsidR="008577B4" w:rsidRPr="00652ED2" w:rsidRDefault="008577B4" w:rsidP="00EE769F">
      <w:pPr>
        <w:shd w:val="clear" w:color="auto" w:fill="FFFFFF"/>
        <w:spacing w:after="0"/>
        <w:jc w:val="left"/>
        <w:rPr>
          <w:sz w:val="22"/>
          <w:szCs w:val="22"/>
        </w:rPr>
      </w:pPr>
    </w:p>
    <w:p w:rsidR="00EE769F" w:rsidRPr="00652ED2" w:rsidRDefault="005E7DEA" w:rsidP="00EE769F">
      <w:pPr>
        <w:pStyle w:val="Zkladntext"/>
        <w:rPr>
          <w:sz w:val="22"/>
          <w:szCs w:val="22"/>
          <w:lang w:val="sk-SK"/>
        </w:rPr>
      </w:pPr>
      <w:r>
        <w:rPr>
          <w:sz w:val="22"/>
          <w:szCs w:val="22"/>
          <w:lang w:val="sk-SK"/>
        </w:rPr>
        <w:t>Suspenzia sa má zapiť dostatočným množstvom tekutiny.</w:t>
      </w:r>
    </w:p>
    <w:p w:rsidR="00467218" w:rsidRPr="00652ED2" w:rsidRDefault="005E7DEA" w:rsidP="00005545">
      <w:pPr>
        <w:spacing w:after="0"/>
        <w:jc w:val="left"/>
        <w:rPr>
          <w:sz w:val="22"/>
          <w:szCs w:val="22"/>
        </w:rPr>
      </w:pPr>
      <w:r>
        <w:rPr>
          <w:sz w:val="22"/>
          <w:szCs w:val="22"/>
        </w:rPr>
        <w:t>Pre pacientov s citlivým žalúdkom sa odporúča, aby sa Ibalgin Junior užíval s jedlom.</w:t>
      </w:r>
    </w:p>
    <w:p w:rsidR="00467218" w:rsidRPr="00652ED2" w:rsidRDefault="00467218" w:rsidP="00005545">
      <w:pPr>
        <w:spacing w:after="0"/>
        <w:jc w:val="left"/>
        <w:rPr>
          <w:sz w:val="22"/>
          <w:szCs w:val="22"/>
        </w:rPr>
      </w:pPr>
    </w:p>
    <w:p w:rsidR="00467218" w:rsidRPr="00652ED2" w:rsidRDefault="005E7DEA" w:rsidP="00005545">
      <w:pPr>
        <w:spacing w:after="0"/>
        <w:jc w:val="left"/>
        <w:rPr>
          <w:sz w:val="22"/>
          <w:szCs w:val="22"/>
        </w:rPr>
      </w:pPr>
      <w:r>
        <w:rPr>
          <w:b/>
          <w:sz w:val="22"/>
          <w:szCs w:val="22"/>
        </w:rPr>
        <w:t>VAROVANIE:</w:t>
      </w:r>
      <w:r>
        <w:rPr>
          <w:sz w:val="22"/>
          <w:szCs w:val="22"/>
        </w:rPr>
        <w:t xml:space="preserve"> Neprekračujte stanovenú dávku.</w:t>
      </w:r>
    </w:p>
    <w:p w:rsidR="00EE769F" w:rsidRPr="00652ED2" w:rsidRDefault="00EE769F"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Spôsob podávania pomocou dávkovacej pipety</w:t>
      </w:r>
    </w:p>
    <w:p w:rsidR="00467218" w:rsidRPr="00652ED2" w:rsidRDefault="00467218" w:rsidP="00005545">
      <w:pPr>
        <w:spacing w:after="0"/>
        <w:jc w:val="left"/>
        <w:rPr>
          <w:sz w:val="22"/>
          <w:szCs w:val="22"/>
        </w:rPr>
      </w:pPr>
    </w:p>
    <w:p w:rsidR="00E11A0D" w:rsidRPr="00652ED2" w:rsidRDefault="005E7DEA" w:rsidP="00005545">
      <w:pPr>
        <w:jc w:val="left"/>
        <w:rPr>
          <w:sz w:val="22"/>
          <w:szCs w:val="22"/>
        </w:rPr>
      </w:pPr>
      <w:r>
        <w:rPr>
          <w:sz w:val="22"/>
          <w:szCs w:val="22"/>
        </w:rPr>
        <w:t>Každé balenie obsahuje dávkovaciu pipetu na meranie presnej dávky suspenzie.</w:t>
      </w:r>
    </w:p>
    <w:p w:rsidR="00E11A0D" w:rsidRPr="00652ED2" w:rsidRDefault="005E7DEA" w:rsidP="00005545">
      <w:pPr>
        <w:numPr>
          <w:ilvl w:val="0"/>
          <w:numId w:val="21"/>
        </w:numPr>
        <w:tabs>
          <w:tab w:val="clear" w:pos="720"/>
          <w:tab w:val="num" w:pos="426"/>
        </w:tabs>
        <w:spacing w:after="0"/>
        <w:ind w:left="426" w:hanging="426"/>
        <w:jc w:val="left"/>
        <w:rPr>
          <w:sz w:val="22"/>
          <w:szCs w:val="22"/>
        </w:rPr>
      </w:pPr>
      <w:r>
        <w:rPr>
          <w:sz w:val="22"/>
          <w:szCs w:val="22"/>
        </w:rPr>
        <w:t xml:space="preserve">Obsah uzatvorenej fľašky dôkladne pretrepte (asi 5 sekúnd). </w:t>
      </w:r>
    </w:p>
    <w:p w:rsidR="00E11A0D" w:rsidRPr="00652ED2" w:rsidRDefault="005E7DEA" w:rsidP="00005545">
      <w:pPr>
        <w:numPr>
          <w:ilvl w:val="0"/>
          <w:numId w:val="21"/>
        </w:numPr>
        <w:tabs>
          <w:tab w:val="clear" w:pos="720"/>
          <w:tab w:val="num" w:pos="426"/>
        </w:tabs>
        <w:spacing w:after="0"/>
        <w:ind w:left="426" w:hanging="426"/>
        <w:jc w:val="left"/>
        <w:rPr>
          <w:sz w:val="22"/>
          <w:szCs w:val="22"/>
        </w:rPr>
      </w:pPr>
      <w:r>
        <w:rPr>
          <w:sz w:val="22"/>
          <w:szCs w:val="22"/>
        </w:rPr>
        <w:t xml:space="preserve">Fľaška má bezpečnostný uzáver, ktorý nedovoľuje, aby ju otvorili deti. Uzáver otvoríte tak, že ho stlačíte pevne nadol a odskrutkujete proti smeru hodinových ručičiek. </w:t>
      </w:r>
    </w:p>
    <w:p w:rsidR="00E11A0D" w:rsidRPr="00652ED2" w:rsidRDefault="005E7DEA" w:rsidP="00005545">
      <w:pPr>
        <w:numPr>
          <w:ilvl w:val="0"/>
          <w:numId w:val="21"/>
        </w:numPr>
        <w:tabs>
          <w:tab w:val="clear" w:pos="720"/>
          <w:tab w:val="num" w:pos="426"/>
        </w:tabs>
        <w:spacing w:after="0"/>
        <w:ind w:left="426" w:hanging="426"/>
        <w:jc w:val="left"/>
        <w:rPr>
          <w:sz w:val="22"/>
          <w:szCs w:val="22"/>
        </w:rPr>
      </w:pPr>
      <w:r>
        <w:rPr>
          <w:sz w:val="22"/>
          <w:szCs w:val="22"/>
        </w:rPr>
        <w:t xml:space="preserve">Zatlačte dávkovaciu pipetu cez hrdlo fľaše do suspenzie. Fľaška sa neobracia hore dnom.  </w:t>
      </w:r>
    </w:p>
    <w:p w:rsidR="00E11A0D" w:rsidRPr="00652ED2" w:rsidRDefault="005E7DEA" w:rsidP="00005545">
      <w:pPr>
        <w:numPr>
          <w:ilvl w:val="0"/>
          <w:numId w:val="21"/>
        </w:numPr>
        <w:tabs>
          <w:tab w:val="clear" w:pos="720"/>
          <w:tab w:val="num" w:pos="426"/>
        </w:tabs>
        <w:spacing w:after="0"/>
        <w:ind w:left="426" w:hanging="426"/>
        <w:jc w:val="left"/>
        <w:rPr>
          <w:sz w:val="22"/>
          <w:szCs w:val="22"/>
        </w:rPr>
      </w:pPr>
      <w:r>
        <w:rPr>
          <w:sz w:val="22"/>
          <w:szCs w:val="22"/>
        </w:rPr>
        <w:t>Pomocou piestu dávkovacej pipety natiahnite požadovanú dávku suspenzie (podľa značenia na pipete – ml).</w:t>
      </w:r>
    </w:p>
    <w:p w:rsidR="00E11A0D" w:rsidRPr="00652ED2" w:rsidRDefault="005E7DEA" w:rsidP="00005545">
      <w:pPr>
        <w:numPr>
          <w:ilvl w:val="0"/>
          <w:numId w:val="21"/>
        </w:numPr>
        <w:tabs>
          <w:tab w:val="clear" w:pos="720"/>
          <w:tab w:val="num" w:pos="426"/>
        </w:tabs>
        <w:spacing w:after="0"/>
        <w:ind w:left="426" w:hanging="426"/>
        <w:jc w:val="left"/>
        <w:rPr>
          <w:sz w:val="22"/>
          <w:szCs w:val="22"/>
        </w:rPr>
      </w:pPr>
      <w:r>
        <w:rPr>
          <w:sz w:val="22"/>
          <w:szCs w:val="22"/>
        </w:rPr>
        <w:t>Vyberte dávkovaciu pipetu z hrdla fľašky.</w:t>
      </w:r>
    </w:p>
    <w:p w:rsidR="00E11A0D" w:rsidRPr="00652ED2" w:rsidRDefault="005E7DEA" w:rsidP="00005545">
      <w:pPr>
        <w:numPr>
          <w:ilvl w:val="0"/>
          <w:numId w:val="21"/>
        </w:numPr>
        <w:tabs>
          <w:tab w:val="clear" w:pos="720"/>
          <w:tab w:val="num" w:pos="426"/>
        </w:tabs>
        <w:spacing w:after="0"/>
        <w:ind w:left="426" w:hanging="426"/>
        <w:jc w:val="left"/>
        <w:rPr>
          <w:sz w:val="22"/>
          <w:szCs w:val="22"/>
        </w:rPr>
      </w:pPr>
      <w:r>
        <w:rPr>
          <w:sz w:val="22"/>
          <w:szCs w:val="22"/>
        </w:rPr>
        <w:t xml:space="preserve">Podajte suspenziu dieťaťu buď vložením konca dávkovacej pipety do úst a jemným tlakom na piest alebo vystreknutím suspenzie na lyžičku a podaním lyžičkou. </w:t>
      </w:r>
    </w:p>
    <w:p w:rsidR="00E11A0D" w:rsidRPr="00652ED2" w:rsidRDefault="005E7DEA" w:rsidP="00005545">
      <w:pPr>
        <w:numPr>
          <w:ilvl w:val="0"/>
          <w:numId w:val="21"/>
        </w:numPr>
        <w:tabs>
          <w:tab w:val="clear" w:pos="720"/>
          <w:tab w:val="num" w:pos="426"/>
        </w:tabs>
        <w:spacing w:after="0"/>
        <w:ind w:left="426" w:hanging="426"/>
        <w:jc w:val="left"/>
        <w:rPr>
          <w:sz w:val="22"/>
          <w:szCs w:val="22"/>
        </w:rPr>
      </w:pPr>
      <w:r>
        <w:rPr>
          <w:sz w:val="22"/>
          <w:szCs w:val="22"/>
        </w:rPr>
        <w:t>Po použití fľašku opäť starostlivo zatvorte. Dávkovaciu pipetu umyte teplou vodou a nechajte vyschnúť.</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Trvanie liečby</w:t>
      </w:r>
    </w:p>
    <w:p w:rsidR="00467218" w:rsidRPr="00652ED2" w:rsidRDefault="005E7DEA" w:rsidP="00005545">
      <w:pPr>
        <w:spacing w:after="0"/>
        <w:jc w:val="left"/>
        <w:rPr>
          <w:sz w:val="22"/>
          <w:szCs w:val="22"/>
        </w:rPr>
      </w:pPr>
      <w:r>
        <w:rPr>
          <w:sz w:val="22"/>
          <w:szCs w:val="22"/>
        </w:rPr>
        <w:t>Tento liek je určený len na krátkodobé užívanie. Ak príznaky u dieťaťa pretrvávajú viac ako 3 dni, poraďte sa s lekárom.</w:t>
      </w:r>
    </w:p>
    <w:p w:rsidR="00EE319F" w:rsidRPr="00652ED2" w:rsidRDefault="00EE319F"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Ak sa príznaky zhoršia, poraďte sa s lekárom.</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 xml:space="preserve">Ak vaše dieťa užije viac </w:t>
      </w:r>
      <w:r>
        <w:rPr>
          <w:b/>
          <w:noProof/>
          <w:sz w:val="22"/>
          <w:szCs w:val="22"/>
        </w:rPr>
        <w:t>Ibalginu Junior,</w:t>
      </w:r>
      <w:r>
        <w:rPr>
          <w:sz w:val="22"/>
          <w:szCs w:val="22"/>
        </w:rPr>
        <w:t xml:space="preserve"> </w:t>
      </w:r>
      <w:r>
        <w:rPr>
          <w:b/>
          <w:sz w:val="22"/>
          <w:szCs w:val="22"/>
        </w:rPr>
        <w:t>ako má</w:t>
      </w:r>
    </w:p>
    <w:p w:rsidR="00467218" w:rsidRPr="00652ED2" w:rsidRDefault="005E7DEA" w:rsidP="00005545">
      <w:pPr>
        <w:spacing w:after="0"/>
        <w:jc w:val="left"/>
        <w:rPr>
          <w:sz w:val="22"/>
          <w:szCs w:val="22"/>
        </w:rPr>
      </w:pPr>
      <w:r>
        <w:rPr>
          <w:sz w:val="22"/>
          <w:szCs w:val="22"/>
        </w:rPr>
        <w:t>Ak ste náhodou podali viac, ako je odporúčaná dávka Ibalginu Junior okamžite kontaktujte lekára. Príznaky predávkovania zahŕňajú nevoľnosť, vracanie, bolesť brucha, bolesť hlavy, závraty, ospalosť, zášklby očí, rozmazané videnie, zvonenie v ušiach a zriedkavo nízky krvný tlak, zmeny zloženia krvi, problémy s obličkami a strata vedomia.</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 xml:space="preserve">Ak ste zabudli dať </w:t>
      </w:r>
      <w:r>
        <w:rPr>
          <w:b/>
          <w:noProof/>
          <w:sz w:val="22"/>
          <w:szCs w:val="22"/>
        </w:rPr>
        <w:t>Ibalgin Junior</w:t>
      </w:r>
      <w:r>
        <w:rPr>
          <w:sz w:val="22"/>
          <w:szCs w:val="22"/>
        </w:rPr>
        <w:t xml:space="preserve"> </w:t>
      </w:r>
      <w:r>
        <w:rPr>
          <w:b/>
          <w:sz w:val="22"/>
          <w:szCs w:val="22"/>
        </w:rPr>
        <w:t>vášmu dieťaťu</w:t>
      </w:r>
    </w:p>
    <w:p w:rsidR="00467218" w:rsidRPr="00652ED2" w:rsidRDefault="005E7DEA" w:rsidP="00005545">
      <w:pPr>
        <w:spacing w:after="0"/>
        <w:jc w:val="left"/>
        <w:rPr>
          <w:sz w:val="22"/>
          <w:szCs w:val="22"/>
        </w:rPr>
      </w:pPr>
      <w:r>
        <w:rPr>
          <w:sz w:val="22"/>
          <w:szCs w:val="22"/>
        </w:rPr>
        <w:t>Nedávajte dvojnásobnú dávku, aby ste nahradili vynechanú dávku. Ak zabudnete dať dávku, dajte ju hneď ako si spomeniete a potom dajte ďalšiu dávku podľa dávkovacieho intervalu uvedeného vyššie.</w:t>
      </w:r>
    </w:p>
    <w:p w:rsidR="00467218" w:rsidRPr="00652ED2" w:rsidRDefault="00467218" w:rsidP="00005545">
      <w:pPr>
        <w:spacing w:after="0"/>
        <w:jc w:val="left"/>
        <w:rPr>
          <w:sz w:val="22"/>
          <w:szCs w:val="22"/>
        </w:rPr>
      </w:pPr>
    </w:p>
    <w:p w:rsidR="00467218" w:rsidRPr="00652ED2" w:rsidRDefault="005E7DEA" w:rsidP="00005545">
      <w:pPr>
        <w:spacing w:after="0"/>
        <w:jc w:val="left"/>
        <w:rPr>
          <w:sz w:val="22"/>
          <w:szCs w:val="22"/>
        </w:rPr>
      </w:pPr>
      <w:r>
        <w:rPr>
          <w:sz w:val="22"/>
          <w:szCs w:val="22"/>
        </w:rPr>
        <w:t>Ak máte ďalšie otázky týkajúce sa použitia tohto lieku, opýtajte sa svojho lekára alebo lekárnika.</w:t>
      </w:r>
    </w:p>
    <w:p w:rsidR="00467218" w:rsidRPr="00652ED2" w:rsidRDefault="00467218" w:rsidP="00005545">
      <w:pPr>
        <w:spacing w:after="0"/>
        <w:jc w:val="left"/>
        <w:rPr>
          <w:sz w:val="22"/>
          <w:szCs w:val="22"/>
        </w:rPr>
      </w:pPr>
    </w:p>
    <w:p w:rsidR="00FB61C1" w:rsidRPr="00652ED2" w:rsidRDefault="00FB61C1" w:rsidP="00005545">
      <w:pPr>
        <w:spacing w:after="0"/>
        <w:jc w:val="left"/>
        <w:rPr>
          <w:sz w:val="22"/>
          <w:szCs w:val="22"/>
        </w:rPr>
      </w:pPr>
    </w:p>
    <w:p w:rsidR="001212E3" w:rsidRPr="00652ED2" w:rsidRDefault="005E7DEA" w:rsidP="001212E3">
      <w:pPr>
        <w:numPr>
          <w:ilvl w:val="12"/>
          <w:numId w:val="0"/>
        </w:numPr>
        <w:spacing w:after="0"/>
        <w:ind w:right="-29"/>
        <w:rPr>
          <w:b/>
          <w:bCs/>
          <w:noProof/>
          <w:sz w:val="22"/>
          <w:szCs w:val="22"/>
        </w:rPr>
      </w:pPr>
      <w:r>
        <w:rPr>
          <w:b/>
          <w:bCs/>
          <w:noProof/>
          <w:sz w:val="22"/>
          <w:szCs w:val="22"/>
        </w:rPr>
        <w:t>4.</w:t>
      </w:r>
      <w:r>
        <w:rPr>
          <w:b/>
          <w:bCs/>
          <w:noProof/>
          <w:sz w:val="22"/>
          <w:szCs w:val="22"/>
        </w:rPr>
        <w:tab/>
        <w:t>Možné vedľajšie účinky</w:t>
      </w:r>
    </w:p>
    <w:p w:rsidR="001212E3" w:rsidRPr="00652ED2" w:rsidRDefault="001212E3" w:rsidP="001212E3">
      <w:pPr>
        <w:numPr>
          <w:ilvl w:val="12"/>
          <w:numId w:val="0"/>
        </w:numPr>
        <w:spacing w:after="0"/>
        <w:ind w:right="-29"/>
        <w:outlineLvl w:val="0"/>
        <w:rPr>
          <w:noProof/>
          <w:sz w:val="22"/>
          <w:szCs w:val="22"/>
        </w:rPr>
      </w:pPr>
    </w:p>
    <w:p w:rsidR="001212E3" w:rsidRPr="00652ED2" w:rsidRDefault="005E7DEA" w:rsidP="001212E3">
      <w:pPr>
        <w:numPr>
          <w:ilvl w:val="12"/>
          <w:numId w:val="0"/>
        </w:numPr>
        <w:spacing w:after="0"/>
        <w:ind w:right="-29"/>
        <w:jc w:val="left"/>
        <w:outlineLvl w:val="0"/>
        <w:rPr>
          <w:noProof/>
          <w:sz w:val="22"/>
          <w:szCs w:val="22"/>
        </w:rPr>
      </w:pPr>
      <w:r>
        <w:rPr>
          <w:noProof/>
          <w:sz w:val="22"/>
          <w:szCs w:val="22"/>
        </w:rPr>
        <w:t>Tak ako všetky lieky, aj tento liek môže spôsobovať vedľajšie účinky, hoci sa neprejavia u každého.</w:t>
      </w:r>
    </w:p>
    <w:p w:rsidR="009379A6" w:rsidRPr="00652ED2" w:rsidRDefault="005E7DEA" w:rsidP="001212E3">
      <w:pPr>
        <w:pStyle w:val="Zkladntext"/>
        <w:rPr>
          <w:sz w:val="22"/>
          <w:szCs w:val="22"/>
          <w:lang w:val="sk-SK"/>
        </w:rPr>
      </w:pPr>
      <w:r>
        <w:rPr>
          <w:sz w:val="22"/>
          <w:szCs w:val="22"/>
          <w:lang w:val="sk-SK"/>
        </w:rPr>
        <w:t xml:space="preserve">Vedľajšie účinky </w:t>
      </w:r>
      <w:r>
        <w:rPr>
          <w:bCs/>
          <w:sz w:val="22"/>
          <w:szCs w:val="22"/>
          <w:lang w:val="sk-SK"/>
        </w:rPr>
        <w:t xml:space="preserve">sa môžu minimalizovať užívaním najnižšej účinnej dávky počas najkratšej doby potrebnej na zvládnutie </w:t>
      </w:r>
      <w:r>
        <w:rPr>
          <w:sz w:val="22"/>
          <w:szCs w:val="22"/>
          <w:lang w:val="sk-SK"/>
        </w:rPr>
        <w:t xml:space="preserve">príznakov. </w:t>
      </w:r>
    </w:p>
    <w:p w:rsidR="009379A6" w:rsidRPr="00652ED2" w:rsidRDefault="005E7DEA" w:rsidP="001212E3">
      <w:pPr>
        <w:pStyle w:val="Zkladntext"/>
        <w:rPr>
          <w:sz w:val="22"/>
          <w:szCs w:val="22"/>
          <w:lang w:val="sk-SK"/>
        </w:rPr>
      </w:pPr>
      <w:r>
        <w:rPr>
          <w:sz w:val="22"/>
          <w:szCs w:val="22"/>
          <w:lang w:val="sk-SK"/>
        </w:rPr>
        <w:lastRenderedPageBreak/>
        <w:t xml:space="preserve">U vášho dieťaťa sa môže objaviť niektorý zo známych vedľajších účinkov NSAID. Ak sa tak stane alebo ak máte obavy, prestaňte podávať tento liek vášmu dieťaťu a čo najskôr sa poraďte so svojím lekárom. </w:t>
      </w:r>
    </w:p>
    <w:p w:rsidR="001212E3" w:rsidRPr="00652ED2" w:rsidRDefault="005E7DEA" w:rsidP="001212E3">
      <w:pPr>
        <w:pStyle w:val="Zkladntext"/>
        <w:rPr>
          <w:sz w:val="22"/>
          <w:szCs w:val="22"/>
          <w:lang w:val="sk-SK"/>
        </w:rPr>
      </w:pPr>
      <w:r>
        <w:rPr>
          <w:sz w:val="22"/>
          <w:szCs w:val="22"/>
          <w:lang w:val="sk-SK"/>
        </w:rPr>
        <w:t>Staršie osoby, ktoré užívajú tento liek, sú vystavené zvýšenému riziku rozvoja problémov súvisiacich s vedľajšími účinkami.</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PRESTAŇTE POUŽÍVAŤ tento liek a okamžite vyhľadajte lekársku pomoc, ak sa u vášho dieťaťa vyvinú:</w:t>
      </w:r>
    </w:p>
    <w:p w:rsidR="00467218" w:rsidRPr="00652ED2" w:rsidRDefault="005E7DEA" w:rsidP="00005545">
      <w:pPr>
        <w:pStyle w:val="Odsekzoznamu"/>
        <w:numPr>
          <w:ilvl w:val="0"/>
          <w:numId w:val="17"/>
        </w:numPr>
        <w:spacing w:after="0"/>
        <w:jc w:val="left"/>
        <w:rPr>
          <w:sz w:val="22"/>
          <w:szCs w:val="22"/>
        </w:rPr>
      </w:pPr>
      <w:r>
        <w:rPr>
          <w:sz w:val="22"/>
          <w:szCs w:val="22"/>
        </w:rPr>
        <w:t>prejavy črevného krvácania, ako sú: závažná bolesť brucha, čierna dechtová stolica, vracanie krvi alebo tmavých častíc, ktoré vyzerajú ako kávová usadenina;</w:t>
      </w:r>
    </w:p>
    <w:p w:rsidR="00467218" w:rsidRPr="00652ED2" w:rsidRDefault="005E7DEA" w:rsidP="00005545">
      <w:pPr>
        <w:pStyle w:val="Odsekzoznamu"/>
        <w:numPr>
          <w:ilvl w:val="0"/>
          <w:numId w:val="17"/>
        </w:numPr>
        <w:spacing w:after="0"/>
        <w:jc w:val="left"/>
        <w:rPr>
          <w:sz w:val="22"/>
          <w:szCs w:val="22"/>
        </w:rPr>
      </w:pPr>
      <w:r>
        <w:rPr>
          <w:sz w:val="22"/>
          <w:szCs w:val="22"/>
        </w:rPr>
        <w:t>prejavy zriedkavej, avšak závažnej reakcie z precitlivenosti, ako je zhoršenie astmy, nevysvetliteľný sipot alebo dýchavičnosť, opuch tváre, jazyka alebo hrdla, ťažkosti s dýchaním, zrýchlený pulz, pokles krvného tlaku, ktorý vedie k šoku; To sa môže vyskytnúť už po prvom užití tohto lieku. Ak sa vyskytne ktorýkoľvek z týchto príznakov, okamžite volajte lekára.</w:t>
      </w:r>
    </w:p>
    <w:p w:rsidR="00467218" w:rsidRPr="00652ED2" w:rsidRDefault="005E7DEA" w:rsidP="00005545">
      <w:pPr>
        <w:pStyle w:val="Odsekzoznamu"/>
        <w:numPr>
          <w:ilvl w:val="0"/>
          <w:numId w:val="17"/>
        </w:numPr>
        <w:spacing w:after="0"/>
        <w:jc w:val="left"/>
        <w:rPr>
          <w:sz w:val="22"/>
          <w:szCs w:val="22"/>
        </w:rPr>
      </w:pPr>
      <w:r>
        <w:rPr>
          <w:sz w:val="22"/>
          <w:szCs w:val="22"/>
        </w:rPr>
        <w:t>závažné kožné reakcie, ako sú vyrážky pokrývajúce celé telo, šupiny, pľuzgiere na koži alebo odlupovanie kože.</w:t>
      </w:r>
    </w:p>
    <w:p w:rsidR="00467218" w:rsidRPr="00652ED2" w:rsidRDefault="00467218" w:rsidP="00005545">
      <w:pPr>
        <w:spacing w:after="0"/>
        <w:jc w:val="left"/>
        <w:rPr>
          <w:sz w:val="22"/>
          <w:szCs w:val="22"/>
        </w:rPr>
      </w:pPr>
    </w:p>
    <w:p w:rsidR="00467218" w:rsidRPr="00652ED2" w:rsidRDefault="005E7DEA" w:rsidP="005C71A4">
      <w:pPr>
        <w:spacing w:after="0"/>
        <w:jc w:val="left"/>
        <w:rPr>
          <w:b/>
          <w:sz w:val="22"/>
          <w:szCs w:val="22"/>
        </w:rPr>
      </w:pPr>
      <w:r>
        <w:rPr>
          <w:b/>
          <w:sz w:val="22"/>
          <w:szCs w:val="22"/>
        </w:rPr>
        <w:t>Ak má vaše dieťa niektorý z nasledujúcich vedľajších účinkov, zhoršia sa alebo spozorujete akékoľvek vedľajšie účinky, ktoré nie sú uvedené v tejto písomnej informácii pre používateľa, povedzte to svojmu lekárovi.</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Časté (môžu postihovať až 1 z 10 osôb):</w:t>
      </w:r>
    </w:p>
    <w:p w:rsidR="00467218" w:rsidRPr="00652ED2" w:rsidRDefault="005E7DEA" w:rsidP="00005545">
      <w:pPr>
        <w:pStyle w:val="Odsekzoznamu"/>
        <w:numPr>
          <w:ilvl w:val="0"/>
          <w:numId w:val="18"/>
        </w:numPr>
        <w:spacing w:after="0"/>
        <w:jc w:val="left"/>
        <w:rPr>
          <w:sz w:val="22"/>
          <w:szCs w:val="22"/>
        </w:rPr>
      </w:pPr>
      <w:r>
        <w:rPr>
          <w:sz w:val="22"/>
          <w:szCs w:val="22"/>
        </w:rPr>
        <w:t>pálenie záhy, bolesť brucha, nevoľnosť, vracanie, plynatosť (vetry), hnačka, zápcha.</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Menej časté (môžu postihovať až 1 zo 100 osôb):</w:t>
      </w:r>
    </w:p>
    <w:p w:rsidR="00467218" w:rsidRPr="00652ED2" w:rsidRDefault="005E7DEA" w:rsidP="00005545">
      <w:pPr>
        <w:pStyle w:val="Odsekzoznamu"/>
        <w:numPr>
          <w:ilvl w:val="0"/>
          <w:numId w:val="18"/>
        </w:numPr>
        <w:spacing w:after="0"/>
        <w:jc w:val="left"/>
        <w:rPr>
          <w:sz w:val="22"/>
          <w:szCs w:val="22"/>
        </w:rPr>
      </w:pPr>
      <w:r>
        <w:rPr>
          <w:sz w:val="22"/>
          <w:szCs w:val="22"/>
        </w:rPr>
        <w:t>zápal žalúdka, zhoršenie zápalu hrubého čreva a Crohnovej choroby (vredové ochorenie tenkého čreva);</w:t>
      </w:r>
    </w:p>
    <w:p w:rsidR="00467218" w:rsidRPr="00652ED2" w:rsidRDefault="005E7DEA" w:rsidP="00005545">
      <w:pPr>
        <w:pStyle w:val="Odsekzoznamu"/>
        <w:numPr>
          <w:ilvl w:val="0"/>
          <w:numId w:val="18"/>
        </w:numPr>
        <w:spacing w:after="0"/>
        <w:jc w:val="left"/>
        <w:rPr>
          <w:sz w:val="22"/>
          <w:szCs w:val="22"/>
        </w:rPr>
      </w:pPr>
      <w:r>
        <w:rPr>
          <w:sz w:val="22"/>
          <w:szCs w:val="22"/>
        </w:rPr>
        <w:t>bolesť hlavy, závrat, nespavosť, nekľud, podráždenosť alebo vyčerpanosť;</w:t>
      </w:r>
    </w:p>
    <w:p w:rsidR="00467218" w:rsidRPr="00652ED2" w:rsidRDefault="005E7DEA" w:rsidP="00005545">
      <w:pPr>
        <w:pStyle w:val="Odsekzoznamu"/>
        <w:numPr>
          <w:ilvl w:val="0"/>
          <w:numId w:val="18"/>
        </w:numPr>
        <w:spacing w:after="0"/>
        <w:jc w:val="left"/>
        <w:rPr>
          <w:sz w:val="22"/>
          <w:szCs w:val="22"/>
        </w:rPr>
      </w:pPr>
      <w:r>
        <w:rPr>
          <w:sz w:val="22"/>
          <w:szCs w:val="22"/>
        </w:rPr>
        <w:t>poruchy videnia;</w:t>
      </w:r>
    </w:p>
    <w:p w:rsidR="00467218" w:rsidRPr="00652ED2" w:rsidRDefault="005E7DEA" w:rsidP="00005545">
      <w:pPr>
        <w:pStyle w:val="Odsekzoznamu"/>
        <w:numPr>
          <w:ilvl w:val="0"/>
          <w:numId w:val="18"/>
        </w:numPr>
        <w:spacing w:after="0"/>
        <w:jc w:val="left"/>
        <w:rPr>
          <w:sz w:val="22"/>
          <w:szCs w:val="22"/>
        </w:rPr>
      </w:pPr>
      <w:r>
        <w:rPr>
          <w:sz w:val="22"/>
          <w:szCs w:val="22"/>
        </w:rPr>
        <w:t>vredy v žalúdočno-črevnom trakte, ktoré môžu krvácať alebo prasknúť;</w:t>
      </w:r>
    </w:p>
    <w:p w:rsidR="00467218" w:rsidRPr="00652ED2" w:rsidRDefault="005E7DEA" w:rsidP="00005545">
      <w:pPr>
        <w:pStyle w:val="Odsekzoznamu"/>
        <w:numPr>
          <w:ilvl w:val="0"/>
          <w:numId w:val="18"/>
        </w:numPr>
        <w:spacing w:after="0"/>
        <w:jc w:val="left"/>
        <w:rPr>
          <w:sz w:val="22"/>
          <w:szCs w:val="22"/>
        </w:rPr>
      </w:pPr>
      <w:r>
        <w:rPr>
          <w:sz w:val="22"/>
          <w:szCs w:val="22"/>
        </w:rPr>
        <w:t>vredy v ústach a/alebo opuch a podráždenie v ústach;</w:t>
      </w:r>
    </w:p>
    <w:p w:rsidR="00467218" w:rsidRPr="00652ED2" w:rsidRDefault="005E7DEA" w:rsidP="00005545">
      <w:pPr>
        <w:pStyle w:val="Odsekzoznamu"/>
        <w:numPr>
          <w:ilvl w:val="0"/>
          <w:numId w:val="18"/>
        </w:numPr>
        <w:spacing w:after="0"/>
        <w:jc w:val="left"/>
        <w:rPr>
          <w:sz w:val="22"/>
          <w:szCs w:val="22"/>
        </w:rPr>
      </w:pPr>
      <w:r>
        <w:rPr>
          <w:sz w:val="22"/>
          <w:szCs w:val="22"/>
        </w:rPr>
        <w:t>reakcie z precitlivenosti s kožnými vyrážkami a svrbením a astmatickými záchvatmi (prípadne s poklesom krvného tlaku).</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Zriedkavé (môžu postihovať až 1 z 1 000 osôb):</w:t>
      </w:r>
    </w:p>
    <w:p w:rsidR="00467218" w:rsidRPr="00652ED2" w:rsidRDefault="005E7DEA" w:rsidP="00005545">
      <w:pPr>
        <w:pStyle w:val="Odsekzoznamu"/>
        <w:numPr>
          <w:ilvl w:val="0"/>
          <w:numId w:val="19"/>
        </w:numPr>
        <w:spacing w:after="0"/>
        <w:jc w:val="left"/>
        <w:rPr>
          <w:sz w:val="22"/>
          <w:szCs w:val="22"/>
        </w:rPr>
      </w:pPr>
      <w:r>
        <w:rPr>
          <w:sz w:val="22"/>
          <w:szCs w:val="22"/>
        </w:rPr>
        <w:t>tinnitus (hučanie v ušiach).</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Pr>
          <w:b/>
          <w:sz w:val="22"/>
          <w:szCs w:val="22"/>
        </w:rPr>
        <w:t>Veľmi zriedkavé (môžu postihovať až 1 z 10 000 osôb):</w:t>
      </w:r>
    </w:p>
    <w:p w:rsidR="00467218" w:rsidRPr="00652ED2" w:rsidRDefault="005E7DEA" w:rsidP="00005545">
      <w:pPr>
        <w:pStyle w:val="Odsekzoznamu"/>
        <w:numPr>
          <w:ilvl w:val="0"/>
          <w:numId w:val="19"/>
        </w:numPr>
        <w:spacing w:after="0"/>
        <w:jc w:val="left"/>
        <w:rPr>
          <w:sz w:val="22"/>
          <w:szCs w:val="22"/>
        </w:rPr>
      </w:pPr>
      <w:r>
        <w:rPr>
          <w:sz w:val="22"/>
          <w:szCs w:val="22"/>
        </w:rPr>
        <w:t>zápal pažeráka alebo pankreasu, upchatie čreva;</w:t>
      </w:r>
    </w:p>
    <w:p w:rsidR="00467218" w:rsidRPr="00652ED2" w:rsidRDefault="005E7DEA" w:rsidP="00005545">
      <w:pPr>
        <w:pStyle w:val="Odsekzoznamu"/>
        <w:numPr>
          <w:ilvl w:val="0"/>
          <w:numId w:val="19"/>
        </w:numPr>
        <w:spacing w:after="0"/>
        <w:jc w:val="left"/>
        <w:rPr>
          <w:sz w:val="22"/>
          <w:szCs w:val="22"/>
        </w:rPr>
      </w:pPr>
      <w:r>
        <w:rPr>
          <w:sz w:val="22"/>
          <w:szCs w:val="22"/>
        </w:rPr>
        <w:t>ťažké formy kožných reakcií zahŕňajúce vyrážky so začervenaním a pľuzgierikmi, ktoré sa môžu šúpať, sprevádzané horúčkou, zimnicou, bolesťou svalov a pocitom nepohody, Stevensov-Johnsonov syndróm; vo výnimočných prípadoch sa počas ovčích kiahní (varicela) vyskytovali závažné infekcie kože;</w:t>
      </w:r>
    </w:p>
    <w:p w:rsidR="00467218" w:rsidRPr="00652ED2" w:rsidRDefault="005E7DEA" w:rsidP="00005545">
      <w:pPr>
        <w:pStyle w:val="Odsekzoznamu"/>
        <w:numPr>
          <w:ilvl w:val="0"/>
          <w:numId w:val="19"/>
        </w:numPr>
        <w:spacing w:after="0"/>
        <w:jc w:val="left"/>
        <w:rPr>
          <w:sz w:val="22"/>
          <w:szCs w:val="22"/>
        </w:rPr>
      </w:pPr>
      <w:r>
        <w:rPr>
          <w:sz w:val="22"/>
          <w:szCs w:val="22"/>
        </w:rPr>
        <w:t>močenie zriedkavejšie ako zvyčajne a opuch (je možné akútne zlyhávanie obličiek alebo zápal); poškodenie obličiek alebo zvýšené koncentrácie močoviny v krvi (prvé prejavy sú močenie zriedkavejšie ako zvyčajne, zakalený moč, krv v moči, bolesť chrbta, možný opuch nôh a celkový pocit skľúčenosti);</w:t>
      </w:r>
    </w:p>
    <w:p w:rsidR="00467218" w:rsidRPr="00652ED2" w:rsidRDefault="005E7DEA" w:rsidP="00005545">
      <w:pPr>
        <w:pStyle w:val="Odsekzoznamu"/>
        <w:numPr>
          <w:ilvl w:val="0"/>
          <w:numId w:val="19"/>
        </w:numPr>
        <w:spacing w:after="0"/>
        <w:jc w:val="left"/>
        <w:rPr>
          <w:sz w:val="22"/>
          <w:szCs w:val="22"/>
        </w:rPr>
      </w:pPr>
      <w:r>
        <w:rPr>
          <w:sz w:val="22"/>
          <w:szCs w:val="22"/>
        </w:rPr>
        <w:t>problémy s tvorbou krvných buniek (prvé prejavy sú horúčka, bolesť hrdla, povrchové vredy v ústach, príznaky podobné chrípke, závažná vyčerpanosť, krvácanie z nosa a kože, nevysvetliteľná alebo nezvyčajná tvorba modrín);</w:t>
      </w:r>
    </w:p>
    <w:p w:rsidR="00467218" w:rsidRPr="00652ED2" w:rsidRDefault="005E7DEA" w:rsidP="00005545">
      <w:pPr>
        <w:pStyle w:val="Odsekzoznamu"/>
        <w:numPr>
          <w:ilvl w:val="0"/>
          <w:numId w:val="19"/>
        </w:numPr>
        <w:spacing w:after="0"/>
        <w:jc w:val="left"/>
        <w:rPr>
          <w:sz w:val="22"/>
          <w:szCs w:val="22"/>
        </w:rPr>
      </w:pPr>
      <w:r>
        <w:rPr>
          <w:sz w:val="22"/>
          <w:szCs w:val="22"/>
        </w:rPr>
        <w:t>psychotické reakcie a depresia;</w:t>
      </w:r>
    </w:p>
    <w:p w:rsidR="00467218" w:rsidRPr="00652ED2" w:rsidRDefault="005E7DEA" w:rsidP="00005545">
      <w:pPr>
        <w:pStyle w:val="Odsekzoznamu"/>
        <w:numPr>
          <w:ilvl w:val="0"/>
          <w:numId w:val="19"/>
        </w:numPr>
        <w:spacing w:after="0"/>
        <w:jc w:val="left"/>
        <w:rPr>
          <w:sz w:val="22"/>
          <w:szCs w:val="22"/>
        </w:rPr>
      </w:pPr>
      <w:r>
        <w:rPr>
          <w:sz w:val="22"/>
          <w:szCs w:val="22"/>
        </w:rPr>
        <w:t>zhoršenie zápalu z dôvodu infekcie; ak sa vyskytnú prejavy infekcie alebo sa zhoršia počas užívania Ibalginu Junior, poraďte sa so svojím lekárom;</w:t>
      </w:r>
    </w:p>
    <w:p w:rsidR="00467218" w:rsidRPr="00652ED2" w:rsidRDefault="005E7DEA" w:rsidP="00005545">
      <w:pPr>
        <w:pStyle w:val="Odsekzoznamu"/>
        <w:numPr>
          <w:ilvl w:val="0"/>
          <w:numId w:val="19"/>
        </w:numPr>
        <w:spacing w:after="0"/>
        <w:jc w:val="left"/>
        <w:rPr>
          <w:sz w:val="22"/>
          <w:szCs w:val="22"/>
        </w:rPr>
      </w:pPr>
      <w:r>
        <w:rPr>
          <w:sz w:val="22"/>
          <w:szCs w:val="22"/>
        </w:rPr>
        <w:t>opuch, vysoký krvný tlak, palpitácie (búšenie srdca), srdcové zlyhávanie, srdcový záchvat;</w:t>
      </w:r>
    </w:p>
    <w:p w:rsidR="00467218" w:rsidRPr="00652ED2" w:rsidRDefault="005E7DEA" w:rsidP="00005545">
      <w:pPr>
        <w:pStyle w:val="Odsekzoznamu"/>
        <w:numPr>
          <w:ilvl w:val="0"/>
          <w:numId w:val="19"/>
        </w:numPr>
        <w:spacing w:after="0"/>
        <w:jc w:val="left"/>
        <w:rPr>
          <w:sz w:val="22"/>
          <w:szCs w:val="22"/>
        </w:rPr>
      </w:pPr>
      <w:r>
        <w:rPr>
          <w:sz w:val="22"/>
          <w:szCs w:val="22"/>
        </w:rPr>
        <w:lastRenderedPageBreak/>
        <w:t>problémy s pečeňou alebo zápal pečene; zlyhanie alebo poškodenie pečene, predovšetkým pri dlhodobom užívaní, ktoré sa prejavuje zožltnutím kože a očí alebo bledou stolicou a tmavým močom;</w:t>
      </w:r>
    </w:p>
    <w:p w:rsidR="00467218" w:rsidRPr="00652ED2" w:rsidRDefault="005E7DEA" w:rsidP="00005545">
      <w:pPr>
        <w:pStyle w:val="Odsekzoznamu"/>
        <w:numPr>
          <w:ilvl w:val="0"/>
          <w:numId w:val="19"/>
        </w:numPr>
        <w:spacing w:after="0"/>
        <w:jc w:val="left"/>
        <w:rPr>
          <w:sz w:val="22"/>
          <w:szCs w:val="22"/>
        </w:rPr>
      </w:pPr>
      <w:r>
        <w:rPr>
          <w:sz w:val="22"/>
          <w:szCs w:val="22"/>
        </w:rPr>
        <w:t xml:space="preserve">veľmi zriedkavo sa pozorovali pri podávaní </w:t>
      </w:r>
      <w:r w:rsidR="00D25971">
        <w:rPr>
          <w:sz w:val="22"/>
          <w:szCs w:val="22"/>
        </w:rPr>
        <w:t>ibuprofénu</w:t>
      </w:r>
      <w:r>
        <w:rPr>
          <w:sz w:val="22"/>
          <w:szCs w:val="22"/>
        </w:rPr>
        <w:t xml:space="preserve"> príznaky aseptickej meningitídy (zápal mozgových blán) so stuhnutosťou šije, bolesťou hlavy, nevoľnosťou, vracaním, horúčkou alebo zahmleným vedomím; pacienti s autoimúnnymi poruchami (systémový lupus eryt</w:t>
      </w:r>
      <w:r w:rsidR="00D25971">
        <w:rPr>
          <w:sz w:val="22"/>
          <w:szCs w:val="22"/>
        </w:rPr>
        <w:t>h</w:t>
      </w:r>
      <w:r>
        <w:rPr>
          <w:sz w:val="22"/>
          <w:szCs w:val="22"/>
        </w:rPr>
        <w:t>emato</w:t>
      </w:r>
      <w:r w:rsidR="00D25971">
        <w:rPr>
          <w:sz w:val="22"/>
          <w:szCs w:val="22"/>
        </w:rPr>
        <w:t>su</w:t>
      </w:r>
      <w:r>
        <w:rPr>
          <w:sz w:val="22"/>
          <w:szCs w:val="22"/>
        </w:rPr>
        <w:t>s (SLE), zmiešané ochorenie spojivového tkaniva) môžu byť postihnutí s väčšou pravdepodobnosťou; Ak sa objavia, okamžite kontaktujte lekára.</w:t>
      </w:r>
    </w:p>
    <w:p w:rsidR="00467218" w:rsidRPr="00652ED2" w:rsidRDefault="00467218" w:rsidP="00005545">
      <w:pPr>
        <w:spacing w:after="0"/>
        <w:jc w:val="left"/>
        <w:rPr>
          <w:sz w:val="22"/>
          <w:szCs w:val="22"/>
        </w:rPr>
      </w:pPr>
    </w:p>
    <w:p w:rsidR="000C7DD9" w:rsidRPr="00652ED2" w:rsidRDefault="005E7DEA" w:rsidP="000C7DD9">
      <w:pPr>
        <w:spacing w:after="0"/>
        <w:rPr>
          <w:b/>
          <w:sz w:val="22"/>
          <w:szCs w:val="22"/>
        </w:rPr>
      </w:pPr>
      <w:r>
        <w:rPr>
          <w:b/>
          <w:sz w:val="22"/>
          <w:szCs w:val="22"/>
        </w:rPr>
        <w:t>Neznáme (častosť nie je možné odhadnúť z dostupných údajov):</w:t>
      </w:r>
    </w:p>
    <w:p w:rsidR="000C7DD9" w:rsidRPr="00652ED2" w:rsidRDefault="005E7DEA" w:rsidP="00194B27">
      <w:pPr>
        <w:pStyle w:val="Odsekzoznamu"/>
        <w:numPr>
          <w:ilvl w:val="0"/>
          <w:numId w:val="27"/>
        </w:numPr>
        <w:spacing w:after="0"/>
        <w:rPr>
          <w:sz w:val="22"/>
          <w:szCs w:val="22"/>
        </w:rPr>
      </w:pPr>
      <w:r>
        <w:rPr>
          <w:sz w:val="22"/>
          <w:szCs w:val="22"/>
        </w:rPr>
        <w:t>poškodenie sluchu.</w:t>
      </w:r>
    </w:p>
    <w:p w:rsidR="000C7DD9" w:rsidRPr="00652ED2" w:rsidRDefault="000C7DD9" w:rsidP="00005545">
      <w:pPr>
        <w:spacing w:after="0"/>
        <w:jc w:val="left"/>
        <w:rPr>
          <w:sz w:val="22"/>
          <w:szCs w:val="22"/>
        </w:rPr>
      </w:pPr>
    </w:p>
    <w:p w:rsidR="00F55550" w:rsidRPr="00652ED2" w:rsidRDefault="005E7DEA" w:rsidP="00005545">
      <w:pPr>
        <w:spacing w:after="0"/>
        <w:jc w:val="left"/>
        <w:rPr>
          <w:sz w:val="22"/>
          <w:szCs w:val="22"/>
        </w:rPr>
      </w:pPr>
      <w:r>
        <w:rPr>
          <w:sz w:val="22"/>
          <w:szCs w:val="22"/>
        </w:rPr>
        <w:t>Lieky ako je tento, môžu byť spojené s miernym zvýšením rizika srdcového záchvatu („infarkt myokardu“) alebo náhlej cievnej mozgovej príhody.</w:t>
      </w:r>
    </w:p>
    <w:p w:rsidR="00F55550" w:rsidRPr="00652ED2" w:rsidRDefault="00F55550" w:rsidP="00005545">
      <w:pPr>
        <w:spacing w:after="0"/>
        <w:jc w:val="left"/>
        <w:rPr>
          <w:sz w:val="22"/>
          <w:szCs w:val="22"/>
        </w:rPr>
      </w:pPr>
    </w:p>
    <w:p w:rsidR="00EF5A19" w:rsidRPr="00652ED2" w:rsidRDefault="005E7DEA" w:rsidP="00EF5A19">
      <w:pPr>
        <w:pStyle w:val="Styl1"/>
        <w:spacing w:before="0"/>
        <w:jc w:val="left"/>
        <w:rPr>
          <w:lang w:val="sk-SK"/>
        </w:rPr>
      </w:pPr>
      <w:r>
        <w:rPr>
          <w:b/>
          <w:bCs/>
          <w:noProof/>
          <w:lang w:val="sk-SK"/>
        </w:rPr>
        <w:t>Hlásenie vedľajších účinkov</w:t>
      </w:r>
    </w:p>
    <w:p w:rsidR="00984216" w:rsidRPr="00652ED2" w:rsidRDefault="005E7DEA" w:rsidP="00391BD0">
      <w:pPr>
        <w:pStyle w:val="Styl1"/>
        <w:spacing w:before="0"/>
        <w:jc w:val="left"/>
        <w:rPr>
          <w:b/>
          <w:bCs/>
          <w:spacing w:val="-1"/>
          <w:lang w:val="sk-SK"/>
        </w:rPr>
      </w:pPr>
      <w:r>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highlight w:val="lightGray"/>
          <w:lang w:val="sk-SK"/>
        </w:rPr>
        <w:t>národné centrum hlásenia uvedené v </w:t>
      </w:r>
      <w:hyperlink r:id="rId9" w:history="1">
        <w:r>
          <w:rPr>
            <w:rStyle w:val="Hypertextovprepojenie"/>
            <w:highlight w:val="lightGray"/>
            <w:lang w:val="sk-SK"/>
          </w:rPr>
          <w:t>Prílohe V</w:t>
        </w:r>
      </w:hyperlink>
      <w:r w:rsidR="00EF5A19" w:rsidRPr="00652ED2">
        <w:rPr>
          <w:lang w:val="sk-SK"/>
        </w:rPr>
        <w:t>. Hlásením vedľajších účinkov môžete prispieť k získaniu ďalších informáci</w:t>
      </w:r>
      <w:r w:rsidRPr="005E7DEA">
        <w:rPr>
          <w:lang w:val="sk-SK"/>
        </w:rPr>
        <w:t>í o bezpečnosti tohto lieku.</w:t>
      </w:r>
    </w:p>
    <w:p w:rsidR="00467218" w:rsidRPr="00652ED2" w:rsidRDefault="00467218" w:rsidP="00005545">
      <w:pPr>
        <w:spacing w:after="0"/>
        <w:jc w:val="left"/>
        <w:rPr>
          <w:sz w:val="22"/>
          <w:szCs w:val="22"/>
        </w:rPr>
      </w:pPr>
    </w:p>
    <w:p w:rsidR="008A4E8B" w:rsidRPr="00652ED2" w:rsidRDefault="008A4E8B" w:rsidP="008A4E8B">
      <w:pPr>
        <w:rPr>
          <w:sz w:val="22"/>
          <w:szCs w:val="22"/>
        </w:rPr>
      </w:pPr>
    </w:p>
    <w:p w:rsidR="008A4E8B" w:rsidRPr="00652ED2" w:rsidRDefault="008A4E8B" w:rsidP="008A4E8B">
      <w:pPr>
        <w:spacing w:after="0"/>
        <w:jc w:val="left"/>
        <w:rPr>
          <w:b/>
          <w:sz w:val="22"/>
          <w:szCs w:val="22"/>
        </w:rPr>
      </w:pPr>
      <w:r w:rsidRPr="00652ED2">
        <w:rPr>
          <w:b/>
          <w:bCs/>
          <w:noProof/>
          <w:sz w:val="22"/>
          <w:szCs w:val="22"/>
        </w:rPr>
        <w:t>5.</w:t>
      </w:r>
      <w:r w:rsidRPr="00652ED2">
        <w:rPr>
          <w:b/>
          <w:bCs/>
          <w:noProof/>
          <w:sz w:val="22"/>
          <w:szCs w:val="22"/>
        </w:rPr>
        <w:tab/>
        <w:t xml:space="preserve">Ako uchovávať </w:t>
      </w:r>
      <w:r w:rsidRPr="00652ED2">
        <w:rPr>
          <w:b/>
          <w:noProof/>
          <w:sz w:val="22"/>
          <w:szCs w:val="22"/>
        </w:rPr>
        <w:t>I</w:t>
      </w:r>
      <w:r w:rsidR="000B6957" w:rsidRPr="00652ED2">
        <w:rPr>
          <w:b/>
          <w:noProof/>
          <w:sz w:val="22"/>
          <w:szCs w:val="22"/>
        </w:rPr>
        <w:t>balgin</w:t>
      </w:r>
      <w:r w:rsidR="005E7DEA" w:rsidRPr="005E7DEA">
        <w:rPr>
          <w:b/>
          <w:noProof/>
          <w:sz w:val="22"/>
          <w:szCs w:val="22"/>
        </w:rPr>
        <w:t xml:space="preserve"> Junior</w:t>
      </w:r>
    </w:p>
    <w:p w:rsidR="008F0410" w:rsidRPr="00652ED2" w:rsidRDefault="008F0410" w:rsidP="00005545">
      <w:pPr>
        <w:spacing w:after="0"/>
        <w:jc w:val="left"/>
        <w:rPr>
          <w:sz w:val="22"/>
          <w:szCs w:val="22"/>
        </w:rPr>
      </w:pPr>
    </w:p>
    <w:p w:rsidR="00467218" w:rsidRPr="00652ED2" w:rsidRDefault="005E7DEA" w:rsidP="008A4E8B">
      <w:pPr>
        <w:numPr>
          <w:ilvl w:val="12"/>
          <w:numId w:val="0"/>
        </w:numPr>
        <w:spacing w:after="0"/>
        <w:ind w:right="-2"/>
        <w:rPr>
          <w:sz w:val="22"/>
          <w:szCs w:val="22"/>
        </w:rPr>
      </w:pPr>
      <w:r w:rsidRPr="005E7DEA">
        <w:rPr>
          <w:noProof/>
          <w:sz w:val="22"/>
          <w:szCs w:val="22"/>
        </w:rPr>
        <w:t>Tento liek uchovávajte mimo dohľadu a dosahu detí.</w:t>
      </w:r>
    </w:p>
    <w:p w:rsidR="009116A9" w:rsidRPr="00652ED2" w:rsidRDefault="009116A9" w:rsidP="008A4E8B">
      <w:pPr>
        <w:spacing w:after="0"/>
        <w:jc w:val="left"/>
        <w:rPr>
          <w:sz w:val="22"/>
          <w:szCs w:val="22"/>
        </w:rPr>
      </w:pPr>
    </w:p>
    <w:p w:rsidR="00E240DE" w:rsidRPr="00652ED2" w:rsidRDefault="005E7DEA" w:rsidP="00E240DE">
      <w:pPr>
        <w:spacing w:after="0"/>
        <w:jc w:val="left"/>
        <w:rPr>
          <w:sz w:val="22"/>
          <w:szCs w:val="22"/>
        </w:rPr>
      </w:pPr>
      <w:r w:rsidRPr="005E7DEA">
        <w:rPr>
          <w:sz w:val="22"/>
          <w:szCs w:val="22"/>
        </w:rPr>
        <w:t>Nepoužívajte tento liek po dátume exspirácie, ktorý je uvedený na označení obalu a etikety po „EXP“. Dátum exspirácie sa vzťahuje na posledný deň v danom mesiaci.</w:t>
      </w:r>
    </w:p>
    <w:p w:rsidR="00E240DE" w:rsidRPr="00652ED2" w:rsidRDefault="00E240DE" w:rsidP="0049067A">
      <w:pPr>
        <w:spacing w:after="0"/>
        <w:jc w:val="left"/>
        <w:rPr>
          <w:sz w:val="22"/>
          <w:szCs w:val="22"/>
        </w:rPr>
      </w:pPr>
    </w:p>
    <w:p w:rsidR="0049067A" w:rsidRPr="00652ED2" w:rsidRDefault="005E7DEA" w:rsidP="0049067A">
      <w:pPr>
        <w:spacing w:after="0"/>
        <w:jc w:val="left"/>
        <w:rPr>
          <w:sz w:val="22"/>
          <w:szCs w:val="22"/>
        </w:rPr>
      </w:pPr>
      <w:r w:rsidRPr="005E7DEA">
        <w:rPr>
          <w:sz w:val="22"/>
          <w:szCs w:val="22"/>
        </w:rPr>
        <w:t xml:space="preserve">Tento liek nevyžaduje žiadne zvláštne podmienky na uchovávanie. </w:t>
      </w:r>
    </w:p>
    <w:p w:rsidR="00984216" w:rsidRPr="00652ED2" w:rsidRDefault="005E7DEA" w:rsidP="0049067A">
      <w:pPr>
        <w:spacing w:after="0"/>
        <w:jc w:val="left"/>
        <w:rPr>
          <w:sz w:val="22"/>
          <w:szCs w:val="22"/>
        </w:rPr>
      </w:pPr>
      <w:r w:rsidRPr="005E7DEA">
        <w:rPr>
          <w:sz w:val="22"/>
          <w:szCs w:val="22"/>
        </w:rPr>
        <w:t>Spotrebujte do 6 mesiacov po prvom otvorení a uchovávajte do 25 °C.</w:t>
      </w:r>
    </w:p>
    <w:p w:rsidR="009116A9" w:rsidRPr="00652ED2" w:rsidRDefault="009116A9" w:rsidP="00005545">
      <w:pPr>
        <w:spacing w:after="0"/>
        <w:jc w:val="left"/>
        <w:rPr>
          <w:sz w:val="22"/>
          <w:szCs w:val="22"/>
        </w:rPr>
      </w:pPr>
    </w:p>
    <w:p w:rsidR="00467218" w:rsidRPr="00652ED2" w:rsidRDefault="005E7DEA" w:rsidP="00005545">
      <w:pPr>
        <w:spacing w:after="0"/>
        <w:jc w:val="left"/>
        <w:rPr>
          <w:sz w:val="22"/>
          <w:szCs w:val="22"/>
        </w:rPr>
      </w:pPr>
      <w:r w:rsidRPr="005E7DEA">
        <w:rPr>
          <w:noProof/>
          <w:sz w:val="22"/>
          <w:szCs w:val="22"/>
        </w:rPr>
        <w:t>Nelikvidujte lieky odpadovou vodou alebo domovým odpadom. Nepoužitý liek vráťte do lekárne. Tieto opatrenia pomôžu chrániť životné prostredie.</w:t>
      </w:r>
    </w:p>
    <w:p w:rsidR="00E240DE" w:rsidRPr="00652ED2" w:rsidRDefault="00E240DE" w:rsidP="00005545">
      <w:pPr>
        <w:spacing w:after="0"/>
        <w:jc w:val="left"/>
        <w:rPr>
          <w:sz w:val="22"/>
          <w:szCs w:val="22"/>
        </w:rPr>
      </w:pPr>
    </w:p>
    <w:p w:rsidR="0049067A" w:rsidRPr="00652ED2" w:rsidRDefault="0049067A" w:rsidP="0049067A">
      <w:pPr>
        <w:numPr>
          <w:ilvl w:val="12"/>
          <w:numId w:val="0"/>
        </w:numPr>
        <w:ind w:right="-2"/>
        <w:rPr>
          <w:noProof/>
          <w:sz w:val="22"/>
          <w:szCs w:val="22"/>
        </w:rPr>
      </w:pPr>
    </w:p>
    <w:p w:rsidR="0049067A" w:rsidRPr="00652ED2" w:rsidRDefault="005E7DEA" w:rsidP="0049067A">
      <w:pPr>
        <w:numPr>
          <w:ilvl w:val="12"/>
          <w:numId w:val="0"/>
        </w:numPr>
        <w:ind w:right="-2"/>
        <w:rPr>
          <w:b/>
          <w:bCs/>
          <w:noProof/>
          <w:sz w:val="22"/>
          <w:szCs w:val="22"/>
        </w:rPr>
      </w:pPr>
      <w:r w:rsidRPr="005E7DEA">
        <w:rPr>
          <w:b/>
          <w:bCs/>
          <w:noProof/>
          <w:sz w:val="22"/>
          <w:szCs w:val="22"/>
        </w:rPr>
        <w:t>6.</w:t>
      </w:r>
      <w:r w:rsidRPr="005E7DEA">
        <w:rPr>
          <w:b/>
          <w:bCs/>
          <w:noProof/>
          <w:sz w:val="22"/>
          <w:szCs w:val="22"/>
        </w:rPr>
        <w:tab/>
        <w:t>Obsah balenia a ďalšie informácie</w:t>
      </w:r>
    </w:p>
    <w:p w:rsidR="00467218" w:rsidRPr="00652ED2" w:rsidRDefault="00467218" w:rsidP="00005545">
      <w:pPr>
        <w:spacing w:after="0"/>
        <w:jc w:val="left"/>
        <w:rPr>
          <w:sz w:val="22"/>
          <w:szCs w:val="22"/>
        </w:rPr>
      </w:pPr>
    </w:p>
    <w:p w:rsidR="009116A9" w:rsidRPr="00652ED2" w:rsidRDefault="005E7DEA" w:rsidP="00005545">
      <w:pPr>
        <w:spacing w:after="0"/>
        <w:jc w:val="left"/>
        <w:rPr>
          <w:b/>
          <w:sz w:val="22"/>
          <w:szCs w:val="22"/>
        </w:rPr>
      </w:pPr>
      <w:r w:rsidRPr="005E7DEA">
        <w:rPr>
          <w:b/>
          <w:sz w:val="22"/>
          <w:szCs w:val="22"/>
        </w:rPr>
        <w:t xml:space="preserve">Čo </w:t>
      </w:r>
      <w:r w:rsidRPr="005E7DEA">
        <w:rPr>
          <w:b/>
          <w:noProof/>
          <w:sz w:val="22"/>
          <w:szCs w:val="22"/>
        </w:rPr>
        <w:t>Ibalgin Junior</w:t>
      </w:r>
      <w:r w:rsidRPr="005E7DEA">
        <w:rPr>
          <w:sz w:val="22"/>
          <w:szCs w:val="22"/>
        </w:rPr>
        <w:t xml:space="preserve"> </w:t>
      </w:r>
      <w:r w:rsidRPr="005E7DEA">
        <w:rPr>
          <w:b/>
          <w:sz w:val="22"/>
          <w:szCs w:val="22"/>
        </w:rPr>
        <w:t>obsahuje</w:t>
      </w:r>
    </w:p>
    <w:p w:rsidR="00467218" w:rsidRPr="00652ED2" w:rsidRDefault="00467218" w:rsidP="00005545">
      <w:pPr>
        <w:spacing w:after="0"/>
        <w:jc w:val="left"/>
        <w:rPr>
          <w:b/>
          <w:sz w:val="22"/>
          <w:szCs w:val="22"/>
        </w:rPr>
      </w:pPr>
    </w:p>
    <w:p w:rsidR="009116A9" w:rsidRPr="00652ED2" w:rsidRDefault="005E7DEA" w:rsidP="0049067A">
      <w:pPr>
        <w:pStyle w:val="Odsekzoznamu"/>
        <w:numPr>
          <w:ilvl w:val="0"/>
          <w:numId w:val="9"/>
        </w:numPr>
        <w:spacing w:after="0"/>
        <w:jc w:val="left"/>
        <w:rPr>
          <w:sz w:val="22"/>
          <w:szCs w:val="22"/>
        </w:rPr>
      </w:pPr>
      <w:r w:rsidRPr="005E7DEA">
        <w:rPr>
          <w:sz w:val="22"/>
          <w:szCs w:val="22"/>
        </w:rPr>
        <w:t xml:space="preserve">Liečivo je </w:t>
      </w:r>
      <w:r w:rsidR="00D25971" w:rsidRPr="005E7DEA">
        <w:rPr>
          <w:sz w:val="22"/>
          <w:szCs w:val="22"/>
        </w:rPr>
        <w:t>ibuprofén</w:t>
      </w:r>
      <w:r w:rsidRPr="005E7DEA">
        <w:rPr>
          <w:sz w:val="22"/>
          <w:szCs w:val="22"/>
        </w:rPr>
        <w:t>. Každý 1</w:t>
      </w:r>
      <w:r w:rsidR="00D25971">
        <w:rPr>
          <w:sz w:val="22"/>
          <w:szCs w:val="22"/>
        </w:rPr>
        <w:t xml:space="preserve"> </w:t>
      </w:r>
      <w:r w:rsidRPr="005E7DEA">
        <w:rPr>
          <w:sz w:val="22"/>
          <w:szCs w:val="22"/>
        </w:rPr>
        <w:t xml:space="preserve">ml perorálnej suspenzie obsahuje 40 mg </w:t>
      </w:r>
      <w:r w:rsidR="00D25971" w:rsidRPr="005E7DEA">
        <w:rPr>
          <w:sz w:val="22"/>
          <w:szCs w:val="22"/>
        </w:rPr>
        <w:t>ibuprofénu</w:t>
      </w:r>
      <w:r w:rsidRPr="005E7DEA">
        <w:rPr>
          <w:sz w:val="22"/>
          <w:szCs w:val="22"/>
        </w:rPr>
        <w:t xml:space="preserve">. </w:t>
      </w:r>
    </w:p>
    <w:p w:rsidR="00056FC7" w:rsidRPr="00652ED2" w:rsidRDefault="005E7DEA" w:rsidP="0049067A">
      <w:pPr>
        <w:pStyle w:val="Odsekzoznamu"/>
        <w:numPr>
          <w:ilvl w:val="0"/>
          <w:numId w:val="9"/>
        </w:numPr>
        <w:spacing w:after="0"/>
        <w:jc w:val="left"/>
        <w:rPr>
          <w:sz w:val="22"/>
          <w:szCs w:val="22"/>
        </w:rPr>
      </w:pPr>
      <w:r w:rsidRPr="005E7DEA">
        <w:rPr>
          <w:sz w:val="22"/>
          <w:szCs w:val="22"/>
        </w:rPr>
        <w:t>Ďalšie zložky sú: tekutý sorbitol (nekryštalizujúci), mikrokryštalická celulóza a sodná soľ karmelózy, sodná soľ karmelózy, monohydrát kyseliny citrónovej, benzoan sodný, chlorid sodný, malinová príchuť, čerešňová príchuť, taumatín E-597, sukralóza, dihydrát sodnej soli sacharínu, polysorbát 60, ružový extrakt antokyanínu E-163, čistená voda.</w:t>
      </w:r>
    </w:p>
    <w:p w:rsidR="00467218" w:rsidRPr="00652ED2" w:rsidRDefault="00467218" w:rsidP="00005545">
      <w:pPr>
        <w:spacing w:after="0"/>
        <w:jc w:val="left"/>
        <w:rPr>
          <w:sz w:val="22"/>
          <w:szCs w:val="22"/>
        </w:rPr>
      </w:pPr>
    </w:p>
    <w:p w:rsidR="00467218" w:rsidRPr="00652ED2" w:rsidRDefault="005E7DEA" w:rsidP="00005545">
      <w:pPr>
        <w:spacing w:after="0"/>
        <w:jc w:val="left"/>
        <w:rPr>
          <w:b/>
          <w:sz w:val="22"/>
          <w:szCs w:val="22"/>
        </w:rPr>
      </w:pPr>
      <w:r w:rsidRPr="005E7DEA">
        <w:rPr>
          <w:b/>
          <w:noProof/>
          <w:sz w:val="22"/>
          <w:szCs w:val="22"/>
        </w:rPr>
        <w:t>Ako vyzerá Ibalgin Junior</w:t>
      </w:r>
      <w:r w:rsidRPr="005E7DEA">
        <w:rPr>
          <w:sz w:val="22"/>
          <w:szCs w:val="22"/>
        </w:rPr>
        <w:t xml:space="preserve"> </w:t>
      </w:r>
      <w:r w:rsidRPr="005E7DEA">
        <w:rPr>
          <w:b/>
          <w:noProof/>
          <w:sz w:val="22"/>
          <w:szCs w:val="22"/>
        </w:rPr>
        <w:t>a obsah balenia</w:t>
      </w:r>
    </w:p>
    <w:p w:rsidR="009701BB" w:rsidRPr="00652ED2" w:rsidRDefault="009701BB" w:rsidP="00005545">
      <w:pPr>
        <w:spacing w:after="0"/>
        <w:jc w:val="left"/>
        <w:rPr>
          <w:b/>
          <w:sz w:val="22"/>
          <w:szCs w:val="22"/>
        </w:rPr>
      </w:pPr>
    </w:p>
    <w:p w:rsidR="008F0410" w:rsidRPr="00652ED2" w:rsidRDefault="005E7DEA" w:rsidP="00005545">
      <w:pPr>
        <w:spacing w:after="0"/>
        <w:jc w:val="left"/>
        <w:rPr>
          <w:sz w:val="22"/>
          <w:szCs w:val="22"/>
        </w:rPr>
      </w:pPr>
      <w:r w:rsidRPr="005E7DEA">
        <w:rPr>
          <w:sz w:val="22"/>
          <w:szCs w:val="22"/>
        </w:rPr>
        <w:t xml:space="preserve">Ibalgin Junior je ružová viskózna suspenzia s príchuťou malín a čerešní. </w:t>
      </w:r>
    </w:p>
    <w:p w:rsidR="008B22AB" w:rsidRPr="00652ED2" w:rsidRDefault="008B22AB" w:rsidP="00005545">
      <w:pPr>
        <w:spacing w:after="0"/>
        <w:jc w:val="left"/>
        <w:rPr>
          <w:sz w:val="22"/>
          <w:szCs w:val="22"/>
        </w:rPr>
      </w:pPr>
    </w:p>
    <w:p w:rsidR="00736300" w:rsidRPr="00652ED2" w:rsidRDefault="005E7DEA" w:rsidP="00736300">
      <w:pPr>
        <w:spacing w:after="0"/>
        <w:jc w:val="left"/>
        <w:rPr>
          <w:sz w:val="22"/>
          <w:szCs w:val="22"/>
        </w:rPr>
      </w:pPr>
      <w:r w:rsidRPr="005E7DEA">
        <w:rPr>
          <w:sz w:val="22"/>
          <w:szCs w:val="22"/>
        </w:rPr>
        <w:t>Druh obalu: fľaška z tmavého skla (hydrolytická trieda III) s plastovou vložkou s bielym skrutkovacím bezpečnostným uzáverom z polypropylénu.</w:t>
      </w:r>
    </w:p>
    <w:p w:rsidR="00467218" w:rsidRPr="00652ED2" w:rsidRDefault="005E7DEA" w:rsidP="00005545">
      <w:pPr>
        <w:spacing w:after="0"/>
        <w:jc w:val="left"/>
        <w:rPr>
          <w:sz w:val="22"/>
          <w:szCs w:val="22"/>
        </w:rPr>
      </w:pPr>
      <w:r w:rsidRPr="005E7DEA">
        <w:rPr>
          <w:sz w:val="22"/>
          <w:szCs w:val="22"/>
        </w:rPr>
        <w:t>Balenie obsahuje dávkovaciu pipetu (6 ml) s vyznačenými dávkami.</w:t>
      </w:r>
    </w:p>
    <w:p w:rsidR="00F826B5" w:rsidRPr="00652ED2" w:rsidRDefault="00F826B5" w:rsidP="00202E1C">
      <w:pPr>
        <w:spacing w:after="0"/>
        <w:jc w:val="left"/>
        <w:rPr>
          <w:sz w:val="22"/>
          <w:szCs w:val="22"/>
        </w:rPr>
      </w:pPr>
    </w:p>
    <w:p w:rsidR="00202E1C" w:rsidRPr="00652ED2" w:rsidRDefault="005E7DEA" w:rsidP="00202E1C">
      <w:pPr>
        <w:spacing w:after="0"/>
        <w:jc w:val="left"/>
        <w:rPr>
          <w:sz w:val="22"/>
          <w:szCs w:val="22"/>
        </w:rPr>
      </w:pPr>
      <w:r w:rsidRPr="005E7DEA">
        <w:rPr>
          <w:sz w:val="22"/>
          <w:szCs w:val="22"/>
        </w:rPr>
        <w:t>Veľkosť balenia: 1 × 100 ml (1 fľaška obsahuje 100 ml suspenzie).</w:t>
      </w:r>
    </w:p>
    <w:p w:rsidR="00467218" w:rsidRPr="00652ED2" w:rsidRDefault="00467218" w:rsidP="00005545">
      <w:pPr>
        <w:spacing w:after="0"/>
        <w:jc w:val="left"/>
        <w:rPr>
          <w:sz w:val="22"/>
          <w:szCs w:val="22"/>
        </w:rPr>
      </w:pPr>
    </w:p>
    <w:p w:rsidR="004B5D2B" w:rsidRPr="00652ED2" w:rsidRDefault="005E7DEA" w:rsidP="004B5D2B">
      <w:pPr>
        <w:numPr>
          <w:ilvl w:val="12"/>
          <w:numId w:val="0"/>
        </w:numPr>
        <w:spacing w:after="0"/>
        <w:ind w:right="-2"/>
        <w:rPr>
          <w:b/>
          <w:noProof/>
          <w:sz w:val="22"/>
          <w:szCs w:val="22"/>
        </w:rPr>
      </w:pPr>
      <w:r w:rsidRPr="005E7DEA">
        <w:rPr>
          <w:b/>
          <w:noProof/>
          <w:sz w:val="22"/>
          <w:szCs w:val="22"/>
        </w:rPr>
        <w:lastRenderedPageBreak/>
        <w:t xml:space="preserve">Držiteľ rozhodnutia o registrácii </w:t>
      </w:r>
      <w:bookmarkStart w:id="0" w:name="_GoBack"/>
      <w:bookmarkEnd w:id="0"/>
    </w:p>
    <w:p w:rsidR="008455CF" w:rsidRPr="00652ED2" w:rsidRDefault="005E7DEA" w:rsidP="004B5D2B">
      <w:pPr>
        <w:spacing w:after="0"/>
        <w:jc w:val="left"/>
        <w:rPr>
          <w:sz w:val="22"/>
          <w:szCs w:val="22"/>
        </w:rPr>
      </w:pPr>
      <w:r w:rsidRPr="005E7DEA">
        <w:rPr>
          <w:sz w:val="22"/>
          <w:szCs w:val="22"/>
          <w:lang w:eastAsia="cs-CZ"/>
        </w:rPr>
        <w:t>sanofi-aventis Slovakia s.r.o., Einsteinova 24, 851 01 Bratislava, Slovenská republika</w:t>
      </w:r>
    </w:p>
    <w:p w:rsidR="00D25971" w:rsidRDefault="00D25971" w:rsidP="008D50E7">
      <w:pPr>
        <w:numPr>
          <w:ilvl w:val="12"/>
          <w:numId w:val="0"/>
        </w:numPr>
        <w:ind w:right="-2"/>
        <w:rPr>
          <w:b/>
          <w:noProof/>
          <w:sz w:val="22"/>
          <w:szCs w:val="22"/>
        </w:rPr>
      </w:pPr>
    </w:p>
    <w:p w:rsidR="008D50E7" w:rsidRPr="00652ED2" w:rsidRDefault="005E7DEA" w:rsidP="008D50E7">
      <w:pPr>
        <w:numPr>
          <w:ilvl w:val="12"/>
          <w:numId w:val="0"/>
        </w:numPr>
        <w:ind w:right="-2"/>
        <w:rPr>
          <w:b/>
          <w:noProof/>
          <w:sz w:val="22"/>
          <w:szCs w:val="22"/>
        </w:rPr>
      </w:pPr>
      <w:r w:rsidRPr="005E7DEA">
        <w:rPr>
          <w:b/>
          <w:noProof/>
          <w:sz w:val="22"/>
          <w:szCs w:val="22"/>
        </w:rPr>
        <w:t>Výrobcovia :</w:t>
      </w:r>
    </w:p>
    <w:p w:rsidR="008D50E7" w:rsidRPr="00652ED2" w:rsidRDefault="005E7DEA" w:rsidP="008D50E7">
      <w:pPr>
        <w:numPr>
          <w:ilvl w:val="12"/>
          <w:numId w:val="0"/>
        </w:numPr>
        <w:ind w:right="-2"/>
        <w:rPr>
          <w:noProof/>
          <w:sz w:val="22"/>
          <w:szCs w:val="22"/>
        </w:rPr>
      </w:pPr>
      <w:r w:rsidRPr="005E7DEA">
        <w:rPr>
          <w:noProof/>
          <w:sz w:val="22"/>
          <w:szCs w:val="22"/>
        </w:rPr>
        <w:t>Zentiva, k. s., U Kabelovny 130, 102 37 Praha 10, Česká republika</w:t>
      </w:r>
    </w:p>
    <w:p w:rsidR="008D50E7" w:rsidRPr="00652ED2" w:rsidRDefault="005E7DEA" w:rsidP="008D50E7">
      <w:pPr>
        <w:numPr>
          <w:ilvl w:val="12"/>
          <w:numId w:val="0"/>
        </w:numPr>
        <w:ind w:right="-2"/>
        <w:rPr>
          <w:noProof/>
          <w:sz w:val="22"/>
          <w:szCs w:val="22"/>
        </w:rPr>
      </w:pPr>
      <w:r w:rsidRPr="005E7DEA">
        <w:rPr>
          <w:noProof/>
          <w:sz w:val="22"/>
          <w:szCs w:val="22"/>
          <w:highlight w:val="lightGray"/>
        </w:rPr>
        <w:t>A. Nattermann &amp; Cie. GmbH, Nattermannallee 1, 50829 Köln, Nemecko</w:t>
      </w:r>
    </w:p>
    <w:p w:rsidR="00467218" w:rsidRPr="00652ED2" w:rsidRDefault="00467218" w:rsidP="00005545">
      <w:pPr>
        <w:spacing w:after="0"/>
        <w:jc w:val="left"/>
        <w:rPr>
          <w:sz w:val="22"/>
          <w:szCs w:val="22"/>
        </w:rPr>
      </w:pPr>
    </w:p>
    <w:p w:rsidR="004B5D2B" w:rsidRPr="00652ED2" w:rsidRDefault="005E7DEA" w:rsidP="004B5D2B">
      <w:pPr>
        <w:spacing w:after="0"/>
        <w:rPr>
          <w:b/>
          <w:bCs/>
          <w:color w:val="000000"/>
          <w:sz w:val="22"/>
          <w:szCs w:val="22"/>
        </w:rPr>
      </w:pPr>
      <w:r w:rsidRPr="005E7DEA">
        <w:rPr>
          <w:b/>
          <w:bCs/>
          <w:color w:val="000000"/>
          <w:sz w:val="22"/>
          <w:szCs w:val="22"/>
        </w:rPr>
        <w:t xml:space="preserve">Liek je schválený v členských štátoch Európskeho hospodárskeho priestoru (EHP) pod </w:t>
      </w:r>
    </w:p>
    <w:p w:rsidR="00467218" w:rsidRPr="00652ED2" w:rsidRDefault="005E7DEA" w:rsidP="004B5D2B">
      <w:pPr>
        <w:spacing w:after="0"/>
        <w:jc w:val="left"/>
        <w:rPr>
          <w:b/>
          <w:sz w:val="22"/>
          <w:szCs w:val="22"/>
        </w:rPr>
      </w:pPr>
      <w:r w:rsidRPr="005E7DEA">
        <w:rPr>
          <w:b/>
          <w:bCs/>
          <w:color w:val="000000"/>
          <w:sz w:val="22"/>
          <w:szCs w:val="22"/>
        </w:rPr>
        <w:t>nasledovnými názvami:</w:t>
      </w:r>
    </w:p>
    <w:p w:rsidR="00056FC7" w:rsidRPr="00652ED2" w:rsidRDefault="00056FC7" w:rsidP="00005545">
      <w:pPr>
        <w:spacing w:after="0"/>
        <w:jc w:val="left"/>
        <w:rPr>
          <w:sz w:val="22"/>
          <w:szCs w:val="22"/>
        </w:rPr>
      </w:pPr>
    </w:p>
    <w:tbl>
      <w:tblPr>
        <w:tblStyle w:val="Mriekatabuky"/>
        <w:tblW w:w="9288" w:type="dxa"/>
        <w:tblLook w:val="04A0"/>
      </w:tblPr>
      <w:tblGrid>
        <w:gridCol w:w="3369"/>
        <w:gridCol w:w="5919"/>
      </w:tblGrid>
      <w:tr w:rsidR="00E07FD7" w:rsidRPr="00652ED2" w:rsidTr="00E07FD7">
        <w:tc>
          <w:tcPr>
            <w:tcW w:w="3369" w:type="dxa"/>
            <w:vAlign w:val="center"/>
          </w:tcPr>
          <w:p w:rsidR="00E07FD7" w:rsidRPr="00652ED2" w:rsidRDefault="005E7DEA" w:rsidP="00DF0BBB">
            <w:pPr>
              <w:rPr>
                <w:sz w:val="22"/>
                <w:szCs w:val="22"/>
              </w:rPr>
            </w:pPr>
            <w:r w:rsidRPr="005E7DEA">
              <w:rPr>
                <w:noProof/>
                <w:sz w:val="22"/>
                <w:szCs w:val="22"/>
              </w:rPr>
              <w:t>Česká republika</w:t>
            </w:r>
          </w:p>
        </w:tc>
        <w:tc>
          <w:tcPr>
            <w:tcW w:w="5919" w:type="dxa"/>
            <w:vAlign w:val="center"/>
          </w:tcPr>
          <w:p w:rsidR="00E07FD7" w:rsidRPr="00652ED2" w:rsidRDefault="005E7DEA" w:rsidP="00DF0BBB">
            <w:pPr>
              <w:rPr>
                <w:sz w:val="22"/>
                <w:szCs w:val="22"/>
              </w:rPr>
            </w:pPr>
            <w:r w:rsidRPr="005E7DEA">
              <w:rPr>
                <w:sz w:val="22"/>
                <w:szCs w:val="22"/>
              </w:rPr>
              <w:t>IBALGIN JUNIOR 40 mg/ml</w:t>
            </w:r>
          </w:p>
        </w:tc>
      </w:tr>
      <w:tr w:rsidR="00E07FD7" w:rsidRPr="00652ED2" w:rsidTr="00E07FD7">
        <w:tc>
          <w:tcPr>
            <w:tcW w:w="3369" w:type="dxa"/>
            <w:vAlign w:val="center"/>
          </w:tcPr>
          <w:p w:rsidR="00E07FD7" w:rsidRPr="00652ED2" w:rsidRDefault="004B5D2B" w:rsidP="00DF0BBB">
            <w:pPr>
              <w:rPr>
                <w:sz w:val="22"/>
                <w:szCs w:val="22"/>
              </w:rPr>
            </w:pPr>
            <w:r w:rsidRPr="00652ED2">
              <w:rPr>
                <w:noProof/>
                <w:sz w:val="22"/>
                <w:szCs w:val="22"/>
              </w:rPr>
              <w:t>Maďarsko</w:t>
            </w:r>
          </w:p>
        </w:tc>
        <w:tc>
          <w:tcPr>
            <w:tcW w:w="5919" w:type="dxa"/>
            <w:vAlign w:val="center"/>
          </w:tcPr>
          <w:p w:rsidR="00E07FD7" w:rsidRPr="00652ED2" w:rsidRDefault="005E7DEA" w:rsidP="00DF0BBB">
            <w:pPr>
              <w:rPr>
                <w:sz w:val="22"/>
                <w:szCs w:val="22"/>
              </w:rPr>
            </w:pPr>
            <w:r w:rsidRPr="005E7DEA">
              <w:rPr>
                <w:sz w:val="22"/>
                <w:szCs w:val="22"/>
              </w:rPr>
              <w:t>Algoflex Junior 40 mg/ml belsőleges szuszpenzió</w:t>
            </w:r>
          </w:p>
        </w:tc>
      </w:tr>
      <w:tr w:rsidR="00E07FD7" w:rsidRPr="00652ED2" w:rsidTr="00E07FD7">
        <w:tc>
          <w:tcPr>
            <w:tcW w:w="3369" w:type="dxa"/>
            <w:vAlign w:val="center"/>
          </w:tcPr>
          <w:p w:rsidR="00E07FD7" w:rsidRPr="00652ED2" w:rsidRDefault="004B5D2B" w:rsidP="00DF0BBB">
            <w:pPr>
              <w:rPr>
                <w:sz w:val="22"/>
                <w:szCs w:val="22"/>
              </w:rPr>
            </w:pPr>
            <w:r w:rsidRPr="00652ED2">
              <w:rPr>
                <w:noProof/>
                <w:sz w:val="22"/>
                <w:szCs w:val="22"/>
              </w:rPr>
              <w:t>Poľsko</w:t>
            </w:r>
          </w:p>
        </w:tc>
        <w:tc>
          <w:tcPr>
            <w:tcW w:w="5919" w:type="dxa"/>
            <w:vAlign w:val="center"/>
          </w:tcPr>
          <w:p w:rsidR="00E07FD7" w:rsidRPr="00652ED2" w:rsidRDefault="005E7DEA" w:rsidP="00DF0BBB">
            <w:pPr>
              <w:rPr>
                <w:sz w:val="22"/>
                <w:szCs w:val="22"/>
              </w:rPr>
            </w:pPr>
            <w:r w:rsidRPr="005E7DEA">
              <w:rPr>
                <w:sz w:val="22"/>
                <w:szCs w:val="22"/>
              </w:rPr>
              <w:t>MODAFEN JUNIOR</w:t>
            </w:r>
          </w:p>
        </w:tc>
      </w:tr>
      <w:tr w:rsidR="00E07FD7" w:rsidRPr="00652ED2" w:rsidTr="00E07FD7">
        <w:tc>
          <w:tcPr>
            <w:tcW w:w="3369" w:type="dxa"/>
            <w:vAlign w:val="center"/>
          </w:tcPr>
          <w:p w:rsidR="00E07FD7" w:rsidRPr="00652ED2" w:rsidRDefault="004B5D2B" w:rsidP="00DF0BBB">
            <w:pPr>
              <w:rPr>
                <w:sz w:val="22"/>
                <w:szCs w:val="22"/>
              </w:rPr>
            </w:pPr>
            <w:r w:rsidRPr="00652ED2">
              <w:rPr>
                <w:noProof/>
                <w:sz w:val="22"/>
                <w:szCs w:val="22"/>
              </w:rPr>
              <w:t>Rumunsko</w:t>
            </w:r>
          </w:p>
        </w:tc>
        <w:tc>
          <w:tcPr>
            <w:tcW w:w="5919" w:type="dxa"/>
            <w:vAlign w:val="center"/>
          </w:tcPr>
          <w:p w:rsidR="00E07FD7" w:rsidRPr="00652ED2" w:rsidRDefault="005E7DEA" w:rsidP="00DF0BBB">
            <w:pPr>
              <w:rPr>
                <w:sz w:val="22"/>
                <w:szCs w:val="22"/>
              </w:rPr>
            </w:pPr>
            <w:r w:rsidRPr="005E7DEA">
              <w:rPr>
                <w:sz w:val="22"/>
                <w:szCs w:val="22"/>
              </w:rPr>
              <w:t>IBALGIN JUNIOR 200 mg/5 ml suspensie orală</w:t>
            </w:r>
          </w:p>
        </w:tc>
      </w:tr>
      <w:tr w:rsidR="00F826B5" w:rsidRPr="00652ED2" w:rsidTr="00E07FD7">
        <w:tc>
          <w:tcPr>
            <w:tcW w:w="3369" w:type="dxa"/>
            <w:vAlign w:val="center"/>
          </w:tcPr>
          <w:p w:rsidR="00F826B5" w:rsidRPr="00652ED2" w:rsidRDefault="00F826B5" w:rsidP="00DF0BBB">
            <w:pPr>
              <w:rPr>
                <w:noProof/>
                <w:sz w:val="22"/>
                <w:szCs w:val="22"/>
              </w:rPr>
            </w:pPr>
            <w:r w:rsidRPr="00652ED2">
              <w:rPr>
                <w:noProof/>
                <w:sz w:val="22"/>
                <w:szCs w:val="22"/>
              </w:rPr>
              <w:t>Slovensko</w:t>
            </w:r>
          </w:p>
        </w:tc>
        <w:tc>
          <w:tcPr>
            <w:tcW w:w="5919" w:type="dxa"/>
            <w:vAlign w:val="center"/>
          </w:tcPr>
          <w:p w:rsidR="00F826B5" w:rsidRPr="00652ED2" w:rsidRDefault="005E7DEA" w:rsidP="00DF0BBB">
            <w:pPr>
              <w:rPr>
                <w:sz w:val="22"/>
                <w:szCs w:val="22"/>
              </w:rPr>
            </w:pPr>
            <w:r w:rsidRPr="005E7DEA">
              <w:rPr>
                <w:sz w:val="22"/>
                <w:szCs w:val="22"/>
              </w:rPr>
              <w:t>IBALGIN JUNIOR</w:t>
            </w:r>
          </w:p>
        </w:tc>
      </w:tr>
    </w:tbl>
    <w:p w:rsidR="00467218" w:rsidRPr="00652ED2" w:rsidRDefault="00467218" w:rsidP="00005545">
      <w:pPr>
        <w:spacing w:after="0"/>
        <w:jc w:val="left"/>
        <w:rPr>
          <w:sz w:val="22"/>
          <w:szCs w:val="22"/>
        </w:rPr>
      </w:pPr>
    </w:p>
    <w:p w:rsidR="00F826B5" w:rsidRPr="00652ED2" w:rsidRDefault="00F826B5" w:rsidP="00005545">
      <w:pPr>
        <w:spacing w:after="0"/>
        <w:jc w:val="left"/>
        <w:rPr>
          <w:sz w:val="22"/>
          <w:szCs w:val="22"/>
        </w:rPr>
      </w:pPr>
    </w:p>
    <w:p w:rsidR="00F826B5" w:rsidRPr="00652ED2" w:rsidRDefault="005E7DEA" w:rsidP="00005545">
      <w:pPr>
        <w:spacing w:after="0"/>
        <w:jc w:val="left"/>
        <w:rPr>
          <w:sz w:val="22"/>
          <w:szCs w:val="22"/>
        </w:rPr>
      </w:pPr>
      <w:r w:rsidRPr="005E7DEA">
        <w:rPr>
          <w:b/>
          <w:bCs/>
          <w:noProof/>
          <w:sz w:val="22"/>
          <w:szCs w:val="22"/>
        </w:rPr>
        <w:t>Táto písomná informácia bola naposledy aktualizovaná v  marci 2018.</w:t>
      </w:r>
    </w:p>
    <w:p w:rsidR="005700D7" w:rsidRPr="00652ED2" w:rsidRDefault="005E7DEA" w:rsidP="005700D7">
      <w:pPr>
        <w:spacing w:after="0"/>
        <w:jc w:val="left"/>
        <w:rPr>
          <w:sz w:val="22"/>
          <w:szCs w:val="22"/>
        </w:rPr>
      </w:pPr>
      <w:r w:rsidRPr="005E7DEA">
        <w:rPr>
          <w:sz w:val="22"/>
          <w:szCs w:val="22"/>
        </w:rPr>
        <w:t>Logo MAH</w:t>
      </w:r>
    </w:p>
    <w:sectPr w:rsidR="005700D7" w:rsidRPr="00652ED2" w:rsidSect="00D25971">
      <w:headerReference w:type="default" r:id="rId10"/>
      <w:footerReference w:type="default" r:id="rId11"/>
      <w:headerReference w:type="first" r:id="rId12"/>
      <w:footerReference w:type="first" r:id="rId13"/>
      <w:pgSz w:w="11900" w:h="16840" w:code="9"/>
      <w:pgMar w:top="1134" w:right="1418" w:bottom="1134" w:left="1418" w:header="737" w:footer="73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344" w:rsidRDefault="00565344" w:rsidP="00844E8E">
      <w:pPr>
        <w:spacing w:after="0"/>
      </w:pPr>
      <w:r>
        <w:separator/>
      </w:r>
    </w:p>
  </w:endnote>
  <w:endnote w:type="continuationSeparator" w:id="0">
    <w:p w:rsidR="00565344" w:rsidRDefault="00565344" w:rsidP="00844E8E">
      <w:pPr>
        <w:spacing w:after="0"/>
      </w:pPr>
      <w:r>
        <w:continuationSeparator/>
      </w:r>
    </w:p>
  </w:endnote>
  <w:endnote w:type="continuationNotice" w:id="1">
    <w:p w:rsidR="00565344" w:rsidRDefault="0056534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191341"/>
      <w:docPartObj>
        <w:docPartGallery w:val="Page Numbers (Bottom of Page)"/>
        <w:docPartUnique/>
      </w:docPartObj>
    </w:sdtPr>
    <w:sdtEndPr>
      <w:rPr>
        <w:sz w:val="18"/>
        <w:szCs w:val="18"/>
      </w:rPr>
    </w:sdtEndPr>
    <w:sdtContent>
      <w:p w:rsidR="00391BD0" w:rsidRPr="00391BD0" w:rsidRDefault="005E7DEA">
        <w:pPr>
          <w:pStyle w:val="Pta"/>
          <w:jc w:val="center"/>
          <w:rPr>
            <w:sz w:val="18"/>
            <w:szCs w:val="18"/>
          </w:rPr>
        </w:pPr>
        <w:r w:rsidRPr="00391BD0">
          <w:rPr>
            <w:sz w:val="18"/>
            <w:szCs w:val="18"/>
          </w:rPr>
          <w:fldChar w:fldCharType="begin"/>
        </w:r>
        <w:r w:rsidR="00391BD0" w:rsidRPr="00391BD0">
          <w:rPr>
            <w:sz w:val="18"/>
            <w:szCs w:val="18"/>
          </w:rPr>
          <w:instrText>PAGE   \* MERGEFORMAT</w:instrText>
        </w:r>
        <w:r w:rsidRPr="00391BD0">
          <w:rPr>
            <w:sz w:val="18"/>
            <w:szCs w:val="18"/>
          </w:rPr>
          <w:fldChar w:fldCharType="separate"/>
        </w:r>
        <w:r w:rsidR="00D25971">
          <w:rPr>
            <w:noProof/>
            <w:sz w:val="18"/>
            <w:szCs w:val="18"/>
          </w:rPr>
          <w:t>7</w:t>
        </w:r>
        <w:r w:rsidRPr="00391BD0">
          <w:rPr>
            <w:sz w:val="18"/>
            <w:szCs w:val="18"/>
          </w:rPr>
          <w:fldChar w:fldCharType="end"/>
        </w:r>
      </w:p>
    </w:sdtContent>
  </w:sdt>
  <w:p w:rsidR="005175E6" w:rsidRDefault="005175E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287781"/>
      <w:docPartObj>
        <w:docPartGallery w:val="Page Numbers (Bottom of Page)"/>
        <w:docPartUnique/>
      </w:docPartObj>
    </w:sdtPr>
    <w:sdtEndPr>
      <w:rPr>
        <w:sz w:val="22"/>
        <w:szCs w:val="22"/>
      </w:rPr>
    </w:sdtEndPr>
    <w:sdtContent>
      <w:p w:rsidR="005175E6" w:rsidRPr="005175E6" w:rsidRDefault="005E7DEA">
        <w:pPr>
          <w:pStyle w:val="Pta"/>
          <w:jc w:val="center"/>
          <w:rPr>
            <w:sz w:val="22"/>
            <w:szCs w:val="22"/>
          </w:rPr>
        </w:pPr>
        <w:r w:rsidRPr="005175E6">
          <w:rPr>
            <w:sz w:val="22"/>
            <w:szCs w:val="22"/>
          </w:rPr>
          <w:fldChar w:fldCharType="begin"/>
        </w:r>
        <w:r w:rsidR="005175E6" w:rsidRPr="005175E6">
          <w:rPr>
            <w:sz w:val="22"/>
            <w:szCs w:val="22"/>
          </w:rPr>
          <w:instrText>PAGE   \* MERGEFORMAT</w:instrText>
        </w:r>
        <w:r w:rsidRPr="005175E6">
          <w:rPr>
            <w:sz w:val="22"/>
            <w:szCs w:val="22"/>
          </w:rPr>
          <w:fldChar w:fldCharType="separate"/>
        </w:r>
        <w:r w:rsidR="00D25971">
          <w:rPr>
            <w:noProof/>
            <w:sz w:val="22"/>
            <w:szCs w:val="22"/>
          </w:rPr>
          <w:t>1</w:t>
        </w:r>
        <w:r w:rsidRPr="005175E6">
          <w:rPr>
            <w:sz w:val="22"/>
            <w:szCs w:val="22"/>
          </w:rPr>
          <w:fldChar w:fldCharType="end"/>
        </w:r>
      </w:p>
    </w:sdtContent>
  </w:sdt>
  <w:p w:rsidR="005175E6" w:rsidRDefault="005175E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344" w:rsidRDefault="00565344" w:rsidP="00844E8E">
      <w:pPr>
        <w:spacing w:after="0"/>
      </w:pPr>
      <w:r>
        <w:separator/>
      </w:r>
    </w:p>
  </w:footnote>
  <w:footnote w:type="continuationSeparator" w:id="0">
    <w:p w:rsidR="00565344" w:rsidRDefault="00565344" w:rsidP="00844E8E">
      <w:pPr>
        <w:spacing w:after="0"/>
      </w:pPr>
      <w:r>
        <w:continuationSeparator/>
      </w:r>
    </w:p>
  </w:footnote>
  <w:footnote w:type="continuationNotice" w:id="1">
    <w:p w:rsidR="00565344" w:rsidRDefault="00565344">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EC" w:rsidRDefault="00C445EC" w:rsidP="00C445EC">
    <w:pPr>
      <w:pStyle w:val="Hlavika"/>
      <w:rPr>
        <w:sz w:val="18"/>
        <w:szCs w:val="18"/>
      </w:rPr>
    </w:pPr>
    <w:r>
      <w:rPr>
        <w:sz w:val="18"/>
        <w:szCs w:val="18"/>
      </w:rPr>
      <w:t>Schválený text k rozhodnutiu o prevode, ev.</w:t>
    </w:r>
    <w:r w:rsidR="00D25971">
      <w:rPr>
        <w:sz w:val="18"/>
        <w:szCs w:val="18"/>
      </w:rPr>
      <w:t xml:space="preserve"> </w:t>
    </w:r>
    <w:r>
      <w:rPr>
        <w:sz w:val="18"/>
        <w:szCs w:val="18"/>
      </w:rPr>
      <w:t>č.:</w:t>
    </w:r>
    <w:r w:rsidR="00D25971">
      <w:rPr>
        <w:sz w:val="18"/>
        <w:szCs w:val="18"/>
      </w:rPr>
      <w:t xml:space="preserve"> 2018/00143-TR</w:t>
    </w:r>
  </w:p>
  <w:p w:rsidR="00C445EC" w:rsidRDefault="00C445EC">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EC" w:rsidRDefault="00C445EC" w:rsidP="00A66823">
    <w:pPr>
      <w:pStyle w:val="Hlavika"/>
      <w:rPr>
        <w:sz w:val="18"/>
        <w:szCs w:val="18"/>
      </w:rPr>
    </w:pPr>
  </w:p>
  <w:p w:rsidR="00C445EC" w:rsidRDefault="00C445EC" w:rsidP="00A66823">
    <w:pPr>
      <w:pStyle w:val="Hlavika"/>
      <w:rPr>
        <w:sz w:val="18"/>
        <w:szCs w:val="18"/>
      </w:rPr>
    </w:pPr>
  </w:p>
  <w:p w:rsidR="00C445EC" w:rsidRDefault="00C445EC" w:rsidP="00A66823">
    <w:pPr>
      <w:pStyle w:val="Hlavika"/>
      <w:rPr>
        <w:sz w:val="18"/>
        <w:szCs w:val="18"/>
      </w:rPr>
    </w:pPr>
  </w:p>
  <w:p w:rsidR="005E7DEA" w:rsidRDefault="008455CF" w:rsidP="005E7DEA">
    <w:pPr>
      <w:pStyle w:val="Hlavika"/>
      <w:tabs>
        <w:tab w:val="clear" w:pos="4536"/>
        <w:tab w:val="clear" w:pos="9072"/>
        <w:tab w:val="left" w:pos="213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5">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
  </w:num>
  <w:num w:numId="2">
    <w:abstractNumId w:val="26"/>
  </w:num>
  <w:num w:numId="3">
    <w:abstractNumId w:val="16"/>
  </w:num>
  <w:num w:numId="4">
    <w:abstractNumId w:val="1"/>
  </w:num>
  <w:num w:numId="5">
    <w:abstractNumId w:val="8"/>
  </w:num>
  <w:num w:numId="6">
    <w:abstractNumId w:val="3"/>
  </w:num>
  <w:num w:numId="7">
    <w:abstractNumId w:val="27"/>
  </w:num>
  <w:num w:numId="8">
    <w:abstractNumId w:val="10"/>
  </w:num>
  <w:num w:numId="9">
    <w:abstractNumId w:val="25"/>
  </w:num>
  <w:num w:numId="10">
    <w:abstractNumId w:val="20"/>
  </w:num>
  <w:num w:numId="11">
    <w:abstractNumId w:val="11"/>
  </w:num>
  <w:num w:numId="12">
    <w:abstractNumId w:val="6"/>
  </w:num>
  <w:num w:numId="13">
    <w:abstractNumId w:val="18"/>
  </w:num>
  <w:num w:numId="14">
    <w:abstractNumId w:val="17"/>
  </w:num>
  <w:num w:numId="15">
    <w:abstractNumId w:val="7"/>
  </w:num>
  <w:num w:numId="16">
    <w:abstractNumId w:val="4"/>
  </w:num>
  <w:num w:numId="17">
    <w:abstractNumId w:val="12"/>
  </w:num>
  <w:num w:numId="18">
    <w:abstractNumId w:val="23"/>
  </w:num>
  <w:num w:numId="19">
    <w:abstractNumId w:val="5"/>
  </w:num>
  <w:num w:numId="20">
    <w:abstractNumId w:val="15"/>
  </w:num>
  <w:num w:numId="21">
    <w:abstractNumId w:val="21"/>
  </w:num>
  <w:num w:numId="22">
    <w:abstractNumId w:val="19"/>
  </w:num>
  <w:num w:numId="23">
    <w:abstractNumId w:val="24"/>
  </w:num>
  <w:num w:numId="24">
    <w:abstractNumId w:val="13"/>
  </w:num>
  <w:num w:numId="25">
    <w:abstractNumId w:val="14"/>
  </w:num>
  <w:num w:numId="26">
    <w:abstractNumId w:val="9"/>
  </w:num>
  <w:num w:numId="27">
    <w:abstractNumId w:val="22"/>
  </w:num>
  <w:num w:numId="2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hyphenationZone w:val="425"/>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useFELayout/>
  </w:compat>
  <w:rsids>
    <w:rsidRoot w:val="0051607C"/>
    <w:rsid w:val="00005545"/>
    <w:rsid w:val="00011860"/>
    <w:rsid w:val="000132EF"/>
    <w:rsid w:val="0001686F"/>
    <w:rsid w:val="00017FDE"/>
    <w:rsid w:val="000236E9"/>
    <w:rsid w:val="0003022B"/>
    <w:rsid w:val="0003324B"/>
    <w:rsid w:val="00034806"/>
    <w:rsid w:val="000454E8"/>
    <w:rsid w:val="0005176A"/>
    <w:rsid w:val="00056FC7"/>
    <w:rsid w:val="00067984"/>
    <w:rsid w:val="000A2771"/>
    <w:rsid w:val="000B09AD"/>
    <w:rsid w:val="000B6957"/>
    <w:rsid w:val="000B69B0"/>
    <w:rsid w:val="000C7DD9"/>
    <w:rsid w:val="000D382B"/>
    <w:rsid w:val="000D7A94"/>
    <w:rsid w:val="000E06CB"/>
    <w:rsid w:val="000F0697"/>
    <w:rsid w:val="000F2414"/>
    <w:rsid w:val="000F4BDC"/>
    <w:rsid w:val="00105F66"/>
    <w:rsid w:val="0011130A"/>
    <w:rsid w:val="001143BA"/>
    <w:rsid w:val="00115A29"/>
    <w:rsid w:val="001212E3"/>
    <w:rsid w:val="00124846"/>
    <w:rsid w:val="001305C0"/>
    <w:rsid w:val="00130EE1"/>
    <w:rsid w:val="00131C78"/>
    <w:rsid w:val="00145763"/>
    <w:rsid w:val="001475F4"/>
    <w:rsid w:val="0016573E"/>
    <w:rsid w:val="0017514C"/>
    <w:rsid w:val="001758CC"/>
    <w:rsid w:val="00176245"/>
    <w:rsid w:val="001823EF"/>
    <w:rsid w:val="001902B0"/>
    <w:rsid w:val="001906A2"/>
    <w:rsid w:val="00194B27"/>
    <w:rsid w:val="001B6A64"/>
    <w:rsid w:val="001D0559"/>
    <w:rsid w:val="001D6B55"/>
    <w:rsid w:val="001E6043"/>
    <w:rsid w:val="001F640B"/>
    <w:rsid w:val="00202E1C"/>
    <w:rsid w:val="00204462"/>
    <w:rsid w:val="00211036"/>
    <w:rsid w:val="00211209"/>
    <w:rsid w:val="00213C1F"/>
    <w:rsid w:val="00221210"/>
    <w:rsid w:val="00231AAE"/>
    <w:rsid w:val="002351E9"/>
    <w:rsid w:val="00240403"/>
    <w:rsid w:val="002506D0"/>
    <w:rsid w:val="0026291B"/>
    <w:rsid w:val="00265424"/>
    <w:rsid w:val="00271CD1"/>
    <w:rsid w:val="00277EB3"/>
    <w:rsid w:val="00293E1A"/>
    <w:rsid w:val="002A615E"/>
    <w:rsid w:val="002A7654"/>
    <w:rsid w:val="002A7B95"/>
    <w:rsid w:val="002B3FC1"/>
    <w:rsid w:val="002D1583"/>
    <w:rsid w:val="002D2A77"/>
    <w:rsid w:val="002D3CDC"/>
    <w:rsid w:val="002E3047"/>
    <w:rsid w:val="002E52BC"/>
    <w:rsid w:val="002E6BDB"/>
    <w:rsid w:val="002E729D"/>
    <w:rsid w:val="002F4216"/>
    <w:rsid w:val="003023AD"/>
    <w:rsid w:val="003104A4"/>
    <w:rsid w:val="0031070E"/>
    <w:rsid w:val="00311960"/>
    <w:rsid w:val="00320FAF"/>
    <w:rsid w:val="00336865"/>
    <w:rsid w:val="00341D2A"/>
    <w:rsid w:val="00344AD4"/>
    <w:rsid w:val="00350AB4"/>
    <w:rsid w:val="00350DE1"/>
    <w:rsid w:val="00351266"/>
    <w:rsid w:val="00354641"/>
    <w:rsid w:val="00354DA5"/>
    <w:rsid w:val="003579C5"/>
    <w:rsid w:val="0036057B"/>
    <w:rsid w:val="00364782"/>
    <w:rsid w:val="003877D5"/>
    <w:rsid w:val="00390093"/>
    <w:rsid w:val="00391B65"/>
    <w:rsid w:val="00391BD0"/>
    <w:rsid w:val="003A1F51"/>
    <w:rsid w:val="003A267D"/>
    <w:rsid w:val="003B056F"/>
    <w:rsid w:val="003D4B47"/>
    <w:rsid w:val="003E01F4"/>
    <w:rsid w:val="003E2E8E"/>
    <w:rsid w:val="003F0BE0"/>
    <w:rsid w:val="003F3BF2"/>
    <w:rsid w:val="003F529C"/>
    <w:rsid w:val="003F67D5"/>
    <w:rsid w:val="00401F97"/>
    <w:rsid w:val="00403467"/>
    <w:rsid w:val="00417011"/>
    <w:rsid w:val="00434815"/>
    <w:rsid w:val="00435AFC"/>
    <w:rsid w:val="00441286"/>
    <w:rsid w:val="00443C45"/>
    <w:rsid w:val="004471F0"/>
    <w:rsid w:val="00450E29"/>
    <w:rsid w:val="00460185"/>
    <w:rsid w:val="00460849"/>
    <w:rsid w:val="00462238"/>
    <w:rsid w:val="00463FCF"/>
    <w:rsid w:val="00466B93"/>
    <w:rsid w:val="00467218"/>
    <w:rsid w:val="004718C8"/>
    <w:rsid w:val="0049067A"/>
    <w:rsid w:val="00492337"/>
    <w:rsid w:val="004A04DF"/>
    <w:rsid w:val="004B5D2B"/>
    <w:rsid w:val="004B6271"/>
    <w:rsid w:val="004C0BC4"/>
    <w:rsid w:val="004C6A15"/>
    <w:rsid w:val="004D1B45"/>
    <w:rsid w:val="004E22E2"/>
    <w:rsid w:val="00506AE8"/>
    <w:rsid w:val="0051111D"/>
    <w:rsid w:val="0051607C"/>
    <w:rsid w:val="005175E6"/>
    <w:rsid w:val="00521A3E"/>
    <w:rsid w:val="0052667E"/>
    <w:rsid w:val="005409E0"/>
    <w:rsid w:val="0054615D"/>
    <w:rsid w:val="00546ABD"/>
    <w:rsid w:val="00550829"/>
    <w:rsid w:val="00565344"/>
    <w:rsid w:val="005666C5"/>
    <w:rsid w:val="00566E68"/>
    <w:rsid w:val="005700D7"/>
    <w:rsid w:val="0057153D"/>
    <w:rsid w:val="00572B5C"/>
    <w:rsid w:val="00573113"/>
    <w:rsid w:val="00580C48"/>
    <w:rsid w:val="00592A9D"/>
    <w:rsid w:val="0059784C"/>
    <w:rsid w:val="005A66BF"/>
    <w:rsid w:val="005B2253"/>
    <w:rsid w:val="005B3468"/>
    <w:rsid w:val="005B7B59"/>
    <w:rsid w:val="005C71A4"/>
    <w:rsid w:val="005D22B6"/>
    <w:rsid w:val="005D59EE"/>
    <w:rsid w:val="005E7DEA"/>
    <w:rsid w:val="005F2CBD"/>
    <w:rsid w:val="00605AFD"/>
    <w:rsid w:val="006135B6"/>
    <w:rsid w:val="006233AF"/>
    <w:rsid w:val="00636589"/>
    <w:rsid w:val="0063661F"/>
    <w:rsid w:val="00637BF2"/>
    <w:rsid w:val="006428E7"/>
    <w:rsid w:val="0064480C"/>
    <w:rsid w:val="006508E3"/>
    <w:rsid w:val="00652DB4"/>
    <w:rsid w:val="00652ED2"/>
    <w:rsid w:val="00660523"/>
    <w:rsid w:val="006708A8"/>
    <w:rsid w:val="0067257D"/>
    <w:rsid w:val="00673274"/>
    <w:rsid w:val="00681818"/>
    <w:rsid w:val="00690252"/>
    <w:rsid w:val="0069130F"/>
    <w:rsid w:val="00692B03"/>
    <w:rsid w:val="006A56D4"/>
    <w:rsid w:val="006B6E2F"/>
    <w:rsid w:val="006C7E31"/>
    <w:rsid w:val="006E4300"/>
    <w:rsid w:val="006F3D39"/>
    <w:rsid w:val="007004C7"/>
    <w:rsid w:val="00703F51"/>
    <w:rsid w:val="00704A35"/>
    <w:rsid w:val="00706C47"/>
    <w:rsid w:val="007101E1"/>
    <w:rsid w:val="00712FD5"/>
    <w:rsid w:val="00714C00"/>
    <w:rsid w:val="00726EC9"/>
    <w:rsid w:val="007332C5"/>
    <w:rsid w:val="00736300"/>
    <w:rsid w:val="007416F6"/>
    <w:rsid w:val="007548B6"/>
    <w:rsid w:val="00761DB4"/>
    <w:rsid w:val="00770F18"/>
    <w:rsid w:val="007711D0"/>
    <w:rsid w:val="00776A02"/>
    <w:rsid w:val="00777340"/>
    <w:rsid w:val="00780B83"/>
    <w:rsid w:val="00792D95"/>
    <w:rsid w:val="007A0930"/>
    <w:rsid w:val="007A24F5"/>
    <w:rsid w:val="007B1F5A"/>
    <w:rsid w:val="007D6477"/>
    <w:rsid w:val="007D6911"/>
    <w:rsid w:val="007F5755"/>
    <w:rsid w:val="007F671E"/>
    <w:rsid w:val="00800141"/>
    <w:rsid w:val="00806F01"/>
    <w:rsid w:val="00807E3D"/>
    <w:rsid w:val="00812617"/>
    <w:rsid w:val="00812ABB"/>
    <w:rsid w:val="00813CE6"/>
    <w:rsid w:val="008175BC"/>
    <w:rsid w:val="00824837"/>
    <w:rsid w:val="00836629"/>
    <w:rsid w:val="00844E8E"/>
    <w:rsid w:val="008455CF"/>
    <w:rsid w:val="008509FA"/>
    <w:rsid w:val="008525E8"/>
    <w:rsid w:val="008532AE"/>
    <w:rsid w:val="00856EA3"/>
    <w:rsid w:val="008575F4"/>
    <w:rsid w:val="008577B4"/>
    <w:rsid w:val="0087212F"/>
    <w:rsid w:val="00872B09"/>
    <w:rsid w:val="0087332C"/>
    <w:rsid w:val="008800CC"/>
    <w:rsid w:val="0088281B"/>
    <w:rsid w:val="00882D3A"/>
    <w:rsid w:val="00893F29"/>
    <w:rsid w:val="0089774B"/>
    <w:rsid w:val="008A05E2"/>
    <w:rsid w:val="008A3F27"/>
    <w:rsid w:val="008A4E8B"/>
    <w:rsid w:val="008A6324"/>
    <w:rsid w:val="008B22AB"/>
    <w:rsid w:val="008B3E12"/>
    <w:rsid w:val="008B4CFA"/>
    <w:rsid w:val="008C61F1"/>
    <w:rsid w:val="008D272E"/>
    <w:rsid w:val="008D50E7"/>
    <w:rsid w:val="008E149A"/>
    <w:rsid w:val="008F0410"/>
    <w:rsid w:val="008F2109"/>
    <w:rsid w:val="008F5834"/>
    <w:rsid w:val="008F7698"/>
    <w:rsid w:val="009116A9"/>
    <w:rsid w:val="0091580F"/>
    <w:rsid w:val="009159D5"/>
    <w:rsid w:val="00923941"/>
    <w:rsid w:val="00925388"/>
    <w:rsid w:val="00926063"/>
    <w:rsid w:val="00926C55"/>
    <w:rsid w:val="009367BD"/>
    <w:rsid w:val="009379A6"/>
    <w:rsid w:val="00942A5E"/>
    <w:rsid w:val="00951C2C"/>
    <w:rsid w:val="00956C9D"/>
    <w:rsid w:val="00962271"/>
    <w:rsid w:val="00962E54"/>
    <w:rsid w:val="009701BB"/>
    <w:rsid w:val="00980A9E"/>
    <w:rsid w:val="00983443"/>
    <w:rsid w:val="00984216"/>
    <w:rsid w:val="00984873"/>
    <w:rsid w:val="0098748E"/>
    <w:rsid w:val="00996D64"/>
    <w:rsid w:val="009B29D5"/>
    <w:rsid w:val="009B3774"/>
    <w:rsid w:val="009D611D"/>
    <w:rsid w:val="009D6DAB"/>
    <w:rsid w:val="009E0927"/>
    <w:rsid w:val="009E277E"/>
    <w:rsid w:val="009E2C13"/>
    <w:rsid w:val="00A0050F"/>
    <w:rsid w:val="00A012AB"/>
    <w:rsid w:val="00A160AB"/>
    <w:rsid w:val="00A16C88"/>
    <w:rsid w:val="00A22570"/>
    <w:rsid w:val="00A25E59"/>
    <w:rsid w:val="00A311D2"/>
    <w:rsid w:val="00A37239"/>
    <w:rsid w:val="00A37737"/>
    <w:rsid w:val="00A42588"/>
    <w:rsid w:val="00A4713F"/>
    <w:rsid w:val="00A50689"/>
    <w:rsid w:val="00A5370A"/>
    <w:rsid w:val="00A62AB2"/>
    <w:rsid w:val="00A65E32"/>
    <w:rsid w:val="00A66823"/>
    <w:rsid w:val="00A83CFB"/>
    <w:rsid w:val="00A92301"/>
    <w:rsid w:val="00A96D28"/>
    <w:rsid w:val="00AA2F5B"/>
    <w:rsid w:val="00AA3A7C"/>
    <w:rsid w:val="00AA42A4"/>
    <w:rsid w:val="00AA7480"/>
    <w:rsid w:val="00AB4C18"/>
    <w:rsid w:val="00AC451A"/>
    <w:rsid w:val="00AD2082"/>
    <w:rsid w:val="00AD22C0"/>
    <w:rsid w:val="00AD7134"/>
    <w:rsid w:val="00AD7214"/>
    <w:rsid w:val="00B04357"/>
    <w:rsid w:val="00B168E1"/>
    <w:rsid w:val="00B2131D"/>
    <w:rsid w:val="00B245F3"/>
    <w:rsid w:val="00B24D6A"/>
    <w:rsid w:val="00B337DC"/>
    <w:rsid w:val="00B3529F"/>
    <w:rsid w:val="00B4047D"/>
    <w:rsid w:val="00B44E64"/>
    <w:rsid w:val="00B513BA"/>
    <w:rsid w:val="00B52EBA"/>
    <w:rsid w:val="00B55579"/>
    <w:rsid w:val="00B64A9B"/>
    <w:rsid w:val="00B714F6"/>
    <w:rsid w:val="00B76DF5"/>
    <w:rsid w:val="00B80CA0"/>
    <w:rsid w:val="00BB143B"/>
    <w:rsid w:val="00BC3827"/>
    <w:rsid w:val="00BD1A52"/>
    <w:rsid w:val="00BD376D"/>
    <w:rsid w:val="00BD3960"/>
    <w:rsid w:val="00BD4E4E"/>
    <w:rsid w:val="00BE0B4D"/>
    <w:rsid w:val="00BF1CC4"/>
    <w:rsid w:val="00BF2950"/>
    <w:rsid w:val="00BF46A0"/>
    <w:rsid w:val="00C00AD1"/>
    <w:rsid w:val="00C021B0"/>
    <w:rsid w:val="00C1037F"/>
    <w:rsid w:val="00C215E6"/>
    <w:rsid w:val="00C22359"/>
    <w:rsid w:val="00C41F2A"/>
    <w:rsid w:val="00C445EC"/>
    <w:rsid w:val="00C473D8"/>
    <w:rsid w:val="00C631EC"/>
    <w:rsid w:val="00C637B1"/>
    <w:rsid w:val="00C72612"/>
    <w:rsid w:val="00C7371E"/>
    <w:rsid w:val="00C956AC"/>
    <w:rsid w:val="00C97369"/>
    <w:rsid w:val="00CA0DA5"/>
    <w:rsid w:val="00CB3B85"/>
    <w:rsid w:val="00CB3CAA"/>
    <w:rsid w:val="00CB5473"/>
    <w:rsid w:val="00CB7AB0"/>
    <w:rsid w:val="00CB7FC0"/>
    <w:rsid w:val="00CC380B"/>
    <w:rsid w:val="00CD42A3"/>
    <w:rsid w:val="00CE1375"/>
    <w:rsid w:val="00CE31A6"/>
    <w:rsid w:val="00CE51E0"/>
    <w:rsid w:val="00CF43B7"/>
    <w:rsid w:val="00D02D4C"/>
    <w:rsid w:val="00D066EA"/>
    <w:rsid w:val="00D144C9"/>
    <w:rsid w:val="00D230FC"/>
    <w:rsid w:val="00D23DF0"/>
    <w:rsid w:val="00D25971"/>
    <w:rsid w:val="00D277AE"/>
    <w:rsid w:val="00D3646C"/>
    <w:rsid w:val="00D411E0"/>
    <w:rsid w:val="00D43BCB"/>
    <w:rsid w:val="00D530EB"/>
    <w:rsid w:val="00D5696E"/>
    <w:rsid w:val="00D60A90"/>
    <w:rsid w:val="00D8297B"/>
    <w:rsid w:val="00D91856"/>
    <w:rsid w:val="00D93687"/>
    <w:rsid w:val="00DA6694"/>
    <w:rsid w:val="00DB4077"/>
    <w:rsid w:val="00DD48CD"/>
    <w:rsid w:val="00DD4BC9"/>
    <w:rsid w:val="00DE2EED"/>
    <w:rsid w:val="00DE6855"/>
    <w:rsid w:val="00DF0BBB"/>
    <w:rsid w:val="00E07FD7"/>
    <w:rsid w:val="00E11A0D"/>
    <w:rsid w:val="00E13A5C"/>
    <w:rsid w:val="00E240DE"/>
    <w:rsid w:val="00E25BFD"/>
    <w:rsid w:val="00E3636C"/>
    <w:rsid w:val="00E36B5B"/>
    <w:rsid w:val="00E44047"/>
    <w:rsid w:val="00E47480"/>
    <w:rsid w:val="00E51ACF"/>
    <w:rsid w:val="00E550DD"/>
    <w:rsid w:val="00E56A4F"/>
    <w:rsid w:val="00E76003"/>
    <w:rsid w:val="00E82B37"/>
    <w:rsid w:val="00E921AF"/>
    <w:rsid w:val="00EA20E8"/>
    <w:rsid w:val="00EA43AC"/>
    <w:rsid w:val="00EB34F4"/>
    <w:rsid w:val="00ED08EE"/>
    <w:rsid w:val="00ED323E"/>
    <w:rsid w:val="00EE319F"/>
    <w:rsid w:val="00EE769F"/>
    <w:rsid w:val="00EF5A19"/>
    <w:rsid w:val="00F05622"/>
    <w:rsid w:val="00F12EB9"/>
    <w:rsid w:val="00F22A29"/>
    <w:rsid w:val="00F259F5"/>
    <w:rsid w:val="00F26AFB"/>
    <w:rsid w:val="00F31DBC"/>
    <w:rsid w:val="00F55550"/>
    <w:rsid w:val="00F60CAF"/>
    <w:rsid w:val="00F61CEB"/>
    <w:rsid w:val="00F707D3"/>
    <w:rsid w:val="00F81238"/>
    <w:rsid w:val="00F826B5"/>
    <w:rsid w:val="00F93822"/>
    <w:rsid w:val="00F94EBD"/>
    <w:rsid w:val="00F9684F"/>
    <w:rsid w:val="00F97BF0"/>
    <w:rsid w:val="00FA3B2E"/>
    <w:rsid w:val="00FA5338"/>
    <w:rsid w:val="00FB61C1"/>
    <w:rsid w:val="00FB739C"/>
    <w:rsid w:val="00FC64B1"/>
    <w:rsid w:val="00FE118E"/>
    <w:rsid w:val="00FE7334"/>
    <w:rsid w:val="00FF20E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467218"/>
    <w:pPr>
      <w:spacing w:after="60"/>
      <w:jc w:val="both"/>
    </w:pPr>
    <w:rPr>
      <w:sz w:val="24"/>
      <w:szCs w:val="24"/>
      <w:lang w:val="sk-SK" w:eastAsia="fr-FR"/>
    </w:rPr>
  </w:style>
  <w:style w:type="paragraph" w:styleId="Nadpis1">
    <w:name w:val="heading 1"/>
    <w:basedOn w:val="Normlny"/>
    <w:next w:val="Normlny"/>
    <w:link w:val="Nadpis1Char"/>
    <w:uiPriority w:val="1"/>
    <w:qFormat/>
    <w:rsid w:val="00467218"/>
    <w:pPr>
      <w:keepNext/>
      <w:spacing w:after="0"/>
      <w:outlineLvl w:val="0"/>
    </w:pPr>
    <w:rPr>
      <w:rFonts w:cs="Arial"/>
      <w:b/>
      <w:bCs/>
      <w:caps/>
      <w:kern w:val="32"/>
      <w:sz w:val="28"/>
      <w:szCs w:val="32"/>
      <w:lang w:val="de-DE" w:eastAsia="de-DE"/>
    </w:rPr>
  </w:style>
  <w:style w:type="paragraph" w:styleId="Nadpis2">
    <w:name w:val="heading 2"/>
    <w:basedOn w:val="Normlny"/>
    <w:next w:val="Normlny"/>
    <w:link w:val="Nadpis2Char"/>
    <w:uiPriority w:val="2"/>
    <w:qFormat/>
    <w:rsid w:val="00467218"/>
    <w:pPr>
      <w:keepNext/>
      <w:spacing w:after="0"/>
      <w:outlineLvl w:val="1"/>
    </w:pPr>
    <w:rPr>
      <w:rFonts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uiPriority w:val="3"/>
    <w:qFormat/>
    <w:rsid w:val="00467218"/>
    <w:p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467218"/>
    <w:rPr>
      <w:rFonts w:cs="Arial"/>
      <w:b/>
      <w:bCs/>
      <w:caps/>
      <w:noProof/>
      <w:sz w:val="24"/>
      <w:szCs w:val="24"/>
      <w:lang w:val="en-GB" w:eastAsia="de-DE"/>
    </w:rPr>
  </w:style>
  <w:style w:type="character" w:customStyle="1" w:styleId="Nadpis2Char">
    <w:name w:val="Nadpis 2 Char"/>
    <w:link w:val="Nadpis2"/>
    <w:uiPriority w:val="2"/>
    <w:rsid w:val="00467218"/>
    <w:rPr>
      <w:rFonts w:cs="Arial"/>
      <w:b/>
      <w:bCs/>
      <w:caps/>
      <w:sz w:val="24"/>
      <w:szCs w:val="24"/>
      <w:lang w:val="en-GB" w:eastAsia="de-DE"/>
    </w:rPr>
  </w:style>
  <w:style w:type="paragraph" w:customStyle="1" w:styleId="NorLAB">
    <w:name w:val="Nor LAB"/>
    <w:basedOn w:val="Normlny"/>
    <w:link w:val="NorLABChar"/>
    <w:uiPriority w:val="5"/>
    <w:qFormat/>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uiPriority w:val="4"/>
    <w:qFormat/>
    <w:rsid w:val="00CB7AB0"/>
    <w:pPr>
      <w:keepNext w:val="0"/>
      <w:tabs>
        <w:tab w:val="left" w:pos="360"/>
      </w:tabs>
      <w:jc w:val="left"/>
    </w:pPr>
    <w:rPr>
      <w:caps w:val="0"/>
    </w:rPr>
  </w:style>
  <w:style w:type="character" w:customStyle="1" w:styleId="2PILChar">
    <w:name w:val="2 PIL Char"/>
    <w:link w:val="2PIL"/>
    <w:uiPriority w:val="4"/>
    <w:rsid w:val="00CB7AB0"/>
    <w:rPr>
      <w:rFonts w:cs="Arial"/>
      <w:b/>
      <w:bCs/>
      <w:sz w:val="24"/>
      <w:szCs w:val="24"/>
      <w:lang w:val="en-GB" w:eastAsia="de-DE"/>
    </w:rPr>
  </w:style>
  <w:style w:type="paragraph" w:customStyle="1" w:styleId="Tun">
    <w:name w:val="Tučné"/>
    <w:basedOn w:val="Normlny"/>
    <w:link w:val="TunChar"/>
    <w:uiPriority w:val="6"/>
    <w:qFormat/>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link w:val="Nadpis1"/>
    <w:uiPriority w:val="1"/>
    <w:rsid w:val="00467218"/>
    <w:rPr>
      <w:rFonts w:cs="Arial"/>
      <w:b/>
      <w:bCs/>
      <w:caps/>
      <w:kern w:val="32"/>
      <w:sz w:val="28"/>
      <w:szCs w:val="32"/>
      <w:lang w:val="de-DE" w:eastAsia="de-DE"/>
    </w:rPr>
  </w:style>
  <w:style w:type="character" w:styleId="Siln">
    <w:name w:val="Strong"/>
    <w:basedOn w:val="Predvolenpsmoodseku"/>
    <w:uiPriority w:val="22"/>
    <w:qFormat/>
    <w:rsid w:val="00467218"/>
    <w:rPr>
      <w:b/>
      <w:bCs/>
    </w:rPr>
  </w:style>
  <w:style w:type="character" w:styleId="Zvraznenie">
    <w:name w:val="Emphasis"/>
    <w:basedOn w:val="Predvolenpsmoodseku"/>
    <w:qFormat/>
    <w:rsid w:val="00467218"/>
    <w:rPr>
      <w:i/>
      <w:iCs/>
    </w:rPr>
  </w:style>
  <w:style w:type="paragraph" w:styleId="Odsekzoznamu">
    <w:name w:val="List Paragraph"/>
    <w:basedOn w:val="Normlny"/>
    <w:uiPriority w:val="34"/>
    <w:rsid w:val="00637BF2"/>
    <w:pPr>
      <w:ind w:left="720"/>
      <w:contextualSpacing/>
    </w:pPr>
  </w:style>
  <w:style w:type="table" w:styleId="Mriekatabuky">
    <w:name w:val="Table Grid"/>
    <w:basedOn w:val="Normlnatabuka"/>
    <w:uiPriority w:val="59"/>
    <w:rsid w:val="00CB7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a">
    <w:name w:val="Znaèka"/>
    <w:rsid w:val="005D59EE"/>
    <w:pPr>
      <w:widowControl w:val="0"/>
      <w:adjustRightInd w:val="0"/>
      <w:spacing w:after="200" w:line="360" w:lineRule="atLeast"/>
      <w:ind w:left="288"/>
      <w:jc w:val="both"/>
      <w:textAlignment w:val="baseline"/>
    </w:pPr>
    <w:rPr>
      <w:rFonts w:ascii="Calibri" w:eastAsia="Times New Roman" w:hAnsi="Calibri"/>
      <w:color w:val="000000"/>
      <w:sz w:val="24"/>
      <w:szCs w:val="22"/>
      <w:lang w:val="cs-CZ" w:eastAsia="cs-CZ"/>
    </w:rPr>
  </w:style>
  <w:style w:type="paragraph" w:styleId="Zkladntext">
    <w:name w:val="Body Text"/>
    <w:basedOn w:val="Normlny"/>
    <w:link w:val="ZkladntextChar"/>
    <w:rsid w:val="005D59EE"/>
    <w:pPr>
      <w:spacing w:after="0"/>
      <w:jc w:val="left"/>
    </w:pPr>
    <w:rPr>
      <w:rFonts w:eastAsia="Times New Roman"/>
      <w:color w:val="000000"/>
      <w:lang w:val="en-US"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spacing w:after="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spacing w:after="0"/>
    </w:pPr>
  </w:style>
  <w:style w:type="character" w:customStyle="1" w:styleId="HlavikaChar">
    <w:name w:val="Hlavička Char"/>
    <w:basedOn w:val="Predvolenpsmoodseku"/>
    <w:link w:val="Hlavika"/>
    <w:uiPriority w:val="99"/>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spacing w:after="0"/>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qFormat/>
    <w:rsid w:val="00E07FD7"/>
    <w:pPr>
      <w:spacing w:after="200"/>
    </w:pPr>
    <w:rPr>
      <w:b/>
      <w:bCs/>
      <w:color w:val="4F81BD" w:themeColor="accent1"/>
      <w:sz w:val="18"/>
      <w:szCs w:val="18"/>
    </w:rPr>
  </w:style>
  <w:style w:type="character" w:styleId="Hypertextovprepojenie">
    <w:name w:val="Hyperlink"/>
    <w:basedOn w:val="Predvolenpsmoodseku"/>
    <w:rsid w:val="00EF5A19"/>
    <w:rPr>
      <w:rFonts w:cs="Times New Roman"/>
      <w:color w:val="0000FF"/>
      <w:u w:val="single"/>
    </w:rPr>
  </w:style>
  <w:style w:type="paragraph" w:customStyle="1" w:styleId="Styl1">
    <w:name w:val="Styl1"/>
    <w:basedOn w:val="Normlny"/>
    <w:rsid w:val="00EF5A19"/>
    <w:pPr>
      <w:tabs>
        <w:tab w:val="left" w:pos="567"/>
      </w:tabs>
      <w:spacing w:before="120" w:after="0"/>
    </w:pPr>
    <w:rPr>
      <w:rFonts w:eastAsia="Times New Roman"/>
      <w:sz w:val="22"/>
      <w:szCs w:val="22"/>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467218"/>
    <w:pPr>
      <w:spacing w:after="60"/>
      <w:jc w:val="both"/>
    </w:pPr>
    <w:rPr>
      <w:sz w:val="24"/>
      <w:szCs w:val="24"/>
      <w:lang w:val="fr-FR" w:eastAsia="fr-FR"/>
    </w:rPr>
  </w:style>
  <w:style w:type="paragraph" w:styleId="Nadpis1">
    <w:name w:val="heading 1"/>
    <w:basedOn w:val="Normlny"/>
    <w:next w:val="Normlny"/>
    <w:link w:val="Nadpis1Char"/>
    <w:uiPriority w:val="1"/>
    <w:qFormat/>
    <w:rsid w:val="00467218"/>
    <w:pPr>
      <w:keepNext/>
      <w:spacing w:after="0"/>
      <w:outlineLvl w:val="0"/>
    </w:pPr>
    <w:rPr>
      <w:rFonts w:cs="Arial"/>
      <w:b/>
      <w:bCs/>
      <w:caps/>
      <w:kern w:val="32"/>
      <w:sz w:val="28"/>
      <w:szCs w:val="32"/>
      <w:lang w:val="de-DE" w:eastAsia="de-DE"/>
    </w:rPr>
  </w:style>
  <w:style w:type="paragraph" w:styleId="Nadpis2">
    <w:name w:val="heading 2"/>
    <w:basedOn w:val="Normlny"/>
    <w:next w:val="Normlny"/>
    <w:link w:val="Nadpis2Char"/>
    <w:uiPriority w:val="2"/>
    <w:qFormat/>
    <w:rsid w:val="00467218"/>
    <w:pPr>
      <w:keepNext/>
      <w:spacing w:after="0"/>
      <w:outlineLvl w:val="1"/>
    </w:pPr>
    <w:rPr>
      <w:rFonts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uiPriority w:val="3"/>
    <w:qFormat/>
    <w:rsid w:val="00467218"/>
    <w:p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467218"/>
    <w:rPr>
      <w:rFonts w:cs="Arial"/>
      <w:b/>
      <w:bCs/>
      <w:caps/>
      <w:noProof/>
      <w:sz w:val="24"/>
      <w:szCs w:val="24"/>
      <w:lang w:val="en-GB" w:eastAsia="de-DE"/>
    </w:rPr>
  </w:style>
  <w:style w:type="character" w:customStyle="1" w:styleId="Nadpis2Char">
    <w:name w:val="Nadpis 2 Char"/>
    <w:link w:val="Nadpis2"/>
    <w:uiPriority w:val="2"/>
    <w:rsid w:val="00467218"/>
    <w:rPr>
      <w:rFonts w:cs="Arial"/>
      <w:b/>
      <w:bCs/>
      <w:caps/>
      <w:sz w:val="24"/>
      <w:szCs w:val="24"/>
      <w:lang w:val="en-GB" w:eastAsia="de-DE"/>
    </w:rPr>
  </w:style>
  <w:style w:type="paragraph" w:customStyle="1" w:styleId="NorLAB">
    <w:name w:val="Nor LAB"/>
    <w:basedOn w:val="Normlny"/>
    <w:link w:val="NorLABChar"/>
    <w:uiPriority w:val="5"/>
    <w:qFormat/>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uiPriority w:val="4"/>
    <w:qFormat/>
    <w:rsid w:val="00CB7AB0"/>
    <w:pPr>
      <w:keepNext w:val="0"/>
      <w:tabs>
        <w:tab w:val="left" w:pos="360"/>
      </w:tabs>
      <w:jc w:val="left"/>
    </w:pPr>
    <w:rPr>
      <w:caps w:val="0"/>
    </w:rPr>
  </w:style>
  <w:style w:type="character" w:customStyle="1" w:styleId="2PILChar">
    <w:name w:val="2 PIL Char"/>
    <w:link w:val="2PIL"/>
    <w:uiPriority w:val="4"/>
    <w:rsid w:val="00CB7AB0"/>
    <w:rPr>
      <w:rFonts w:cs="Arial"/>
      <w:b/>
      <w:bCs/>
      <w:sz w:val="24"/>
      <w:szCs w:val="24"/>
      <w:lang w:val="en-GB" w:eastAsia="de-DE"/>
    </w:rPr>
  </w:style>
  <w:style w:type="paragraph" w:customStyle="1" w:styleId="Tun">
    <w:name w:val="Tučné"/>
    <w:basedOn w:val="Normlny"/>
    <w:link w:val="TunChar"/>
    <w:uiPriority w:val="6"/>
    <w:qFormat/>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link w:val="Nadpis1"/>
    <w:uiPriority w:val="1"/>
    <w:rsid w:val="00467218"/>
    <w:rPr>
      <w:rFonts w:cs="Arial"/>
      <w:b/>
      <w:bCs/>
      <w:caps/>
      <w:kern w:val="32"/>
      <w:sz w:val="28"/>
      <w:szCs w:val="32"/>
      <w:lang w:val="de-DE" w:eastAsia="de-DE"/>
    </w:rPr>
  </w:style>
  <w:style w:type="character" w:styleId="Siln">
    <w:name w:val="Strong"/>
    <w:basedOn w:val="Predvolenpsmoodseku"/>
    <w:uiPriority w:val="22"/>
    <w:qFormat/>
    <w:rsid w:val="00467218"/>
    <w:rPr>
      <w:b/>
      <w:bCs/>
    </w:rPr>
  </w:style>
  <w:style w:type="character" w:styleId="Zvraznenie">
    <w:name w:val="Emphasis"/>
    <w:basedOn w:val="Predvolenpsmoodseku"/>
    <w:qFormat/>
    <w:rsid w:val="00467218"/>
    <w:rPr>
      <w:i/>
      <w:iCs/>
    </w:rPr>
  </w:style>
  <w:style w:type="paragraph" w:styleId="Odsekzoznamu">
    <w:name w:val="List Paragraph"/>
    <w:basedOn w:val="Normlny"/>
    <w:uiPriority w:val="34"/>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after="200" w:line="360" w:lineRule="atLeast"/>
      <w:ind w:left="288"/>
      <w:jc w:val="both"/>
      <w:textAlignment w:val="baseline"/>
    </w:pPr>
    <w:rPr>
      <w:rFonts w:ascii="Calibri" w:eastAsia="Times New Roman" w:hAnsi="Calibri"/>
      <w:color w:val="000000"/>
      <w:sz w:val="24"/>
      <w:szCs w:val="22"/>
      <w:lang w:val="cs-CZ" w:eastAsia="cs-CZ"/>
    </w:rPr>
  </w:style>
  <w:style w:type="paragraph" w:styleId="Zkladntext">
    <w:name w:val="Body Text"/>
    <w:basedOn w:val="Normlny"/>
    <w:link w:val="ZkladntextChar"/>
    <w:rsid w:val="005D59EE"/>
    <w:pPr>
      <w:spacing w:after="0"/>
      <w:jc w:val="left"/>
    </w:pPr>
    <w:rPr>
      <w:rFonts w:eastAsia="Times New Roman"/>
      <w:color w:val="000000"/>
      <w:lang w:val="en-US"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spacing w:after="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spacing w:after="0"/>
    </w:pPr>
  </w:style>
  <w:style w:type="character" w:customStyle="1" w:styleId="HlavikaChar">
    <w:name w:val="Hlavička Char"/>
    <w:basedOn w:val="Predvolenpsmoodseku"/>
    <w:link w:val="Hlavika"/>
    <w:uiPriority w:val="99"/>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spacing w:after="0"/>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qFormat/>
    <w:rsid w:val="00E07FD7"/>
    <w:pPr>
      <w:spacing w:after="200"/>
    </w:pPr>
    <w:rPr>
      <w:b/>
      <w:bCs/>
      <w:color w:val="4F81BD" w:themeColor="accent1"/>
      <w:sz w:val="18"/>
      <w:szCs w:val="18"/>
    </w:rPr>
  </w:style>
  <w:style w:type="character" w:styleId="Hypertextovprepojenie">
    <w:name w:val="Hyperlink"/>
    <w:basedOn w:val="Predvolenpsmoodseku"/>
    <w:rsid w:val="00EF5A19"/>
    <w:rPr>
      <w:rFonts w:cs="Times New Roman"/>
      <w:color w:val="0000FF"/>
      <w:u w:val="single"/>
    </w:rPr>
  </w:style>
  <w:style w:type="paragraph" w:customStyle="1" w:styleId="Styl1">
    <w:name w:val="Styl1"/>
    <w:basedOn w:val="Normlny"/>
    <w:rsid w:val="00EF5A19"/>
    <w:pPr>
      <w:tabs>
        <w:tab w:val="left" w:pos="567"/>
      </w:tabs>
      <w:spacing w:before="120" w:after="0"/>
    </w:pPr>
    <w:rPr>
      <w:rFonts w:eastAsia="Times New Roman"/>
      <w:sz w:val="22"/>
      <w:szCs w:val="22"/>
      <w:lang w:val="cs-CZ" w:eastAsia="cs-CZ"/>
    </w:rPr>
  </w:style>
</w:styles>
</file>

<file path=word/webSettings.xml><?xml version="1.0" encoding="utf-8"?>
<w:webSettings xmlns:r="http://schemas.openxmlformats.org/officeDocument/2006/relationships" xmlns:w="http://schemas.openxmlformats.org/wordprocessingml/2006/main">
  <w:divs>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 w:id="2063794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D9D8-1945-475C-B1D0-A81D980CBE6A}">
  <ds:schemaRefs>
    <ds:schemaRef ds:uri="http://schemas.openxmlformats.org/officeDocument/2006/bibliography"/>
  </ds:schemaRefs>
</ds:datastoreItem>
</file>

<file path=customXml/itemProps2.xml><?xml version="1.0" encoding="utf-8"?>
<ds:datastoreItem xmlns:ds="http://schemas.openxmlformats.org/officeDocument/2006/customXml" ds:itemID="{9730F9C2-CA53-484C-AAAA-F53B9BD0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3151</Words>
  <Characters>17962</Characters>
  <Application>Microsoft Office Word</Application>
  <DocSecurity>0</DocSecurity>
  <Lines>149</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Microsoft Word - 8510986341285100200_spc-doc.doc</vt:lpstr>
      <vt:lpstr>Microsoft Word - 8510986341285100200_spc-doc.doc</vt:lpstr>
    </vt:vector>
  </TitlesOfParts>
  <Company>sanofi-aventis</Company>
  <LinksUpToDate>false</LinksUpToDate>
  <CharactersWithSpaces>21071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null</dc:subject>
  <dc:creator>PDFBox</dc:creator>
  <cp:keywords>null</cp:keywords>
  <cp:lastModifiedBy>Andrea Krajčí</cp:lastModifiedBy>
  <cp:revision>6</cp:revision>
  <cp:lastPrinted>2017-05-15T12:05:00Z</cp:lastPrinted>
  <dcterms:created xsi:type="dcterms:W3CDTF">2017-05-18T13:11:00Z</dcterms:created>
  <dcterms:modified xsi:type="dcterms:W3CDTF">2018-03-26T10:59:00Z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y fmtid="{D5CDD505-2E9C-101B-9397-08002B2CF9AE}" pid="5" name="_AdHocReviewCycleID">
    <vt:i4>835966427</vt:i4>
  </property>
  <property fmtid="{D5CDD505-2E9C-101B-9397-08002B2CF9AE}" pid="6" name="_EmailSubject">
    <vt:lpwstr>[EXTERNAL] Ibalgin 600, Ibalgin Junior  - transfer</vt:lpwstr>
  </property>
  <property fmtid="{D5CDD505-2E9C-101B-9397-08002B2CF9AE}" pid="7" name="_AuthorEmail">
    <vt:lpwstr>Miroslava.Laifrova@sanofi.com</vt:lpwstr>
  </property>
  <property fmtid="{D5CDD505-2E9C-101B-9397-08002B2CF9AE}" pid="8" name="_AuthorEmailDisplayName">
    <vt:lpwstr>Laifrova, Miroslava /SK</vt:lpwstr>
  </property>
  <property fmtid="{D5CDD505-2E9C-101B-9397-08002B2CF9AE}" pid="9" name="_ReviewingToolsShownOnce">
    <vt:lpwstr/>
  </property>
</Properties>
</file>