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D7" w:rsidRPr="005D0DAD" w:rsidRDefault="002F32D7" w:rsidP="005D0DAD">
      <w:pPr>
        <w:rPr>
          <w:b/>
          <w:bCs/>
          <w:sz w:val="22"/>
          <w:szCs w:val="22"/>
          <w:lang w:val="pl-PL"/>
        </w:rPr>
      </w:pPr>
    </w:p>
    <w:p w:rsidR="002F32D7" w:rsidRPr="005D0DAD" w:rsidRDefault="002F32D7" w:rsidP="005D0DAD">
      <w:pPr>
        <w:pStyle w:val="Nadpis1"/>
        <w:jc w:val="left"/>
        <w:rPr>
          <w:rFonts w:ascii="Times New Roman" w:hAnsi="Times New Roman" w:cs="Times New Roman"/>
          <w:sz w:val="22"/>
          <w:szCs w:val="22"/>
        </w:rPr>
      </w:pPr>
    </w:p>
    <w:p w:rsidR="002F32D7" w:rsidRPr="005D0DAD" w:rsidRDefault="002F32D7" w:rsidP="005D0DAD">
      <w:pPr>
        <w:pStyle w:val="Nadpis1"/>
        <w:jc w:val="center"/>
        <w:rPr>
          <w:rFonts w:ascii="Times New Roman" w:hAnsi="Times New Roman" w:cs="Times New Roman"/>
          <w:sz w:val="22"/>
          <w:szCs w:val="22"/>
        </w:rPr>
      </w:pPr>
      <w:r w:rsidRPr="005D0DAD">
        <w:rPr>
          <w:rFonts w:ascii="Times New Roman" w:hAnsi="Times New Roman" w:cs="Times New Roman"/>
          <w:sz w:val="22"/>
          <w:szCs w:val="22"/>
        </w:rPr>
        <w:t>PÍSOMNÁ INFORMÁCIA PRE POUŽÍVATEĽOV</w:t>
      </w:r>
    </w:p>
    <w:p w:rsidR="002F32D7" w:rsidRPr="005D0DAD" w:rsidRDefault="002F32D7" w:rsidP="005D0DAD">
      <w:pPr>
        <w:jc w:val="center"/>
        <w:rPr>
          <w:sz w:val="22"/>
          <w:szCs w:val="22"/>
          <w:lang w:val="sk-SK"/>
        </w:rPr>
      </w:pPr>
    </w:p>
    <w:p w:rsidR="00F2672D" w:rsidRPr="00F2672D" w:rsidRDefault="00F2672D" w:rsidP="00F2672D">
      <w:pPr>
        <w:jc w:val="center"/>
        <w:rPr>
          <w:b/>
          <w:sz w:val="22"/>
          <w:szCs w:val="22"/>
          <w:lang w:val="sk-SK"/>
        </w:rPr>
      </w:pPr>
      <w:r w:rsidRPr="00F2672D">
        <w:rPr>
          <w:b/>
          <w:sz w:val="22"/>
          <w:szCs w:val="22"/>
          <w:lang w:val="sk-SK"/>
        </w:rPr>
        <w:t>Coldrex</w:t>
      </w:r>
      <w:r w:rsidRPr="00F2672D">
        <w:rPr>
          <w:b/>
          <w:sz w:val="22"/>
          <w:szCs w:val="22"/>
          <w:vertAlign w:val="superscript"/>
          <w:lang w:val="sk-SK"/>
        </w:rPr>
        <w:t xml:space="preserve"> </w:t>
      </w:r>
      <w:r w:rsidRPr="00F2672D">
        <w:rPr>
          <w:b/>
          <w:sz w:val="22"/>
          <w:szCs w:val="22"/>
          <w:lang w:val="sk-SK"/>
        </w:rPr>
        <w:t>Nočná Liečba</w:t>
      </w:r>
    </w:p>
    <w:p w:rsidR="002F32D7" w:rsidRPr="005D0DAD" w:rsidRDefault="005D0DAD" w:rsidP="005D0DAD">
      <w:pPr>
        <w:jc w:val="center"/>
        <w:outlineLvl w:val="0"/>
        <w:rPr>
          <w:sz w:val="22"/>
          <w:szCs w:val="22"/>
          <w:lang w:val="sk-SK"/>
        </w:rPr>
      </w:pPr>
      <w:r>
        <w:rPr>
          <w:sz w:val="22"/>
          <w:szCs w:val="22"/>
          <w:lang w:val="sk-SK"/>
        </w:rPr>
        <w:t>s</w:t>
      </w:r>
      <w:r w:rsidR="002F32D7" w:rsidRPr="005D0DAD">
        <w:rPr>
          <w:sz w:val="22"/>
          <w:szCs w:val="22"/>
          <w:lang w:val="sk-SK"/>
        </w:rPr>
        <w:t>irup</w:t>
      </w:r>
    </w:p>
    <w:p w:rsidR="002F32D7" w:rsidRDefault="002F32D7" w:rsidP="005D0DAD">
      <w:pPr>
        <w:ind w:right="-341"/>
        <w:outlineLvl w:val="0"/>
        <w:rPr>
          <w:b/>
          <w:bCs/>
          <w:sz w:val="22"/>
          <w:szCs w:val="22"/>
          <w:lang w:val="sk-SK"/>
        </w:rPr>
      </w:pPr>
    </w:p>
    <w:p w:rsidR="005D0DAD" w:rsidRPr="005D0DAD" w:rsidRDefault="005D0DAD" w:rsidP="005D0DAD">
      <w:pPr>
        <w:ind w:right="-341"/>
        <w:outlineLvl w:val="0"/>
        <w:rPr>
          <w:b/>
          <w:bCs/>
          <w:sz w:val="22"/>
          <w:szCs w:val="22"/>
          <w:lang w:val="sk-SK"/>
        </w:rPr>
      </w:pPr>
    </w:p>
    <w:p w:rsidR="002F32D7" w:rsidRPr="005D0DAD" w:rsidRDefault="002F32D7" w:rsidP="005D0DAD">
      <w:pPr>
        <w:rPr>
          <w:bCs/>
          <w:sz w:val="22"/>
          <w:szCs w:val="22"/>
          <w:lang w:val="sk-SK"/>
        </w:rPr>
      </w:pPr>
      <w:r w:rsidRPr="005D0DAD">
        <w:rPr>
          <w:b/>
          <w:bCs/>
          <w:sz w:val="22"/>
          <w:szCs w:val="22"/>
          <w:lang w:val="sk-SK"/>
        </w:rPr>
        <w:t xml:space="preserve">Držiteľ rozhodnutia o registrácii: </w:t>
      </w:r>
      <w:r w:rsidRPr="005D0DAD">
        <w:rPr>
          <w:bCs/>
          <w:sz w:val="22"/>
          <w:szCs w:val="22"/>
          <w:lang w:val="sk-SK"/>
        </w:rPr>
        <w:t xml:space="preserve">OMEGA PHARMA a.s., </w:t>
      </w:r>
      <w:r w:rsidR="00875723" w:rsidRPr="00C935EF">
        <w:rPr>
          <w:bCs/>
          <w:spacing w:val="-3"/>
          <w:sz w:val="22"/>
          <w:szCs w:val="22"/>
        </w:rPr>
        <w:t>Vídeňská 188/119d, 619 00 Brno – Dolní Heršpice</w:t>
      </w:r>
      <w:r w:rsidRPr="005D0DAD">
        <w:rPr>
          <w:bCs/>
          <w:sz w:val="22"/>
          <w:szCs w:val="22"/>
          <w:lang w:val="sk-SK"/>
        </w:rPr>
        <w:t>, Česká republika</w:t>
      </w:r>
    </w:p>
    <w:p w:rsidR="002F32D7" w:rsidRPr="005D0DAD" w:rsidRDefault="002F32D7" w:rsidP="005D0DAD">
      <w:pPr>
        <w:ind w:right="-341"/>
        <w:outlineLvl w:val="0"/>
        <w:rPr>
          <w:b/>
          <w:bCs/>
          <w:sz w:val="22"/>
          <w:szCs w:val="22"/>
          <w:lang w:val="sk-SK"/>
        </w:rPr>
      </w:pPr>
    </w:p>
    <w:p w:rsidR="002F32D7" w:rsidRPr="005D0DAD" w:rsidRDefault="002F32D7" w:rsidP="005D0DAD">
      <w:pPr>
        <w:ind w:right="-341"/>
        <w:outlineLvl w:val="0"/>
        <w:rPr>
          <w:sz w:val="22"/>
          <w:szCs w:val="22"/>
          <w:lang w:val="sk-SK"/>
        </w:rPr>
      </w:pPr>
      <w:r w:rsidRPr="005D0DAD">
        <w:rPr>
          <w:b/>
          <w:bCs/>
          <w:sz w:val="22"/>
          <w:szCs w:val="22"/>
          <w:lang w:val="sk-SK"/>
        </w:rPr>
        <w:t xml:space="preserve">Výrobca: </w:t>
      </w:r>
      <w:r w:rsidRPr="005D0DAD">
        <w:rPr>
          <w:sz w:val="22"/>
          <w:szCs w:val="22"/>
          <w:lang w:val="sk-SK"/>
        </w:rPr>
        <w:t>Wrafton Laboratories Ltd., Wrafton, Braunton, N. Devon, Veľká Británia</w:t>
      </w:r>
    </w:p>
    <w:p w:rsidR="002F32D7" w:rsidRPr="005D0DAD" w:rsidRDefault="002F32D7" w:rsidP="005D0DAD">
      <w:pPr>
        <w:ind w:right="-341"/>
        <w:outlineLvl w:val="0"/>
        <w:rPr>
          <w:b/>
          <w:bCs/>
          <w:sz w:val="22"/>
          <w:szCs w:val="22"/>
          <w:lang w:val="sk-SK"/>
        </w:rPr>
      </w:pPr>
    </w:p>
    <w:p w:rsidR="002F32D7" w:rsidRPr="005D0DAD" w:rsidRDefault="002F32D7" w:rsidP="005D0DAD">
      <w:pPr>
        <w:ind w:right="-341"/>
        <w:outlineLvl w:val="0"/>
        <w:rPr>
          <w:b/>
          <w:bCs/>
          <w:sz w:val="22"/>
          <w:szCs w:val="22"/>
          <w:lang w:val="sk-SK"/>
        </w:rPr>
      </w:pPr>
      <w:r w:rsidRPr="005D0DAD">
        <w:rPr>
          <w:b/>
          <w:bCs/>
          <w:sz w:val="22"/>
          <w:szCs w:val="22"/>
          <w:lang w:val="sk-SK"/>
        </w:rPr>
        <w:t>Zloženie</w:t>
      </w:r>
    </w:p>
    <w:p w:rsidR="002F32D7" w:rsidRPr="005D0DAD" w:rsidRDefault="002F32D7" w:rsidP="005D0DAD">
      <w:pPr>
        <w:ind w:right="-2"/>
        <w:rPr>
          <w:b/>
          <w:bCs/>
          <w:sz w:val="22"/>
          <w:szCs w:val="22"/>
          <w:lang w:val="sk-SK"/>
        </w:rPr>
      </w:pPr>
      <w:r w:rsidRPr="005D0DAD">
        <w:rPr>
          <w:b/>
          <w:bCs/>
          <w:sz w:val="22"/>
          <w:szCs w:val="22"/>
          <w:lang w:val="sk-SK"/>
        </w:rPr>
        <w:t>Liečivá -</w:t>
      </w:r>
      <w:r w:rsidRPr="005D0DAD">
        <w:rPr>
          <w:sz w:val="22"/>
          <w:szCs w:val="22"/>
          <w:lang w:val="sk-SK"/>
        </w:rPr>
        <w:t xml:space="preserve"> paracetamolum (paracetamol) 1 000 mg, promethazini hydrochloridum (prometazínium-chlorid) 20 mg, dextromethorphani hydrobromidum monohydricum (monohydrát dextrometorfánium-bromidu) 15 mg v 1 dávke 20 ml.</w:t>
      </w:r>
    </w:p>
    <w:p w:rsidR="002F32D7" w:rsidRPr="005D0DAD" w:rsidRDefault="002F32D7" w:rsidP="005D0DAD">
      <w:pPr>
        <w:rPr>
          <w:sz w:val="22"/>
          <w:szCs w:val="22"/>
          <w:lang w:val="sk-SK"/>
        </w:rPr>
      </w:pPr>
      <w:r w:rsidRPr="005D0DAD">
        <w:rPr>
          <w:b/>
          <w:bCs/>
          <w:sz w:val="22"/>
          <w:szCs w:val="22"/>
          <w:lang w:val="sk-SK"/>
        </w:rPr>
        <w:t xml:space="preserve">Pomocné látky – </w:t>
      </w:r>
      <w:r w:rsidRPr="005D0DAD">
        <w:rPr>
          <w:sz w:val="22"/>
          <w:szCs w:val="22"/>
          <w:lang w:val="sk-SK"/>
        </w:rPr>
        <w:t xml:space="preserve">glucosum liquidum (roztok glukózy), ethanolum 96 % (etanol 96 %), macrogolum 300 (makrogol 300), natrii cyclamas (nátriumcyklamát), acesulfamum kalicum (draselná soľ acesulfámu), natrii citras dihydricus (trinátriumcitrát), acidum ascorbicum (kyselina askorbová), dinatrii edetas (dinátriumedetát), aroma (aróma), flavum quinolini (chinolínová žltá), ceruleum protectum V (patentová modrá V), aqua purificata (čistená voda). </w:t>
      </w:r>
    </w:p>
    <w:p w:rsidR="002F32D7" w:rsidRPr="005D0DAD" w:rsidRDefault="002F32D7" w:rsidP="005D0DAD">
      <w:pPr>
        <w:rPr>
          <w:sz w:val="22"/>
          <w:szCs w:val="22"/>
          <w:lang w:val="sk-SK"/>
        </w:rPr>
      </w:pPr>
      <w:r w:rsidRPr="005D0DAD">
        <w:rPr>
          <w:sz w:val="22"/>
          <w:szCs w:val="22"/>
          <w:lang w:val="sk-SK"/>
        </w:rPr>
        <w:t xml:space="preserve">Jedna dávka 20 ml obsahuje 12,8 ml roztoku glukózy a 37 mg sodíka. </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 xml:space="preserve">Farmakoterapeutická skupina: </w:t>
      </w:r>
      <w:r w:rsidRPr="005D0DAD">
        <w:rPr>
          <w:sz w:val="22"/>
          <w:szCs w:val="22"/>
          <w:lang w:val="sk-SK"/>
        </w:rPr>
        <w:t>analgetikum, antipyretikum</w:t>
      </w:r>
    </w:p>
    <w:p w:rsidR="002F32D7" w:rsidRPr="005D0DAD" w:rsidRDefault="002F32D7" w:rsidP="005D0DAD">
      <w:pPr>
        <w:rPr>
          <w:b/>
          <w:bCs/>
          <w:sz w:val="22"/>
          <w:szCs w:val="22"/>
          <w:lang w:val="sk-SK"/>
        </w:rPr>
      </w:pPr>
    </w:p>
    <w:p w:rsidR="002F32D7" w:rsidRPr="005D0DAD" w:rsidRDefault="002F32D7" w:rsidP="00F2672D">
      <w:pPr>
        <w:rPr>
          <w:sz w:val="22"/>
          <w:szCs w:val="22"/>
          <w:lang w:val="sk-SK"/>
        </w:rPr>
      </w:pPr>
      <w:r w:rsidRPr="005D0DAD">
        <w:rPr>
          <w:b/>
          <w:bCs/>
          <w:sz w:val="22"/>
          <w:szCs w:val="22"/>
          <w:lang w:val="sk-SK"/>
        </w:rPr>
        <w:t xml:space="preserve">Charakteristika: </w:t>
      </w:r>
      <w:r w:rsidR="00F2672D">
        <w:rPr>
          <w:sz w:val="22"/>
          <w:szCs w:val="22"/>
          <w:lang w:val="sk-SK"/>
        </w:rPr>
        <w:t>Coldrex</w:t>
      </w:r>
      <w:r w:rsidR="00F2672D">
        <w:rPr>
          <w:sz w:val="22"/>
          <w:szCs w:val="22"/>
          <w:vertAlign w:val="superscript"/>
          <w:lang w:val="sk-SK"/>
        </w:rPr>
        <w:t xml:space="preserve"> </w:t>
      </w:r>
      <w:r w:rsidR="00F2672D">
        <w:rPr>
          <w:sz w:val="22"/>
          <w:szCs w:val="22"/>
          <w:lang w:val="sk-SK"/>
        </w:rPr>
        <w:t>Nočná Liečba</w:t>
      </w:r>
      <w:r w:rsidR="0056708A">
        <w:rPr>
          <w:bCs/>
          <w:sz w:val="22"/>
          <w:szCs w:val="22"/>
          <w:lang w:val="sk-SK"/>
        </w:rPr>
        <w:t xml:space="preserve"> </w:t>
      </w:r>
      <w:r w:rsidRPr="005D0DAD">
        <w:rPr>
          <w:sz w:val="22"/>
          <w:szCs w:val="22"/>
          <w:lang w:val="sk-SK"/>
        </w:rPr>
        <w:t>je</w:t>
      </w:r>
      <w:r w:rsidRPr="005D0DAD">
        <w:rPr>
          <w:b/>
          <w:bCs/>
          <w:sz w:val="22"/>
          <w:szCs w:val="22"/>
          <w:lang w:val="sk-SK"/>
        </w:rPr>
        <w:t xml:space="preserve"> </w:t>
      </w:r>
      <w:r w:rsidRPr="005D0DAD">
        <w:rPr>
          <w:sz w:val="22"/>
          <w:szCs w:val="22"/>
          <w:lang w:val="sk-SK"/>
        </w:rPr>
        <w:t>sirup určený na nočnú liečbu pri chrípke a</w:t>
      </w:r>
      <w:r w:rsidR="004C777E">
        <w:rPr>
          <w:sz w:val="22"/>
          <w:szCs w:val="22"/>
          <w:lang w:val="sk-SK"/>
        </w:rPr>
        <w:t> </w:t>
      </w:r>
      <w:r w:rsidRPr="005D0DAD">
        <w:rPr>
          <w:sz w:val="22"/>
          <w:szCs w:val="22"/>
          <w:lang w:val="sk-SK"/>
        </w:rPr>
        <w:t>prechladnutí u</w:t>
      </w:r>
      <w:r w:rsidR="00C736A1">
        <w:rPr>
          <w:sz w:val="22"/>
          <w:szCs w:val="22"/>
          <w:lang w:val="sk-SK"/>
        </w:rPr>
        <w:t> </w:t>
      </w:r>
      <w:r w:rsidRPr="005D0DAD">
        <w:rPr>
          <w:sz w:val="22"/>
          <w:szCs w:val="22"/>
          <w:lang w:val="sk-SK"/>
        </w:rPr>
        <w:t xml:space="preserve">dospelých a u detí od 12 rokov. Kombinácia troch liečivých látok odstraňuje nepríjemné príznaky sprevádzajúce chrípku a prechladnutie v nočnom období. Sirup </w:t>
      </w:r>
      <w:r w:rsidR="00F2672D">
        <w:rPr>
          <w:sz w:val="22"/>
          <w:szCs w:val="22"/>
          <w:lang w:val="sk-SK"/>
        </w:rPr>
        <w:t>Coldrex</w:t>
      </w:r>
      <w:r w:rsidR="00F2672D">
        <w:rPr>
          <w:sz w:val="22"/>
          <w:szCs w:val="22"/>
          <w:vertAlign w:val="superscript"/>
          <w:lang w:val="sk-SK"/>
        </w:rPr>
        <w:t xml:space="preserve"> </w:t>
      </w:r>
      <w:r w:rsidR="00F2672D">
        <w:rPr>
          <w:sz w:val="22"/>
          <w:szCs w:val="22"/>
          <w:lang w:val="sk-SK"/>
        </w:rPr>
        <w:t>Nočná Liečba</w:t>
      </w:r>
      <w:r w:rsidR="00C736A1">
        <w:rPr>
          <w:sz w:val="22"/>
          <w:szCs w:val="22"/>
          <w:lang w:val="sk-SK"/>
        </w:rPr>
        <w:t xml:space="preserve"> </w:t>
      </w:r>
      <w:r w:rsidRPr="005D0DAD">
        <w:rPr>
          <w:sz w:val="22"/>
          <w:szCs w:val="22"/>
          <w:lang w:val="sk-SK"/>
        </w:rPr>
        <w:t>obsahuje paracetamol, liečivo proti bolesti a horúčke, prometazín, ktorý uvoľňuje upchatý nos a</w:t>
      </w:r>
      <w:r w:rsidR="00C736A1">
        <w:rPr>
          <w:sz w:val="22"/>
          <w:szCs w:val="22"/>
          <w:lang w:val="sk-SK"/>
        </w:rPr>
        <w:t> </w:t>
      </w:r>
      <w:r w:rsidRPr="005D0DAD">
        <w:rPr>
          <w:sz w:val="22"/>
          <w:szCs w:val="22"/>
          <w:lang w:val="sk-SK"/>
        </w:rPr>
        <w:t xml:space="preserve">uľahčuje tak dýchanie a dextrometorfán, ktorý tlmí suchý dráždivý kašeľ. </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Indikácie:</w:t>
      </w:r>
      <w:r w:rsidRPr="005D0DAD">
        <w:rPr>
          <w:sz w:val="22"/>
          <w:szCs w:val="22"/>
          <w:lang w:val="sk-SK"/>
        </w:rPr>
        <w:t xml:space="preserve"> </w:t>
      </w:r>
      <w:r w:rsidR="00F2672D">
        <w:rPr>
          <w:sz w:val="22"/>
          <w:szCs w:val="22"/>
          <w:lang w:val="sk-SK"/>
        </w:rPr>
        <w:t>Coldrex</w:t>
      </w:r>
      <w:r w:rsidR="00F2672D">
        <w:rPr>
          <w:sz w:val="22"/>
          <w:szCs w:val="22"/>
          <w:vertAlign w:val="superscript"/>
          <w:lang w:val="sk-SK"/>
        </w:rPr>
        <w:t xml:space="preserve"> </w:t>
      </w:r>
      <w:r w:rsidR="00F2672D">
        <w:rPr>
          <w:sz w:val="22"/>
          <w:szCs w:val="22"/>
          <w:lang w:val="sk-SK"/>
        </w:rPr>
        <w:t xml:space="preserve">Nočná Liečba </w:t>
      </w:r>
      <w:r w:rsidRPr="005D0DAD">
        <w:rPr>
          <w:i/>
          <w:iCs/>
          <w:sz w:val="22"/>
          <w:szCs w:val="22"/>
          <w:lang w:val="sk-SK"/>
        </w:rPr>
        <w:t>sirup</w:t>
      </w:r>
      <w:r w:rsidRPr="005D0DAD">
        <w:rPr>
          <w:b/>
          <w:bCs/>
          <w:sz w:val="22"/>
          <w:szCs w:val="22"/>
          <w:lang w:val="sk-SK"/>
        </w:rPr>
        <w:t xml:space="preserve"> </w:t>
      </w:r>
      <w:r w:rsidRPr="005D0DAD">
        <w:rPr>
          <w:sz w:val="22"/>
          <w:szCs w:val="22"/>
          <w:lang w:val="sk-SK"/>
        </w:rPr>
        <w:t xml:space="preserve">je určený dospelým a deťom od 12 rokov na úľavu od nepríjemných príznakov chrípky a prechladnutia počas noci. </w:t>
      </w:r>
    </w:p>
    <w:p w:rsidR="002F32D7" w:rsidRPr="005D0DAD" w:rsidRDefault="002F32D7" w:rsidP="005D0DAD">
      <w:pPr>
        <w:rPr>
          <w:b/>
          <w:bCs/>
          <w:sz w:val="22"/>
          <w:szCs w:val="22"/>
          <w:lang w:val="sk-SK"/>
        </w:rPr>
      </w:pPr>
      <w:r w:rsidRPr="00B67203">
        <w:rPr>
          <w:iCs/>
          <w:sz w:val="22"/>
          <w:szCs w:val="22"/>
          <w:lang w:val="sk-SK"/>
        </w:rPr>
        <w:t xml:space="preserve">Liek </w:t>
      </w:r>
      <w:r w:rsidR="00F2672D">
        <w:rPr>
          <w:sz w:val="22"/>
          <w:szCs w:val="22"/>
          <w:lang w:val="sk-SK"/>
        </w:rPr>
        <w:t>Coldrex</w:t>
      </w:r>
      <w:r w:rsidR="00F2672D">
        <w:rPr>
          <w:sz w:val="22"/>
          <w:szCs w:val="22"/>
          <w:vertAlign w:val="superscript"/>
          <w:lang w:val="sk-SK"/>
        </w:rPr>
        <w:t xml:space="preserve"> </w:t>
      </w:r>
      <w:r w:rsidR="00F2672D">
        <w:rPr>
          <w:sz w:val="22"/>
          <w:szCs w:val="22"/>
          <w:lang w:val="sk-SK"/>
        </w:rPr>
        <w:t xml:space="preserve">Nočná Liečba </w:t>
      </w:r>
      <w:r w:rsidRPr="005D0DAD">
        <w:rPr>
          <w:sz w:val="22"/>
          <w:szCs w:val="22"/>
          <w:lang w:val="sk-SK"/>
        </w:rPr>
        <w:t>odstraňuje bolesti hlavy, bolesti v krku a svalové bolesti, znižuje horúčku a triašku, uvoľňuje upchatý nos, tlmí suchý dráždivý kašeľ, a tým pomáha zaistiť nerušený spánok.</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 xml:space="preserve">Kontraindikácie: </w:t>
      </w:r>
      <w:r w:rsidR="00F2672D">
        <w:rPr>
          <w:sz w:val="22"/>
          <w:szCs w:val="22"/>
          <w:lang w:val="sk-SK"/>
        </w:rPr>
        <w:t>Coldrex</w:t>
      </w:r>
      <w:r w:rsidR="00F2672D">
        <w:rPr>
          <w:sz w:val="22"/>
          <w:szCs w:val="22"/>
          <w:vertAlign w:val="superscript"/>
          <w:lang w:val="sk-SK"/>
        </w:rPr>
        <w:t xml:space="preserve"> </w:t>
      </w:r>
      <w:r w:rsidR="00F2672D">
        <w:rPr>
          <w:sz w:val="22"/>
          <w:szCs w:val="22"/>
          <w:lang w:val="sk-SK"/>
        </w:rPr>
        <w:t xml:space="preserve">Nočná Liečba </w:t>
      </w:r>
      <w:r w:rsidRPr="005D0DAD">
        <w:rPr>
          <w:sz w:val="22"/>
          <w:szCs w:val="22"/>
          <w:lang w:val="sk-SK"/>
        </w:rPr>
        <w:t>sa nesmie užívať pri známej precitlivenosti na liečivá alebo pomocné látky. Vzhľadom na obsah liečiv sa nesmie podávať deťom do 12 rokov. Pacienti so zníženou funkciou pečene alebo obličiek, pacienti užívajúci súbežne alebo v posledných dvoch týždňoch lieky proti depresii a pacienti, ktorí majú problémy s požívaním alkoholu, nesmú liek užívať. Iba na odporúčanie lekára užívajú liek pacienti s prieduškovou astmou, epilepsiou, glaukómom (zelený zákal), pacienti s ochorením srdca, s ťažkosťami pri močení alebo so zväčšenou prostatou. Iba na odporúčanie lekára užívajú liek pacienti, ktorí súbežne užívajú lieky znižujúce zrážavosť krvi a</w:t>
      </w:r>
      <w:r w:rsidR="005D0DAD">
        <w:rPr>
          <w:sz w:val="22"/>
          <w:szCs w:val="22"/>
          <w:lang w:val="sk-SK"/>
        </w:rPr>
        <w:t> </w:t>
      </w:r>
      <w:r w:rsidRPr="005D0DAD">
        <w:rPr>
          <w:sz w:val="22"/>
          <w:szCs w:val="22"/>
          <w:lang w:val="sk-SK"/>
        </w:rPr>
        <w:t xml:space="preserve">lieky na úzkosť alebo poruchy spánku. Tehotné a dojčiace ženy sa musia pred užitím tohto lieku poradiť s lekárom. </w:t>
      </w:r>
    </w:p>
    <w:p w:rsidR="002F32D7" w:rsidRPr="005D0DAD" w:rsidRDefault="002F32D7" w:rsidP="005D0DAD">
      <w:pPr>
        <w:rPr>
          <w:b/>
          <w:bCs/>
          <w:sz w:val="22"/>
          <w:szCs w:val="22"/>
          <w:lang w:val="sk-SK"/>
        </w:rPr>
      </w:pPr>
    </w:p>
    <w:p w:rsidR="002F32D7" w:rsidRDefault="002F32D7" w:rsidP="005D0DAD">
      <w:pPr>
        <w:rPr>
          <w:sz w:val="22"/>
          <w:szCs w:val="22"/>
          <w:lang w:val="sk-SK"/>
        </w:rPr>
      </w:pPr>
      <w:r w:rsidRPr="005D0DAD">
        <w:rPr>
          <w:b/>
          <w:bCs/>
          <w:sz w:val="22"/>
          <w:szCs w:val="22"/>
          <w:lang w:val="sk-SK"/>
        </w:rPr>
        <w:t>Nežiaduce účinky:</w:t>
      </w:r>
      <w:r w:rsidRPr="005D0DAD">
        <w:rPr>
          <w:sz w:val="22"/>
          <w:szCs w:val="22"/>
          <w:lang w:val="sk-SK"/>
        </w:rPr>
        <w:t xml:space="preserve"> Nežiaduce účinky tohto lieku sú pri dodržiavaní odporúčaného dávkovania a</w:t>
      </w:r>
      <w:r w:rsidR="005D0DAD">
        <w:rPr>
          <w:sz w:val="22"/>
          <w:szCs w:val="22"/>
          <w:lang w:val="sk-SK"/>
        </w:rPr>
        <w:t> </w:t>
      </w:r>
      <w:r w:rsidRPr="005D0DAD">
        <w:rPr>
          <w:sz w:val="22"/>
          <w:szCs w:val="22"/>
          <w:lang w:val="sk-SK"/>
        </w:rPr>
        <w:t xml:space="preserve">spôsobu použitia zriedkavé. Najčastejšie sa objavuje únava a ospalosť, obzvlášť pri nedostatočne dlhom nočnom spánku. Ojedinele sa môže objaviť kožná vyrážka, zvýšená citlivosť na slnečné žiarenie, suchosť v ústach, zastreté videnie, nepokoj a závrat, nevoľnosť alebo sťažené močenie. Pri výskyte týchto nežiaducich účinkov alebo iných neobvyklých reakcií prerušte užívanie lieku a poraďte sa s lekárom alebo lekárnikom. </w:t>
      </w:r>
    </w:p>
    <w:p w:rsidR="00875723" w:rsidRPr="005D0DAD" w:rsidRDefault="00875723" w:rsidP="005D0DAD">
      <w:pPr>
        <w:rPr>
          <w:b/>
          <w:bCs/>
          <w:sz w:val="22"/>
          <w:szCs w:val="22"/>
          <w:lang w:val="sk-SK"/>
        </w:rPr>
      </w:pPr>
    </w:p>
    <w:p w:rsidR="002F32D7" w:rsidRPr="005D0DAD" w:rsidRDefault="002F32D7" w:rsidP="005D0DAD">
      <w:pPr>
        <w:rPr>
          <w:b/>
          <w:bCs/>
          <w:sz w:val="22"/>
          <w:szCs w:val="22"/>
          <w:lang w:val="sk-SK"/>
        </w:rPr>
      </w:pPr>
    </w:p>
    <w:p w:rsidR="002F32D7" w:rsidRPr="005D0DAD" w:rsidRDefault="002F32D7" w:rsidP="005D0DAD">
      <w:pPr>
        <w:rPr>
          <w:b/>
          <w:bCs/>
          <w:sz w:val="22"/>
          <w:szCs w:val="22"/>
          <w:lang w:val="sk-SK"/>
        </w:rPr>
      </w:pPr>
      <w:r w:rsidRPr="005D0DAD">
        <w:rPr>
          <w:b/>
          <w:bCs/>
          <w:sz w:val="22"/>
          <w:szCs w:val="22"/>
          <w:lang w:val="sk-SK"/>
        </w:rPr>
        <w:lastRenderedPageBreak/>
        <w:t xml:space="preserve">Interakcie: </w:t>
      </w:r>
      <w:r w:rsidRPr="005D0DAD">
        <w:rPr>
          <w:sz w:val="22"/>
          <w:szCs w:val="22"/>
          <w:lang w:val="sk-SK"/>
        </w:rPr>
        <w:t xml:space="preserve">Účinky lieku </w:t>
      </w:r>
      <w:r w:rsidR="00F2672D">
        <w:rPr>
          <w:sz w:val="22"/>
          <w:szCs w:val="22"/>
          <w:lang w:val="sk-SK"/>
        </w:rPr>
        <w:t>Coldrex</w:t>
      </w:r>
      <w:r w:rsidR="00F2672D">
        <w:rPr>
          <w:sz w:val="22"/>
          <w:szCs w:val="22"/>
          <w:vertAlign w:val="superscript"/>
          <w:lang w:val="sk-SK"/>
        </w:rPr>
        <w:t xml:space="preserve"> </w:t>
      </w:r>
      <w:r w:rsidR="00F2672D">
        <w:rPr>
          <w:sz w:val="22"/>
          <w:szCs w:val="22"/>
          <w:lang w:val="sk-SK"/>
        </w:rPr>
        <w:t xml:space="preserve">Nočná Liečba </w:t>
      </w:r>
      <w:r w:rsidRPr="005D0DAD">
        <w:rPr>
          <w:sz w:val="22"/>
          <w:szCs w:val="22"/>
          <w:lang w:val="sk-SK"/>
        </w:rPr>
        <w:t>a účinky iných súbežne užívaných liekov sa môžu vzájomne ovplyvňovať. Tento liek sa nesmie užívať súbežne s niektorými liekmi určenými na liečbu depresie (inhibítory MAO), pretože môže dôjsť k vzostupu krvného tlaku a horúčky. Súbežné dlhodobé užívanie tohto lieku a niektorých liekov na spanie, proti epilepsii, niektorých antibiotík a</w:t>
      </w:r>
      <w:r w:rsidR="005D0DAD">
        <w:rPr>
          <w:sz w:val="22"/>
          <w:szCs w:val="22"/>
          <w:lang w:val="sk-SK"/>
        </w:rPr>
        <w:t> </w:t>
      </w:r>
      <w:r w:rsidRPr="005D0DAD">
        <w:rPr>
          <w:sz w:val="22"/>
          <w:szCs w:val="22"/>
          <w:lang w:val="sk-SK"/>
        </w:rPr>
        <w:t>alkoholu môže spôsobiť poškodenie pečene. Súbežné užívanie lieku spolu s liekmi na spanie alebo upokojenie zvyšuje tlmivé účinky lieku.</w:t>
      </w:r>
      <w:r w:rsidRPr="005D0DAD">
        <w:rPr>
          <w:b/>
          <w:bCs/>
          <w:sz w:val="22"/>
          <w:szCs w:val="22"/>
          <w:lang w:val="sk-SK"/>
        </w:rPr>
        <w:t xml:space="preserve"> </w:t>
      </w:r>
    </w:p>
    <w:p w:rsidR="002F32D7" w:rsidRPr="005D0DAD" w:rsidRDefault="002F32D7" w:rsidP="005D0DAD">
      <w:pPr>
        <w:rPr>
          <w:b/>
          <w:bCs/>
          <w:sz w:val="22"/>
          <w:szCs w:val="22"/>
          <w:lang w:val="sk-SK"/>
        </w:rPr>
      </w:pPr>
    </w:p>
    <w:p w:rsidR="002F32D7" w:rsidRPr="005D0DAD" w:rsidRDefault="002F32D7" w:rsidP="005D0DAD">
      <w:pPr>
        <w:rPr>
          <w:b/>
          <w:bCs/>
          <w:sz w:val="22"/>
          <w:szCs w:val="22"/>
          <w:lang w:val="sk-SK"/>
        </w:rPr>
      </w:pPr>
      <w:r w:rsidRPr="005D0DAD">
        <w:rPr>
          <w:b/>
          <w:bCs/>
          <w:sz w:val="22"/>
          <w:szCs w:val="22"/>
          <w:lang w:val="sk-SK"/>
        </w:rPr>
        <w:t xml:space="preserve">Dávkovanie a spôsob podávania: </w:t>
      </w:r>
      <w:r w:rsidRPr="005D0DAD">
        <w:rPr>
          <w:sz w:val="22"/>
          <w:szCs w:val="22"/>
          <w:lang w:val="sk-SK"/>
        </w:rPr>
        <w:t>Dospelí a mladiství užívajú na noc 20 ml sirupu tesne pred spaním. Deťom od 12 do 15 rokov sa podáva na noc 10 ml sirupu tesne pred spaním. Odmerná nádobka sa naplní po značku 20 ml alebo 10 ml. Odmerná nádobka je súčasťou každého balenia. Na noc nepodávajte viac ako jednu dávku lieku. Neprekračujte odporúčané dávkovanie.</w:t>
      </w:r>
      <w:r w:rsidRPr="005D0DAD">
        <w:rPr>
          <w:b/>
          <w:bCs/>
          <w:sz w:val="22"/>
          <w:szCs w:val="22"/>
          <w:lang w:val="sk-SK"/>
        </w:rPr>
        <w:t xml:space="preserve"> </w:t>
      </w:r>
    </w:p>
    <w:p w:rsidR="002F32D7" w:rsidRPr="005D0DAD" w:rsidRDefault="002F32D7" w:rsidP="005D0DAD">
      <w:pPr>
        <w:rPr>
          <w:b/>
          <w:bCs/>
          <w:sz w:val="22"/>
          <w:szCs w:val="22"/>
          <w:lang w:val="sk-SK"/>
        </w:rPr>
      </w:pPr>
    </w:p>
    <w:p w:rsidR="002F32D7" w:rsidRDefault="002F32D7" w:rsidP="005D0DAD">
      <w:pPr>
        <w:rPr>
          <w:sz w:val="22"/>
          <w:szCs w:val="22"/>
          <w:lang w:val="sk-SK"/>
        </w:rPr>
      </w:pPr>
      <w:r w:rsidRPr="005D0DAD">
        <w:rPr>
          <w:b/>
          <w:bCs/>
          <w:sz w:val="22"/>
          <w:szCs w:val="22"/>
          <w:lang w:val="sk-SK"/>
        </w:rPr>
        <w:t>Upozornenie: Obsahuje paracetamol.</w:t>
      </w:r>
      <w:r w:rsidRPr="005D0DAD">
        <w:rPr>
          <w:sz w:val="22"/>
          <w:szCs w:val="22"/>
          <w:lang w:val="sk-SK"/>
        </w:rPr>
        <w:t xml:space="preserve"> Ak užívate súbežne iné lieky obsahujúce paracetamol (počas dňa), nesmiete prekročiť maximálnu dávku paracetamolu, ktorá je pre dospelých a mladistvých 4</w:t>
      </w:r>
      <w:r w:rsidR="005D0DAD">
        <w:rPr>
          <w:sz w:val="22"/>
          <w:szCs w:val="22"/>
          <w:lang w:val="sk-SK"/>
        </w:rPr>
        <w:t> </w:t>
      </w:r>
      <w:r w:rsidRPr="005D0DAD">
        <w:rPr>
          <w:sz w:val="22"/>
          <w:szCs w:val="22"/>
          <w:lang w:val="sk-SK"/>
        </w:rPr>
        <w:t>000</w:t>
      </w:r>
      <w:r w:rsidR="005D0DAD">
        <w:rPr>
          <w:sz w:val="22"/>
          <w:szCs w:val="22"/>
          <w:lang w:val="sk-SK"/>
        </w:rPr>
        <w:t> </w:t>
      </w:r>
      <w:r w:rsidRPr="005D0DAD">
        <w:rPr>
          <w:sz w:val="22"/>
          <w:szCs w:val="22"/>
          <w:lang w:val="sk-SK"/>
        </w:rPr>
        <w:t xml:space="preserve">mg a pre deti od 12 do 15 rokov 1 500 mg. Užívanie vyšších než odporúčaných dávok môže viesť k riziku závažného poškodenia pečene. Ak užívate iné lieky na prechladnutie, proti kašľu alebo lieky uvoľňujúce upchatý nos, poraďte sa o vhodnosti užívania lieku </w:t>
      </w:r>
      <w:r w:rsidR="00F2672D">
        <w:rPr>
          <w:sz w:val="22"/>
          <w:szCs w:val="22"/>
          <w:lang w:val="sk-SK"/>
        </w:rPr>
        <w:t>Coldrex</w:t>
      </w:r>
      <w:r w:rsidR="00F2672D">
        <w:rPr>
          <w:sz w:val="22"/>
          <w:szCs w:val="22"/>
          <w:vertAlign w:val="superscript"/>
          <w:lang w:val="sk-SK"/>
        </w:rPr>
        <w:t xml:space="preserve"> </w:t>
      </w:r>
      <w:r w:rsidR="00F2672D">
        <w:rPr>
          <w:sz w:val="22"/>
          <w:szCs w:val="22"/>
          <w:lang w:val="sk-SK"/>
        </w:rPr>
        <w:t xml:space="preserve">Nočná Liečba </w:t>
      </w:r>
      <w:r w:rsidRPr="005D0DAD">
        <w:rPr>
          <w:sz w:val="22"/>
          <w:szCs w:val="22"/>
          <w:lang w:val="sk-SK"/>
        </w:rPr>
        <w:t>s</w:t>
      </w:r>
      <w:r w:rsidR="005D0DAD">
        <w:rPr>
          <w:sz w:val="22"/>
          <w:szCs w:val="22"/>
          <w:lang w:val="sk-SK"/>
        </w:rPr>
        <w:t> </w:t>
      </w:r>
      <w:r w:rsidRPr="005D0DAD">
        <w:rPr>
          <w:sz w:val="22"/>
          <w:szCs w:val="22"/>
          <w:lang w:val="sk-SK"/>
        </w:rPr>
        <w:t>lekárom alebo lekárnikom. Ak sa príznaky ochorenia do 3 dní nezlepšia (horúčka, bolesť), poraďte sa s</w:t>
      </w:r>
      <w:r w:rsidR="00C736A1">
        <w:rPr>
          <w:sz w:val="22"/>
          <w:szCs w:val="22"/>
          <w:lang w:val="sk-SK"/>
        </w:rPr>
        <w:t> </w:t>
      </w:r>
      <w:r w:rsidRPr="005D0DAD">
        <w:rPr>
          <w:sz w:val="22"/>
          <w:szCs w:val="22"/>
          <w:lang w:val="sk-SK"/>
        </w:rPr>
        <w:t xml:space="preserve">lekárom. Bez konzultácie s lekárom neužívajte liek dlhšie než 7 dní. </w:t>
      </w:r>
    </w:p>
    <w:p w:rsidR="005D0DAD" w:rsidRPr="005D0DAD" w:rsidRDefault="005D0DAD" w:rsidP="005D0DAD">
      <w:pPr>
        <w:rPr>
          <w:sz w:val="22"/>
          <w:szCs w:val="22"/>
          <w:lang w:val="sk-SK"/>
        </w:rPr>
      </w:pPr>
    </w:p>
    <w:p w:rsidR="002F32D7" w:rsidRPr="005D0DAD" w:rsidRDefault="00F2672D" w:rsidP="005D0DAD">
      <w:pPr>
        <w:rPr>
          <w:b/>
          <w:bCs/>
          <w:sz w:val="22"/>
          <w:szCs w:val="22"/>
          <w:lang w:val="sk-SK"/>
        </w:rPr>
      </w:pPr>
      <w:r>
        <w:rPr>
          <w:sz w:val="22"/>
          <w:szCs w:val="22"/>
          <w:lang w:val="sk-SK"/>
        </w:rPr>
        <w:t>Coldrex</w:t>
      </w:r>
      <w:r>
        <w:rPr>
          <w:sz w:val="22"/>
          <w:szCs w:val="22"/>
          <w:vertAlign w:val="superscript"/>
          <w:lang w:val="sk-SK"/>
        </w:rPr>
        <w:t xml:space="preserve"> </w:t>
      </w:r>
      <w:r>
        <w:rPr>
          <w:sz w:val="22"/>
          <w:szCs w:val="22"/>
          <w:lang w:val="sk-SK"/>
        </w:rPr>
        <w:t xml:space="preserve">Nočná Liečba </w:t>
      </w:r>
      <w:r w:rsidR="002F32D7" w:rsidRPr="005D0DAD">
        <w:rPr>
          <w:sz w:val="22"/>
          <w:szCs w:val="22"/>
          <w:lang w:val="sk-SK"/>
        </w:rPr>
        <w:t>môže skresliť výsledok tehotenského testu vyšetrovaného z moču.</w:t>
      </w:r>
    </w:p>
    <w:p w:rsidR="002F32D7" w:rsidRPr="005D0DAD" w:rsidRDefault="002F32D7" w:rsidP="005D0DAD">
      <w:pPr>
        <w:rPr>
          <w:sz w:val="22"/>
          <w:szCs w:val="22"/>
          <w:lang w:val="sk-SK"/>
        </w:rPr>
      </w:pPr>
      <w:r w:rsidRPr="005D0DAD">
        <w:rPr>
          <w:sz w:val="22"/>
          <w:szCs w:val="22"/>
          <w:lang w:val="sk-SK"/>
        </w:rPr>
        <w:t xml:space="preserve">Tento liek obsahuje malé množstvo alkoholu, menej ako 100 mg v jednej dávke. Ak Vám lekár povedal, že neznášate niektoré cukry, poraďte sa so svojím lekárom, skôr ako začnete tento liek užívať. </w:t>
      </w:r>
      <w:r w:rsidRPr="005D0DAD">
        <w:rPr>
          <w:spacing w:val="-3"/>
          <w:sz w:val="22"/>
          <w:szCs w:val="22"/>
          <w:lang w:val="cs-CZ"/>
        </w:rPr>
        <w:t xml:space="preserve">Jedna dávka (20 ml) obsahuje tiež 12,8 ml roztoku glukózy, čo musia vziať do úvahy pacienti s cukrovkou (diabetes mellitus). </w:t>
      </w:r>
      <w:r w:rsidRPr="005D0DAD">
        <w:rPr>
          <w:sz w:val="22"/>
          <w:szCs w:val="22"/>
          <w:lang w:val="sk-SK"/>
        </w:rPr>
        <w:t>Tento liek obsahuje 37 mg sodíka v jednej dávke. Je nutné vziať do úvahy u pacientov s diétou s nízkym obsahom sodíka.</w:t>
      </w:r>
    </w:p>
    <w:p w:rsidR="002F32D7" w:rsidRPr="005D0DAD" w:rsidRDefault="002F32D7" w:rsidP="005D0DAD">
      <w:pPr>
        <w:rPr>
          <w:sz w:val="22"/>
          <w:szCs w:val="22"/>
          <w:lang w:val="sk-SK"/>
        </w:rPr>
      </w:pPr>
      <w:r w:rsidRPr="005D0DAD">
        <w:rPr>
          <w:sz w:val="22"/>
          <w:szCs w:val="22"/>
          <w:lang w:val="sk-SK"/>
        </w:rPr>
        <w:t xml:space="preserve">Počas liečby týmto liekom nepožívajte alkohol. Pri nedostatočne dlhom spánku môže liek ovplyvniť pozornosť a schopnosť sústredenia. O prípadnom vedení motorových vozidiel alebo obsluhe strojov sa poraďte s lekárom. Pri predávkovaní alebo pri náhodnom užití lieku dieťaťom ihneď vyhľadajte lekára. </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 xml:space="preserve">Uchovávanie: </w:t>
      </w:r>
      <w:r w:rsidRPr="005D0DAD">
        <w:rPr>
          <w:sz w:val="22"/>
          <w:szCs w:val="22"/>
          <w:lang w:val="sk-SK"/>
        </w:rPr>
        <w:t>Uchovávajte pri teplote do 25</w:t>
      </w:r>
      <w:r w:rsidR="008A0AFE">
        <w:rPr>
          <w:sz w:val="22"/>
          <w:szCs w:val="22"/>
          <w:lang w:val="sk-SK"/>
        </w:rPr>
        <w:t> </w:t>
      </w:r>
      <w:r w:rsidRPr="005D0DAD">
        <w:rPr>
          <w:sz w:val="22"/>
          <w:szCs w:val="22"/>
          <w:lang w:val="sk-SK"/>
        </w:rPr>
        <w:t>°C.</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 xml:space="preserve">Varovanie: </w:t>
      </w:r>
      <w:r w:rsidRPr="005D0DAD">
        <w:rPr>
          <w:sz w:val="22"/>
          <w:szCs w:val="22"/>
          <w:lang w:val="sk-SK"/>
        </w:rPr>
        <w:t>Používajte len do času použiteľnosti vyznačenom na obale.</w:t>
      </w:r>
      <w:r w:rsidRPr="005D0DAD">
        <w:rPr>
          <w:b/>
          <w:bCs/>
          <w:sz w:val="22"/>
          <w:szCs w:val="22"/>
          <w:lang w:val="sk-SK"/>
        </w:rPr>
        <w:t xml:space="preserve"> </w:t>
      </w:r>
      <w:r w:rsidRPr="005D0DAD">
        <w:rPr>
          <w:sz w:val="22"/>
          <w:szCs w:val="22"/>
          <w:lang w:val="sk-SK"/>
        </w:rPr>
        <w:t>Liek uchovávajte mimo dosahu a dohľadu detí.</w:t>
      </w:r>
    </w:p>
    <w:p w:rsidR="002F32D7" w:rsidRPr="005D0DAD" w:rsidRDefault="002F32D7" w:rsidP="005D0DAD">
      <w:pPr>
        <w:rPr>
          <w:b/>
          <w:bCs/>
          <w:sz w:val="22"/>
          <w:szCs w:val="22"/>
          <w:lang w:val="sk-SK"/>
        </w:rPr>
      </w:pPr>
    </w:p>
    <w:p w:rsidR="002F32D7" w:rsidRPr="005D0DAD" w:rsidRDefault="002F32D7" w:rsidP="005D0DAD">
      <w:pPr>
        <w:rPr>
          <w:sz w:val="22"/>
          <w:szCs w:val="22"/>
          <w:lang w:val="sk-SK"/>
        </w:rPr>
      </w:pPr>
      <w:r w:rsidRPr="005D0DAD">
        <w:rPr>
          <w:b/>
          <w:bCs/>
          <w:sz w:val="22"/>
          <w:szCs w:val="22"/>
          <w:lang w:val="sk-SK"/>
        </w:rPr>
        <w:t xml:space="preserve">Balenie: </w:t>
      </w:r>
      <w:r w:rsidRPr="005D0DAD">
        <w:rPr>
          <w:sz w:val="22"/>
          <w:szCs w:val="22"/>
          <w:lang w:val="sk-SK"/>
        </w:rPr>
        <w:t>100 ml,</w:t>
      </w:r>
      <w:r w:rsidRPr="005D0DAD">
        <w:rPr>
          <w:b/>
          <w:bCs/>
          <w:sz w:val="22"/>
          <w:szCs w:val="22"/>
          <w:lang w:val="sk-SK"/>
        </w:rPr>
        <w:t xml:space="preserve"> </w:t>
      </w:r>
      <w:r w:rsidRPr="005D0DAD">
        <w:rPr>
          <w:sz w:val="22"/>
          <w:szCs w:val="22"/>
          <w:lang w:val="sk-SK"/>
        </w:rPr>
        <w:t>160 ml sirupu</w:t>
      </w:r>
    </w:p>
    <w:p w:rsidR="002F32D7" w:rsidRPr="005D0DAD" w:rsidRDefault="002F32D7" w:rsidP="005D0DAD">
      <w:pPr>
        <w:outlineLvl w:val="0"/>
        <w:rPr>
          <w:b/>
          <w:bCs/>
          <w:sz w:val="22"/>
          <w:szCs w:val="22"/>
          <w:lang w:val="sk-SK"/>
        </w:rPr>
      </w:pPr>
    </w:p>
    <w:p w:rsidR="002F32D7" w:rsidRPr="005D0DAD" w:rsidRDefault="002F32D7" w:rsidP="005D0DAD">
      <w:pPr>
        <w:outlineLvl w:val="0"/>
        <w:rPr>
          <w:sz w:val="22"/>
          <w:szCs w:val="22"/>
          <w:lang w:val="sk-SK"/>
        </w:rPr>
      </w:pPr>
      <w:r w:rsidRPr="005D0DAD">
        <w:rPr>
          <w:b/>
          <w:bCs/>
          <w:sz w:val="22"/>
          <w:szCs w:val="22"/>
          <w:lang w:val="sk-SK"/>
        </w:rPr>
        <w:t xml:space="preserve">Dátum poslednej revízie textu: </w:t>
      </w:r>
      <w:r w:rsidR="00D33263">
        <w:rPr>
          <w:b/>
          <w:bCs/>
          <w:sz w:val="22"/>
          <w:szCs w:val="22"/>
          <w:lang w:val="sk-SK"/>
        </w:rPr>
        <w:t>Apríl</w:t>
      </w:r>
      <w:r w:rsidR="00875723">
        <w:rPr>
          <w:b/>
          <w:bCs/>
          <w:sz w:val="22"/>
          <w:szCs w:val="22"/>
          <w:lang w:val="sk-SK"/>
        </w:rPr>
        <w:t xml:space="preserve"> 2018</w:t>
      </w:r>
    </w:p>
    <w:p w:rsidR="002F32D7" w:rsidRPr="005D0DAD" w:rsidRDefault="002F32D7" w:rsidP="005D0DAD">
      <w:pPr>
        <w:rPr>
          <w:sz w:val="22"/>
          <w:szCs w:val="22"/>
          <w:lang w:val="pl-PL"/>
        </w:rPr>
      </w:pPr>
    </w:p>
    <w:p w:rsidR="002F32D7" w:rsidRPr="005D0DAD" w:rsidRDefault="002F32D7" w:rsidP="005D0DAD">
      <w:pPr>
        <w:rPr>
          <w:sz w:val="22"/>
          <w:szCs w:val="22"/>
        </w:rPr>
      </w:pPr>
    </w:p>
    <w:sectPr w:rsidR="002F32D7" w:rsidRPr="005D0DAD" w:rsidSect="000A26ED">
      <w:headerReference w:type="default" r:id="rId6"/>
      <w:footerReference w:type="even" r:id="rId7"/>
      <w:footerReference w:type="default" r:id="rId8"/>
      <w:pgSz w:w="11906" w:h="16838"/>
      <w:pgMar w:top="1418" w:right="1418" w:bottom="1418" w:left="1418" w:header="708" w:footer="708" w:gutter="0"/>
      <w:pgNumType w:fmt="numberInDash"/>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D7" w:rsidRDefault="002F32D7" w:rsidP="000A26ED">
      <w:r>
        <w:separator/>
      </w:r>
    </w:p>
  </w:endnote>
  <w:endnote w:type="continuationSeparator" w:id="0">
    <w:p w:rsidR="002F32D7" w:rsidRDefault="002F32D7" w:rsidP="000A2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D7" w:rsidRDefault="008D1D24" w:rsidP="00794460">
    <w:pPr>
      <w:pStyle w:val="Pta"/>
      <w:framePr w:wrap="around" w:vAnchor="text" w:hAnchor="margin" w:xAlign="center" w:y="1"/>
      <w:rPr>
        <w:rStyle w:val="slostrany"/>
      </w:rPr>
    </w:pPr>
    <w:r>
      <w:rPr>
        <w:rStyle w:val="slostrany"/>
      </w:rPr>
      <w:fldChar w:fldCharType="begin"/>
    </w:r>
    <w:r w:rsidR="002F32D7">
      <w:rPr>
        <w:rStyle w:val="slostrany"/>
      </w:rPr>
      <w:instrText xml:space="preserve">PAGE  </w:instrText>
    </w:r>
    <w:r>
      <w:rPr>
        <w:rStyle w:val="slostrany"/>
      </w:rPr>
      <w:fldChar w:fldCharType="end"/>
    </w:r>
  </w:p>
  <w:p w:rsidR="002F32D7" w:rsidRDefault="002F32D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D7" w:rsidRPr="005D0DAD" w:rsidRDefault="008D1D24" w:rsidP="00802CE3">
    <w:pPr>
      <w:pStyle w:val="Pta"/>
      <w:framePr w:wrap="around" w:vAnchor="text" w:hAnchor="margin" w:xAlign="center" w:y="1"/>
      <w:rPr>
        <w:rStyle w:val="slostrany"/>
        <w:sz w:val="18"/>
        <w:szCs w:val="18"/>
      </w:rPr>
    </w:pPr>
    <w:r w:rsidRPr="005D0DAD">
      <w:rPr>
        <w:rStyle w:val="slostrany"/>
        <w:sz w:val="18"/>
        <w:szCs w:val="18"/>
      </w:rPr>
      <w:fldChar w:fldCharType="begin"/>
    </w:r>
    <w:r w:rsidR="002F32D7" w:rsidRPr="005D0DAD">
      <w:rPr>
        <w:rStyle w:val="slostrany"/>
        <w:sz w:val="18"/>
        <w:szCs w:val="18"/>
      </w:rPr>
      <w:instrText xml:space="preserve">PAGE  </w:instrText>
    </w:r>
    <w:r w:rsidRPr="005D0DAD">
      <w:rPr>
        <w:rStyle w:val="slostrany"/>
        <w:sz w:val="18"/>
        <w:szCs w:val="18"/>
      </w:rPr>
      <w:fldChar w:fldCharType="separate"/>
    </w:r>
    <w:r w:rsidR="00D33263">
      <w:rPr>
        <w:rStyle w:val="slostrany"/>
        <w:noProof/>
        <w:sz w:val="18"/>
        <w:szCs w:val="18"/>
      </w:rPr>
      <w:t>- 2 -</w:t>
    </w:r>
    <w:r w:rsidRPr="005D0DAD">
      <w:rPr>
        <w:rStyle w:val="slostrany"/>
        <w:sz w:val="18"/>
        <w:szCs w:val="18"/>
      </w:rPr>
      <w:fldChar w:fldCharType="end"/>
    </w:r>
  </w:p>
  <w:p w:rsidR="002F32D7" w:rsidRDefault="002F32D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D7" w:rsidRDefault="002F32D7" w:rsidP="000A26ED">
      <w:r>
        <w:separator/>
      </w:r>
    </w:p>
  </w:footnote>
  <w:footnote w:type="continuationSeparator" w:id="0">
    <w:p w:rsidR="002F32D7" w:rsidRDefault="002F32D7" w:rsidP="000A2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23" w:rsidRPr="009E69A1" w:rsidRDefault="00875723" w:rsidP="00875723">
    <w:pPr>
      <w:pStyle w:val="Hlavika"/>
      <w:rPr>
        <w:sz w:val="18"/>
        <w:szCs w:val="18"/>
      </w:rPr>
    </w:pPr>
    <w:r>
      <w:rPr>
        <w:sz w:val="18"/>
        <w:szCs w:val="18"/>
      </w:rPr>
      <w:t>Príloha č. 3 k notifikácii o zmene, ev. č.: 2017/04795-Z1A</w:t>
    </w:r>
  </w:p>
  <w:p w:rsidR="00875723" w:rsidRPr="00875723" w:rsidRDefault="00875723">
    <w:pPr>
      <w:pStyle w:val="Hlavika"/>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C328A4"/>
    <w:rsid w:val="0000153E"/>
    <w:rsid w:val="00016808"/>
    <w:rsid w:val="00026B91"/>
    <w:rsid w:val="000307C6"/>
    <w:rsid w:val="000A26ED"/>
    <w:rsid w:val="001454F0"/>
    <w:rsid w:val="001611EA"/>
    <w:rsid w:val="001C32CB"/>
    <w:rsid w:val="00233C6B"/>
    <w:rsid w:val="00240114"/>
    <w:rsid w:val="0026277D"/>
    <w:rsid w:val="002A0576"/>
    <w:rsid w:val="002F32D7"/>
    <w:rsid w:val="003409B0"/>
    <w:rsid w:val="00376001"/>
    <w:rsid w:val="003C30DF"/>
    <w:rsid w:val="003F53CA"/>
    <w:rsid w:val="00405148"/>
    <w:rsid w:val="0042222C"/>
    <w:rsid w:val="004C777E"/>
    <w:rsid w:val="0056708A"/>
    <w:rsid w:val="005D0DAD"/>
    <w:rsid w:val="005E2BFE"/>
    <w:rsid w:val="00613DAD"/>
    <w:rsid w:val="006D2CC7"/>
    <w:rsid w:val="00743B00"/>
    <w:rsid w:val="00794460"/>
    <w:rsid w:val="007A33CF"/>
    <w:rsid w:val="00802CE3"/>
    <w:rsid w:val="00840C4B"/>
    <w:rsid w:val="00875723"/>
    <w:rsid w:val="008A09F6"/>
    <w:rsid w:val="008A0AFE"/>
    <w:rsid w:val="008D1D24"/>
    <w:rsid w:val="008F0DE6"/>
    <w:rsid w:val="009010E3"/>
    <w:rsid w:val="00910730"/>
    <w:rsid w:val="00960C49"/>
    <w:rsid w:val="009A1E9F"/>
    <w:rsid w:val="009F6B47"/>
    <w:rsid w:val="00A975C6"/>
    <w:rsid w:val="00B30DBA"/>
    <w:rsid w:val="00B67203"/>
    <w:rsid w:val="00BC7B62"/>
    <w:rsid w:val="00BC7DE0"/>
    <w:rsid w:val="00BF0BD1"/>
    <w:rsid w:val="00C17B60"/>
    <w:rsid w:val="00C328A4"/>
    <w:rsid w:val="00C736A1"/>
    <w:rsid w:val="00D33263"/>
    <w:rsid w:val="00D57D87"/>
    <w:rsid w:val="00E55426"/>
    <w:rsid w:val="00EF6632"/>
    <w:rsid w:val="00F2672D"/>
    <w:rsid w:val="00FE438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28A4"/>
    <w:pPr>
      <w:spacing w:after="0" w:line="240" w:lineRule="auto"/>
    </w:pPr>
    <w:rPr>
      <w:rFonts w:ascii="Times New Roman" w:hAnsi="Times New Roman"/>
      <w:sz w:val="20"/>
      <w:szCs w:val="20"/>
      <w:lang w:val="en-GB"/>
    </w:rPr>
  </w:style>
  <w:style w:type="paragraph" w:styleId="Nadpis1">
    <w:name w:val="heading 1"/>
    <w:basedOn w:val="Normlny"/>
    <w:next w:val="Normlny"/>
    <w:link w:val="Nadpis1Char"/>
    <w:uiPriority w:val="99"/>
    <w:qFormat/>
    <w:rsid w:val="00C328A4"/>
    <w:pPr>
      <w:keepNext/>
      <w:jc w:val="both"/>
      <w:outlineLvl w:val="0"/>
    </w:pPr>
    <w:rPr>
      <w:rFonts w:ascii="Arial" w:hAnsi="Arial" w:cs="Arial"/>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328A4"/>
    <w:pPr>
      <w:tabs>
        <w:tab w:val="center" w:pos="4153"/>
        <w:tab w:val="right" w:pos="8306"/>
      </w:tabs>
    </w:pPr>
  </w:style>
  <w:style w:type="character" w:customStyle="1" w:styleId="Nadpis1Char">
    <w:name w:val="Nadpis 1 Char"/>
    <w:basedOn w:val="Predvolenpsmoodseku"/>
    <w:link w:val="Nadpis1"/>
    <w:uiPriority w:val="99"/>
    <w:locked/>
    <w:rsid w:val="00C328A4"/>
    <w:rPr>
      <w:rFonts w:ascii="Arial" w:hAnsi="Arial" w:cs="Arial"/>
      <w:b/>
      <w:bCs/>
      <w:sz w:val="20"/>
      <w:szCs w:val="20"/>
      <w:lang w:eastAsia="sk-SK"/>
    </w:rPr>
  </w:style>
  <w:style w:type="character" w:styleId="slostrany">
    <w:name w:val="page number"/>
    <w:basedOn w:val="Predvolenpsmoodseku"/>
    <w:uiPriority w:val="99"/>
    <w:rsid w:val="00C328A4"/>
    <w:rPr>
      <w:rFonts w:cs="Times New Roman"/>
    </w:rPr>
  </w:style>
  <w:style w:type="character" w:customStyle="1" w:styleId="PtaChar">
    <w:name w:val="Päta Char"/>
    <w:basedOn w:val="Predvolenpsmoodseku"/>
    <w:link w:val="Pta"/>
    <w:uiPriority w:val="99"/>
    <w:locked/>
    <w:rsid w:val="00C328A4"/>
    <w:rPr>
      <w:rFonts w:ascii="Times New Roman" w:hAnsi="Times New Roman" w:cs="Times New Roman"/>
      <w:sz w:val="20"/>
      <w:szCs w:val="20"/>
      <w:lang w:val="en-GB" w:eastAsia="sk-SK"/>
    </w:rPr>
  </w:style>
  <w:style w:type="paragraph" w:styleId="Hlavika">
    <w:name w:val="header"/>
    <w:basedOn w:val="Normlny"/>
    <w:link w:val="HlavikaChar"/>
    <w:uiPriority w:val="99"/>
    <w:semiHidden/>
    <w:rsid w:val="00C328A4"/>
    <w:pPr>
      <w:tabs>
        <w:tab w:val="center" w:pos="4536"/>
        <w:tab w:val="right" w:pos="9072"/>
      </w:tabs>
      <w:ind w:left="567" w:hanging="567"/>
    </w:pPr>
    <w:rPr>
      <w:sz w:val="22"/>
      <w:szCs w:val="24"/>
      <w:lang w:val="sk-SK"/>
    </w:rPr>
  </w:style>
  <w:style w:type="paragraph" w:styleId="Textbubliny">
    <w:name w:val="Balloon Text"/>
    <w:basedOn w:val="Normlny"/>
    <w:link w:val="TextbublinyChar"/>
    <w:uiPriority w:val="99"/>
    <w:semiHidden/>
    <w:rsid w:val="00C328A4"/>
    <w:rPr>
      <w:rFonts w:ascii="Tahoma" w:hAnsi="Tahoma" w:cs="Tahoma"/>
      <w:sz w:val="16"/>
      <w:szCs w:val="16"/>
    </w:rPr>
  </w:style>
  <w:style w:type="character" w:customStyle="1" w:styleId="HlavikaChar">
    <w:name w:val="Hlavička Char"/>
    <w:basedOn w:val="Predvolenpsmoodseku"/>
    <w:link w:val="Hlavika"/>
    <w:uiPriority w:val="99"/>
    <w:semiHidden/>
    <w:locked/>
    <w:rsid w:val="00C328A4"/>
    <w:rPr>
      <w:rFonts w:ascii="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locked/>
    <w:rsid w:val="00C328A4"/>
    <w:rPr>
      <w:rFonts w:ascii="Tahoma" w:hAnsi="Tahoma" w:cs="Tahoma"/>
      <w:sz w:val="16"/>
      <w:szCs w:val="16"/>
      <w:lang w:val="en-GB" w:eastAsia="sk-SK"/>
    </w:rPr>
  </w:style>
</w:styles>
</file>

<file path=word/webSettings.xml><?xml version="1.0" encoding="utf-8"?>
<w:webSettings xmlns:r="http://schemas.openxmlformats.org/officeDocument/2006/relationships" xmlns:w="http://schemas.openxmlformats.org/wordprocessingml/2006/main">
  <w:divs>
    <w:div w:id="21715148">
      <w:marLeft w:val="0"/>
      <w:marRight w:val="0"/>
      <w:marTop w:val="0"/>
      <w:marBottom w:val="0"/>
      <w:divBdr>
        <w:top w:val="none" w:sz="0" w:space="0" w:color="auto"/>
        <w:left w:val="none" w:sz="0" w:space="0" w:color="auto"/>
        <w:bottom w:val="none" w:sz="0" w:space="0" w:color="auto"/>
        <w:right w:val="none" w:sz="0" w:space="0" w:color="auto"/>
      </w:divBdr>
    </w:div>
    <w:div w:id="21715149">
      <w:marLeft w:val="0"/>
      <w:marRight w:val="0"/>
      <w:marTop w:val="0"/>
      <w:marBottom w:val="0"/>
      <w:divBdr>
        <w:top w:val="none" w:sz="0" w:space="0" w:color="auto"/>
        <w:left w:val="none" w:sz="0" w:space="0" w:color="auto"/>
        <w:bottom w:val="none" w:sz="0" w:space="0" w:color="auto"/>
        <w:right w:val="none" w:sz="0" w:space="0" w:color="auto"/>
      </w:divBdr>
    </w:div>
    <w:div w:id="21715150">
      <w:marLeft w:val="0"/>
      <w:marRight w:val="0"/>
      <w:marTop w:val="0"/>
      <w:marBottom w:val="0"/>
      <w:divBdr>
        <w:top w:val="none" w:sz="0" w:space="0" w:color="auto"/>
        <w:left w:val="none" w:sz="0" w:space="0" w:color="auto"/>
        <w:bottom w:val="none" w:sz="0" w:space="0" w:color="auto"/>
        <w:right w:val="none" w:sz="0" w:space="0" w:color="auto"/>
      </w:divBdr>
    </w:div>
    <w:div w:id="21715151">
      <w:marLeft w:val="0"/>
      <w:marRight w:val="0"/>
      <w:marTop w:val="0"/>
      <w:marBottom w:val="0"/>
      <w:divBdr>
        <w:top w:val="none" w:sz="0" w:space="0" w:color="auto"/>
        <w:left w:val="none" w:sz="0" w:space="0" w:color="auto"/>
        <w:bottom w:val="none" w:sz="0" w:space="0" w:color="auto"/>
        <w:right w:val="none" w:sz="0" w:space="0" w:color="auto"/>
      </w:divBdr>
    </w:div>
    <w:div w:id="21715152">
      <w:marLeft w:val="0"/>
      <w:marRight w:val="0"/>
      <w:marTop w:val="0"/>
      <w:marBottom w:val="0"/>
      <w:divBdr>
        <w:top w:val="none" w:sz="0" w:space="0" w:color="auto"/>
        <w:left w:val="none" w:sz="0" w:space="0" w:color="auto"/>
        <w:bottom w:val="none" w:sz="0" w:space="0" w:color="auto"/>
        <w:right w:val="none" w:sz="0" w:space="0" w:color="auto"/>
      </w:divBdr>
    </w:div>
    <w:div w:id="21715153">
      <w:marLeft w:val="0"/>
      <w:marRight w:val="0"/>
      <w:marTop w:val="0"/>
      <w:marBottom w:val="0"/>
      <w:divBdr>
        <w:top w:val="none" w:sz="0" w:space="0" w:color="auto"/>
        <w:left w:val="none" w:sz="0" w:space="0" w:color="auto"/>
        <w:bottom w:val="none" w:sz="0" w:space="0" w:color="auto"/>
        <w:right w:val="none" w:sz="0" w:space="0" w:color="auto"/>
      </w:divBdr>
    </w:div>
    <w:div w:id="21715154">
      <w:marLeft w:val="0"/>
      <w:marRight w:val="0"/>
      <w:marTop w:val="0"/>
      <w:marBottom w:val="0"/>
      <w:divBdr>
        <w:top w:val="none" w:sz="0" w:space="0" w:color="auto"/>
        <w:left w:val="none" w:sz="0" w:space="0" w:color="auto"/>
        <w:bottom w:val="none" w:sz="0" w:space="0" w:color="auto"/>
        <w:right w:val="none" w:sz="0" w:space="0" w:color="auto"/>
      </w:divBdr>
    </w:div>
    <w:div w:id="21715155">
      <w:marLeft w:val="0"/>
      <w:marRight w:val="0"/>
      <w:marTop w:val="0"/>
      <w:marBottom w:val="0"/>
      <w:divBdr>
        <w:top w:val="none" w:sz="0" w:space="0" w:color="auto"/>
        <w:left w:val="none" w:sz="0" w:space="0" w:color="auto"/>
        <w:bottom w:val="none" w:sz="0" w:space="0" w:color="auto"/>
        <w:right w:val="none" w:sz="0" w:space="0" w:color="auto"/>
      </w:divBdr>
    </w:div>
    <w:div w:id="21715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4932</Characters>
  <Application>Microsoft Office Word</Application>
  <DocSecurity>0</DocSecurity>
  <Lines>41</Lines>
  <Paragraphs>11</Paragraphs>
  <ScaleCrop>false</ScaleCrop>
  <Company>GlaxoSmithKline</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prevode, ev</dc:title>
  <dc:subject/>
  <dc:creator>kkk75302</dc:creator>
  <cp:keywords/>
  <dc:description/>
  <cp:lastModifiedBy>Andrea Krajčí</cp:lastModifiedBy>
  <cp:revision>8</cp:revision>
  <dcterms:created xsi:type="dcterms:W3CDTF">2018-02-07T14:48:00Z</dcterms:created>
  <dcterms:modified xsi:type="dcterms:W3CDTF">2018-04-19T11:04:00Z</dcterms:modified>
</cp:coreProperties>
</file>