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15C" w:rsidRPr="007C6FE4" w:rsidRDefault="000C015C" w:rsidP="000C015C">
      <w:pPr>
        <w:jc w:val="center"/>
        <w:rPr>
          <w:sz w:val="22"/>
          <w:szCs w:val="22"/>
        </w:rPr>
      </w:pPr>
      <w:bookmarkStart w:id="0" w:name="_GoBack"/>
      <w:bookmarkEnd w:id="0"/>
      <w:r w:rsidRPr="007C6FE4">
        <w:rPr>
          <w:b/>
          <w:sz w:val="22"/>
          <w:szCs w:val="22"/>
        </w:rPr>
        <w:t>Písomná informácia pre používateľa</w:t>
      </w:r>
    </w:p>
    <w:p w:rsidR="000C015C" w:rsidRPr="007C6FE4" w:rsidRDefault="000C015C" w:rsidP="000C015C">
      <w:pPr>
        <w:jc w:val="center"/>
        <w:rPr>
          <w:sz w:val="22"/>
          <w:szCs w:val="22"/>
        </w:rPr>
      </w:pPr>
    </w:p>
    <w:p w:rsidR="000C015C" w:rsidRPr="007C6FE4" w:rsidRDefault="000C015C" w:rsidP="000C015C">
      <w:pPr>
        <w:jc w:val="center"/>
        <w:rPr>
          <w:sz w:val="22"/>
          <w:szCs w:val="22"/>
        </w:rPr>
      </w:pPr>
      <w:r w:rsidRPr="007C6FE4">
        <w:rPr>
          <w:sz w:val="22"/>
          <w:szCs w:val="22"/>
        </w:rPr>
        <w:t>INDAPAMID SR Alkaloid-INT 1,5 mg</w:t>
      </w:r>
    </w:p>
    <w:p w:rsidR="000C015C" w:rsidRPr="007C6FE4" w:rsidRDefault="000C015C" w:rsidP="000C015C">
      <w:pPr>
        <w:jc w:val="center"/>
        <w:rPr>
          <w:sz w:val="22"/>
          <w:szCs w:val="22"/>
        </w:rPr>
      </w:pPr>
      <w:r w:rsidRPr="002B11A2">
        <w:rPr>
          <w:sz w:val="22"/>
          <w:szCs w:val="22"/>
        </w:rPr>
        <w:t xml:space="preserve"> tablety s predĺženým uvoľňovaním</w:t>
      </w:r>
      <w:r w:rsidRPr="007C6FE4">
        <w:rPr>
          <w:sz w:val="22"/>
          <w:szCs w:val="22"/>
        </w:rPr>
        <w:t xml:space="preserve"> </w:t>
      </w:r>
    </w:p>
    <w:p w:rsidR="000C015C" w:rsidRPr="007C6FE4" w:rsidRDefault="000C015C" w:rsidP="000C015C">
      <w:pPr>
        <w:numPr>
          <w:ilvl w:val="12"/>
          <w:numId w:val="0"/>
        </w:numPr>
        <w:jc w:val="center"/>
        <w:rPr>
          <w:sz w:val="22"/>
          <w:szCs w:val="22"/>
        </w:rPr>
      </w:pPr>
      <w:r w:rsidRPr="002B11A2">
        <w:rPr>
          <w:sz w:val="22"/>
          <w:szCs w:val="22"/>
        </w:rPr>
        <w:t>indapamid</w:t>
      </w:r>
    </w:p>
    <w:p w:rsidR="000C015C" w:rsidRPr="007C6FE4" w:rsidRDefault="000C015C" w:rsidP="000C015C">
      <w:pPr>
        <w:numPr>
          <w:ilvl w:val="12"/>
          <w:numId w:val="0"/>
        </w:numPr>
        <w:jc w:val="center"/>
        <w:rPr>
          <w:sz w:val="22"/>
          <w:szCs w:val="22"/>
        </w:rPr>
      </w:pPr>
    </w:p>
    <w:p w:rsidR="000C015C" w:rsidRPr="007C6FE4" w:rsidRDefault="000C015C" w:rsidP="000C015C">
      <w:pPr>
        <w:jc w:val="center"/>
        <w:rPr>
          <w:sz w:val="22"/>
          <w:szCs w:val="22"/>
        </w:rPr>
      </w:pPr>
    </w:p>
    <w:p w:rsidR="000C015C" w:rsidRPr="007C6FE4" w:rsidRDefault="000C015C" w:rsidP="000C015C">
      <w:pPr>
        <w:suppressAutoHyphens/>
        <w:rPr>
          <w:sz w:val="22"/>
          <w:szCs w:val="22"/>
        </w:rPr>
      </w:pPr>
      <w:r w:rsidRPr="002B11A2">
        <w:rPr>
          <w:b/>
          <w:sz w:val="22"/>
          <w:szCs w:val="22"/>
        </w:rPr>
        <w:t>Pozorne si prečítajte celú písomnú informáciu predtým, ako začnete užívať tento liek, pretože obsahuje pre vás dôležité informácie.</w:t>
      </w:r>
    </w:p>
    <w:p w:rsidR="000C015C" w:rsidRPr="007C6FE4" w:rsidRDefault="000C015C" w:rsidP="000C015C">
      <w:pPr>
        <w:numPr>
          <w:ilvl w:val="0"/>
          <w:numId w:val="1"/>
        </w:numPr>
        <w:ind w:left="567" w:right="-2" w:hanging="567"/>
        <w:rPr>
          <w:sz w:val="22"/>
          <w:szCs w:val="22"/>
        </w:rPr>
      </w:pPr>
      <w:r w:rsidRPr="002B11A2">
        <w:rPr>
          <w:sz w:val="22"/>
          <w:szCs w:val="22"/>
        </w:rPr>
        <w:t>Túto písomnú informáciu si uschovajte. Možno bude potrebné, aby ste si ju znovu prečítali.</w:t>
      </w:r>
    </w:p>
    <w:p w:rsidR="000C015C" w:rsidRPr="007C6FE4" w:rsidRDefault="000C015C" w:rsidP="000C015C">
      <w:pPr>
        <w:numPr>
          <w:ilvl w:val="0"/>
          <w:numId w:val="1"/>
        </w:numPr>
        <w:ind w:left="567" w:right="-2" w:hanging="567"/>
        <w:rPr>
          <w:sz w:val="22"/>
          <w:szCs w:val="22"/>
        </w:rPr>
      </w:pPr>
      <w:r w:rsidRPr="002B11A2">
        <w:rPr>
          <w:sz w:val="22"/>
          <w:szCs w:val="22"/>
        </w:rPr>
        <w:t>Ak máte akékoľvek ďalšie otázky, obráťte sa na svojho lekára alebo lekárnika.</w:t>
      </w:r>
    </w:p>
    <w:p w:rsidR="000C015C" w:rsidRPr="007C6FE4" w:rsidRDefault="000C015C" w:rsidP="000C015C">
      <w:pPr>
        <w:pStyle w:val="Odsekzoznamu"/>
        <w:numPr>
          <w:ilvl w:val="0"/>
          <w:numId w:val="1"/>
        </w:numPr>
        <w:tabs>
          <w:tab w:val="left" w:pos="540"/>
        </w:tabs>
        <w:spacing w:line="240" w:lineRule="auto"/>
        <w:ind w:left="540" w:right="-2" w:hanging="540"/>
        <w:rPr>
          <w:szCs w:val="22"/>
        </w:rPr>
      </w:pPr>
      <w:r w:rsidRPr="002B11A2">
        <w:rPr>
          <w:szCs w:val="22"/>
        </w:rPr>
        <w:t>Tento liek bol predpísaný iba vám. Nedávajte ho nikomu inému. Môže mu uškodiť, dokonca aj vtedy, ak má rovnaké prejavy ochorenia ako vy.</w:t>
      </w:r>
    </w:p>
    <w:p w:rsidR="000C015C" w:rsidRPr="007C6FE4" w:rsidRDefault="000C015C" w:rsidP="000C015C">
      <w:pPr>
        <w:numPr>
          <w:ilvl w:val="0"/>
          <w:numId w:val="1"/>
        </w:numPr>
        <w:ind w:left="567" w:right="-2" w:hanging="567"/>
        <w:rPr>
          <w:sz w:val="22"/>
          <w:szCs w:val="22"/>
        </w:rPr>
      </w:pPr>
      <w:r w:rsidRPr="002B11A2">
        <w:rPr>
          <w:sz w:val="22"/>
          <w:szCs w:val="22"/>
        </w:rPr>
        <w:t>Ak sa u vás vyskytne akýkoľvek vedľajší účinok, obráťte sa na svojho lekára alebo lekárnika.</w:t>
      </w:r>
      <w:r w:rsidRPr="002B11A2">
        <w:rPr>
          <w:color w:val="FF0000"/>
          <w:sz w:val="22"/>
          <w:szCs w:val="22"/>
        </w:rPr>
        <w:t xml:space="preserve"> </w:t>
      </w:r>
      <w:r w:rsidRPr="002B11A2">
        <w:rPr>
          <w:sz w:val="22"/>
          <w:szCs w:val="22"/>
        </w:rPr>
        <w:t>To sa týka aj akýchkoľvek vedľajších účinkov, ktoré nie sú uvedené v tejto písomnej informácii. Pozri časť 4.</w:t>
      </w:r>
    </w:p>
    <w:p w:rsidR="000C015C" w:rsidRPr="007C6FE4" w:rsidRDefault="000C015C" w:rsidP="000C015C">
      <w:pPr>
        <w:ind w:right="-2"/>
        <w:rPr>
          <w:sz w:val="22"/>
          <w:szCs w:val="22"/>
        </w:rPr>
      </w:pPr>
    </w:p>
    <w:p w:rsidR="000C015C" w:rsidRPr="007C6FE4" w:rsidRDefault="000C015C" w:rsidP="000C015C">
      <w:pPr>
        <w:rPr>
          <w:b/>
          <w:sz w:val="22"/>
          <w:szCs w:val="22"/>
        </w:rPr>
      </w:pPr>
      <w:r w:rsidRPr="002B11A2">
        <w:rPr>
          <w:b/>
          <w:sz w:val="22"/>
          <w:szCs w:val="22"/>
        </w:rPr>
        <w:t>V tejto písomnej informácii sa dozviete:</w:t>
      </w:r>
    </w:p>
    <w:p w:rsidR="000C015C" w:rsidRPr="007C6FE4" w:rsidRDefault="000C015C" w:rsidP="000C015C">
      <w:pPr>
        <w:numPr>
          <w:ilvl w:val="12"/>
          <w:numId w:val="0"/>
        </w:numPr>
        <w:ind w:right="-29"/>
        <w:rPr>
          <w:sz w:val="22"/>
          <w:szCs w:val="22"/>
        </w:rPr>
      </w:pPr>
      <w:r w:rsidRPr="002B11A2">
        <w:rPr>
          <w:sz w:val="22"/>
          <w:szCs w:val="22"/>
        </w:rPr>
        <w:t>1.</w:t>
      </w:r>
      <w:r w:rsidRPr="002B11A2">
        <w:rPr>
          <w:sz w:val="22"/>
          <w:szCs w:val="22"/>
        </w:rPr>
        <w:tab/>
        <w:t>Čo je INDAPAMID SR Alkaloid-INT a na čo sa používa</w:t>
      </w:r>
    </w:p>
    <w:p w:rsidR="000C015C" w:rsidRPr="007C6FE4" w:rsidRDefault="000C015C" w:rsidP="000C015C">
      <w:pPr>
        <w:numPr>
          <w:ilvl w:val="12"/>
          <w:numId w:val="0"/>
        </w:numPr>
        <w:ind w:right="-29"/>
        <w:rPr>
          <w:sz w:val="22"/>
          <w:szCs w:val="22"/>
        </w:rPr>
      </w:pPr>
      <w:r w:rsidRPr="002B11A2">
        <w:rPr>
          <w:sz w:val="22"/>
          <w:szCs w:val="22"/>
        </w:rPr>
        <w:t>2.</w:t>
      </w:r>
      <w:r w:rsidRPr="002B11A2">
        <w:rPr>
          <w:sz w:val="22"/>
          <w:szCs w:val="22"/>
        </w:rPr>
        <w:tab/>
        <w:t xml:space="preserve">Čo potrebujete vedieť predtým, ako užijete INDAPAMID SR Alkaloid-INT </w:t>
      </w:r>
    </w:p>
    <w:p w:rsidR="000C015C" w:rsidRPr="007C6FE4" w:rsidRDefault="000C015C" w:rsidP="000C015C">
      <w:pPr>
        <w:numPr>
          <w:ilvl w:val="12"/>
          <w:numId w:val="0"/>
        </w:numPr>
        <w:ind w:right="-29"/>
        <w:rPr>
          <w:sz w:val="22"/>
          <w:szCs w:val="22"/>
        </w:rPr>
      </w:pPr>
      <w:r w:rsidRPr="002B11A2">
        <w:rPr>
          <w:sz w:val="22"/>
          <w:szCs w:val="22"/>
        </w:rPr>
        <w:t>3.</w:t>
      </w:r>
      <w:r w:rsidRPr="002B11A2">
        <w:rPr>
          <w:sz w:val="22"/>
          <w:szCs w:val="22"/>
        </w:rPr>
        <w:tab/>
        <w:t xml:space="preserve">Ako užívať INDAPAMID SR Alkaloid-INT </w:t>
      </w:r>
    </w:p>
    <w:p w:rsidR="000C015C" w:rsidRPr="007C6FE4" w:rsidRDefault="000C015C" w:rsidP="000C015C">
      <w:pPr>
        <w:numPr>
          <w:ilvl w:val="12"/>
          <w:numId w:val="0"/>
        </w:numPr>
        <w:ind w:right="-29"/>
        <w:rPr>
          <w:sz w:val="22"/>
          <w:szCs w:val="22"/>
        </w:rPr>
      </w:pPr>
      <w:r w:rsidRPr="002B11A2">
        <w:rPr>
          <w:sz w:val="22"/>
          <w:szCs w:val="22"/>
        </w:rPr>
        <w:t>4.</w:t>
      </w:r>
      <w:r w:rsidRPr="002B11A2">
        <w:rPr>
          <w:sz w:val="22"/>
          <w:szCs w:val="22"/>
        </w:rPr>
        <w:tab/>
        <w:t>Možné vedľajšie účinky</w:t>
      </w:r>
    </w:p>
    <w:p w:rsidR="000C015C" w:rsidRPr="007C6FE4" w:rsidRDefault="000C015C" w:rsidP="000C015C">
      <w:pPr>
        <w:numPr>
          <w:ilvl w:val="0"/>
          <w:numId w:val="2"/>
        </w:numPr>
        <w:ind w:right="-29"/>
        <w:rPr>
          <w:sz w:val="22"/>
          <w:szCs w:val="22"/>
        </w:rPr>
      </w:pPr>
      <w:r w:rsidRPr="002B11A2">
        <w:rPr>
          <w:sz w:val="22"/>
          <w:szCs w:val="22"/>
        </w:rPr>
        <w:t xml:space="preserve">   Ako uchovávať INDAPAMID SR Alkaloid-INT </w:t>
      </w:r>
    </w:p>
    <w:p w:rsidR="000C015C" w:rsidRPr="007C6FE4" w:rsidRDefault="000C015C" w:rsidP="000C015C">
      <w:pPr>
        <w:ind w:right="-29"/>
        <w:rPr>
          <w:sz w:val="22"/>
          <w:szCs w:val="22"/>
        </w:rPr>
      </w:pPr>
      <w:r w:rsidRPr="002B11A2">
        <w:rPr>
          <w:sz w:val="22"/>
          <w:szCs w:val="22"/>
        </w:rPr>
        <w:t>6.</w:t>
      </w:r>
      <w:r w:rsidRPr="002B11A2">
        <w:rPr>
          <w:sz w:val="22"/>
          <w:szCs w:val="22"/>
        </w:rPr>
        <w:tab/>
        <w:t>Obsah balenia a ďalšie informácie</w:t>
      </w:r>
    </w:p>
    <w:p w:rsidR="000C015C" w:rsidRPr="007C6FE4" w:rsidRDefault="000C015C" w:rsidP="000C015C">
      <w:pPr>
        <w:numPr>
          <w:ilvl w:val="12"/>
          <w:numId w:val="0"/>
        </w:numPr>
        <w:rPr>
          <w:sz w:val="22"/>
          <w:szCs w:val="22"/>
        </w:rPr>
      </w:pPr>
    </w:p>
    <w:p w:rsidR="000C015C" w:rsidRPr="007C6FE4" w:rsidRDefault="000C015C" w:rsidP="000C015C">
      <w:pPr>
        <w:numPr>
          <w:ilvl w:val="12"/>
          <w:numId w:val="0"/>
        </w:numPr>
        <w:rPr>
          <w:sz w:val="22"/>
          <w:szCs w:val="22"/>
        </w:rPr>
      </w:pPr>
    </w:p>
    <w:p w:rsidR="000C015C" w:rsidRPr="007C6FE4" w:rsidRDefault="000C015C" w:rsidP="000C015C">
      <w:pPr>
        <w:numPr>
          <w:ilvl w:val="0"/>
          <w:numId w:val="3"/>
        </w:numPr>
        <w:ind w:right="-2"/>
        <w:rPr>
          <w:b/>
          <w:sz w:val="22"/>
          <w:szCs w:val="22"/>
        </w:rPr>
      </w:pPr>
      <w:r w:rsidRPr="002B11A2">
        <w:rPr>
          <w:b/>
          <w:sz w:val="22"/>
          <w:szCs w:val="22"/>
        </w:rPr>
        <w:t>Čo je INDAPAMID SR Alkaloid-INT a na čo sa používa</w:t>
      </w:r>
    </w:p>
    <w:p w:rsidR="000C015C" w:rsidRPr="007C6FE4" w:rsidRDefault="000C015C" w:rsidP="000C015C">
      <w:pPr>
        <w:rPr>
          <w:sz w:val="22"/>
          <w:szCs w:val="22"/>
        </w:rPr>
      </w:pPr>
    </w:p>
    <w:p w:rsidR="000C015C" w:rsidRPr="007C6FE4" w:rsidRDefault="000C015C" w:rsidP="000C015C">
      <w:pPr>
        <w:pStyle w:val="Normlnywebov"/>
        <w:shd w:val="clear" w:color="auto" w:fill="FFFFFF"/>
        <w:rPr>
          <w:rFonts w:ascii="Times New Roman" w:hAnsi="Times New Roman" w:cs="Times New Roman"/>
          <w:sz w:val="22"/>
          <w:szCs w:val="22"/>
        </w:rPr>
      </w:pPr>
      <w:r w:rsidRPr="002B11A2">
        <w:rPr>
          <w:rFonts w:ascii="Times New Roman" w:hAnsi="Times New Roman" w:cs="Times New Roman"/>
          <w:sz w:val="22"/>
          <w:szCs w:val="22"/>
        </w:rPr>
        <w:t>Tento liek je určený na zníženie vysokého krvného tlaku (hypertenzie). Je to tableta s predĺženým uvoľňovaním obsahujúca liečivo indapamid.</w:t>
      </w:r>
    </w:p>
    <w:p w:rsidR="000C015C" w:rsidRPr="007C6FE4" w:rsidRDefault="000C015C" w:rsidP="000C015C">
      <w:pPr>
        <w:pStyle w:val="Normlnywebov"/>
        <w:shd w:val="clear" w:color="auto" w:fill="FFFFFF"/>
        <w:rPr>
          <w:rFonts w:ascii="Times New Roman" w:hAnsi="Times New Roman" w:cs="Times New Roman"/>
          <w:sz w:val="22"/>
          <w:szCs w:val="22"/>
        </w:rPr>
      </w:pPr>
    </w:p>
    <w:p w:rsidR="000C015C" w:rsidRPr="007C6FE4" w:rsidRDefault="000C015C" w:rsidP="000C015C">
      <w:pPr>
        <w:pStyle w:val="Normlnywebov"/>
        <w:shd w:val="clear" w:color="auto" w:fill="FFFFFF"/>
        <w:rPr>
          <w:rFonts w:ascii="Times New Roman" w:hAnsi="Times New Roman" w:cs="Times New Roman"/>
          <w:sz w:val="22"/>
          <w:szCs w:val="22"/>
        </w:rPr>
      </w:pPr>
      <w:r w:rsidRPr="002B11A2">
        <w:rPr>
          <w:rFonts w:ascii="Times New Roman" w:hAnsi="Times New Roman" w:cs="Times New Roman"/>
          <w:sz w:val="22"/>
          <w:szCs w:val="22"/>
        </w:rPr>
        <w:t>Indapamid je diuretikum. Väčšina diuretík zvyšuje množstvo moču tvoreného obličkami. Indapamid sa však líši od ostatných diuretík tým, že spôsobuje len mierne zvýšenie vytvoreného množstva moču.</w:t>
      </w:r>
    </w:p>
    <w:p w:rsidR="000C015C" w:rsidRPr="007C6FE4" w:rsidRDefault="000C015C" w:rsidP="000C015C">
      <w:pPr>
        <w:numPr>
          <w:ilvl w:val="12"/>
          <w:numId w:val="0"/>
        </w:numPr>
        <w:rPr>
          <w:sz w:val="22"/>
          <w:szCs w:val="22"/>
        </w:rPr>
      </w:pPr>
    </w:p>
    <w:p w:rsidR="000C015C" w:rsidRPr="007C6FE4" w:rsidRDefault="000C015C" w:rsidP="000C015C">
      <w:pPr>
        <w:numPr>
          <w:ilvl w:val="12"/>
          <w:numId w:val="0"/>
        </w:numPr>
        <w:rPr>
          <w:sz w:val="22"/>
          <w:szCs w:val="22"/>
        </w:rPr>
      </w:pPr>
    </w:p>
    <w:p w:rsidR="000C015C" w:rsidRPr="007C6FE4" w:rsidRDefault="000C015C" w:rsidP="000C015C">
      <w:pPr>
        <w:numPr>
          <w:ilvl w:val="0"/>
          <w:numId w:val="4"/>
        </w:numPr>
        <w:ind w:right="-2"/>
        <w:rPr>
          <w:b/>
          <w:sz w:val="22"/>
          <w:szCs w:val="22"/>
        </w:rPr>
      </w:pPr>
      <w:r w:rsidRPr="002B11A2">
        <w:rPr>
          <w:b/>
          <w:sz w:val="22"/>
          <w:szCs w:val="22"/>
        </w:rPr>
        <w:t>Čo potrebujete vedieť predtým, ako užijete INDAPAMID SR Alkaloid-INT</w:t>
      </w:r>
    </w:p>
    <w:p w:rsidR="000C015C" w:rsidRPr="007C6FE4" w:rsidRDefault="000C015C" w:rsidP="000C015C">
      <w:pPr>
        <w:ind w:right="-2"/>
        <w:rPr>
          <w:sz w:val="22"/>
          <w:szCs w:val="22"/>
        </w:rPr>
      </w:pPr>
    </w:p>
    <w:p w:rsidR="000C015C" w:rsidRPr="002B11A2" w:rsidRDefault="000C015C" w:rsidP="000C015C">
      <w:pPr>
        <w:rPr>
          <w:b/>
          <w:sz w:val="22"/>
          <w:szCs w:val="22"/>
        </w:rPr>
      </w:pPr>
      <w:r w:rsidRPr="002B11A2">
        <w:rPr>
          <w:b/>
          <w:sz w:val="22"/>
          <w:szCs w:val="22"/>
        </w:rPr>
        <w:t>Neužívajte INDAPAMID SR Alkaloid-INT</w:t>
      </w:r>
    </w:p>
    <w:p w:rsidR="000C015C" w:rsidRPr="007C6FE4" w:rsidRDefault="000C015C" w:rsidP="000C015C">
      <w:pPr>
        <w:numPr>
          <w:ilvl w:val="0"/>
          <w:numId w:val="5"/>
        </w:numPr>
        <w:rPr>
          <w:sz w:val="22"/>
          <w:szCs w:val="22"/>
        </w:rPr>
      </w:pPr>
      <w:r w:rsidRPr="002B11A2">
        <w:rPr>
          <w:sz w:val="22"/>
          <w:szCs w:val="22"/>
        </w:rPr>
        <w:t>ak ste alergický na indapamid alebo na ktorúkoľvek z ďalších zložiek tohto lieku (uvedených v časti 6),</w:t>
      </w:r>
    </w:p>
    <w:p w:rsidR="000C015C" w:rsidRPr="007C6FE4" w:rsidRDefault="000C015C" w:rsidP="000C015C">
      <w:pPr>
        <w:numPr>
          <w:ilvl w:val="0"/>
          <w:numId w:val="5"/>
        </w:numPr>
        <w:rPr>
          <w:sz w:val="22"/>
          <w:szCs w:val="22"/>
        </w:rPr>
      </w:pPr>
      <w:r w:rsidRPr="002B11A2">
        <w:rPr>
          <w:sz w:val="22"/>
          <w:szCs w:val="22"/>
        </w:rPr>
        <w:t>ak máte závažné ochorenie obličiek,</w:t>
      </w:r>
    </w:p>
    <w:p w:rsidR="000C015C" w:rsidRPr="007C6FE4" w:rsidRDefault="000C015C" w:rsidP="000C015C">
      <w:pPr>
        <w:numPr>
          <w:ilvl w:val="0"/>
          <w:numId w:val="5"/>
        </w:numPr>
        <w:rPr>
          <w:sz w:val="22"/>
          <w:szCs w:val="22"/>
        </w:rPr>
      </w:pPr>
      <w:r w:rsidRPr="002B11A2">
        <w:rPr>
          <w:sz w:val="22"/>
          <w:szCs w:val="22"/>
        </w:rPr>
        <w:t>ak máte závažné ochorenie pečene alebo stav nazývaný hepatálna encefalopatia (pečeňové ťažkosti, ktoré pôsobia na mozog a centrálny nervový systém),</w:t>
      </w:r>
    </w:p>
    <w:p w:rsidR="000C015C" w:rsidRPr="007C6FE4" w:rsidRDefault="000C015C" w:rsidP="000C015C">
      <w:pPr>
        <w:numPr>
          <w:ilvl w:val="0"/>
          <w:numId w:val="5"/>
        </w:numPr>
        <w:rPr>
          <w:sz w:val="22"/>
          <w:szCs w:val="22"/>
        </w:rPr>
      </w:pPr>
      <w:r w:rsidRPr="002B11A2">
        <w:rPr>
          <w:sz w:val="22"/>
          <w:szCs w:val="22"/>
        </w:rPr>
        <w:t>ak máte nízku hladinu draslíka v krvi.</w:t>
      </w:r>
    </w:p>
    <w:p w:rsidR="000C015C" w:rsidRPr="007C6FE4" w:rsidRDefault="000C015C" w:rsidP="000C015C">
      <w:pPr>
        <w:ind w:right="-2"/>
        <w:rPr>
          <w:sz w:val="22"/>
          <w:szCs w:val="22"/>
        </w:rPr>
      </w:pPr>
    </w:p>
    <w:p w:rsidR="000C015C" w:rsidRPr="007C6FE4" w:rsidRDefault="000C015C" w:rsidP="000C015C">
      <w:pPr>
        <w:rPr>
          <w:b/>
          <w:sz w:val="22"/>
          <w:szCs w:val="22"/>
        </w:rPr>
      </w:pPr>
      <w:r w:rsidRPr="002B11A2">
        <w:rPr>
          <w:b/>
          <w:sz w:val="22"/>
          <w:szCs w:val="22"/>
        </w:rPr>
        <w:t>Upozornenia a opatrenia</w:t>
      </w:r>
    </w:p>
    <w:p w:rsidR="000C015C" w:rsidRPr="007C6FE4" w:rsidRDefault="000C015C" w:rsidP="000C015C">
      <w:pPr>
        <w:numPr>
          <w:ilvl w:val="12"/>
          <w:numId w:val="0"/>
        </w:numPr>
        <w:rPr>
          <w:sz w:val="22"/>
          <w:szCs w:val="22"/>
        </w:rPr>
      </w:pPr>
      <w:r w:rsidRPr="002B11A2">
        <w:rPr>
          <w:sz w:val="22"/>
          <w:szCs w:val="22"/>
        </w:rPr>
        <w:t>Predtým, ako začnete užívať INDAPAMID SR Alkaloid-INT, obráťte sa na svojho lekára alebo lekárnika,</w:t>
      </w:r>
    </w:p>
    <w:p w:rsidR="000C015C" w:rsidRPr="007C6FE4" w:rsidRDefault="000C015C" w:rsidP="000C015C">
      <w:pPr>
        <w:numPr>
          <w:ilvl w:val="12"/>
          <w:numId w:val="0"/>
        </w:numPr>
        <w:rPr>
          <w:sz w:val="22"/>
          <w:szCs w:val="22"/>
        </w:rPr>
      </w:pPr>
    </w:p>
    <w:p w:rsidR="000C015C" w:rsidRPr="007C6FE4" w:rsidRDefault="000C015C" w:rsidP="000C015C">
      <w:pPr>
        <w:numPr>
          <w:ilvl w:val="0"/>
          <w:numId w:val="5"/>
        </w:numPr>
        <w:rPr>
          <w:sz w:val="22"/>
          <w:szCs w:val="22"/>
        </w:rPr>
      </w:pPr>
      <w:r w:rsidRPr="002B11A2">
        <w:rPr>
          <w:sz w:val="22"/>
          <w:szCs w:val="22"/>
        </w:rPr>
        <w:t>ak máte problémy s pečeňou,</w:t>
      </w:r>
    </w:p>
    <w:p w:rsidR="000C015C" w:rsidRPr="007C6FE4" w:rsidRDefault="000C015C" w:rsidP="000C015C">
      <w:pPr>
        <w:numPr>
          <w:ilvl w:val="0"/>
          <w:numId w:val="5"/>
        </w:numPr>
        <w:rPr>
          <w:sz w:val="22"/>
          <w:szCs w:val="22"/>
        </w:rPr>
      </w:pPr>
      <w:r w:rsidRPr="002B11A2">
        <w:rPr>
          <w:sz w:val="22"/>
          <w:szCs w:val="22"/>
        </w:rPr>
        <w:t>ak máte cukrovku,</w:t>
      </w:r>
    </w:p>
    <w:p w:rsidR="000C015C" w:rsidRPr="007C6FE4" w:rsidRDefault="000C015C" w:rsidP="000C015C">
      <w:pPr>
        <w:numPr>
          <w:ilvl w:val="0"/>
          <w:numId w:val="5"/>
        </w:numPr>
        <w:rPr>
          <w:sz w:val="22"/>
          <w:szCs w:val="22"/>
        </w:rPr>
      </w:pPr>
      <w:r w:rsidRPr="002B11A2">
        <w:rPr>
          <w:sz w:val="22"/>
          <w:szCs w:val="22"/>
        </w:rPr>
        <w:t xml:space="preserve">ak máte dnu, </w:t>
      </w:r>
    </w:p>
    <w:p w:rsidR="000C015C" w:rsidRPr="007C6FE4" w:rsidRDefault="000C015C" w:rsidP="000C015C">
      <w:pPr>
        <w:numPr>
          <w:ilvl w:val="0"/>
          <w:numId w:val="5"/>
        </w:numPr>
        <w:rPr>
          <w:sz w:val="22"/>
          <w:szCs w:val="22"/>
        </w:rPr>
      </w:pPr>
      <w:r w:rsidRPr="002B11A2">
        <w:rPr>
          <w:sz w:val="22"/>
          <w:szCs w:val="22"/>
        </w:rPr>
        <w:t>ak máte akékoľvek problémy so srdcovým rytmom alebo problémy s obličkami,</w:t>
      </w:r>
    </w:p>
    <w:p w:rsidR="000C015C" w:rsidRPr="007C6FE4" w:rsidRDefault="000C015C" w:rsidP="000C015C">
      <w:pPr>
        <w:numPr>
          <w:ilvl w:val="0"/>
          <w:numId w:val="5"/>
        </w:numPr>
        <w:rPr>
          <w:sz w:val="22"/>
          <w:szCs w:val="22"/>
        </w:rPr>
      </w:pPr>
      <w:r w:rsidRPr="002B11A2">
        <w:rPr>
          <w:sz w:val="22"/>
          <w:szCs w:val="22"/>
        </w:rPr>
        <w:t>ak sa musíte podrobiť testu na kontrolu správnej funkcie štítnej žľazy.</w:t>
      </w:r>
    </w:p>
    <w:p w:rsidR="000C015C" w:rsidRPr="007C6FE4" w:rsidRDefault="000C015C" w:rsidP="000C015C">
      <w:pPr>
        <w:shd w:val="clear" w:color="auto" w:fill="FFFFFF"/>
        <w:rPr>
          <w:sz w:val="22"/>
          <w:szCs w:val="22"/>
        </w:rPr>
      </w:pPr>
      <w:r w:rsidRPr="002B11A2">
        <w:rPr>
          <w:sz w:val="22"/>
          <w:szCs w:val="22"/>
        </w:rPr>
        <w:lastRenderedPageBreak/>
        <w:t>Ak sa u vás prejavili fotosenzitívne reakcie (ak vaša koža bola príliš citlivá na svetlo), musíte to povedať svojmu lekárovi.</w:t>
      </w:r>
    </w:p>
    <w:p w:rsidR="000C015C" w:rsidRPr="007C6FE4" w:rsidRDefault="000C015C" w:rsidP="000C015C">
      <w:pPr>
        <w:shd w:val="clear" w:color="auto" w:fill="FFFFFF"/>
        <w:rPr>
          <w:sz w:val="22"/>
          <w:szCs w:val="22"/>
        </w:rPr>
      </w:pPr>
    </w:p>
    <w:p w:rsidR="000C015C" w:rsidRPr="007C6FE4" w:rsidRDefault="000C015C" w:rsidP="000C015C">
      <w:pPr>
        <w:shd w:val="clear" w:color="auto" w:fill="FFFFFF"/>
        <w:rPr>
          <w:sz w:val="22"/>
          <w:szCs w:val="22"/>
        </w:rPr>
      </w:pPr>
      <w:r w:rsidRPr="002B11A2">
        <w:rPr>
          <w:sz w:val="22"/>
          <w:szCs w:val="22"/>
        </w:rPr>
        <w:t>Váš lekár môže vykonať krvné testy, aby skontroloval, či nemáte nízke hladiny sodíka alebo draslíka alebo vysoké hladiny vápnika.</w:t>
      </w:r>
    </w:p>
    <w:p w:rsidR="000C015C" w:rsidRPr="007C6FE4" w:rsidRDefault="000C015C" w:rsidP="000C015C">
      <w:pPr>
        <w:shd w:val="clear" w:color="auto" w:fill="FFFFFF"/>
        <w:rPr>
          <w:sz w:val="22"/>
          <w:szCs w:val="22"/>
        </w:rPr>
      </w:pPr>
    </w:p>
    <w:p w:rsidR="000C015C" w:rsidRPr="007C6FE4" w:rsidRDefault="000C015C" w:rsidP="000C015C">
      <w:pPr>
        <w:shd w:val="clear" w:color="auto" w:fill="FFFFFF"/>
        <w:rPr>
          <w:sz w:val="22"/>
          <w:szCs w:val="22"/>
        </w:rPr>
      </w:pPr>
      <w:r w:rsidRPr="002B11A2">
        <w:rPr>
          <w:sz w:val="22"/>
          <w:szCs w:val="22"/>
        </w:rPr>
        <w:t xml:space="preserve">Ak ste starší pacient, povedzte, prosím, svojmu lekárovi, či máte nejaké problémy s obličkami. </w:t>
      </w:r>
    </w:p>
    <w:p w:rsidR="000C015C" w:rsidRPr="007C6FE4" w:rsidRDefault="000C015C" w:rsidP="000C015C">
      <w:pPr>
        <w:shd w:val="clear" w:color="auto" w:fill="FFFFFF"/>
        <w:rPr>
          <w:sz w:val="22"/>
          <w:szCs w:val="22"/>
        </w:rPr>
      </w:pPr>
    </w:p>
    <w:p w:rsidR="000C015C" w:rsidRPr="007C6FE4" w:rsidRDefault="000C015C" w:rsidP="000C015C">
      <w:pPr>
        <w:shd w:val="clear" w:color="auto" w:fill="FFFFFF"/>
        <w:rPr>
          <w:sz w:val="22"/>
          <w:szCs w:val="22"/>
        </w:rPr>
      </w:pPr>
      <w:r w:rsidRPr="002B11A2">
        <w:rPr>
          <w:sz w:val="22"/>
          <w:szCs w:val="22"/>
        </w:rPr>
        <w:t>Ak si myslíte, že sa vás týka ktorákoľvek z týchto situácií, alebo ak máte akékoľvek otázky alebo nejasnosti ohľadom užívania vášho lieku, poraďte sa so svojím lekárom alebo lekárnikom.</w:t>
      </w:r>
    </w:p>
    <w:p w:rsidR="000C015C" w:rsidRPr="007C6FE4" w:rsidRDefault="000C015C" w:rsidP="000C015C">
      <w:pPr>
        <w:shd w:val="clear" w:color="auto" w:fill="FFFFFF"/>
        <w:rPr>
          <w:sz w:val="22"/>
          <w:szCs w:val="22"/>
        </w:rPr>
      </w:pPr>
    </w:p>
    <w:p w:rsidR="000C015C" w:rsidRPr="007C6FE4" w:rsidRDefault="000C015C" w:rsidP="000C015C">
      <w:pPr>
        <w:shd w:val="clear" w:color="auto" w:fill="FFFFFF"/>
        <w:rPr>
          <w:sz w:val="22"/>
          <w:szCs w:val="22"/>
        </w:rPr>
      </w:pPr>
      <w:r w:rsidRPr="002B11A2">
        <w:rPr>
          <w:sz w:val="22"/>
          <w:szCs w:val="22"/>
        </w:rPr>
        <w:t>Športovci si musia byť vedomí toho, že tento liek obsahuje liečivo, ktoré môže vyvolať pozitívnu reakciu pri dopingovom teste.</w:t>
      </w:r>
    </w:p>
    <w:p w:rsidR="000C015C" w:rsidRPr="007C6FE4" w:rsidRDefault="000C015C" w:rsidP="000C015C">
      <w:pPr>
        <w:numPr>
          <w:ilvl w:val="12"/>
          <w:numId w:val="0"/>
        </w:numPr>
        <w:rPr>
          <w:sz w:val="22"/>
          <w:szCs w:val="22"/>
        </w:rPr>
      </w:pPr>
    </w:p>
    <w:p w:rsidR="000C015C" w:rsidRPr="007C6FE4" w:rsidRDefault="000C015C" w:rsidP="000C015C">
      <w:pPr>
        <w:numPr>
          <w:ilvl w:val="12"/>
          <w:numId w:val="0"/>
        </w:numPr>
        <w:ind w:right="-2"/>
        <w:rPr>
          <w:sz w:val="22"/>
          <w:szCs w:val="22"/>
        </w:rPr>
      </w:pPr>
      <w:r w:rsidRPr="002B11A2">
        <w:rPr>
          <w:b/>
          <w:sz w:val="22"/>
          <w:szCs w:val="22"/>
        </w:rPr>
        <w:t>Iné lieky a INDAPAMID SR Alkaloid-INT</w:t>
      </w:r>
    </w:p>
    <w:p w:rsidR="000C015C" w:rsidRPr="007C6FE4" w:rsidRDefault="000C015C" w:rsidP="000C015C">
      <w:pPr>
        <w:numPr>
          <w:ilvl w:val="12"/>
          <w:numId w:val="0"/>
        </w:numPr>
        <w:ind w:right="-2"/>
        <w:rPr>
          <w:sz w:val="22"/>
          <w:szCs w:val="22"/>
        </w:rPr>
      </w:pPr>
      <w:r w:rsidRPr="002B11A2">
        <w:rPr>
          <w:sz w:val="22"/>
          <w:szCs w:val="22"/>
        </w:rPr>
        <w:t>Ak teraz užívate, alebo ste v poslednom čase užívali, či práve budete užívať ďalšie lieky, povedzte to svojmu lekárovi alebo lekárnikovi.</w:t>
      </w:r>
    </w:p>
    <w:p w:rsidR="000C015C" w:rsidRPr="007C6FE4" w:rsidRDefault="000C015C" w:rsidP="000C015C">
      <w:pPr>
        <w:shd w:val="clear" w:color="auto" w:fill="FFFFFF"/>
        <w:rPr>
          <w:sz w:val="22"/>
          <w:szCs w:val="22"/>
        </w:rPr>
      </w:pPr>
    </w:p>
    <w:p w:rsidR="000C015C" w:rsidRPr="007C6FE4" w:rsidRDefault="000C015C" w:rsidP="000C015C">
      <w:pPr>
        <w:shd w:val="clear" w:color="auto" w:fill="FFFFFF"/>
        <w:rPr>
          <w:sz w:val="22"/>
          <w:szCs w:val="22"/>
        </w:rPr>
      </w:pPr>
      <w:r w:rsidRPr="007C6FE4">
        <w:rPr>
          <w:sz w:val="22"/>
          <w:szCs w:val="22"/>
        </w:rPr>
        <w:t>INDAPAMID SR Alkaloid-INT nesmiete užívať spolu s lítiom (používaným na liečbu depresie) vzhľadom na riziko zvýšených hladín lítia v krvi.</w:t>
      </w:r>
    </w:p>
    <w:p w:rsidR="000C015C" w:rsidRPr="007C6FE4" w:rsidRDefault="000C015C" w:rsidP="000C015C">
      <w:pPr>
        <w:shd w:val="clear" w:color="auto" w:fill="FFFFFF"/>
        <w:rPr>
          <w:sz w:val="22"/>
          <w:szCs w:val="22"/>
        </w:rPr>
      </w:pPr>
    </w:p>
    <w:p w:rsidR="000C015C" w:rsidRPr="007C6FE4" w:rsidRDefault="000C015C" w:rsidP="000C015C">
      <w:pPr>
        <w:shd w:val="clear" w:color="auto" w:fill="FFFFFF"/>
        <w:rPr>
          <w:sz w:val="22"/>
          <w:szCs w:val="22"/>
        </w:rPr>
      </w:pPr>
      <w:r w:rsidRPr="002B11A2">
        <w:rPr>
          <w:sz w:val="22"/>
          <w:szCs w:val="22"/>
        </w:rPr>
        <w:t>Určite oznámte svojmu lekárovi, ak užívate niektorý z nasledovných liekov, pretože môže byť potrebná osobitná starostlivosť:</w:t>
      </w:r>
    </w:p>
    <w:p w:rsidR="000C015C" w:rsidRPr="007C6FE4" w:rsidRDefault="000C015C" w:rsidP="000C015C">
      <w:pPr>
        <w:shd w:val="clear" w:color="auto" w:fill="FFFFFF"/>
        <w:rPr>
          <w:sz w:val="22"/>
          <w:szCs w:val="22"/>
        </w:rPr>
      </w:pP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lieky používané pri ťažkostiach so srdcovým rytmom (napr. chinidín, hydrochinidín, dizopyramid, amiodarón, sotalol, ibutilid, dofetilid, srdcové glykozidy)</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lieky používané na liečbu duševných porúch, ako je depresia, úzkosť, schizofrénia (napr. tricyklické antidepresíva, antipsychotiká, neuroleptiká),</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bepridil (používaný na liečbu angíny pektoris – stavu, ktorý spôsobuje bolesť v hrudi),</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 xml:space="preserve">cisaprid (používaný na liečbu zníženej pohyblivosti pažeráka a žalúdka), </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difemanil (používaný na liečbu žalúdočných problémov, ako sú vredy, zvýšená kyslosť žalúdka, nadmerná aktivita zažívacieho systému),</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sparfloxacín, moxifloxacín, vnútrožilový erytromycín (antibiotiká používané na liečbu infekcií),</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halofantrín (antiparazitický liek používaný na liečbu istých typov malárie),</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noProof/>
          <w:szCs w:val="22"/>
        </w:rPr>
      </w:pPr>
      <w:r w:rsidRPr="007C6FE4">
        <w:rPr>
          <w:noProof/>
          <w:szCs w:val="22"/>
        </w:rPr>
        <w:t>pentamidín (používaný na liečbu určitých druhov zápalu pľúc),</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mizolastín (používaný na liečbu alergických reakcií, ako je senná nádcha),</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 xml:space="preserve">vnútrožilovo podaný vinkamín (používaný na liečbu problémov s obehom krvi v mozgu), </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nesteroidné protizápalové lieky na úľavu od bolesti (napr. ibuprofen) alebo vysoké dávky kyseliny acetylsalicylovej,</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inhibítory enzýmu konvertujúceho angiotenzín (ACE) (používané na liečbu vysokého krvného tlaku a srdcového zlyhania),</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 xml:space="preserve">vnútrožilovo podaný amfotericín B (používaný na liečbu závažného plesňového ochorenia), </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ústami užívané kortikosteroidy, ktoré sa používajú na liečbu rôznych ťažkostí vrátane závažnej astmy a reumatoidnej artritídy (zápalové ochorenie kĺbov),</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stimulačné preháňadlá,</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baklofén (na liečbu stuhnutia svalstva prejavujúceho sa pri ochoreniach, ako je skleróza multiplex),</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draslík šetriace diuretiká (amilorid, spironolaktón, triamterén),</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metformín (na liečbu cukrovky),</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jódové kontrastné látky (používané pri vyšetreniach s použitím röntgenových lúčov),</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tablety vápnika alebo iné doplnky s obsahom vápnika,</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ciklosporín, takrolimus alebo iné lieky na potlačenie imunitného systému po transplantácii orgánu, na liečbu autoimunitných chorôb alebo závažných reumatických alebo kožných ochorení,</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tetrakozaktid (na liečbu Crohnovej choroby, zápalového ochorenia čriev).</w:t>
      </w:r>
    </w:p>
    <w:p w:rsidR="000C015C" w:rsidRPr="007C6FE4" w:rsidRDefault="000C015C" w:rsidP="000C015C">
      <w:pPr>
        <w:autoSpaceDE w:val="0"/>
        <w:autoSpaceDN w:val="0"/>
        <w:adjustRightInd w:val="0"/>
        <w:rPr>
          <w:b/>
          <w:bCs/>
          <w:sz w:val="22"/>
          <w:szCs w:val="22"/>
        </w:rPr>
      </w:pPr>
      <w:r w:rsidRPr="002B11A2">
        <w:rPr>
          <w:b/>
          <w:sz w:val="22"/>
          <w:szCs w:val="22"/>
        </w:rPr>
        <w:lastRenderedPageBreak/>
        <w:t>Deti a dospievajúci</w:t>
      </w:r>
    </w:p>
    <w:p w:rsidR="000C015C" w:rsidRPr="007C6FE4" w:rsidRDefault="000C015C" w:rsidP="000C015C">
      <w:pPr>
        <w:pStyle w:val="Normlnywebov"/>
        <w:shd w:val="clear" w:color="auto" w:fill="FFFFFF"/>
        <w:rPr>
          <w:rFonts w:ascii="Times New Roman" w:hAnsi="Times New Roman" w:cs="Times New Roman"/>
          <w:sz w:val="22"/>
          <w:szCs w:val="22"/>
        </w:rPr>
      </w:pPr>
      <w:r w:rsidRPr="002B11A2">
        <w:rPr>
          <w:rFonts w:ascii="Times New Roman" w:hAnsi="Times New Roman" w:cs="Times New Roman"/>
          <w:sz w:val="22"/>
          <w:szCs w:val="22"/>
        </w:rPr>
        <w:t>INDAPAMID SR Alkaloid-INT sa neodporúča používať u detí a dospievajúcich kvôli nedostatku údajov o bezpečnosti a účinnosti.</w:t>
      </w:r>
    </w:p>
    <w:p w:rsidR="000C015C" w:rsidRPr="007C6FE4" w:rsidRDefault="000C015C" w:rsidP="000C015C">
      <w:pPr>
        <w:rPr>
          <w:sz w:val="22"/>
          <w:szCs w:val="22"/>
        </w:rPr>
      </w:pPr>
    </w:p>
    <w:p w:rsidR="000C015C" w:rsidRPr="007C6FE4" w:rsidRDefault="000C015C" w:rsidP="000C015C">
      <w:pPr>
        <w:rPr>
          <w:b/>
          <w:sz w:val="22"/>
          <w:szCs w:val="22"/>
        </w:rPr>
      </w:pPr>
      <w:r w:rsidRPr="002B11A2">
        <w:rPr>
          <w:b/>
          <w:sz w:val="22"/>
          <w:szCs w:val="22"/>
        </w:rPr>
        <w:t>Tehotenstvo, dojčenie a plodnosť</w:t>
      </w:r>
    </w:p>
    <w:p w:rsidR="000C015C" w:rsidRPr="007C6FE4" w:rsidRDefault="000C015C" w:rsidP="000C015C">
      <w:pPr>
        <w:numPr>
          <w:ilvl w:val="12"/>
          <w:numId w:val="0"/>
        </w:numPr>
        <w:rPr>
          <w:sz w:val="22"/>
          <w:szCs w:val="22"/>
        </w:rPr>
      </w:pPr>
      <w:r w:rsidRPr="002B11A2">
        <w:rPr>
          <w:sz w:val="22"/>
          <w:szCs w:val="22"/>
        </w:rPr>
        <w:t>Ak ste tehotná alebo dojčíte, ak si myslíte, že ste tehotná alebo ak plánujete otehotnieť, poraďte sa so svojím lekárom alebo lekárnikom predtým, ako začnete užívať tento liek.</w:t>
      </w:r>
    </w:p>
    <w:p w:rsidR="000C015C" w:rsidRPr="007C6FE4" w:rsidRDefault="000C015C" w:rsidP="000C015C">
      <w:pPr>
        <w:pStyle w:val="Normlnywebov"/>
        <w:shd w:val="clear" w:color="auto" w:fill="FFFFFF"/>
        <w:rPr>
          <w:rFonts w:ascii="Times New Roman" w:hAnsi="Times New Roman" w:cs="Times New Roman"/>
          <w:b/>
          <w:sz w:val="22"/>
          <w:szCs w:val="22"/>
        </w:rPr>
      </w:pPr>
    </w:p>
    <w:p w:rsidR="000C015C" w:rsidRPr="007C6FE4" w:rsidRDefault="000C015C" w:rsidP="000C015C">
      <w:pPr>
        <w:pStyle w:val="Normlnywebov"/>
        <w:shd w:val="clear" w:color="auto" w:fill="FFFFFF"/>
        <w:rPr>
          <w:rFonts w:ascii="Times New Roman" w:hAnsi="Times New Roman" w:cs="Times New Roman"/>
          <w:sz w:val="22"/>
          <w:szCs w:val="22"/>
          <w:u w:val="single"/>
        </w:rPr>
      </w:pPr>
      <w:r w:rsidRPr="002B11A2">
        <w:rPr>
          <w:rFonts w:ascii="Times New Roman" w:hAnsi="Times New Roman" w:cs="Times New Roman"/>
          <w:sz w:val="22"/>
          <w:szCs w:val="22"/>
          <w:u w:val="single"/>
        </w:rPr>
        <w:t>Tehotenstvo</w:t>
      </w:r>
    </w:p>
    <w:p w:rsidR="000C015C" w:rsidRPr="007C6FE4" w:rsidRDefault="000C015C" w:rsidP="000C015C">
      <w:pPr>
        <w:pStyle w:val="Normlnywebov"/>
        <w:shd w:val="clear" w:color="auto" w:fill="FFFFFF"/>
        <w:rPr>
          <w:rFonts w:ascii="Times New Roman" w:hAnsi="Times New Roman" w:cs="Times New Roman"/>
          <w:sz w:val="22"/>
          <w:szCs w:val="22"/>
        </w:rPr>
      </w:pPr>
      <w:r w:rsidRPr="002B11A2">
        <w:rPr>
          <w:rFonts w:ascii="Times New Roman" w:hAnsi="Times New Roman" w:cs="Times New Roman"/>
          <w:sz w:val="22"/>
          <w:szCs w:val="22"/>
        </w:rPr>
        <w:t>Tento liek sa neodporúča užívať počas tehotenstva. Povedzte, prosím, svojmu lekárovi, ak ste tehotná alebo plánujete mať dieťa. Váš lekár vám zmení liečbu ihneď ako to bude možné.</w:t>
      </w:r>
    </w:p>
    <w:p w:rsidR="000C015C" w:rsidRPr="007C6FE4" w:rsidRDefault="000C015C" w:rsidP="000C015C">
      <w:pPr>
        <w:pStyle w:val="Normlnywebov"/>
        <w:shd w:val="clear" w:color="auto" w:fill="FFFFFF"/>
        <w:rPr>
          <w:rFonts w:ascii="Times New Roman" w:hAnsi="Times New Roman" w:cs="Times New Roman"/>
          <w:b/>
          <w:sz w:val="22"/>
          <w:szCs w:val="22"/>
        </w:rPr>
      </w:pPr>
    </w:p>
    <w:p w:rsidR="000C015C" w:rsidRPr="007C6FE4" w:rsidRDefault="000C015C" w:rsidP="000C015C">
      <w:pPr>
        <w:pStyle w:val="Normlnywebov"/>
        <w:shd w:val="clear" w:color="auto" w:fill="FFFFFF"/>
        <w:rPr>
          <w:rFonts w:ascii="Times New Roman" w:hAnsi="Times New Roman" w:cs="Times New Roman"/>
          <w:sz w:val="22"/>
          <w:szCs w:val="22"/>
          <w:u w:val="single"/>
        </w:rPr>
      </w:pPr>
      <w:r w:rsidRPr="002B11A2">
        <w:rPr>
          <w:rFonts w:ascii="Times New Roman" w:hAnsi="Times New Roman" w:cs="Times New Roman"/>
          <w:sz w:val="22"/>
          <w:szCs w:val="22"/>
          <w:u w:val="single"/>
        </w:rPr>
        <w:t>Dojčenie</w:t>
      </w:r>
    </w:p>
    <w:p w:rsidR="000C015C" w:rsidRPr="007C6FE4" w:rsidRDefault="000C015C" w:rsidP="000C015C">
      <w:pPr>
        <w:pStyle w:val="Normlnywebov"/>
        <w:shd w:val="clear" w:color="auto" w:fill="FFFFFF"/>
        <w:rPr>
          <w:rFonts w:ascii="Times New Roman" w:hAnsi="Times New Roman" w:cs="Times New Roman"/>
          <w:sz w:val="22"/>
          <w:szCs w:val="22"/>
        </w:rPr>
      </w:pPr>
      <w:r w:rsidRPr="002B11A2">
        <w:rPr>
          <w:rFonts w:ascii="Times New Roman" w:hAnsi="Times New Roman" w:cs="Times New Roman"/>
          <w:sz w:val="22"/>
          <w:szCs w:val="22"/>
        </w:rPr>
        <w:t>Liečivo sa vylučuje do materského mlieka. Počas užívania tohto lieku sa dojčenie neodporúča.</w:t>
      </w:r>
    </w:p>
    <w:p w:rsidR="000C015C" w:rsidRPr="007C6FE4" w:rsidRDefault="000C015C" w:rsidP="000C015C">
      <w:pPr>
        <w:rPr>
          <w:sz w:val="22"/>
          <w:szCs w:val="22"/>
        </w:rPr>
      </w:pPr>
    </w:p>
    <w:p w:rsidR="000C015C" w:rsidRPr="007C6FE4" w:rsidRDefault="000C015C" w:rsidP="000C015C">
      <w:pPr>
        <w:rPr>
          <w:b/>
          <w:sz w:val="22"/>
          <w:szCs w:val="22"/>
        </w:rPr>
      </w:pPr>
      <w:r w:rsidRPr="002B11A2">
        <w:rPr>
          <w:b/>
          <w:sz w:val="22"/>
          <w:szCs w:val="22"/>
        </w:rPr>
        <w:t>Vedenie vozidiel a obsluha strojov</w:t>
      </w:r>
    </w:p>
    <w:p w:rsidR="000C015C" w:rsidRPr="007C6FE4" w:rsidRDefault="000C015C" w:rsidP="000C015C">
      <w:pPr>
        <w:numPr>
          <w:ilvl w:val="12"/>
          <w:numId w:val="0"/>
        </w:numPr>
        <w:rPr>
          <w:sz w:val="22"/>
          <w:szCs w:val="22"/>
        </w:rPr>
      </w:pPr>
      <w:r w:rsidRPr="002B11A2">
        <w:rPr>
          <w:color w:val="000000"/>
          <w:sz w:val="22"/>
          <w:szCs w:val="22"/>
        </w:rPr>
        <w:t>Tento liek môže zapríčiniť vedľajšie účinky ako sú závraty alebo únava v dôsledku zníženia krvného tlaku (pozri časť 4). Tieto vedľajšie účinky sa skôr vyskytujú na začiatku liečby a po zvýšení dávky. Ak cítite závrat, alebo ak sa cítite unavený, neveďte motorové vozidlá ani nevykonávajte žiadne aktivity, ktoré si vyžadujú ostražitosť. Pri správnej kontrole je však nepravdepodobné, že sa tieto vedľajšie účinky vyskytnú.</w:t>
      </w:r>
    </w:p>
    <w:p w:rsidR="000C015C" w:rsidRPr="007C6FE4" w:rsidRDefault="000C015C" w:rsidP="000C015C">
      <w:pPr>
        <w:rPr>
          <w:sz w:val="22"/>
          <w:szCs w:val="22"/>
          <w:highlight w:val="yellow"/>
        </w:rPr>
      </w:pPr>
    </w:p>
    <w:p w:rsidR="000C015C" w:rsidRPr="007C6FE4" w:rsidRDefault="000C015C" w:rsidP="000C015C">
      <w:pPr>
        <w:rPr>
          <w:b/>
          <w:sz w:val="22"/>
          <w:szCs w:val="22"/>
        </w:rPr>
      </w:pPr>
      <w:r w:rsidRPr="002B11A2">
        <w:rPr>
          <w:b/>
          <w:sz w:val="22"/>
          <w:szCs w:val="22"/>
        </w:rPr>
        <w:t xml:space="preserve">INDAPAMID SR Alkaloid-INT obsahuje laktózu (druh cukru) </w:t>
      </w:r>
    </w:p>
    <w:p w:rsidR="000C015C" w:rsidRPr="007C6FE4" w:rsidRDefault="000C015C" w:rsidP="000C015C">
      <w:pPr>
        <w:numPr>
          <w:ilvl w:val="12"/>
          <w:numId w:val="0"/>
        </w:numPr>
        <w:rPr>
          <w:color w:val="000000"/>
          <w:sz w:val="22"/>
          <w:szCs w:val="22"/>
        </w:rPr>
      </w:pPr>
      <w:r w:rsidRPr="002B11A2">
        <w:rPr>
          <w:color w:val="000000"/>
          <w:sz w:val="22"/>
          <w:szCs w:val="22"/>
        </w:rPr>
        <w:t>Ak vám váš lekár povedal, že neznášate niektoré cukry, kontaktujte svojho lekára pred užitím tohto lieku.</w:t>
      </w:r>
    </w:p>
    <w:p w:rsidR="000C015C" w:rsidRPr="007C6FE4" w:rsidRDefault="000C015C" w:rsidP="000C015C">
      <w:pPr>
        <w:numPr>
          <w:ilvl w:val="12"/>
          <w:numId w:val="0"/>
        </w:numPr>
        <w:ind w:right="-2"/>
        <w:rPr>
          <w:sz w:val="22"/>
          <w:szCs w:val="22"/>
        </w:rPr>
      </w:pPr>
    </w:p>
    <w:p w:rsidR="000C015C" w:rsidRPr="007C6FE4" w:rsidRDefault="000C015C" w:rsidP="000C015C">
      <w:pPr>
        <w:numPr>
          <w:ilvl w:val="12"/>
          <w:numId w:val="0"/>
        </w:numPr>
        <w:ind w:right="-2"/>
        <w:rPr>
          <w:sz w:val="22"/>
          <w:szCs w:val="22"/>
        </w:rPr>
      </w:pPr>
    </w:p>
    <w:p w:rsidR="000C015C" w:rsidRPr="007C6FE4" w:rsidRDefault="000C015C" w:rsidP="000C015C">
      <w:pPr>
        <w:numPr>
          <w:ilvl w:val="0"/>
          <w:numId w:val="4"/>
        </w:numPr>
        <w:ind w:right="-2"/>
        <w:rPr>
          <w:b/>
          <w:sz w:val="22"/>
          <w:szCs w:val="22"/>
        </w:rPr>
      </w:pPr>
      <w:r w:rsidRPr="002B11A2">
        <w:rPr>
          <w:b/>
          <w:sz w:val="22"/>
          <w:szCs w:val="22"/>
        </w:rPr>
        <w:t>Ako užívať INDAPAMID SR Alkaloid-INT</w:t>
      </w:r>
    </w:p>
    <w:p w:rsidR="000C015C" w:rsidRPr="007C6FE4" w:rsidRDefault="000C015C" w:rsidP="000C015C">
      <w:pPr>
        <w:ind w:right="-2"/>
        <w:rPr>
          <w:sz w:val="22"/>
          <w:szCs w:val="22"/>
        </w:rPr>
      </w:pPr>
    </w:p>
    <w:p w:rsidR="000C015C" w:rsidRPr="007C6FE4" w:rsidRDefault="000C015C" w:rsidP="000C015C">
      <w:pPr>
        <w:numPr>
          <w:ilvl w:val="12"/>
          <w:numId w:val="0"/>
        </w:numPr>
        <w:ind w:right="-2"/>
        <w:rPr>
          <w:sz w:val="22"/>
          <w:szCs w:val="22"/>
        </w:rPr>
      </w:pPr>
      <w:r w:rsidRPr="002B11A2">
        <w:rPr>
          <w:sz w:val="22"/>
          <w:szCs w:val="22"/>
        </w:rPr>
        <w:t xml:space="preserve">Vždy užívajte tento liek presne tak, ako vám povedal váš lekár. Ak si nie ste niečím istý, overte si to u svojho lekára alebo lekárnika. </w:t>
      </w:r>
    </w:p>
    <w:p w:rsidR="000C015C" w:rsidRPr="007C6FE4" w:rsidRDefault="000C015C" w:rsidP="000C015C">
      <w:pPr>
        <w:numPr>
          <w:ilvl w:val="12"/>
          <w:numId w:val="0"/>
        </w:numPr>
        <w:ind w:right="-2"/>
        <w:rPr>
          <w:sz w:val="22"/>
          <w:szCs w:val="22"/>
        </w:rPr>
      </w:pPr>
      <w:r w:rsidRPr="002B11A2">
        <w:rPr>
          <w:sz w:val="22"/>
          <w:szCs w:val="22"/>
        </w:rPr>
        <w:t xml:space="preserve">Odporúčaná dávka je jedna tableta každý deň, najlepšie ráno. </w:t>
      </w:r>
      <w:r w:rsidRPr="002B11A2">
        <w:rPr>
          <w:color w:val="000000"/>
          <w:sz w:val="22"/>
          <w:szCs w:val="22"/>
        </w:rPr>
        <w:t xml:space="preserve">Tablety sa môžu užiť s jedlom alebo bez jedla. </w:t>
      </w:r>
      <w:r w:rsidRPr="002B11A2">
        <w:rPr>
          <w:sz w:val="22"/>
          <w:szCs w:val="22"/>
        </w:rPr>
        <w:t>Tablety prehltnite celé a zapite vodou. Tablety nedrvte, ani nežujte.</w:t>
      </w:r>
    </w:p>
    <w:p w:rsidR="000C015C" w:rsidRPr="007C6FE4" w:rsidRDefault="000C015C" w:rsidP="000C015C">
      <w:pPr>
        <w:pStyle w:val="Normlnywebov"/>
        <w:shd w:val="clear" w:color="auto" w:fill="FFFFFF"/>
        <w:rPr>
          <w:rFonts w:ascii="Times New Roman" w:hAnsi="Times New Roman" w:cs="Times New Roman"/>
          <w:sz w:val="22"/>
          <w:szCs w:val="22"/>
        </w:rPr>
      </w:pPr>
      <w:r w:rsidRPr="002B11A2">
        <w:rPr>
          <w:rFonts w:ascii="Times New Roman" w:hAnsi="Times New Roman" w:cs="Times New Roman"/>
          <w:sz w:val="22"/>
          <w:szCs w:val="22"/>
        </w:rPr>
        <w:t>Liečba vysokého tlaku obvykle trvá celý život.</w:t>
      </w:r>
    </w:p>
    <w:p w:rsidR="000C015C" w:rsidRPr="007C6FE4" w:rsidRDefault="000C015C" w:rsidP="000C015C">
      <w:pPr>
        <w:autoSpaceDE w:val="0"/>
        <w:autoSpaceDN w:val="0"/>
        <w:adjustRightInd w:val="0"/>
        <w:rPr>
          <w:b/>
          <w:bCs/>
          <w:sz w:val="22"/>
          <w:szCs w:val="22"/>
        </w:rPr>
      </w:pPr>
    </w:p>
    <w:p w:rsidR="000C015C" w:rsidRPr="007C6FE4" w:rsidRDefault="000C015C" w:rsidP="000C015C">
      <w:pPr>
        <w:autoSpaceDE w:val="0"/>
        <w:autoSpaceDN w:val="0"/>
        <w:adjustRightInd w:val="0"/>
        <w:rPr>
          <w:b/>
          <w:bCs/>
          <w:sz w:val="22"/>
          <w:szCs w:val="22"/>
        </w:rPr>
      </w:pPr>
      <w:r w:rsidRPr="002B11A2">
        <w:rPr>
          <w:b/>
          <w:sz w:val="22"/>
          <w:szCs w:val="22"/>
        </w:rPr>
        <w:t>Starší pacienti</w:t>
      </w:r>
    </w:p>
    <w:p w:rsidR="000C015C" w:rsidRPr="007C6FE4" w:rsidRDefault="000C015C" w:rsidP="000C015C">
      <w:pPr>
        <w:autoSpaceDE w:val="0"/>
        <w:autoSpaceDN w:val="0"/>
        <w:adjustRightInd w:val="0"/>
        <w:rPr>
          <w:b/>
          <w:bCs/>
          <w:sz w:val="22"/>
          <w:szCs w:val="22"/>
        </w:rPr>
      </w:pPr>
      <w:r w:rsidRPr="002B11A2">
        <w:rPr>
          <w:sz w:val="22"/>
          <w:szCs w:val="22"/>
        </w:rPr>
        <w:t>Ak ste starší pacient, povedzte, prosím, svojmu lekárovi, či máte nejaké problémy s obličkami. Môžete byť liečený indapamidom len vtedy, ak vaše obličky pracujú normálne, alebo ak máte len minimálne problémy s obličkami.</w:t>
      </w:r>
    </w:p>
    <w:p w:rsidR="000C015C" w:rsidRPr="007C6FE4" w:rsidRDefault="000C015C" w:rsidP="000C015C">
      <w:pPr>
        <w:autoSpaceDE w:val="0"/>
        <w:autoSpaceDN w:val="0"/>
        <w:adjustRightInd w:val="0"/>
        <w:rPr>
          <w:b/>
          <w:bCs/>
          <w:sz w:val="22"/>
          <w:szCs w:val="22"/>
        </w:rPr>
      </w:pPr>
    </w:p>
    <w:p w:rsidR="000C015C" w:rsidRPr="007C6FE4" w:rsidRDefault="000C015C" w:rsidP="000C015C">
      <w:pPr>
        <w:rPr>
          <w:b/>
          <w:sz w:val="22"/>
          <w:szCs w:val="22"/>
        </w:rPr>
      </w:pPr>
      <w:r w:rsidRPr="002B11A2">
        <w:rPr>
          <w:b/>
          <w:sz w:val="22"/>
          <w:szCs w:val="22"/>
        </w:rPr>
        <w:t>Ak užijete viac INDAPAMIDU SR Alkaloid-INT, ako máte</w:t>
      </w:r>
    </w:p>
    <w:p w:rsidR="000C015C" w:rsidRPr="007C6FE4" w:rsidRDefault="000C015C" w:rsidP="000C015C">
      <w:pPr>
        <w:rPr>
          <w:b/>
          <w:sz w:val="22"/>
          <w:szCs w:val="22"/>
        </w:rPr>
      </w:pPr>
      <w:r w:rsidRPr="002B11A2">
        <w:rPr>
          <w:b/>
          <w:sz w:val="22"/>
          <w:szCs w:val="22"/>
        </w:rPr>
        <w:t>Ak ste náhodou užili príliš veľa tabliet, kontaktujte ihneď svojho lekára.</w:t>
      </w:r>
    </w:p>
    <w:p w:rsidR="000C015C" w:rsidRPr="007C6FE4" w:rsidRDefault="000C015C" w:rsidP="000C015C">
      <w:pPr>
        <w:rPr>
          <w:b/>
          <w:color w:val="FF0000"/>
          <w:sz w:val="22"/>
          <w:szCs w:val="22"/>
        </w:rPr>
      </w:pPr>
    </w:p>
    <w:p w:rsidR="000C015C" w:rsidRPr="007C6FE4" w:rsidRDefault="000C015C" w:rsidP="000C015C">
      <w:pPr>
        <w:numPr>
          <w:ilvl w:val="12"/>
          <w:numId w:val="0"/>
        </w:numPr>
        <w:rPr>
          <w:sz w:val="22"/>
          <w:szCs w:val="22"/>
        </w:rPr>
      </w:pPr>
      <w:r w:rsidRPr="007C6FE4">
        <w:rPr>
          <w:sz w:val="22"/>
          <w:szCs w:val="22"/>
        </w:rPr>
        <w:t>Veľmi vysoká dávka INDAPAMIDU SR Alkaloid-INT môže spôsobiť nauzeu ( nevoľnosť), vracanie, zníženie krvného tlaku, kŕče, závraty, ospanlivosť, zmätenosť a zmeny množstva moču tvoreného obličkami.</w:t>
      </w:r>
    </w:p>
    <w:p w:rsidR="000C015C" w:rsidRPr="007C6FE4" w:rsidRDefault="000C015C" w:rsidP="000C015C">
      <w:pPr>
        <w:rPr>
          <w:sz w:val="22"/>
          <w:szCs w:val="22"/>
        </w:rPr>
      </w:pPr>
    </w:p>
    <w:p w:rsidR="000C015C" w:rsidRPr="007C6FE4" w:rsidRDefault="000C015C" w:rsidP="000C015C">
      <w:pPr>
        <w:rPr>
          <w:b/>
          <w:sz w:val="22"/>
          <w:szCs w:val="22"/>
        </w:rPr>
      </w:pPr>
      <w:r w:rsidRPr="002B11A2">
        <w:rPr>
          <w:b/>
          <w:sz w:val="22"/>
          <w:szCs w:val="22"/>
        </w:rPr>
        <w:t>Ak zabudnete užiť INDAPAMID SR Alkaloid-INT</w:t>
      </w:r>
    </w:p>
    <w:p w:rsidR="000C015C" w:rsidRPr="007C6FE4" w:rsidRDefault="000C015C" w:rsidP="000C015C">
      <w:pPr>
        <w:numPr>
          <w:ilvl w:val="12"/>
          <w:numId w:val="0"/>
        </w:numPr>
        <w:ind w:right="-2"/>
        <w:rPr>
          <w:sz w:val="22"/>
          <w:szCs w:val="22"/>
        </w:rPr>
      </w:pPr>
      <w:r w:rsidRPr="002B11A2">
        <w:rPr>
          <w:color w:val="000000"/>
          <w:sz w:val="22"/>
          <w:szCs w:val="22"/>
        </w:rPr>
        <w:t xml:space="preserve">Ak zabudnete užiť dávku vášho lieku, užite ďalšiu dávku v obvyklom čase. </w:t>
      </w:r>
      <w:r w:rsidRPr="002B11A2">
        <w:rPr>
          <w:sz w:val="22"/>
          <w:szCs w:val="22"/>
        </w:rPr>
        <w:t>Neužívajte dvojnásobnú dávku, aby ste nahradili vynechanú dávku.</w:t>
      </w:r>
    </w:p>
    <w:p w:rsidR="000C015C" w:rsidRPr="007C6FE4" w:rsidRDefault="000C015C" w:rsidP="000C015C">
      <w:pPr>
        <w:numPr>
          <w:ilvl w:val="12"/>
          <w:numId w:val="0"/>
        </w:numPr>
        <w:ind w:right="-2"/>
        <w:rPr>
          <w:sz w:val="22"/>
          <w:szCs w:val="22"/>
        </w:rPr>
      </w:pPr>
    </w:p>
    <w:p w:rsidR="000C015C" w:rsidRPr="007C6FE4" w:rsidRDefault="000C015C" w:rsidP="000C015C">
      <w:pPr>
        <w:rPr>
          <w:b/>
          <w:sz w:val="22"/>
          <w:szCs w:val="22"/>
        </w:rPr>
      </w:pPr>
      <w:r w:rsidRPr="002B11A2">
        <w:rPr>
          <w:b/>
          <w:sz w:val="22"/>
          <w:szCs w:val="22"/>
        </w:rPr>
        <w:t>Ak prestanete užívať INDAPAMID SR Alkaloid-INT</w:t>
      </w:r>
    </w:p>
    <w:p w:rsidR="000C015C" w:rsidRPr="007C6FE4" w:rsidRDefault="000C015C" w:rsidP="000C015C">
      <w:pPr>
        <w:rPr>
          <w:sz w:val="22"/>
          <w:szCs w:val="22"/>
        </w:rPr>
      </w:pPr>
      <w:r w:rsidRPr="002B11A2">
        <w:rPr>
          <w:sz w:val="22"/>
          <w:szCs w:val="22"/>
        </w:rPr>
        <w:t>Keďže liečba vysokého tlaku je zvyčajne dlhodobá, pred ukončením užívania tohto lieku sa musíte poradiť so svojím lekárom.</w:t>
      </w:r>
    </w:p>
    <w:p w:rsidR="000C015C" w:rsidRPr="007C6FE4" w:rsidRDefault="000C015C" w:rsidP="000C015C">
      <w:pPr>
        <w:rPr>
          <w:sz w:val="22"/>
          <w:szCs w:val="22"/>
        </w:rPr>
      </w:pPr>
    </w:p>
    <w:p w:rsidR="000C015C" w:rsidRPr="007C6FE4" w:rsidRDefault="000C015C" w:rsidP="000C015C">
      <w:pPr>
        <w:rPr>
          <w:sz w:val="22"/>
          <w:szCs w:val="22"/>
        </w:rPr>
      </w:pPr>
      <w:r w:rsidRPr="002B11A2">
        <w:rPr>
          <w:sz w:val="22"/>
          <w:szCs w:val="22"/>
        </w:rPr>
        <w:lastRenderedPageBreak/>
        <w:t>Ak máte akékoľvek ďalšie otázky týkajúce sa použitia tohto lieku, opýtajte sa svojho lekára alebo lekárnika.</w:t>
      </w:r>
    </w:p>
    <w:p w:rsidR="000C015C" w:rsidRPr="007C6FE4" w:rsidRDefault="000C015C" w:rsidP="000C015C">
      <w:pPr>
        <w:numPr>
          <w:ilvl w:val="12"/>
          <w:numId w:val="0"/>
        </w:numPr>
        <w:ind w:right="-2"/>
        <w:rPr>
          <w:sz w:val="22"/>
          <w:szCs w:val="22"/>
        </w:rPr>
      </w:pPr>
    </w:p>
    <w:p w:rsidR="000C015C" w:rsidRPr="007C6FE4" w:rsidRDefault="000C015C" w:rsidP="000C015C">
      <w:pPr>
        <w:numPr>
          <w:ilvl w:val="12"/>
          <w:numId w:val="0"/>
        </w:numPr>
        <w:ind w:right="-2"/>
        <w:rPr>
          <w:sz w:val="22"/>
          <w:szCs w:val="22"/>
        </w:rPr>
      </w:pPr>
    </w:p>
    <w:p w:rsidR="000C015C" w:rsidRPr="007C6FE4" w:rsidRDefault="000C015C" w:rsidP="000C015C">
      <w:pPr>
        <w:numPr>
          <w:ilvl w:val="12"/>
          <w:numId w:val="0"/>
        </w:numPr>
        <w:ind w:left="567" w:right="-2" w:hanging="567"/>
        <w:rPr>
          <w:sz w:val="22"/>
          <w:szCs w:val="22"/>
        </w:rPr>
      </w:pPr>
      <w:r w:rsidRPr="002B11A2">
        <w:rPr>
          <w:b/>
          <w:sz w:val="22"/>
          <w:szCs w:val="22"/>
        </w:rPr>
        <w:t>4.</w:t>
      </w:r>
      <w:r w:rsidRPr="002B11A2">
        <w:rPr>
          <w:b/>
          <w:sz w:val="22"/>
          <w:szCs w:val="22"/>
        </w:rPr>
        <w:tab/>
        <w:t>Možné vedľajšie účinky</w:t>
      </w:r>
    </w:p>
    <w:p w:rsidR="000C015C" w:rsidRPr="007C6FE4" w:rsidRDefault="000C015C" w:rsidP="000C015C">
      <w:pPr>
        <w:numPr>
          <w:ilvl w:val="12"/>
          <w:numId w:val="0"/>
        </w:numPr>
        <w:ind w:right="-2"/>
        <w:rPr>
          <w:sz w:val="22"/>
          <w:szCs w:val="22"/>
        </w:rPr>
      </w:pPr>
    </w:p>
    <w:p w:rsidR="000C015C" w:rsidRPr="007C6FE4" w:rsidRDefault="000C015C" w:rsidP="000C015C">
      <w:pPr>
        <w:numPr>
          <w:ilvl w:val="12"/>
          <w:numId w:val="0"/>
        </w:numPr>
        <w:ind w:right="-29"/>
        <w:rPr>
          <w:sz w:val="22"/>
          <w:szCs w:val="22"/>
        </w:rPr>
      </w:pPr>
      <w:r w:rsidRPr="002B11A2">
        <w:rPr>
          <w:sz w:val="22"/>
          <w:szCs w:val="22"/>
        </w:rPr>
        <w:t>Tak ako všetky lieky, aj tento liek môže spôsobovať vedľajšie účinky, hoci sa neprejavia u každého.</w:t>
      </w:r>
    </w:p>
    <w:p w:rsidR="000C015C" w:rsidRPr="007C6FE4" w:rsidRDefault="000C015C" w:rsidP="000C015C">
      <w:pPr>
        <w:numPr>
          <w:ilvl w:val="12"/>
          <w:numId w:val="0"/>
        </w:numPr>
        <w:ind w:right="-29"/>
        <w:rPr>
          <w:sz w:val="22"/>
          <w:szCs w:val="22"/>
        </w:rPr>
      </w:pPr>
    </w:p>
    <w:p w:rsidR="000C015C" w:rsidRPr="007C6FE4" w:rsidRDefault="000C015C" w:rsidP="000C015C">
      <w:pPr>
        <w:numPr>
          <w:ilvl w:val="12"/>
          <w:numId w:val="0"/>
        </w:numPr>
        <w:ind w:right="-29"/>
        <w:rPr>
          <w:b/>
          <w:sz w:val="22"/>
          <w:szCs w:val="22"/>
        </w:rPr>
      </w:pPr>
      <w:r w:rsidRPr="002B11A2">
        <w:rPr>
          <w:b/>
          <w:sz w:val="22"/>
          <w:szCs w:val="22"/>
        </w:rPr>
        <w:t>Informujte svojho lekára ihneď, ak zaznamenáte ktorýkoľvek z nasledovných účinkov:</w:t>
      </w:r>
    </w:p>
    <w:p w:rsidR="000C015C" w:rsidRPr="007C6FE4" w:rsidRDefault="000C015C" w:rsidP="000C015C">
      <w:pPr>
        <w:numPr>
          <w:ilvl w:val="12"/>
          <w:numId w:val="0"/>
        </w:numPr>
        <w:ind w:right="-29"/>
        <w:rPr>
          <w:b/>
          <w:sz w:val="22"/>
          <w:szCs w:val="22"/>
        </w:rPr>
      </w:pPr>
    </w:p>
    <w:p w:rsidR="000C015C" w:rsidRPr="007C6FE4" w:rsidRDefault="000C015C" w:rsidP="000C015C">
      <w:pPr>
        <w:numPr>
          <w:ilvl w:val="12"/>
          <w:numId w:val="0"/>
        </w:numPr>
        <w:ind w:right="-29"/>
        <w:rPr>
          <w:b/>
          <w:sz w:val="22"/>
          <w:szCs w:val="22"/>
        </w:rPr>
      </w:pPr>
      <w:r w:rsidRPr="007C6FE4">
        <w:rPr>
          <w:b/>
          <w:sz w:val="22"/>
          <w:szCs w:val="22"/>
        </w:rPr>
        <w:t>Veľmi zriedkavé</w:t>
      </w:r>
      <w:r w:rsidRPr="007C6FE4">
        <w:rPr>
          <w:sz w:val="22"/>
          <w:szCs w:val="22"/>
        </w:rPr>
        <w:t xml:space="preserve"> (môžu postihovať menej ako1 z 10 000 osôb):</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 xml:space="preserve">angioedém (závažná alergická reakcia), ktorý je charakterizovaný opuchom kože okolo očí, pier, rúk alebo nôh. Môže spôsobiť opuch hrdla, jazyka alebo dýchacích ciest s následnou dýchavičnosťou alebo ťažkosťami pri prehĺtaní. </w:t>
      </w:r>
    </w:p>
    <w:p w:rsidR="000C015C" w:rsidRPr="007C6FE4" w:rsidRDefault="000C015C" w:rsidP="000C015C">
      <w:pPr>
        <w:shd w:val="clear" w:color="auto" w:fill="FFFFFF"/>
        <w:rPr>
          <w:sz w:val="22"/>
          <w:szCs w:val="22"/>
        </w:rPr>
      </w:pPr>
    </w:p>
    <w:p w:rsidR="000C015C" w:rsidRPr="007C6FE4" w:rsidRDefault="000C015C" w:rsidP="000C015C">
      <w:pPr>
        <w:shd w:val="clear" w:color="auto" w:fill="FFFFFF"/>
        <w:rPr>
          <w:b/>
          <w:sz w:val="22"/>
          <w:szCs w:val="22"/>
        </w:rPr>
      </w:pPr>
      <w:r w:rsidRPr="002B11A2">
        <w:rPr>
          <w:b/>
          <w:sz w:val="22"/>
          <w:szCs w:val="22"/>
        </w:rPr>
        <w:t>Ďalšie možné vedľajšie účinky  lieku INDAPAMID SR Alkaloid-INT</w:t>
      </w:r>
    </w:p>
    <w:p w:rsidR="000C015C" w:rsidRPr="007C6FE4" w:rsidRDefault="000C015C" w:rsidP="000C015C">
      <w:pPr>
        <w:shd w:val="clear" w:color="auto" w:fill="FFFFFF"/>
        <w:rPr>
          <w:sz w:val="22"/>
          <w:szCs w:val="22"/>
        </w:rPr>
      </w:pPr>
    </w:p>
    <w:p w:rsidR="000C015C" w:rsidRPr="007C6FE4" w:rsidRDefault="000C015C" w:rsidP="000C015C">
      <w:pPr>
        <w:shd w:val="clear" w:color="auto" w:fill="FFFFFF"/>
        <w:rPr>
          <w:sz w:val="22"/>
          <w:szCs w:val="22"/>
        </w:rPr>
      </w:pPr>
      <w:r w:rsidRPr="007C6FE4">
        <w:rPr>
          <w:b/>
          <w:sz w:val="22"/>
          <w:szCs w:val="22"/>
        </w:rPr>
        <w:t>Časté</w:t>
      </w:r>
      <w:r w:rsidRPr="007C6FE4">
        <w:rPr>
          <w:sz w:val="22"/>
          <w:szCs w:val="22"/>
        </w:rPr>
        <w:t xml:space="preserve"> (môžu postihovať menej ako 1 z 10 osôb):</w:t>
      </w:r>
    </w:p>
    <w:p w:rsidR="000C015C" w:rsidRPr="007C6FE4" w:rsidRDefault="000C015C" w:rsidP="000C015C">
      <w:pPr>
        <w:autoSpaceDE w:val="0"/>
        <w:autoSpaceDN w:val="0"/>
        <w:adjustRightInd w:val="0"/>
        <w:ind w:left="360" w:hanging="360"/>
        <w:rPr>
          <w:sz w:val="22"/>
          <w:szCs w:val="22"/>
        </w:rPr>
      </w:pPr>
      <w:r w:rsidRPr="002B11A2">
        <w:rPr>
          <w:sz w:val="22"/>
          <w:szCs w:val="22"/>
        </w:rPr>
        <w:t xml:space="preserve">– </w:t>
      </w:r>
      <w:r w:rsidRPr="002B11A2">
        <w:rPr>
          <w:sz w:val="22"/>
          <w:szCs w:val="22"/>
        </w:rPr>
        <w:tab/>
        <w:t>alergické reakcie (najmä u ľudí, ktorí majú sklon k alergickým alebo astmatickým reakciám), ktoré vedú ku kožnej vyrážke so škvrnami a pľuzgiermi,</w:t>
      </w:r>
    </w:p>
    <w:p w:rsidR="000C015C" w:rsidRPr="007C6FE4" w:rsidRDefault="000C015C" w:rsidP="000C015C">
      <w:pPr>
        <w:autoSpaceDE w:val="0"/>
        <w:autoSpaceDN w:val="0"/>
        <w:adjustRightInd w:val="0"/>
        <w:ind w:left="360" w:hanging="360"/>
        <w:rPr>
          <w:sz w:val="22"/>
          <w:szCs w:val="22"/>
        </w:rPr>
      </w:pPr>
      <w:r w:rsidRPr="002B11A2">
        <w:rPr>
          <w:sz w:val="22"/>
          <w:szCs w:val="22"/>
        </w:rPr>
        <w:t xml:space="preserve">– </w:t>
      </w:r>
      <w:r w:rsidRPr="002B11A2">
        <w:rPr>
          <w:sz w:val="22"/>
          <w:szCs w:val="22"/>
        </w:rPr>
        <w:tab/>
        <w:t>nízka hladina draslíka v krvi, ktorá môže spôsobiť svalovú slabosť.</w:t>
      </w:r>
    </w:p>
    <w:p w:rsidR="000C015C" w:rsidRPr="007C6FE4" w:rsidRDefault="000C015C" w:rsidP="000C015C">
      <w:pPr>
        <w:pStyle w:val="Odsekzoznamu"/>
        <w:shd w:val="clear" w:color="auto" w:fill="FFFFFF"/>
        <w:tabs>
          <w:tab w:val="clear" w:pos="567"/>
          <w:tab w:val="left" w:pos="708"/>
        </w:tabs>
        <w:spacing w:line="240" w:lineRule="auto"/>
        <w:ind w:left="0"/>
        <w:rPr>
          <w:szCs w:val="22"/>
        </w:rPr>
      </w:pPr>
    </w:p>
    <w:p w:rsidR="000C015C" w:rsidRPr="007C6FE4" w:rsidRDefault="000C015C" w:rsidP="000C015C">
      <w:pPr>
        <w:shd w:val="clear" w:color="auto" w:fill="FFFFFF"/>
        <w:rPr>
          <w:sz w:val="22"/>
          <w:szCs w:val="22"/>
        </w:rPr>
      </w:pPr>
      <w:r w:rsidRPr="007C6FE4">
        <w:rPr>
          <w:b/>
          <w:sz w:val="22"/>
          <w:szCs w:val="22"/>
        </w:rPr>
        <w:t>Menej časté</w:t>
      </w:r>
      <w:r w:rsidRPr="007C6FE4">
        <w:rPr>
          <w:sz w:val="22"/>
          <w:szCs w:val="22"/>
        </w:rPr>
        <w:t xml:space="preserve"> (môžu postihovať až 1 zo 100 ľudí):</w:t>
      </w:r>
    </w:p>
    <w:p w:rsidR="000C015C" w:rsidRPr="007C6FE4" w:rsidRDefault="000C015C" w:rsidP="000C015C">
      <w:pPr>
        <w:pStyle w:val="Odsekzoznamu"/>
        <w:numPr>
          <w:ilvl w:val="0"/>
          <w:numId w:val="1"/>
        </w:numPr>
        <w:shd w:val="clear" w:color="auto" w:fill="FFFFFF"/>
        <w:tabs>
          <w:tab w:val="clear" w:pos="567"/>
          <w:tab w:val="left" w:pos="708"/>
        </w:tabs>
        <w:spacing w:line="240" w:lineRule="auto"/>
        <w:rPr>
          <w:szCs w:val="22"/>
        </w:rPr>
      </w:pPr>
      <w:r w:rsidRPr="002B11A2">
        <w:rPr>
          <w:szCs w:val="22"/>
        </w:rPr>
        <w:t>vracanie,</w:t>
      </w:r>
    </w:p>
    <w:p w:rsidR="000C015C" w:rsidRPr="007C6FE4" w:rsidRDefault="000C015C" w:rsidP="000C015C">
      <w:pPr>
        <w:pStyle w:val="Odsekzoznamu"/>
        <w:numPr>
          <w:ilvl w:val="0"/>
          <w:numId w:val="1"/>
        </w:numPr>
        <w:shd w:val="clear" w:color="auto" w:fill="FFFFFF"/>
        <w:tabs>
          <w:tab w:val="clear" w:pos="567"/>
          <w:tab w:val="left" w:pos="708"/>
        </w:tabs>
        <w:spacing w:line="240" w:lineRule="auto"/>
        <w:rPr>
          <w:szCs w:val="22"/>
        </w:rPr>
      </w:pPr>
      <w:r w:rsidRPr="002B11A2">
        <w:rPr>
          <w:szCs w:val="22"/>
        </w:rPr>
        <w:t xml:space="preserve">alergické reakcie (najmä u ľudí, ktorí majú sklon k alergickým alebo astmatickým reakciám), ktoré vedú k červeným kožným vyrážkam (purpura). </w:t>
      </w:r>
    </w:p>
    <w:p w:rsidR="000C015C" w:rsidRPr="007C6FE4" w:rsidRDefault="000C015C" w:rsidP="000C015C">
      <w:pPr>
        <w:shd w:val="clear" w:color="auto" w:fill="FFFFFF"/>
        <w:rPr>
          <w:sz w:val="22"/>
          <w:szCs w:val="22"/>
        </w:rPr>
      </w:pPr>
    </w:p>
    <w:p w:rsidR="000C015C" w:rsidRPr="007C6FE4" w:rsidRDefault="000C015C" w:rsidP="000C015C">
      <w:pPr>
        <w:shd w:val="clear" w:color="auto" w:fill="FFFFFF"/>
        <w:rPr>
          <w:sz w:val="22"/>
          <w:szCs w:val="22"/>
        </w:rPr>
      </w:pPr>
      <w:r w:rsidRPr="007C6FE4">
        <w:rPr>
          <w:b/>
          <w:sz w:val="22"/>
          <w:szCs w:val="22"/>
        </w:rPr>
        <w:t>Zriedkavé</w:t>
      </w:r>
      <w:r w:rsidRPr="007C6FE4">
        <w:rPr>
          <w:sz w:val="22"/>
          <w:szCs w:val="22"/>
        </w:rPr>
        <w:t xml:space="preserve"> (môžu postihovať menej ako 1 z 1 000 osôb):</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pocit únavy, závraty, bolesť hlavy, mravčenie (parestézia),</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nauzea (nevoľnosť), zápcha, sucho v ústach,</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zvýšené riziko dehydratácie (nadmerného úbytku tekutín v tele) u starších pacientov a pacientov so srdcovým zlyhaním.</w:t>
      </w:r>
    </w:p>
    <w:p w:rsidR="000C015C" w:rsidRPr="007C6FE4" w:rsidRDefault="000C015C" w:rsidP="000C015C">
      <w:pPr>
        <w:pStyle w:val="Odsekzoznamu"/>
        <w:shd w:val="clear" w:color="auto" w:fill="FFFFFF"/>
        <w:tabs>
          <w:tab w:val="clear" w:pos="567"/>
          <w:tab w:val="left" w:pos="708"/>
        </w:tabs>
        <w:spacing w:line="240" w:lineRule="auto"/>
        <w:ind w:left="360" w:right="225"/>
        <w:rPr>
          <w:szCs w:val="22"/>
        </w:rPr>
      </w:pPr>
    </w:p>
    <w:p w:rsidR="000C015C" w:rsidRPr="007C6FE4" w:rsidRDefault="000C015C" w:rsidP="000C015C">
      <w:pPr>
        <w:shd w:val="clear" w:color="auto" w:fill="FFFFFF"/>
        <w:rPr>
          <w:sz w:val="22"/>
          <w:szCs w:val="22"/>
        </w:rPr>
      </w:pPr>
      <w:r w:rsidRPr="007C6FE4">
        <w:rPr>
          <w:b/>
          <w:sz w:val="22"/>
          <w:szCs w:val="22"/>
        </w:rPr>
        <w:t>Veľmi zriedkavé</w:t>
      </w:r>
      <w:r w:rsidRPr="007C6FE4">
        <w:rPr>
          <w:sz w:val="22"/>
          <w:szCs w:val="22"/>
        </w:rPr>
        <w:t xml:space="preserve"> (môžu postihovať menej ako 1 z 10 000 osôb):</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300"/>
        <w:rPr>
          <w:szCs w:val="22"/>
        </w:rPr>
      </w:pPr>
      <w:r w:rsidRPr="002B11A2">
        <w:rPr>
          <w:szCs w:val="22"/>
        </w:rPr>
        <w:t>zvýšená hladina vápnika v krvi,</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nepravidelnosti srdcového rytmu (vyvolávajúce palpitácie, pocit búšenia srdca), nízky krvný tlak,</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ochorenie obličiek (vyvolávajúce príznaky únavy, zvýšenú potrebu močiť),svrbenie kože, nevoľnosť, opuchy končatín,</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problémy s pečeňou (zistené krvnými testami),</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pankreatitída (zápal podžalúdkovej žľazy, ktorý vyvoláva bolesť hornej časti brucha), neprirodzené pečeňové funkcie (s príznakmi ako únava, strata chuti do jedla, pocit na vracanie alebo vracanie, opuchy končatín, žltá koža). V prípade zlyhania pečene existuje možnosť vzniku hepatálnej encefalopatie (pečeňové ťažkosti, ktoré pôsobia na mozog a centrálny nervový systém),</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zmeny v krvných bunkách ako trombocytopénia (zníženie počtu krvných doštičiek, ktoré spôsobuje ľahkú tvorbu podliatin a krvácanie z nosa), leukopénia (zníženie počtu bielych krvných buniek, ktoré môže zapríčiniť nevysvetliteľnú horúčku, bolesti hrdla a iné chrípke podobné príznaky – ak k tomu dôjde, spojte sa so svojím lekárom) a anémia (málokrvnosť ,zníženie počtu červených krviniek),</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t xml:space="preserve">kožné alergické reakcie, najmä u ľudí, ktorí majú sklon k alergickým alebo astmatickým reakciám, (angioedém a/alebo žihľavka, závažné kožné prejavy). </w:t>
      </w:r>
    </w:p>
    <w:p w:rsidR="000C015C" w:rsidRPr="007C6FE4" w:rsidRDefault="000C015C" w:rsidP="000C015C">
      <w:pPr>
        <w:shd w:val="clear" w:color="auto" w:fill="FFFFFF"/>
        <w:rPr>
          <w:sz w:val="22"/>
          <w:szCs w:val="22"/>
          <w:highlight w:val="yellow"/>
        </w:rPr>
      </w:pPr>
    </w:p>
    <w:p w:rsidR="000C015C" w:rsidRPr="007C6FE4" w:rsidRDefault="000C015C" w:rsidP="000C015C">
      <w:pPr>
        <w:shd w:val="clear" w:color="auto" w:fill="FFFFFF"/>
        <w:rPr>
          <w:sz w:val="22"/>
          <w:szCs w:val="22"/>
        </w:rPr>
      </w:pPr>
      <w:r w:rsidRPr="007C6FE4">
        <w:rPr>
          <w:b/>
          <w:sz w:val="22"/>
          <w:szCs w:val="22"/>
        </w:rPr>
        <w:t>Neznáme</w:t>
      </w:r>
      <w:r w:rsidRPr="007C6FE4">
        <w:rPr>
          <w:sz w:val="22"/>
          <w:szCs w:val="22"/>
        </w:rPr>
        <w:t xml:space="preserve"> (častosť výskytu sa nedá určiť z dostupných údajov)</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225"/>
        <w:rPr>
          <w:szCs w:val="22"/>
        </w:rPr>
      </w:pPr>
      <w:r w:rsidRPr="002B11A2">
        <w:rPr>
          <w:szCs w:val="22"/>
        </w:rPr>
        <w:lastRenderedPageBreak/>
        <w:t>Vo vašej krvi sa môžu vyskytnúť zmeny a váš lekár vás môže podrobiť krvným testom, aby skontroloval váš stav. Vo výsledkoch vašich krvných testov sa môžu objaviť nasledovné zmeny:</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left="720" w:right="300"/>
        <w:rPr>
          <w:szCs w:val="22"/>
        </w:rPr>
      </w:pPr>
      <w:r w:rsidRPr="002B11A2">
        <w:rPr>
          <w:szCs w:val="22"/>
        </w:rPr>
        <w:t>nízke hladiny sodíka vo vašej krvi, ktoré môžu viesť k dehydratácii a nízkemu krvnému tlaku,</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left="720" w:right="300"/>
        <w:rPr>
          <w:szCs w:val="22"/>
        </w:rPr>
      </w:pPr>
      <w:r w:rsidRPr="002B11A2">
        <w:rPr>
          <w:szCs w:val="22"/>
        </w:rPr>
        <w:t>zvýšenie hladiny kyseliny močovej, látky, ktorá môže zapríčiniť alebo zhoršiť dnu (bolestivý/é kĺb/y najmä na nohách),</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left="720" w:right="300"/>
        <w:rPr>
          <w:szCs w:val="22"/>
        </w:rPr>
      </w:pPr>
      <w:r w:rsidRPr="002B11A2">
        <w:rPr>
          <w:szCs w:val="22"/>
        </w:rPr>
        <w:t>zvýšenie hladiny glukózy v krvi u diabetických pacientov,</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left="720" w:right="300"/>
        <w:rPr>
          <w:szCs w:val="22"/>
        </w:rPr>
      </w:pPr>
      <w:r w:rsidRPr="002B11A2">
        <w:rPr>
          <w:szCs w:val="22"/>
        </w:rPr>
        <w:t>nízke hladiny chloridu v krvi, čo môže viesť k metabolickej alkalóze (porucha rovnováhy medzi kyslými a zásaditými látkami v organizme,</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left="720" w:right="300"/>
        <w:rPr>
          <w:szCs w:val="22"/>
        </w:rPr>
      </w:pPr>
      <w:r w:rsidRPr="002B11A2">
        <w:rPr>
          <w:szCs w:val="22"/>
        </w:rPr>
        <w:t>zvýšenie hladín pečeňových enzýmov.</w:t>
      </w:r>
    </w:p>
    <w:p w:rsidR="000C015C" w:rsidRPr="007C6FE4" w:rsidRDefault="000C015C" w:rsidP="000C015C">
      <w:pPr>
        <w:pStyle w:val="Odsekzoznamu"/>
        <w:numPr>
          <w:ilvl w:val="0"/>
          <w:numId w:val="1"/>
        </w:numPr>
        <w:shd w:val="clear" w:color="auto" w:fill="FFFFFF"/>
        <w:tabs>
          <w:tab w:val="clear" w:pos="567"/>
          <w:tab w:val="left" w:pos="708"/>
        </w:tabs>
        <w:spacing w:line="240" w:lineRule="auto"/>
        <w:rPr>
          <w:szCs w:val="22"/>
        </w:rPr>
      </w:pPr>
      <w:r w:rsidRPr="002B11A2">
        <w:rPr>
          <w:szCs w:val="22"/>
        </w:rPr>
        <w:t xml:space="preserve">Ak máte systémový lupus erythematosus (porucha imunitného systému vedúca k zápalu a poškodeniu kĺbov, šliach a orgánov s príznakmi zahŕňajúcimi kožnú vyrážku, únavu, stratu chuti do jedla, nárast hmotnosti a bolesti kĺbov), užívanie tohto lieku môže zhoršiť toto ochorenie. </w:t>
      </w:r>
    </w:p>
    <w:p w:rsidR="000C015C" w:rsidRPr="007C6FE4" w:rsidRDefault="000C015C" w:rsidP="000C015C">
      <w:pPr>
        <w:pStyle w:val="Odsekzoznamu"/>
        <w:numPr>
          <w:ilvl w:val="0"/>
          <w:numId w:val="1"/>
        </w:numPr>
        <w:shd w:val="clear" w:color="auto" w:fill="FFFFFF"/>
        <w:tabs>
          <w:tab w:val="clear" w:pos="567"/>
          <w:tab w:val="left" w:pos="708"/>
        </w:tabs>
        <w:spacing w:line="240" w:lineRule="auto"/>
        <w:rPr>
          <w:szCs w:val="22"/>
        </w:rPr>
      </w:pPr>
      <w:r w:rsidRPr="002B11A2">
        <w:rPr>
          <w:szCs w:val="22"/>
        </w:rPr>
        <w:t>Prípady fotosenzitívnych reakcií (zmena vzhľadu pokožky) boli tiež zaznamenané po vystavení kože slnku alebo umelému UVA (ultrafialové žiarenie);</w:t>
      </w:r>
    </w:p>
    <w:p w:rsidR="000C015C" w:rsidRPr="007C6FE4" w:rsidRDefault="000C015C" w:rsidP="000C015C">
      <w:pPr>
        <w:pStyle w:val="Odsekzoznamu"/>
        <w:numPr>
          <w:ilvl w:val="0"/>
          <w:numId w:val="1"/>
        </w:numPr>
        <w:shd w:val="clear" w:color="auto" w:fill="FFFFFF"/>
        <w:tabs>
          <w:tab w:val="clear" w:pos="567"/>
          <w:tab w:val="left" w:pos="708"/>
        </w:tabs>
        <w:autoSpaceDE w:val="0"/>
        <w:autoSpaceDN w:val="0"/>
        <w:adjustRightInd w:val="0"/>
        <w:spacing w:line="240" w:lineRule="auto"/>
        <w:ind w:right="300"/>
        <w:rPr>
          <w:szCs w:val="22"/>
        </w:rPr>
      </w:pPr>
      <w:r w:rsidRPr="002B11A2">
        <w:rPr>
          <w:szCs w:val="22"/>
        </w:rPr>
        <w:t xml:space="preserve">Ak už máte problémy s pečeňou, užívanie indapamidu môže vyvolať stav nazývaný hepatálna encefalopatia (poškodenie mozgu a nervov, ktoré sa môže vyskytnúť ako komplikácia ochorenia pečene). </w:t>
      </w:r>
    </w:p>
    <w:p w:rsidR="000C015C" w:rsidRPr="007C6FE4" w:rsidRDefault="000C015C" w:rsidP="000C015C">
      <w:pPr>
        <w:pStyle w:val="Odsekzoznamu"/>
        <w:numPr>
          <w:ilvl w:val="0"/>
          <w:numId w:val="1"/>
        </w:numPr>
        <w:shd w:val="clear" w:color="auto" w:fill="FFFFFF"/>
        <w:tabs>
          <w:tab w:val="clear" w:pos="567"/>
          <w:tab w:val="left" w:pos="708"/>
        </w:tabs>
        <w:autoSpaceDE w:val="0"/>
        <w:autoSpaceDN w:val="0"/>
        <w:adjustRightInd w:val="0"/>
        <w:spacing w:line="240" w:lineRule="auto"/>
        <w:ind w:right="300"/>
        <w:rPr>
          <w:szCs w:val="22"/>
        </w:rPr>
      </w:pPr>
      <w:r w:rsidRPr="002B11A2">
        <w:rPr>
          <w:szCs w:val="22"/>
        </w:rPr>
        <w:t>Neprirodzený grafický záznam EKG srdca.</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300"/>
        <w:rPr>
          <w:szCs w:val="22"/>
        </w:rPr>
      </w:pPr>
      <w:r w:rsidRPr="002B11A2">
        <w:rPr>
          <w:szCs w:val="22"/>
        </w:rPr>
        <w:t xml:space="preserve">Život ohrozujúci nepravidelný pulz </w:t>
      </w:r>
      <w:r w:rsidRPr="002B11A2">
        <w:rPr>
          <w:i/>
          <w:szCs w:val="22"/>
        </w:rPr>
        <w:t>(Torsade de Pointes).</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300"/>
        <w:rPr>
          <w:szCs w:val="22"/>
        </w:rPr>
      </w:pPr>
      <w:r w:rsidRPr="002B11A2">
        <w:rPr>
          <w:szCs w:val="22"/>
        </w:rPr>
        <w:t>Zápal pečene.</w:t>
      </w:r>
    </w:p>
    <w:p w:rsidR="000C015C" w:rsidRPr="007C6FE4" w:rsidRDefault="000C015C" w:rsidP="000C015C">
      <w:pPr>
        <w:pStyle w:val="Odsekzoznamu"/>
        <w:numPr>
          <w:ilvl w:val="0"/>
          <w:numId w:val="1"/>
        </w:numPr>
        <w:shd w:val="clear" w:color="auto" w:fill="FFFFFF"/>
        <w:tabs>
          <w:tab w:val="clear" w:pos="567"/>
          <w:tab w:val="left" w:pos="708"/>
        </w:tabs>
        <w:spacing w:line="240" w:lineRule="auto"/>
        <w:ind w:right="300"/>
        <w:rPr>
          <w:szCs w:val="22"/>
        </w:rPr>
      </w:pPr>
      <w:r w:rsidRPr="002B11A2">
        <w:rPr>
          <w:szCs w:val="22"/>
        </w:rPr>
        <w:t>Mdloby.</w:t>
      </w:r>
    </w:p>
    <w:p w:rsidR="000C015C" w:rsidRPr="007C6FE4" w:rsidRDefault="000C015C" w:rsidP="000C015C">
      <w:pPr>
        <w:pStyle w:val="Odsekzoznamu"/>
        <w:shd w:val="clear" w:color="auto" w:fill="FFFFFF"/>
        <w:tabs>
          <w:tab w:val="clear" w:pos="567"/>
          <w:tab w:val="left" w:pos="708"/>
        </w:tabs>
        <w:spacing w:line="240" w:lineRule="auto"/>
        <w:ind w:left="360" w:right="300"/>
        <w:rPr>
          <w:szCs w:val="22"/>
        </w:rPr>
      </w:pPr>
    </w:p>
    <w:p w:rsidR="000C015C" w:rsidRPr="007C6FE4" w:rsidRDefault="000C015C" w:rsidP="000C015C">
      <w:pPr>
        <w:rPr>
          <w:b/>
          <w:sz w:val="22"/>
          <w:szCs w:val="22"/>
        </w:rPr>
      </w:pPr>
      <w:r w:rsidRPr="002B11A2">
        <w:rPr>
          <w:b/>
          <w:sz w:val="22"/>
          <w:szCs w:val="22"/>
        </w:rPr>
        <w:t>Hlásenie vedľajších účinkov</w:t>
      </w:r>
    </w:p>
    <w:p w:rsidR="000C015C" w:rsidRPr="007C6FE4" w:rsidRDefault="000C015C" w:rsidP="000C015C">
      <w:pPr>
        <w:pStyle w:val="BodytextAgency"/>
        <w:spacing w:after="0" w:line="240" w:lineRule="auto"/>
        <w:rPr>
          <w:rFonts w:ascii="Times New Roman" w:hAnsi="Times New Roman" w:cs="Times New Roman"/>
          <w:sz w:val="22"/>
          <w:szCs w:val="22"/>
        </w:rPr>
      </w:pPr>
      <w:r w:rsidRPr="002B11A2">
        <w:rPr>
          <w:rFonts w:ascii="Times New Roman" w:hAnsi="Times New Roman" w:cs="Times New Roman"/>
          <w:sz w:val="22"/>
          <w:szCs w:val="22"/>
        </w:rPr>
        <w:t>Ak sa u vás vyskytne akýkoľvek vedľajší účinok, obráťte sa na svojho lekára alebo lekárnika.</w:t>
      </w:r>
      <w:r w:rsidRPr="002B11A2">
        <w:rPr>
          <w:rFonts w:ascii="Times New Roman" w:hAnsi="Times New Roman" w:cs="Times New Roman"/>
          <w:color w:val="FF0000"/>
          <w:sz w:val="22"/>
          <w:szCs w:val="22"/>
        </w:rPr>
        <w:t xml:space="preserve"> </w:t>
      </w:r>
      <w:r w:rsidRPr="002B11A2">
        <w:rPr>
          <w:rFonts w:ascii="Times New Roman" w:hAnsi="Times New Roman" w:cs="Times New Roman"/>
          <w:sz w:val="22"/>
          <w:szCs w:val="22"/>
        </w:rPr>
        <w:t xml:space="preserve">To sa týka aj akýchkoľvek vedľajších účinkov, ktoré nie sú uvedené v tejto písomnej informácii. Vedľajšie účinky môžete hlásiť aj priamo </w:t>
      </w:r>
      <w:r w:rsidR="007528C4">
        <w:rPr>
          <w:rFonts w:ascii="Times New Roman" w:hAnsi="Times New Roman" w:cs="Times New Roman"/>
          <w:sz w:val="22"/>
          <w:szCs w:val="22"/>
        </w:rPr>
        <w:t>na</w:t>
      </w:r>
      <w:r w:rsidRPr="007C6FE4">
        <w:rPr>
          <w:rFonts w:ascii="Times New Roman" w:hAnsi="Times New Roman" w:cs="Times New Roman"/>
          <w:sz w:val="22"/>
          <w:szCs w:val="22"/>
          <w:highlight w:val="lightGray"/>
        </w:rPr>
        <w:t xml:space="preserve"> národné </w:t>
      </w:r>
      <w:r w:rsidR="007528C4">
        <w:rPr>
          <w:rFonts w:ascii="Times New Roman" w:hAnsi="Times New Roman" w:cs="Times New Roman"/>
          <w:sz w:val="22"/>
          <w:szCs w:val="22"/>
          <w:highlight w:val="lightGray"/>
        </w:rPr>
        <w:t>centrum</w:t>
      </w:r>
      <w:r w:rsidRPr="007C6FE4">
        <w:rPr>
          <w:rFonts w:ascii="Times New Roman" w:hAnsi="Times New Roman" w:cs="Times New Roman"/>
          <w:sz w:val="22"/>
          <w:szCs w:val="22"/>
          <w:highlight w:val="lightGray"/>
        </w:rPr>
        <w:t xml:space="preserve"> hlásenia uvedené v </w:t>
      </w:r>
      <w:hyperlink r:id="rId7" w:history="1">
        <w:r w:rsidRPr="007C6FE4">
          <w:rPr>
            <w:rStyle w:val="Hypertextovprepojenie"/>
            <w:rFonts w:ascii="Times New Roman" w:hAnsi="Times New Roman" w:cs="Times New Roman"/>
            <w:sz w:val="22"/>
            <w:szCs w:val="22"/>
            <w:highlight w:val="lightGray"/>
          </w:rPr>
          <w:t>Prílohe V</w:t>
        </w:r>
      </w:hyperlink>
      <w:r w:rsidRPr="002B11A2">
        <w:rPr>
          <w:rFonts w:ascii="Times New Roman" w:hAnsi="Times New Roman" w:cs="Times New Roman"/>
          <w:sz w:val="22"/>
          <w:szCs w:val="22"/>
        </w:rPr>
        <w:t>. Hlásením vedľajších účinkov môžete prispieť k získaniu ďalších informácií o bezpečnosti tohto lieku.</w:t>
      </w:r>
    </w:p>
    <w:p w:rsidR="000C015C" w:rsidRPr="007C6FE4" w:rsidRDefault="000C015C" w:rsidP="000C015C">
      <w:pPr>
        <w:numPr>
          <w:ilvl w:val="12"/>
          <w:numId w:val="0"/>
        </w:numPr>
        <w:ind w:right="-2"/>
        <w:rPr>
          <w:sz w:val="22"/>
          <w:szCs w:val="22"/>
        </w:rPr>
      </w:pPr>
    </w:p>
    <w:p w:rsidR="000C015C" w:rsidRPr="007C6FE4" w:rsidRDefault="000C015C" w:rsidP="000C015C">
      <w:pPr>
        <w:numPr>
          <w:ilvl w:val="12"/>
          <w:numId w:val="0"/>
        </w:numPr>
        <w:ind w:right="-2"/>
        <w:rPr>
          <w:sz w:val="22"/>
          <w:szCs w:val="22"/>
        </w:rPr>
      </w:pPr>
    </w:p>
    <w:p w:rsidR="000C015C" w:rsidRPr="007C6FE4" w:rsidRDefault="000C015C" w:rsidP="000C015C">
      <w:pPr>
        <w:numPr>
          <w:ilvl w:val="12"/>
          <w:numId w:val="0"/>
        </w:numPr>
        <w:ind w:left="567" w:right="-2" w:hanging="567"/>
        <w:rPr>
          <w:sz w:val="22"/>
          <w:szCs w:val="22"/>
        </w:rPr>
      </w:pPr>
      <w:r w:rsidRPr="002B11A2">
        <w:rPr>
          <w:b/>
          <w:sz w:val="22"/>
          <w:szCs w:val="22"/>
        </w:rPr>
        <w:t>5.</w:t>
      </w:r>
      <w:r w:rsidRPr="002B11A2">
        <w:rPr>
          <w:b/>
          <w:sz w:val="22"/>
          <w:szCs w:val="22"/>
        </w:rPr>
        <w:tab/>
        <w:t>Ako uchovávať INDAPAMID SR Alkaloid-INT</w:t>
      </w:r>
    </w:p>
    <w:p w:rsidR="000C015C" w:rsidRPr="007C6FE4" w:rsidRDefault="000C015C" w:rsidP="000C015C">
      <w:pPr>
        <w:numPr>
          <w:ilvl w:val="12"/>
          <w:numId w:val="0"/>
        </w:numPr>
        <w:ind w:right="-2"/>
        <w:rPr>
          <w:sz w:val="22"/>
          <w:szCs w:val="22"/>
        </w:rPr>
      </w:pPr>
    </w:p>
    <w:p w:rsidR="000C015C" w:rsidRPr="007C6FE4" w:rsidRDefault="000C015C" w:rsidP="000C015C">
      <w:pPr>
        <w:numPr>
          <w:ilvl w:val="12"/>
          <w:numId w:val="0"/>
        </w:numPr>
        <w:ind w:right="-2"/>
        <w:rPr>
          <w:sz w:val="22"/>
          <w:szCs w:val="22"/>
        </w:rPr>
      </w:pPr>
      <w:r w:rsidRPr="002B11A2">
        <w:rPr>
          <w:sz w:val="22"/>
          <w:szCs w:val="22"/>
        </w:rPr>
        <w:t xml:space="preserve">Tento liek uchovávajte mimo dohľadu a dosahu detí. </w:t>
      </w:r>
    </w:p>
    <w:p w:rsidR="000C015C" w:rsidRPr="007C6FE4" w:rsidRDefault="000C015C" w:rsidP="000C015C">
      <w:pPr>
        <w:numPr>
          <w:ilvl w:val="12"/>
          <w:numId w:val="0"/>
        </w:numPr>
        <w:ind w:right="-2"/>
        <w:rPr>
          <w:sz w:val="22"/>
          <w:szCs w:val="22"/>
        </w:rPr>
      </w:pPr>
      <w:r w:rsidRPr="002B11A2">
        <w:rPr>
          <w:sz w:val="22"/>
          <w:szCs w:val="22"/>
        </w:rPr>
        <w:t>Nepoužívajte tento liek po dátume exspirácie, ktorý je uvedený na škatuľke a na blistri po „EXP“. Dátum exspirácie sa vzťahuje na posledný deň v danom mesiaci.</w:t>
      </w:r>
    </w:p>
    <w:p w:rsidR="000C015C" w:rsidRPr="007C6FE4" w:rsidRDefault="009A60AA" w:rsidP="000C015C">
      <w:pPr>
        <w:shd w:val="clear" w:color="auto" w:fill="FFFFFF"/>
        <w:ind w:left="22"/>
        <w:rPr>
          <w:sz w:val="22"/>
          <w:szCs w:val="22"/>
        </w:rPr>
      </w:pPr>
      <w:r w:rsidRPr="009A60AA">
        <w:rPr>
          <w:sz w:val="22"/>
          <w:szCs w:val="22"/>
        </w:rPr>
        <w:t xml:space="preserve">Uchovávajte pri teplote do </w:t>
      </w:r>
      <w:r w:rsidR="00C537AA" w:rsidRPr="00C537AA">
        <w:rPr>
          <w:sz w:val="22"/>
          <w:szCs w:val="22"/>
        </w:rPr>
        <w:t xml:space="preserve"> 25 °C. </w:t>
      </w:r>
      <w:r w:rsidR="000C015C" w:rsidRPr="002B11A2">
        <w:rPr>
          <w:sz w:val="22"/>
          <w:szCs w:val="22"/>
        </w:rPr>
        <w:t>Uchovávajte v pôvodnom obale na ochranu pred svetlom.</w:t>
      </w:r>
    </w:p>
    <w:p w:rsidR="000C015C" w:rsidRPr="007C6FE4" w:rsidRDefault="000C015C" w:rsidP="000C015C">
      <w:pPr>
        <w:numPr>
          <w:ilvl w:val="12"/>
          <w:numId w:val="0"/>
        </w:numPr>
        <w:ind w:right="-2"/>
        <w:rPr>
          <w:sz w:val="22"/>
          <w:szCs w:val="22"/>
        </w:rPr>
      </w:pPr>
      <w:r w:rsidRPr="002B11A2">
        <w:rPr>
          <w:sz w:val="22"/>
          <w:szCs w:val="22"/>
        </w:rPr>
        <w:t>Nelikvidujte lieky odpadovou vodou alebo domovým odpadom. Nepoužitý liek vráťte do lekárne. Tieto opatrenia pomôžu chrániť životné prostredie.</w:t>
      </w:r>
    </w:p>
    <w:p w:rsidR="000C015C" w:rsidRPr="007C6FE4" w:rsidRDefault="000C015C" w:rsidP="000C015C">
      <w:pPr>
        <w:numPr>
          <w:ilvl w:val="12"/>
          <w:numId w:val="0"/>
        </w:numPr>
        <w:ind w:right="-2"/>
        <w:rPr>
          <w:sz w:val="22"/>
          <w:szCs w:val="22"/>
        </w:rPr>
      </w:pPr>
    </w:p>
    <w:p w:rsidR="000C015C" w:rsidRPr="007C6FE4" w:rsidRDefault="000C015C" w:rsidP="000C015C">
      <w:pPr>
        <w:numPr>
          <w:ilvl w:val="12"/>
          <w:numId w:val="0"/>
        </w:numPr>
        <w:ind w:right="-2"/>
        <w:rPr>
          <w:sz w:val="22"/>
          <w:szCs w:val="22"/>
        </w:rPr>
      </w:pPr>
    </w:p>
    <w:p w:rsidR="000C015C" w:rsidRPr="007C6FE4" w:rsidRDefault="000C015C" w:rsidP="000C015C">
      <w:pPr>
        <w:numPr>
          <w:ilvl w:val="12"/>
          <w:numId w:val="0"/>
        </w:numPr>
        <w:ind w:right="-2"/>
        <w:rPr>
          <w:b/>
          <w:sz w:val="22"/>
          <w:szCs w:val="22"/>
        </w:rPr>
      </w:pPr>
      <w:r w:rsidRPr="002B11A2">
        <w:rPr>
          <w:b/>
          <w:sz w:val="22"/>
          <w:szCs w:val="22"/>
        </w:rPr>
        <w:t>6.</w:t>
      </w:r>
      <w:r w:rsidRPr="002B11A2">
        <w:rPr>
          <w:b/>
          <w:sz w:val="22"/>
          <w:szCs w:val="22"/>
        </w:rPr>
        <w:tab/>
        <w:t>Obsah balenia a ďalšie informácie</w:t>
      </w:r>
    </w:p>
    <w:p w:rsidR="000C015C" w:rsidRPr="007C6FE4" w:rsidRDefault="000C015C" w:rsidP="000C015C">
      <w:pPr>
        <w:numPr>
          <w:ilvl w:val="12"/>
          <w:numId w:val="0"/>
        </w:numPr>
        <w:ind w:right="-2"/>
        <w:rPr>
          <w:sz w:val="22"/>
          <w:szCs w:val="22"/>
        </w:rPr>
      </w:pPr>
    </w:p>
    <w:p w:rsidR="000C015C" w:rsidRPr="007C6FE4" w:rsidRDefault="000C015C" w:rsidP="000C015C">
      <w:pPr>
        <w:numPr>
          <w:ilvl w:val="12"/>
          <w:numId w:val="0"/>
        </w:numPr>
        <w:ind w:right="-2"/>
        <w:rPr>
          <w:b/>
          <w:bCs/>
          <w:sz w:val="22"/>
          <w:szCs w:val="22"/>
        </w:rPr>
      </w:pPr>
      <w:r w:rsidRPr="002B11A2">
        <w:rPr>
          <w:b/>
          <w:sz w:val="22"/>
          <w:szCs w:val="22"/>
        </w:rPr>
        <w:t>Čo INDAPAMID SR Alkaloid-INT obsahuje</w:t>
      </w:r>
    </w:p>
    <w:p w:rsidR="000C015C" w:rsidRPr="007C6FE4" w:rsidRDefault="000C015C" w:rsidP="000C015C">
      <w:pPr>
        <w:numPr>
          <w:ilvl w:val="0"/>
          <w:numId w:val="1"/>
        </w:numPr>
        <w:ind w:left="567" w:right="-2" w:hanging="567"/>
        <w:rPr>
          <w:i/>
          <w:iCs/>
          <w:sz w:val="22"/>
          <w:szCs w:val="22"/>
        </w:rPr>
      </w:pPr>
      <w:r w:rsidRPr="002B11A2">
        <w:rPr>
          <w:sz w:val="22"/>
          <w:szCs w:val="22"/>
        </w:rPr>
        <w:t xml:space="preserve">Liečivo je indapamid. Každá tableta s predĺženým uvoľňovaním obsahuje 1,5 mg indapamidu. </w:t>
      </w:r>
    </w:p>
    <w:p w:rsidR="000C015C" w:rsidRPr="007C6FE4" w:rsidRDefault="000C015C" w:rsidP="000C015C">
      <w:pPr>
        <w:numPr>
          <w:ilvl w:val="0"/>
          <w:numId w:val="1"/>
        </w:numPr>
        <w:tabs>
          <w:tab w:val="left" w:pos="1260"/>
        </w:tabs>
        <w:ind w:left="567" w:right="-2" w:hanging="567"/>
        <w:rPr>
          <w:sz w:val="22"/>
          <w:szCs w:val="22"/>
        </w:rPr>
      </w:pPr>
      <w:r w:rsidRPr="002B11A2">
        <w:rPr>
          <w:sz w:val="22"/>
          <w:szCs w:val="22"/>
        </w:rPr>
        <w:t>Ďalšie zložky sú:</w:t>
      </w:r>
    </w:p>
    <w:p w:rsidR="000C015C" w:rsidRPr="007C6FE4" w:rsidRDefault="000C015C" w:rsidP="000C015C">
      <w:pPr>
        <w:tabs>
          <w:tab w:val="left" w:pos="1260"/>
        </w:tabs>
        <w:ind w:left="567" w:right="-2"/>
        <w:rPr>
          <w:i/>
          <w:sz w:val="22"/>
          <w:szCs w:val="22"/>
        </w:rPr>
      </w:pPr>
      <w:r w:rsidRPr="002B11A2">
        <w:rPr>
          <w:i/>
          <w:sz w:val="22"/>
          <w:szCs w:val="22"/>
        </w:rPr>
        <w:t xml:space="preserve">Jadro tablety: </w:t>
      </w:r>
      <w:r w:rsidRPr="002B11A2">
        <w:rPr>
          <w:sz w:val="22"/>
          <w:szCs w:val="22"/>
        </w:rPr>
        <w:t xml:space="preserve">monohydrát laktózy; hydroxyetylcelulóza (s nízkou viskozitou); hydroxyetylcelulóza (s vysokou viskozitou); koloidný bezvodý oxid kremičitý; stearan horečnatý. </w:t>
      </w:r>
    </w:p>
    <w:p w:rsidR="000C015C" w:rsidRPr="007C6FE4" w:rsidRDefault="000C015C" w:rsidP="000C015C">
      <w:pPr>
        <w:tabs>
          <w:tab w:val="left" w:pos="1260"/>
        </w:tabs>
        <w:ind w:left="567" w:right="-2"/>
        <w:rPr>
          <w:sz w:val="22"/>
          <w:szCs w:val="22"/>
        </w:rPr>
      </w:pPr>
      <w:r w:rsidRPr="002B11A2">
        <w:rPr>
          <w:i/>
          <w:sz w:val="22"/>
          <w:szCs w:val="22"/>
        </w:rPr>
        <w:t xml:space="preserve">Filmový obal: </w:t>
      </w:r>
      <w:r w:rsidRPr="002B11A2">
        <w:rPr>
          <w:sz w:val="22"/>
          <w:szCs w:val="22"/>
        </w:rPr>
        <w:t>hydroxypropylcelulóza; oxid titaničitý (E171).</w:t>
      </w:r>
    </w:p>
    <w:p w:rsidR="000C015C" w:rsidRPr="007C6FE4" w:rsidRDefault="000C015C" w:rsidP="000C015C">
      <w:pPr>
        <w:ind w:right="-2"/>
        <w:rPr>
          <w:sz w:val="22"/>
          <w:szCs w:val="22"/>
        </w:rPr>
      </w:pPr>
    </w:p>
    <w:p w:rsidR="000C015C" w:rsidRPr="007C6FE4" w:rsidRDefault="000C015C" w:rsidP="000C015C">
      <w:pPr>
        <w:numPr>
          <w:ilvl w:val="12"/>
          <w:numId w:val="0"/>
        </w:numPr>
        <w:ind w:right="-2"/>
        <w:rPr>
          <w:b/>
          <w:bCs/>
          <w:sz w:val="22"/>
          <w:szCs w:val="22"/>
        </w:rPr>
      </w:pPr>
      <w:r w:rsidRPr="002B11A2">
        <w:rPr>
          <w:b/>
          <w:sz w:val="22"/>
          <w:szCs w:val="22"/>
        </w:rPr>
        <w:t xml:space="preserve">Ako vyzerá INDAPAMID SR Alkaloid-INT a obsah balenia </w:t>
      </w:r>
    </w:p>
    <w:p w:rsidR="000C015C" w:rsidRPr="007C6FE4" w:rsidRDefault="000C015C" w:rsidP="000C015C">
      <w:pPr>
        <w:ind w:left="567" w:hanging="567"/>
        <w:rPr>
          <w:sz w:val="22"/>
          <w:szCs w:val="22"/>
        </w:rPr>
      </w:pPr>
    </w:p>
    <w:p w:rsidR="000C015C" w:rsidRPr="007C6FE4" w:rsidRDefault="000C015C" w:rsidP="000C015C">
      <w:pPr>
        <w:ind w:right="-1043"/>
        <w:rPr>
          <w:sz w:val="22"/>
          <w:szCs w:val="22"/>
        </w:rPr>
      </w:pPr>
      <w:r w:rsidRPr="002B11A2">
        <w:rPr>
          <w:sz w:val="22"/>
          <w:szCs w:val="22"/>
        </w:rPr>
        <w:t xml:space="preserve">Tento liek je okrúhla, dvojvypuklá, biela až takmer biela filmom obalená tableta. </w:t>
      </w:r>
    </w:p>
    <w:p w:rsidR="000C015C" w:rsidRPr="007C6FE4" w:rsidRDefault="000C015C" w:rsidP="000C015C">
      <w:pPr>
        <w:pStyle w:val="Zarkazkladnhotextu2"/>
        <w:ind w:left="0"/>
        <w:rPr>
          <w:rFonts w:ascii="Times New Roman" w:hAnsi="Times New Roman"/>
          <w:color w:val="000000"/>
          <w:sz w:val="22"/>
          <w:szCs w:val="22"/>
        </w:rPr>
      </w:pPr>
      <w:r w:rsidRPr="002B11A2">
        <w:rPr>
          <w:rFonts w:ascii="Times New Roman" w:hAnsi="Times New Roman"/>
          <w:color w:val="000000"/>
          <w:sz w:val="22"/>
          <w:szCs w:val="22"/>
        </w:rPr>
        <w:lastRenderedPageBreak/>
        <w:t xml:space="preserve">Tablety sú zabalené v blistroch v tvrdej priehľadnej PVC/PVDC/hliníkovej fólii alebo alternatívne v tvrdej nepriehľadnej hliníkovej/polyamidovej/PVC/hliníkovej fólii. Každý blister obsahuje 10 tabliet. </w:t>
      </w:r>
    </w:p>
    <w:p w:rsidR="000C015C" w:rsidRPr="007C6FE4" w:rsidRDefault="000C015C" w:rsidP="000C015C">
      <w:pPr>
        <w:pStyle w:val="Zarkazkladnhotextu2"/>
        <w:ind w:left="0"/>
        <w:rPr>
          <w:rFonts w:ascii="Times New Roman" w:hAnsi="Times New Roman"/>
          <w:color w:val="000000"/>
          <w:sz w:val="22"/>
          <w:szCs w:val="22"/>
        </w:rPr>
      </w:pPr>
      <w:r w:rsidRPr="002B11A2">
        <w:rPr>
          <w:rFonts w:ascii="Times New Roman" w:hAnsi="Times New Roman"/>
          <w:color w:val="000000"/>
          <w:sz w:val="22"/>
          <w:szCs w:val="22"/>
        </w:rPr>
        <w:t xml:space="preserve">Kartónová škatuľka s litografickou tlačou s 3 blistrami (30 tabliet) alebo 9 blistrami (90 tabliet) alebo 10 blistrami (100 tabliet) a písomnou informáciou. </w:t>
      </w:r>
    </w:p>
    <w:p w:rsidR="000C015C" w:rsidRPr="007C6FE4" w:rsidRDefault="000C015C" w:rsidP="000C015C">
      <w:pPr>
        <w:tabs>
          <w:tab w:val="left" w:pos="567"/>
        </w:tabs>
        <w:rPr>
          <w:color w:val="000000"/>
          <w:sz w:val="22"/>
          <w:szCs w:val="22"/>
        </w:rPr>
      </w:pPr>
    </w:p>
    <w:p w:rsidR="000C015C" w:rsidRPr="007C6FE4" w:rsidRDefault="000C015C" w:rsidP="000C015C">
      <w:pPr>
        <w:tabs>
          <w:tab w:val="left" w:pos="567"/>
        </w:tabs>
        <w:rPr>
          <w:sz w:val="22"/>
          <w:szCs w:val="22"/>
        </w:rPr>
      </w:pPr>
      <w:r w:rsidRPr="002B11A2">
        <w:rPr>
          <w:color w:val="000000"/>
          <w:sz w:val="22"/>
          <w:szCs w:val="22"/>
        </w:rPr>
        <w:t>Na trh nemusia byť uvedené všetky veľkosti balenia.</w:t>
      </w:r>
    </w:p>
    <w:p w:rsidR="000C015C" w:rsidRPr="007C6FE4" w:rsidRDefault="000C015C" w:rsidP="000C015C">
      <w:pPr>
        <w:tabs>
          <w:tab w:val="left" w:pos="567"/>
        </w:tabs>
        <w:rPr>
          <w:color w:val="000000"/>
          <w:sz w:val="22"/>
          <w:szCs w:val="22"/>
        </w:rPr>
      </w:pPr>
    </w:p>
    <w:p w:rsidR="000C015C" w:rsidRPr="007C6FE4" w:rsidRDefault="000C015C" w:rsidP="000C015C">
      <w:pPr>
        <w:numPr>
          <w:ilvl w:val="12"/>
          <w:numId w:val="0"/>
        </w:numPr>
        <w:ind w:right="-2"/>
        <w:rPr>
          <w:b/>
          <w:bCs/>
          <w:sz w:val="22"/>
          <w:szCs w:val="22"/>
        </w:rPr>
      </w:pPr>
      <w:r w:rsidRPr="002B11A2">
        <w:rPr>
          <w:b/>
          <w:sz w:val="22"/>
          <w:szCs w:val="22"/>
        </w:rPr>
        <w:t>Držiteľ rozhodnutia o registrácii a výrobca</w:t>
      </w:r>
    </w:p>
    <w:p w:rsidR="000C015C" w:rsidRPr="002B11A2" w:rsidRDefault="000C015C" w:rsidP="000C015C">
      <w:pPr>
        <w:ind w:left="567" w:hanging="567"/>
        <w:rPr>
          <w:sz w:val="22"/>
          <w:szCs w:val="22"/>
        </w:rPr>
      </w:pPr>
      <w:r w:rsidRPr="002B11A2">
        <w:rPr>
          <w:sz w:val="22"/>
          <w:szCs w:val="22"/>
        </w:rPr>
        <w:t>ALKALOID - INT d.o.o., Šlandrova 4, 1231 Ljubljana-Črnuče, Slovinsko</w:t>
      </w:r>
    </w:p>
    <w:p w:rsidR="000C015C" w:rsidRPr="002B11A2" w:rsidRDefault="000C015C" w:rsidP="000C015C">
      <w:pPr>
        <w:ind w:left="567" w:hanging="567"/>
        <w:rPr>
          <w:sz w:val="22"/>
          <w:szCs w:val="22"/>
          <w:lang w:val="sl-SI"/>
        </w:rPr>
      </w:pPr>
      <w:r w:rsidRPr="002B11A2">
        <w:rPr>
          <w:sz w:val="22"/>
          <w:szCs w:val="22"/>
          <w:lang w:val="sl-SI"/>
        </w:rPr>
        <w:t xml:space="preserve">Tel.: </w:t>
      </w:r>
      <w:r w:rsidRPr="002B11A2">
        <w:rPr>
          <w:sz w:val="22"/>
          <w:szCs w:val="22"/>
          <w:lang w:val="en-GB"/>
        </w:rPr>
        <w:t>386 1</w:t>
      </w:r>
      <w:r w:rsidRPr="002B11A2">
        <w:rPr>
          <w:sz w:val="22"/>
          <w:szCs w:val="22"/>
          <w:lang w:val="sl-SI"/>
        </w:rPr>
        <w:t xml:space="preserve"> 300 42 90</w:t>
      </w:r>
    </w:p>
    <w:p w:rsidR="000C015C" w:rsidRPr="002B11A2" w:rsidRDefault="000C015C" w:rsidP="000C015C">
      <w:pPr>
        <w:ind w:left="567" w:hanging="567"/>
        <w:rPr>
          <w:sz w:val="22"/>
          <w:szCs w:val="22"/>
          <w:lang w:val="sl-SI"/>
        </w:rPr>
      </w:pPr>
      <w:r w:rsidRPr="002B11A2">
        <w:rPr>
          <w:sz w:val="22"/>
          <w:szCs w:val="22"/>
          <w:lang w:val="sl-SI"/>
        </w:rPr>
        <w:t xml:space="preserve">Fax: </w:t>
      </w:r>
      <w:r w:rsidRPr="002B11A2">
        <w:rPr>
          <w:sz w:val="22"/>
          <w:szCs w:val="22"/>
          <w:lang w:val="en-GB"/>
        </w:rPr>
        <w:t>386 1</w:t>
      </w:r>
      <w:r w:rsidRPr="002B11A2">
        <w:rPr>
          <w:sz w:val="22"/>
          <w:szCs w:val="22"/>
          <w:lang w:val="sl-SI"/>
        </w:rPr>
        <w:t xml:space="preserve"> 300 42 91</w:t>
      </w:r>
    </w:p>
    <w:p w:rsidR="000C015C" w:rsidRPr="007C6FE4" w:rsidRDefault="000C015C" w:rsidP="000C015C">
      <w:pPr>
        <w:ind w:left="567" w:hanging="567"/>
        <w:rPr>
          <w:sz w:val="22"/>
          <w:szCs w:val="22"/>
        </w:rPr>
      </w:pPr>
      <w:r w:rsidRPr="002B11A2">
        <w:rPr>
          <w:sz w:val="22"/>
          <w:szCs w:val="22"/>
          <w:lang w:val="sl-SI"/>
        </w:rPr>
        <w:t xml:space="preserve">email: </w:t>
      </w:r>
      <w:hyperlink r:id="rId8" w:history="1">
        <w:r w:rsidRPr="002B11A2">
          <w:rPr>
            <w:rStyle w:val="Hypertextovprepojenie"/>
            <w:sz w:val="22"/>
            <w:szCs w:val="22"/>
            <w:lang w:val="sl-SI"/>
          </w:rPr>
          <w:t>info@alkaloid.si</w:t>
        </w:r>
      </w:hyperlink>
    </w:p>
    <w:p w:rsidR="000C015C" w:rsidRPr="002B11A2" w:rsidRDefault="000C015C" w:rsidP="000C015C">
      <w:pPr>
        <w:numPr>
          <w:ilvl w:val="12"/>
          <w:numId w:val="0"/>
        </w:numPr>
        <w:ind w:right="-2"/>
        <w:rPr>
          <w:b/>
          <w:sz w:val="22"/>
          <w:szCs w:val="22"/>
        </w:rPr>
      </w:pPr>
    </w:p>
    <w:p w:rsidR="000C015C" w:rsidRPr="007C6FE4" w:rsidRDefault="000C015C" w:rsidP="000C015C">
      <w:pPr>
        <w:numPr>
          <w:ilvl w:val="12"/>
          <w:numId w:val="0"/>
        </w:numPr>
        <w:ind w:right="-2"/>
        <w:rPr>
          <w:sz w:val="22"/>
          <w:szCs w:val="22"/>
        </w:rPr>
      </w:pPr>
    </w:p>
    <w:p w:rsidR="000C015C" w:rsidRPr="007C6FE4" w:rsidRDefault="000C015C" w:rsidP="000C015C">
      <w:pPr>
        <w:rPr>
          <w:b/>
          <w:sz w:val="22"/>
          <w:szCs w:val="22"/>
        </w:rPr>
      </w:pPr>
      <w:r w:rsidRPr="002B11A2">
        <w:rPr>
          <w:b/>
          <w:sz w:val="22"/>
          <w:szCs w:val="22"/>
        </w:rPr>
        <w:t>Liek je schválený v členských štátoch Európskeho hospodárskeho priestoru (EHP) pod nasledovnými názvami:</w:t>
      </w:r>
    </w:p>
    <w:p w:rsidR="000C015C" w:rsidRPr="007C6FE4" w:rsidRDefault="000C015C" w:rsidP="000C015C">
      <w:pPr>
        <w:rPr>
          <w:i/>
          <w:sz w:val="22"/>
          <w:szCs w:val="22"/>
        </w:rPr>
      </w:pPr>
    </w:p>
    <w:tbl>
      <w:tblPr>
        <w:tblW w:w="0" w:type="auto"/>
        <w:tblLook w:val="04A0" w:firstRow="1" w:lastRow="0" w:firstColumn="1" w:lastColumn="0" w:noHBand="0" w:noVBand="1"/>
      </w:tblPr>
      <w:tblGrid>
        <w:gridCol w:w="2233"/>
        <w:gridCol w:w="7055"/>
      </w:tblGrid>
      <w:tr w:rsidR="000C015C" w:rsidRPr="007C6FE4" w:rsidTr="000C015C">
        <w:tc>
          <w:tcPr>
            <w:tcW w:w="2235" w:type="dxa"/>
            <w:hideMark/>
          </w:tcPr>
          <w:p w:rsidR="000C015C" w:rsidRPr="007C6FE4" w:rsidRDefault="000C015C">
            <w:pPr>
              <w:rPr>
                <w:rFonts w:eastAsia="Calibri"/>
                <w:sz w:val="22"/>
                <w:szCs w:val="22"/>
                <w:lang w:val="en-US"/>
              </w:rPr>
            </w:pPr>
            <w:r w:rsidRPr="007C6FE4">
              <w:rPr>
                <w:rFonts w:eastAsia="Calibri"/>
                <w:sz w:val="22"/>
                <w:szCs w:val="22"/>
              </w:rPr>
              <w:t>Bulharsko</w:t>
            </w:r>
            <w:r w:rsidRPr="007C6FE4">
              <w:rPr>
                <w:rFonts w:eastAsia="Calibri"/>
                <w:sz w:val="22"/>
                <w:szCs w:val="22"/>
                <w:lang w:val="en-US"/>
              </w:rPr>
              <w:t>:</w:t>
            </w:r>
          </w:p>
        </w:tc>
        <w:tc>
          <w:tcPr>
            <w:tcW w:w="7066" w:type="dxa"/>
            <w:hideMark/>
          </w:tcPr>
          <w:p w:rsidR="000C015C" w:rsidRPr="007C6FE4" w:rsidRDefault="000C015C">
            <w:pPr>
              <w:autoSpaceDE w:val="0"/>
              <w:autoSpaceDN w:val="0"/>
              <w:adjustRightInd w:val="0"/>
              <w:rPr>
                <w:rFonts w:eastAsia="Calibri"/>
                <w:sz w:val="22"/>
                <w:szCs w:val="22"/>
                <w:lang w:val="en-GB" w:eastAsia="en-US"/>
              </w:rPr>
            </w:pPr>
            <w:r w:rsidRPr="007C6FE4">
              <w:rPr>
                <w:rFonts w:eastAsia="Calibri"/>
                <w:sz w:val="22"/>
                <w:szCs w:val="22"/>
                <w:lang w:val="en-GB" w:eastAsia="en-US"/>
              </w:rPr>
              <w:t>ИНДАПАМИД СР Aлкалоид-ИНТ 1,5 mg таблетки с</w:t>
            </w:r>
          </w:p>
          <w:p w:rsidR="000C015C" w:rsidRPr="007C6FE4" w:rsidRDefault="000C015C">
            <w:pPr>
              <w:autoSpaceDE w:val="0"/>
              <w:autoSpaceDN w:val="0"/>
              <w:adjustRightInd w:val="0"/>
              <w:rPr>
                <w:rFonts w:eastAsia="Calibri"/>
                <w:sz w:val="22"/>
                <w:szCs w:val="22"/>
                <w:lang w:val="en-GB" w:eastAsia="en-US"/>
              </w:rPr>
            </w:pPr>
            <w:r w:rsidRPr="007C6FE4">
              <w:rPr>
                <w:rFonts w:eastAsia="Calibri"/>
                <w:sz w:val="22"/>
                <w:szCs w:val="22"/>
                <w:lang w:val="en-GB" w:eastAsia="en-US"/>
              </w:rPr>
              <w:t>удължено освобождаване</w:t>
            </w:r>
          </w:p>
        </w:tc>
      </w:tr>
      <w:tr w:rsidR="000C015C" w:rsidRPr="007C6FE4" w:rsidTr="000C015C">
        <w:tc>
          <w:tcPr>
            <w:tcW w:w="2235" w:type="dxa"/>
            <w:hideMark/>
          </w:tcPr>
          <w:p w:rsidR="000C015C" w:rsidRPr="007C6FE4" w:rsidRDefault="000C015C">
            <w:pPr>
              <w:rPr>
                <w:rFonts w:eastAsia="Calibri"/>
                <w:sz w:val="22"/>
                <w:szCs w:val="22"/>
                <w:lang w:val="en-US"/>
              </w:rPr>
            </w:pPr>
            <w:r w:rsidRPr="007C6FE4">
              <w:rPr>
                <w:rFonts w:eastAsia="Calibri"/>
                <w:sz w:val="22"/>
                <w:szCs w:val="22"/>
              </w:rPr>
              <w:t>Chorvátsko:</w:t>
            </w:r>
          </w:p>
        </w:tc>
        <w:tc>
          <w:tcPr>
            <w:tcW w:w="7066" w:type="dxa"/>
            <w:hideMark/>
          </w:tcPr>
          <w:p w:rsidR="000C015C" w:rsidRPr="007C6FE4" w:rsidRDefault="000C015C">
            <w:pPr>
              <w:autoSpaceDE w:val="0"/>
              <w:autoSpaceDN w:val="0"/>
              <w:adjustRightInd w:val="0"/>
              <w:rPr>
                <w:rFonts w:eastAsia="Calibri"/>
                <w:sz w:val="22"/>
                <w:szCs w:val="22"/>
                <w:lang w:val="en-GB" w:eastAsia="en-US"/>
              </w:rPr>
            </w:pPr>
            <w:r w:rsidRPr="007C6FE4">
              <w:rPr>
                <w:rFonts w:eastAsia="Calibri"/>
                <w:sz w:val="22"/>
                <w:szCs w:val="22"/>
                <w:lang w:val="en-GB" w:eastAsia="en-US"/>
              </w:rPr>
              <w:t>TOND SR 1,5 mg tablete s produljenim oslobađanjem</w:t>
            </w:r>
          </w:p>
        </w:tc>
      </w:tr>
      <w:tr w:rsidR="000C015C" w:rsidRPr="007C6FE4" w:rsidTr="000C015C">
        <w:tc>
          <w:tcPr>
            <w:tcW w:w="2235" w:type="dxa"/>
            <w:hideMark/>
          </w:tcPr>
          <w:p w:rsidR="000C015C" w:rsidRPr="007C6FE4" w:rsidRDefault="000C015C">
            <w:pPr>
              <w:rPr>
                <w:rFonts w:eastAsia="Calibri"/>
                <w:sz w:val="22"/>
                <w:szCs w:val="22"/>
                <w:lang w:val="en-US"/>
              </w:rPr>
            </w:pPr>
            <w:r w:rsidRPr="007C6FE4">
              <w:rPr>
                <w:rFonts w:eastAsia="Calibri"/>
                <w:sz w:val="22"/>
                <w:szCs w:val="22"/>
              </w:rPr>
              <w:t>Nemecko</w:t>
            </w:r>
            <w:r w:rsidRPr="007C6FE4">
              <w:rPr>
                <w:rFonts w:eastAsia="Calibri"/>
                <w:sz w:val="22"/>
                <w:szCs w:val="22"/>
                <w:lang w:val="es-ES"/>
              </w:rPr>
              <w:t>:</w:t>
            </w:r>
          </w:p>
        </w:tc>
        <w:tc>
          <w:tcPr>
            <w:tcW w:w="7066" w:type="dxa"/>
            <w:hideMark/>
          </w:tcPr>
          <w:p w:rsidR="000C015C" w:rsidRPr="007C6FE4" w:rsidRDefault="000C015C">
            <w:pPr>
              <w:rPr>
                <w:rFonts w:eastAsia="Calibri"/>
                <w:sz w:val="22"/>
                <w:szCs w:val="22"/>
                <w:lang w:val="en-US"/>
              </w:rPr>
            </w:pPr>
            <w:r w:rsidRPr="007C6FE4">
              <w:rPr>
                <w:rFonts w:eastAsia="Calibri"/>
                <w:sz w:val="22"/>
                <w:szCs w:val="22"/>
                <w:lang w:val="en-GB" w:eastAsia="en-US"/>
              </w:rPr>
              <w:t>INDAPAMID SR Alkaloid-INT 1,5 mg Retardtabletten</w:t>
            </w:r>
          </w:p>
        </w:tc>
      </w:tr>
      <w:tr w:rsidR="000C015C" w:rsidRPr="007C6FE4" w:rsidTr="000C015C">
        <w:tc>
          <w:tcPr>
            <w:tcW w:w="2235" w:type="dxa"/>
            <w:hideMark/>
          </w:tcPr>
          <w:p w:rsidR="000C015C" w:rsidRPr="007C6FE4" w:rsidRDefault="000C015C">
            <w:pPr>
              <w:rPr>
                <w:rFonts w:eastAsia="Calibri"/>
                <w:sz w:val="22"/>
                <w:szCs w:val="22"/>
                <w:lang w:val="en-US"/>
              </w:rPr>
            </w:pPr>
            <w:r w:rsidRPr="007C6FE4">
              <w:rPr>
                <w:rFonts w:eastAsia="Calibri"/>
                <w:sz w:val="22"/>
                <w:szCs w:val="22"/>
              </w:rPr>
              <w:t>Poľsko</w:t>
            </w:r>
            <w:r w:rsidRPr="007C6FE4">
              <w:rPr>
                <w:rFonts w:eastAsia="Calibri"/>
                <w:sz w:val="22"/>
                <w:szCs w:val="22"/>
                <w:lang w:val="en-US"/>
              </w:rPr>
              <w:t>:</w:t>
            </w:r>
          </w:p>
        </w:tc>
        <w:tc>
          <w:tcPr>
            <w:tcW w:w="7066" w:type="dxa"/>
            <w:hideMark/>
          </w:tcPr>
          <w:p w:rsidR="000C015C" w:rsidRPr="007C6FE4" w:rsidRDefault="00233618">
            <w:pPr>
              <w:rPr>
                <w:rFonts w:eastAsia="Calibri"/>
                <w:sz w:val="22"/>
                <w:szCs w:val="22"/>
                <w:lang w:val="en-US"/>
              </w:rPr>
            </w:pPr>
            <w:r w:rsidRPr="007C6FE4">
              <w:rPr>
                <w:rFonts w:eastAsia="Calibri"/>
                <w:sz w:val="22"/>
                <w:szCs w:val="22"/>
                <w:lang w:val="en-GB" w:eastAsia="en-US"/>
              </w:rPr>
              <w:t>Indasis SR</w:t>
            </w:r>
          </w:p>
        </w:tc>
      </w:tr>
      <w:tr w:rsidR="000C015C" w:rsidRPr="007C6FE4" w:rsidTr="000C015C">
        <w:tc>
          <w:tcPr>
            <w:tcW w:w="2235" w:type="dxa"/>
            <w:hideMark/>
          </w:tcPr>
          <w:p w:rsidR="000C015C" w:rsidRPr="007C6FE4" w:rsidRDefault="000C015C">
            <w:pPr>
              <w:rPr>
                <w:rFonts w:eastAsia="Calibri"/>
                <w:sz w:val="22"/>
                <w:szCs w:val="22"/>
                <w:lang w:val="en-US"/>
              </w:rPr>
            </w:pPr>
            <w:r w:rsidRPr="007C6FE4">
              <w:rPr>
                <w:rFonts w:eastAsia="Calibri"/>
                <w:sz w:val="22"/>
                <w:szCs w:val="22"/>
              </w:rPr>
              <w:t>Rumunsko:</w:t>
            </w:r>
          </w:p>
        </w:tc>
        <w:tc>
          <w:tcPr>
            <w:tcW w:w="7066" w:type="dxa"/>
            <w:hideMark/>
          </w:tcPr>
          <w:p w:rsidR="000C015C" w:rsidRPr="007C6FE4" w:rsidRDefault="000C015C">
            <w:pPr>
              <w:autoSpaceDE w:val="0"/>
              <w:autoSpaceDN w:val="0"/>
              <w:adjustRightInd w:val="0"/>
              <w:rPr>
                <w:rFonts w:eastAsia="Calibri"/>
                <w:sz w:val="22"/>
                <w:szCs w:val="22"/>
                <w:lang w:val="en-GB" w:eastAsia="en-US"/>
              </w:rPr>
            </w:pPr>
            <w:r w:rsidRPr="007C6FE4">
              <w:rPr>
                <w:rFonts w:eastAsia="Calibri"/>
                <w:sz w:val="22"/>
                <w:szCs w:val="22"/>
                <w:lang w:val="en-GB" w:eastAsia="en-US"/>
              </w:rPr>
              <w:t>Indapamidă Alkaloid-INT 1,5 mg comprimate cu eliberare prelungită</w:t>
            </w:r>
          </w:p>
        </w:tc>
      </w:tr>
      <w:tr w:rsidR="000C015C" w:rsidRPr="007C6FE4" w:rsidTr="000C015C">
        <w:tc>
          <w:tcPr>
            <w:tcW w:w="2235" w:type="dxa"/>
            <w:hideMark/>
          </w:tcPr>
          <w:p w:rsidR="000C015C" w:rsidRPr="007C6FE4" w:rsidRDefault="000C015C">
            <w:pPr>
              <w:rPr>
                <w:rFonts w:eastAsia="Calibri"/>
                <w:sz w:val="22"/>
                <w:szCs w:val="22"/>
                <w:lang w:val="en-US"/>
              </w:rPr>
            </w:pPr>
            <w:r w:rsidRPr="007C6FE4">
              <w:rPr>
                <w:rFonts w:eastAsia="Calibri"/>
                <w:sz w:val="22"/>
                <w:szCs w:val="22"/>
              </w:rPr>
              <w:t>Slovenská republika</w:t>
            </w:r>
            <w:r w:rsidRPr="007C6FE4">
              <w:rPr>
                <w:rFonts w:eastAsia="Calibri"/>
                <w:sz w:val="22"/>
                <w:szCs w:val="22"/>
                <w:lang w:val="en-GB"/>
              </w:rPr>
              <w:t>:</w:t>
            </w:r>
          </w:p>
        </w:tc>
        <w:tc>
          <w:tcPr>
            <w:tcW w:w="7066" w:type="dxa"/>
            <w:hideMark/>
          </w:tcPr>
          <w:p w:rsidR="000C015C" w:rsidRPr="007C6FE4" w:rsidRDefault="000C015C">
            <w:pPr>
              <w:autoSpaceDE w:val="0"/>
              <w:autoSpaceDN w:val="0"/>
              <w:adjustRightInd w:val="0"/>
              <w:rPr>
                <w:rFonts w:eastAsia="Calibri"/>
                <w:sz w:val="22"/>
                <w:szCs w:val="22"/>
                <w:lang w:val="en-GB" w:eastAsia="en-US"/>
              </w:rPr>
            </w:pPr>
            <w:r w:rsidRPr="007C6FE4">
              <w:rPr>
                <w:rFonts w:eastAsia="Calibri"/>
                <w:sz w:val="22"/>
                <w:szCs w:val="22"/>
                <w:lang w:val="en-GB" w:eastAsia="en-US"/>
              </w:rPr>
              <w:t>INDAPAMID SR Alkaloid-INT 1,5 mg</w:t>
            </w:r>
          </w:p>
        </w:tc>
      </w:tr>
      <w:tr w:rsidR="000C015C" w:rsidRPr="007C6FE4" w:rsidTr="000C015C">
        <w:tc>
          <w:tcPr>
            <w:tcW w:w="2235" w:type="dxa"/>
            <w:hideMark/>
          </w:tcPr>
          <w:p w:rsidR="000C015C" w:rsidRPr="007C6FE4" w:rsidRDefault="000C015C">
            <w:pPr>
              <w:rPr>
                <w:rFonts w:eastAsia="Calibri"/>
                <w:sz w:val="22"/>
                <w:szCs w:val="22"/>
                <w:lang w:val="en-US"/>
              </w:rPr>
            </w:pPr>
            <w:r w:rsidRPr="007C6FE4">
              <w:rPr>
                <w:rFonts w:eastAsia="Calibri"/>
                <w:sz w:val="22"/>
                <w:szCs w:val="22"/>
              </w:rPr>
              <w:t>Slovinsko</w:t>
            </w:r>
            <w:r w:rsidRPr="007C6FE4">
              <w:rPr>
                <w:rFonts w:eastAsia="Calibri"/>
                <w:sz w:val="22"/>
                <w:szCs w:val="22"/>
                <w:lang w:val="en-GB"/>
              </w:rPr>
              <w:t>:</w:t>
            </w:r>
          </w:p>
        </w:tc>
        <w:tc>
          <w:tcPr>
            <w:tcW w:w="7066" w:type="dxa"/>
            <w:hideMark/>
          </w:tcPr>
          <w:p w:rsidR="000C015C" w:rsidRPr="007C6FE4" w:rsidRDefault="000C015C">
            <w:pPr>
              <w:autoSpaceDE w:val="0"/>
              <w:autoSpaceDN w:val="0"/>
              <w:adjustRightInd w:val="0"/>
              <w:rPr>
                <w:rFonts w:eastAsia="Calibri"/>
                <w:sz w:val="22"/>
                <w:szCs w:val="22"/>
                <w:lang w:val="en-GB" w:eastAsia="en-US"/>
              </w:rPr>
            </w:pPr>
            <w:r w:rsidRPr="007C6FE4">
              <w:rPr>
                <w:rFonts w:eastAsia="Calibri"/>
                <w:sz w:val="22"/>
                <w:szCs w:val="22"/>
                <w:lang w:val="en-GB" w:eastAsia="en-US"/>
              </w:rPr>
              <w:t>TOND SR 1,5 mg tablete s podaljšanim sproščanjem</w:t>
            </w:r>
          </w:p>
        </w:tc>
      </w:tr>
      <w:tr w:rsidR="000C015C" w:rsidRPr="007C6FE4" w:rsidTr="000C015C">
        <w:tc>
          <w:tcPr>
            <w:tcW w:w="2235" w:type="dxa"/>
            <w:hideMark/>
          </w:tcPr>
          <w:p w:rsidR="000C015C" w:rsidRPr="007C6FE4" w:rsidRDefault="000C015C">
            <w:pPr>
              <w:rPr>
                <w:rFonts w:eastAsia="Calibri"/>
                <w:sz w:val="22"/>
                <w:szCs w:val="22"/>
                <w:lang w:val="en-US"/>
              </w:rPr>
            </w:pPr>
            <w:r w:rsidRPr="007C6FE4">
              <w:rPr>
                <w:rFonts w:eastAsia="Calibri"/>
                <w:sz w:val="22"/>
                <w:szCs w:val="22"/>
              </w:rPr>
              <w:t>Spojené kráľovstvo</w:t>
            </w:r>
            <w:r w:rsidRPr="007C6FE4">
              <w:rPr>
                <w:rFonts w:eastAsia="Calibri"/>
                <w:sz w:val="22"/>
                <w:szCs w:val="22"/>
                <w:lang w:val="es-ES"/>
              </w:rPr>
              <w:t>:</w:t>
            </w:r>
          </w:p>
        </w:tc>
        <w:tc>
          <w:tcPr>
            <w:tcW w:w="7066" w:type="dxa"/>
            <w:hideMark/>
          </w:tcPr>
          <w:p w:rsidR="000C015C" w:rsidRPr="007C6FE4" w:rsidRDefault="000C015C">
            <w:pPr>
              <w:rPr>
                <w:rFonts w:eastAsia="Calibri"/>
                <w:sz w:val="22"/>
                <w:szCs w:val="22"/>
                <w:lang w:val="en-US"/>
              </w:rPr>
            </w:pPr>
            <w:r w:rsidRPr="007C6FE4">
              <w:rPr>
                <w:rFonts w:eastAsia="Calibri"/>
                <w:sz w:val="22"/>
                <w:szCs w:val="22"/>
                <w:lang w:val="en-GB" w:eastAsia="en-US"/>
              </w:rPr>
              <w:t>ALKAPAMID XL 1.5 mg prolonged-release tablets</w:t>
            </w:r>
          </w:p>
        </w:tc>
      </w:tr>
    </w:tbl>
    <w:p w:rsidR="000C015C" w:rsidRPr="007C6FE4" w:rsidRDefault="000C015C" w:rsidP="000C015C">
      <w:pPr>
        <w:numPr>
          <w:ilvl w:val="12"/>
          <w:numId w:val="0"/>
        </w:numPr>
        <w:ind w:right="-2"/>
        <w:rPr>
          <w:sz w:val="22"/>
          <w:szCs w:val="22"/>
        </w:rPr>
      </w:pPr>
    </w:p>
    <w:p w:rsidR="000C015C" w:rsidRPr="007C6FE4" w:rsidRDefault="000C015C" w:rsidP="000C015C">
      <w:pPr>
        <w:rPr>
          <w:b/>
          <w:sz w:val="22"/>
          <w:szCs w:val="22"/>
        </w:rPr>
      </w:pPr>
      <w:r w:rsidRPr="002B11A2">
        <w:rPr>
          <w:b/>
          <w:sz w:val="22"/>
          <w:szCs w:val="22"/>
        </w:rPr>
        <w:t>Táto písomná informácia bola naposledy aktualizovaná v </w:t>
      </w:r>
      <w:r w:rsidR="007528C4">
        <w:rPr>
          <w:b/>
          <w:sz w:val="22"/>
          <w:szCs w:val="22"/>
        </w:rPr>
        <w:t>06/2018.</w:t>
      </w:r>
    </w:p>
    <w:p w:rsidR="00B471ED" w:rsidRPr="002B11A2" w:rsidRDefault="00B471ED">
      <w:pPr>
        <w:rPr>
          <w:sz w:val="22"/>
          <w:szCs w:val="22"/>
        </w:rPr>
      </w:pPr>
    </w:p>
    <w:sectPr w:rsidR="00B471ED" w:rsidRPr="002B11A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48D" w:rsidRDefault="0039448D" w:rsidP="00B41B43">
      <w:r>
        <w:separator/>
      </w:r>
    </w:p>
  </w:endnote>
  <w:endnote w:type="continuationSeparator" w:id="0">
    <w:p w:rsidR="0039448D" w:rsidRDefault="0039448D" w:rsidP="00B4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656698"/>
      <w:docPartObj>
        <w:docPartGallery w:val="Page Numbers (Bottom of Page)"/>
        <w:docPartUnique/>
      </w:docPartObj>
    </w:sdtPr>
    <w:sdtEndPr/>
    <w:sdtContent>
      <w:p w:rsidR="00CD2E5F" w:rsidRDefault="00CD2E5F">
        <w:pPr>
          <w:pStyle w:val="Pta"/>
          <w:jc w:val="center"/>
        </w:pPr>
        <w:r>
          <w:fldChar w:fldCharType="begin"/>
        </w:r>
        <w:r>
          <w:instrText>PAGE   \* MERGEFORMAT</w:instrText>
        </w:r>
        <w:r>
          <w:fldChar w:fldCharType="separate"/>
        </w:r>
        <w:r w:rsidR="00A30BBA">
          <w:rPr>
            <w:noProof/>
          </w:rPr>
          <w:t>1</w:t>
        </w:r>
        <w:r>
          <w:fldChar w:fldCharType="end"/>
        </w:r>
      </w:p>
    </w:sdtContent>
  </w:sdt>
  <w:p w:rsidR="00CD2E5F" w:rsidRDefault="00CD2E5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48D" w:rsidRDefault="0039448D" w:rsidP="00B41B43">
      <w:r>
        <w:separator/>
      </w:r>
    </w:p>
  </w:footnote>
  <w:footnote w:type="continuationSeparator" w:id="0">
    <w:p w:rsidR="0039448D" w:rsidRDefault="0039448D" w:rsidP="00B41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C4" w:rsidRDefault="007528C4" w:rsidP="007528C4">
    <w:pPr>
      <w:pStyle w:val="Hlavika"/>
      <w:rPr>
        <w:sz w:val="16"/>
        <w:szCs w:val="16"/>
      </w:rPr>
    </w:pPr>
    <w:r>
      <w:rPr>
        <w:sz w:val="16"/>
        <w:szCs w:val="16"/>
      </w:rPr>
      <w:t>Príloha č.2 k notifikácii o zmene, ev.č. 2018/02230-ZIB</w:t>
    </w:r>
  </w:p>
  <w:p w:rsidR="00B41B43" w:rsidRDefault="00B41B4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E541609"/>
    <w:multiLevelType w:val="hybridMultilevel"/>
    <w:tmpl w:val="1E5AABE8"/>
    <w:lvl w:ilvl="0" w:tplc="FFFFFFFF">
      <w:start w:val="1"/>
      <w:numFmt w:val="decimal"/>
      <w:lvlText w:val="%1."/>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58B56C73"/>
    <w:multiLevelType w:val="hybridMultilevel"/>
    <w:tmpl w:val="5BA42128"/>
    <w:lvl w:ilvl="0" w:tplc="FFFFFFFF">
      <w:start w:val="2"/>
      <w:numFmt w:val="decimal"/>
      <w:lvlText w:val="%1."/>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15:restartNumberingAfterBreak="0">
    <w:nsid w:val="68247730"/>
    <w:multiLevelType w:val="singleLevel"/>
    <w:tmpl w:val="6096C72A"/>
    <w:lvl w:ilvl="0">
      <w:start w:val="5"/>
      <w:numFmt w:val="decimal"/>
      <w:lvlText w:val="%1."/>
      <w:lvlJc w:val="left"/>
      <w:pPr>
        <w:tabs>
          <w:tab w:val="num" w:pos="570"/>
        </w:tabs>
        <w:ind w:left="570" w:hanging="570"/>
      </w:pPr>
    </w:lvl>
  </w:abstractNum>
  <w:abstractNum w:abstractNumId="4" w15:restartNumberingAfterBreak="0">
    <w:nsid w:val="6B57293B"/>
    <w:multiLevelType w:val="hybridMultilevel"/>
    <w:tmpl w:val="E04C48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lvlOverride w:ilvl="0">
      <w:startOverride w:val="5"/>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15C"/>
    <w:rsid w:val="000C015C"/>
    <w:rsid w:val="00113DC8"/>
    <w:rsid w:val="001B78C9"/>
    <w:rsid w:val="001D3588"/>
    <w:rsid w:val="001E6CC2"/>
    <w:rsid w:val="00233618"/>
    <w:rsid w:val="002B11A2"/>
    <w:rsid w:val="002D08B5"/>
    <w:rsid w:val="002E4368"/>
    <w:rsid w:val="0039448D"/>
    <w:rsid w:val="007528C4"/>
    <w:rsid w:val="007C6FE4"/>
    <w:rsid w:val="009A60AA"/>
    <w:rsid w:val="00A30BBA"/>
    <w:rsid w:val="00A65F5A"/>
    <w:rsid w:val="00B41B43"/>
    <w:rsid w:val="00B471ED"/>
    <w:rsid w:val="00C537AA"/>
    <w:rsid w:val="00CD2E5F"/>
    <w:rsid w:val="00DD0D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6C5D1-045C-4256-827E-4F280D6C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015C"/>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C015C"/>
    <w:rPr>
      <w:color w:val="0000FF"/>
      <w:u w:val="single"/>
    </w:rPr>
  </w:style>
  <w:style w:type="paragraph" w:styleId="Normlnywebov">
    <w:name w:val="Normal (Web)"/>
    <w:basedOn w:val="Normlny"/>
    <w:uiPriority w:val="99"/>
    <w:semiHidden/>
    <w:unhideWhenUsed/>
    <w:rsid w:val="000C015C"/>
    <w:rPr>
      <w:rFonts w:ascii="Arial" w:hAnsi="Arial" w:cs="Arial"/>
      <w:szCs w:val="24"/>
    </w:rPr>
  </w:style>
  <w:style w:type="paragraph" w:styleId="Zarkazkladnhotextu2">
    <w:name w:val="Body Text Indent 2"/>
    <w:basedOn w:val="Normlny"/>
    <w:link w:val="Zarkazkladnhotextu2Char"/>
    <w:uiPriority w:val="99"/>
    <w:semiHidden/>
    <w:unhideWhenUsed/>
    <w:rsid w:val="000C015C"/>
    <w:pPr>
      <w:snapToGrid w:val="0"/>
      <w:ind w:left="720"/>
      <w:jc w:val="both"/>
    </w:pPr>
    <w:rPr>
      <w:rFonts w:ascii="Courier New" w:hAnsi="Courier New"/>
    </w:rPr>
  </w:style>
  <w:style w:type="character" w:customStyle="1" w:styleId="Zarkazkladnhotextu2Char">
    <w:name w:val="Zarážka základného textu 2 Char"/>
    <w:basedOn w:val="Predvolenpsmoodseku"/>
    <w:link w:val="Zarkazkladnhotextu2"/>
    <w:uiPriority w:val="99"/>
    <w:semiHidden/>
    <w:rsid w:val="000C015C"/>
    <w:rPr>
      <w:rFonts w:ascii="Courier New" w:eastAsia="Times New Roman" w:hAnsi="Courier New" w:cs="Times New Roman"/>
      <w:sz w:val="24"/>
      <w:szCs w:val="20"/>
      <w:lang w:eastAsia="sk-SK"/>
    </w:rPr>
  </w:style>
  <w:style w:type="paragraph" w:styleId="Odsekzoznamu">
    <w:name w:val="List Paragraph"/>
    <w:basedOn w:val="Normlny"/>
    <w:uiPriority w:val="34"/>
    <w:qFormat/>
    <w:rsid w:val="000C015C"/>
    <w:pPr>
      <w:tabs>
        <w:tab w:val="left" w:pos="567"/>
      </w:tabs>
      <w:spacing w:line="260" w:lineRule="exact"/>
      <w:ind w:left="720"/>
      <w:contextualSpacing/>
    </w:pPr>
    <w:rPr>
      <w:sz w:val="22"/>
    </w:rPr>
  </w:style>
  <w:style w:type="character" w:customStyle="1" w:styleId="BodytextAgencyChar">
    <w:name w:val="Body text (Agency) Char"/>
    <w:link w:val="BodytextAgency"/>
    <w:locked/>
    <w:rsid w:val="000C015C"/>
    <w:rPr>
      <w:rFonts w:ascii="Verdana" w:eastAsia="Verdana" w:hAnsi="Verdana" w:cs="Verdana"/>
      <w:sz w:val="18"/>
      <w:szCs w:val="18"/>
    </w:rPr>
  </w:style>
  <w:style w:type="paragraph" w:customStyle="1" w:styleId="BodytextAgency">
    <w:name w:val="Body text (Agency)"/>
    <w:basedOn w:val="Normlny"/>
    <w:link w:val="BodytextAgencyChar"/>
    <w:rsid w:val="000C015C"/>
    <w:pPr>
      <w:spacing w:after="140" w:line="280" w:lineRule="atLeast"/>
    </w:pPr>
    <w:rPr>
      <w:rFonts w:ascii="Verdana" w:eastAsia="Verdana" w:hAnsi="Verdana" w:cs="Verdana"/>
      <w:sz w:val="18"/>
      <w:szCs w:val="18"/>
      <w:lang w:eastAsia="en-US"/>
    </w:rPr>
  </w:style>
  <w:style w:type="paragraph" w:styleId="Hlavika">
    <w:name w:val="header"/>
    <w:basedOn w:val="Normlny"/>
    <w:link w:val="HlavikaChar"/>
    <w:uiPriority w:val="99"/>
    <w:unhideWhenUsed/>
    <w:rsid w:val="00B41B43"/>
    <w:pPr>
      <w:tabs>
        <w:tab w:val="center" w:pos="4536"/>
        <w:tab w:val="right" w:pos="9072"/>
      </w:tabs>
    </w:pPr>
  </w:style>
  <w:style w:type="character" w:customStyle="1" w:styleId="HlavikaChar">
    <w:name w:val="Hlavička Char"/>
    <w:basedOn w:val="Predvolenpsmoodseku"/>
    <w:link w:val="Hlavika"/>
    <w:uiPriority w:val="99"/>
    <w:rsid w:val="00B41B43"/>
    <w:rPr>
      <w:rFonts w:ascii="Times New Roman" w:eastAsia="Times New Roman" w:hAnsi="Times New Roman" w:cs="Times New Roman"/>
      <w:sz w:val="24"/>
      <w:szCs w:val="20"/>
      <w:lang w:eastAsia="sk-SK"/>
    </w:rPr>
  </w:style>
  <w:style w:type="paragraph" w:styleId="Pta">
    <w:name w:val="footer"/>
    <w:basedOn w:val="Normlny"/>
    <w:link w:val="PtaChar"/>
    <w:uiPriority w:val="99"/>
    <w:unhideWhenUsed/>
    <w:rsid w:val="00B41B43"/>
    <w:pPr>
      <w:tabs>
        <w:tab w:val="center" w:pos="4536"/>
        <w:tab w:val="right" w:pos="9072"/>
      </w:tabs>
    </w:pPr>
  </w:style>
  <w:style w:type="character" w:customStyle="1" w:styleId="PtaChar">
    <w:name w:val="Päta Char"/>
    <w:basedOn w:val="Predvolenpsmoodseku"/>
    <w:link w:val="Pta"/>
    <w:uiPriority w:val="99"/>
    <w:rsid w:val="00B41B43"/>
    <w:rPr>
      <w:rFonts w:ascii="Times New Roman" w:eastAsia="Times New Roman" w:hAnsi="Times New Roman" w:cs="Times New Roman"/>
      <w:sz w:val="24"/>
      <w:szCs w:val="20"/>
      <w:lang w:eastAsia="sk-SK"/>
    </w:rPr>
  </w:style>
  <w:style w:type="paragraph" w:styleId="Textbubliny">
    <w:name w:val="Balloon Text"/>
    <w:basedOn w:val="Normlny"/>
    <w:link w:val="TextbublinyChar"/>
    <w:uiPriority w:val="99"/>
    <w:semiHidden/>
    <w:unhideWhenUsed/>
    <w:rsid w:val="00B41B43"/>
    <w:rPr>
      <w:rFonts w:ascii="Tahoma" w:hAnsi="Tahoma" w:cs="Tahoma"/>
      <w:sz w:val="16"/>
      <w:szCs w:val="16"/>
    </w:rPr>
  </w:style>
  <w:style w:type="character" w:customStyle="1" w:styleId="TextbublinyChar">
    <w:name w:val="Text bubliny Char"/>
    <w:basedOn w:val="Predvolenpsmoodseku"/>
    <w:link w:val="Textbubliny"/>
    <w:uiPriority w:val="99"/>
    <w:semiHidden/>
    <w:rsid w:val="00B41B43"/>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C537AA"/>
    <w:rPr>
      <w:sz w:val="16"/>
      <w:szCs w:val="16"/>
    </w:rPr>
  </w:style>
  <w:style w:type="paragraph" w:styleId="Textkomentra">
    <w:name w:val="annotation text"/>
    <w:basedOn w:val="Normlny"/>
    <w:link w:val="TextkomentraChar"/>
    <w:uiPriority w:val="99"/>
    <w:semiHidden/>
    <w:unhideWhenUsed/>
    <w:rsid w:val="00C537AA"/>
    <w:rPr>
      <w:sz w:val="20"/>
    </w:rPr>
  </w:style>
  <w:style w:type="character" w:customStyle="1" w:styleId="TextkomentraChar">
    <w:name w:val="Text komentára Char"/>
    <w:basedOn w:val="Predvolenpsmoodseku"/>
    <w:link w:val="Textkomentra"/>
    <w:uiPriority w:val="99"/>
    <w:semiHidden/>
    <w:rsid w:val="00C537A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537AA"/>
    <w:rPr>
      <w:b/>
      <w:bCs/>
    </w:rPr>
  </w:style>
  <w:style w:type="character" w:customStyle="1" w:styleId="PredmetkomentraChar">
    <w:name w:val="Predmet komentára Char"/>
    <w:basedOn w:val="TextkomentraChar"/>
    <w:link w:val="Predmetkomentra"/>
    <w:uiPriority w:val="99"/>
    <w:semiHidden/>
    <w:rsid w:val="00C537A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21555">
      <w:bodyDiv w:val="1"/>
      <w:marLeft w:val="0"/>
      <w:marRight w:val="0"/>
      <w:marTop w:val="0"/>
      <w:marBottom w:val="0"/>
      <w:divBdr>
        <w:top w:val="none" w:sz="0" w:space="0" w:color="auto"/>
        <w:left w:val="none" w:sz="0" w:space="0" w:color="auto"/>
        <w:bottom w:val="none" w:sz="0" w:space="0" w:color="auto"/>
        <w:right w:val="none" w:sz="0" w:space="0" w:color="auto"/>
      </w:divBdr>
    </w:div>
    <w:div w:id="125608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kaloid.si" TargetMode="Externa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2237</Words>
  <Characters>12753</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Vargová, Dagmar</cp:lastModifiedBy>
  <cp:revision>17</cp:revision>
  <cp:lastPrinted>2018-05-31T06:54:00Z</cp:lastPrinted>
  <dcterms:created xsi:type="dcterms:W3CDTF">2016-02-29T09:01:00Z</dcterms:created>
  <dcterms:modified xsi:type="dcterms:W3CDTF">2018-06-01T05:32:00Z</dcterms:modified>
</cp:coreProperties>
</file>