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F92" w:rsidRPr="00D1309E" w:rsidRDefault="00DC2F92" w:rsidP="00735AE7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  <w:bookmarkStart w:id="0" w:name="_GoBack"/>
      <w:bookmarkEnd w:id="0"/>
    </w:p>
    <w:p w:rsidR="00625A4D" w:rsidRPr="00AE0A3E" w:rsidRDefault="00625A4D" w:rsidP="00735AE7">
      <w:pPr>
        <w:pStyle w:val="SPCnadpis"/>
        <w:spacing w:before="0" w:after="0"/>
        <w:ind w:left="0" w:firstLine="0"/>
        <w:outlineLvl w:val="9"/>
        <w:rPr>
          <w:szCs w:val="22"/>
          <w:lang w:val="sk-SK"/>
        </w:rPr>
      </w:pPr>
      <w:r w:rsidRPr="00AE0A3E">
        <w:rPr>
          <w:szCs w:val="22"/>
          <w:lang w:val="sk-SK"/>
        </w:rPr>
        <w:t>Písomná informácia pre používateľa</w:t>
      </w:r>
    </w:p>
    <w:p w:rsidR="00FD00EF" w:rsidRPr="00D1309E" w:rsidRDefault="00FD00EF" w:rsidP="00735AE7">
      <w:pPr>
        <w:pStyle w:val="SPCnadpis"/>
        <w:spacing w:before="0" w:after="0"/>
        <w:ind w:left="0" w:firstLine="0"/>
        <w:outlineLvl w:val="9"/>
        <w:rPr>
          <w:b w:val="0"/>
          <w:szCs w:val="22"/>
          <w:lang w:val="sk-SK"/>
        </w:rPr>
      </w:pPr>
    </w:p>
    <w:p w:rsidR="00770291" w:rsidRPr="00AE0A3E" w:rsidRDefault="003926DD" w:rsidP="00735AE7">
      <w:pPr>
        <w:pStyle w:val="SPCnadpis"/>
        <w:spacing w:before="0" w:after="0"/>
        <w:ind w:left="0" w:firstLine="0"/>
        <w:outlineLvl w:val="9"/>
        <w:rPr>
          <w:bCs w:val="0"/>
          <w:szCs w:val="22"/>
          <w:lang w:val="sk-SK" w:eastAsia="en-US"/>
        </w:rPr>
      </w:pPr>
      <w:r w:rsidRPr="00AE0A3E">
        <w:rPr>
          <w:bCs w:val="0"/>
          <w:szCs w:val="22"/>
          <w:lang w:val="sk-SK" w:eastAsia="en-US"/>
        </w:rPr>
        <w:t>GASTRIX</w:t>
      </w:r>
      <w:r w:rsidR="00E65499" w:rsidRPr="00AE0A3E">
        <w:rPr>
          <w:bCs w:val="0"/>
          <w:szCs w:val="22"/>
          <w:lang w:val="sk-SK" w:eastAsia="en-US"/>
        </w:rPr>
        <w:t xml:space="preserve"> 5</w:t>
      </w:r>
      <w:r w:rsidR="00770291" w:rsidRPr="00AE0A3E">
        <w:rPr>
          <w:bCs w:val="0"/>
          <w:szCs w:val="22"/>
          <w:lang w:val="sk-SK" w:eastAsia="en-US"/>
        </w:rPr>
        <w:t>0 mg</w:t>
      </w:r>
      <w:r w:rsidR="00E65499" w:rsidRPr="00AE0A3E">
        <w:rPr>
          <w:bCs w:val="0"/>
          <w:szCs w:val="22"/>
          <w:lang w:val="sk-SK" w:eastAsia="en-US"/>
        </w:rPr>
        <w:t xml:space="preserve"> filmom obalené tablety</w:t>
      </w:r>
    </w:p>
    <w:p w:rsidR="00FD00EF" w:rsidRPr="00D1309E" w:rsidRDefault="00FD00EF" w:rsidP="00735AE7">
      <w:pPr>
        <w:pStyle w:val="SPCnadpis"/>
        <w:spacing w:before="0" w:after="0"/>
        <w:ind w:left="0" w:firstLine="0"/>
        <w:outlineLvl w:val="9"/>
        <w:rPr>
          <w:b w:val="0"/>
          <w:bCs w:val="0"/>
          <w:szCs w:val="22"/>
          <w:lang w:val="sk-SK" w:eastAsia="en-US"/>
        </w:rPr>
      </w:pPr>
    </w:p>
    <w:p w:rsidR="00625A4D" w:rsidRPr="00AE0A3E" w:rsidRDefault="00E65499" w:rsidP="00735AE7">
      <w:pPr>
        <w:pStyle w:val="SPCnadpis"/>
        <w:spacing w:before="0" w:after="0"/>
        <w:ind w:left="0" w:firstLine="0"/>
        <w:outlineLvl w:val="9"/>
        <w:rPr>
          <w:rFonts w:eastAsia="Calibri"/>
          <w:b w:val="0"/>
          <w:bCs w:val="0"/>
          <w:szCs w:val="22"/>
          <w:lang w:val="sk-SK" w:eastAsia="en-US"/>
        </w:rPr>
      </w:pPr>
      <w:r w:rsidRPr="00AE0A3E">
        <w:rPr>
          <w:rFonts w:eastAsia="Calibri"/>
          <w:b w:val="0"/>
          <w:bCs w:val="0"/>
          <w:szCs w:val="22"/>
          <w:lang w:val="sk-SK" w:eastAsia="en-US"/>
        </w:rPr>
        <w:t>itopridi</w:t>
      </w:r>
      <w:r w:rsidR="00F03A4C" w:rsidRPr="00AE0A3E">
        <w:rPr>
          <w:rFonts w:eastAsia="Calibri"/>
          <w:b w:val="0"/>
          <w:bCs w:val="0"/>
          <w:szCs w:val="22"/>
          <w:lang w:val="sk-SK" w:eastAsia="en-US"/>
        </w:rPr>
        <w:t>umc</w:t>
      </w:r>
      <w:r w:rsidRPr="00AE0A3E">
        <w:rPr>
          <w:rFonts w:eastAsia="Calibri"/>
          <w:b w:val="0"/>
          <w:bCs w:val="0"/>
          <w:szCs w:val="22"/>
          <w:lang w:val="sk-SK" w:eastAsia="en-US"/>
        </w:rPr>
        <w:t>hlorid</w:t>
      </w:r>
    </w:p>
    <w:p w:rsidR="00FD00EF" w:rsidRPr="00AE0A3E" w:rsidRDefault="00FD00EF" w:rsidP="00735AE7">
      <w:pPr>
        <w:pStyle w:val="SPCnadpis"/>
        <w:spacing w:before="0" w:after="0"/>
        <w:ind w:left="0" w:firstLine="0"/>
        <w:jc w:val="left"/>
        <w:outlineLvl w:val="9"/>
        <w:rPr>
          <w:rFonts w:eastAsia="Calibri"/>
          <w:b w:val="0"/>
          <w:bCs w:val="0"/>
          <w:szCs w:val="22"/>
          <w:lang w:val="sk-SK" w:eastAsia="en-US"/>
        </w:rPr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625A4D" w:rsidRPr="00735AE7" w:rsidRDefault="00625A4D" w:rsidP="00D1309E">
      <w:pPr>
        <w:pStyle w:val="Normlndoblokusodrkami"/>
        <w:ind w:left="426" w:hanging="426"/>
      </w:pPr>
      <w:r w:rsidRPr="00735AE7">
        <w:t>Túto písomnú informáciu si uschovajte. Možno bude potrebné, aby ste si ju znovu prečítali.</w:t>
      </w:r>
    </w:p>
    <w:p w:rsidR="00625A4D" w:rsidRPr="00735AE7" w:rsidRDefault="00625A4D" w:rsidP="00D1309E">
      <w:pPr>
        <w:pStyle w:val="Normlndoblokusodrkami"/>
        <w:ind w:left="426" w:hanging="426"/>
      </w:pPr>
      <w:r w:rsidRPr="00735AE7">
        <w:t>Ak máte akékoľvek ďalšie otázky, obráťte sa na svojho lekára alebo lekárnika.</w:t>
      </w:r>
    </w:p>
    <w:p w:rsidR="00625A4D" w:rsidRPr="00735AE7" w:rsidRDefault="00625A4D" w:rsidP="00D1309E">
      <w:pPr>
        <w:pStyle w:val="Normlndoblokusodrkami"/>
        <w:ind w:left="426" w:hanging="426"/>
      </w:pPr>
      <w:r w:rsidRPr="00735AE7">
        <w:t>Tento liek bol predpísaný iba vám. Nedávajte ho nikomu inému. Môže mu uškodiť, dokonca aj vtedy, ak má rovnaké prejavy ochorenia ako vy.</w:t>
      </w:r>
    </w:p>
    <w:p w:rsidR="00625A4D" w:rsidRPr="00735AE7" w:rsidRDefault="00625A4D" w:rsidP="00D1309E">
      <w:pPr>
        <w:pStyle w:val="Normlndoblokusodrkami"/>
        <w:ind w:left="426" w:hanging="426"/>
      </w:pPr>
      <w:r w:rsidRPr="00735AE7"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V tejto písomnej informácii sa dozviete: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1.</w:t>
      </w:r>
      <w:r w:rsidR="00D1309E">
        <w:tab/>
      </w:r>
      <w:r w:rsidRPr="00735AE7">
        <w:t xml:space="preserve">Čo je </w:t>
      </w:r>
      <w:r w:rsidR="003926DD" w:rsidRPr="00735AE7">
        <w:t>GASTRIX</w:t>
      </w:r>
      <w:r w:rsidRPr="00735AE7">
        <w:t xml:space="preserve"> a na čo sa používa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2.</w:t>
      </w:r>
      <w:r w:rsidR="00D1309E">
        <w:tab/>
      </w:r>
      <w:r w:rsidRPr="00735AE7">
        <w:t xml:space="preserve">Čo potrebujete vedieť, predtým, ako užijete </w:t>
      </w:r>
      <w:r w:rsidR="003926DD" w:rsidRPr="00735AE7">
        <w:t>GASTRIX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3.</w:t>
      </w:r>
      <w:r w:rsidR="00D1309E">
        <w:tab/>
      </w:r>
      <w:r w:rsidRPr="00735AE7">
        <w:t xml:space="preserve">Ako užívať </w:t>
      </w:r>
      <w:r w:rsidR="003926DD" w:rsidRPr="00735AE7">
        <w:t>GASTRIX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4.</w:t>
      </w:r>
      <w:r w:rsidR="00D1309E">
        <w:tab/>
      </w:r>
      <w:r w:rsidRPr="00735AE7">
        <w:t>Možné vedľajšie účinky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5.</w:t>
      </w:r>
      <w:r w:rsidR="00D1309E">
        <w:tab/>
      </w:r>
      <w:r w:rsidRPr="00735AE7">
        <w:t xml:space="preserve">Ako uchovávať </w:t>
      </w:r>
      <w:r w:rsidR="003926DD" w:rsidRPr="00735AE7">
        <w:t>GASTRIX</w:t>
      </w:r>
    </w:p>
    <w:p w:rsidR="00625A4D" w:rsidRPr="00735AE7" w:rsidRDefault="00625A4D" w:rsidP="00D1309E">
      <w:pPr>
        <w:pStyle w:val="Normlndobloku"/>
        <w:tabs>
          <w:tab w:val="left" w:pos="426"/>
        </w:tabs>
      </w:pPr>
      <w:r w:rsidRPr="00735AE7">
        <w:t>6.</w:t>
      </w:r>
      <w:r w:rsidR="00D1309E">
        <w:tab/>
      </w:r>
      <w:r w:rsidRPr="00735AE7">
        <w:t>Obsah balenia a ďalšie informácie</w:t>
      </w:r>
    </w:p>
    <w:p w:rsidR="00FD00EF" w:rsidRPr="00735AE7" w:rsidRDefault="00FD00EF" w:rsidP="00D1309E">
      <w:pPr>
        <w:pStyle w:val="Normlndobloku"/>
      </w:pPr>
    </w:p>
    <w:p w:rsidR="00FD00EF" w:rsidRPr="00735AE7" w:rsidRDefault="00FD00EF" w:rsidP="00D1309E">
      <w:pPr>
        <w:pStyle w:val="Normlndobloku"/>
      </w:pPr>
    </w:p>
    <w:p w:rsidR="00625A4D" w:rsidRPr="00735AE7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1" w:name="_Toc443314743"/>
      <w:r w:rsidRPr="00735AE7">
        <w:rPr>
          <w:caps w:val="0"/>
          <w:sz w:val="22"/>
          <w:szCs w:val="22"/>
        </w:rPr>
        <w:t xml:space="preserve">Čo je </w:t>
      </w:r>
      <w:r w:rsidR="003926DD" w:rsidRPr="00735AE7">
        <w:rPr>
          <w:sz w:val="22"/>
          <w:szCs w:val="22"/>
        </w:rPr>
        <w:t>GASTRIX</w:t>
      </w:r>
      <w:r w:rsidRPr="00735AE7">
        <w:rPr>
          <w:sz w:val="22"/>
          <w:szCs w:val="22"/>
        </w:rPr>
        <w:t xml:space="preserve"> </w:t>
      </w:r>
      <w:r w:rsidRPr="00735AE7">
        <w:rPr>
          <w:caps w:val="0"/>
          <w:sz w:val="22"/>
          <w:szCs w:val="22"/>
        </w:rPr>
        <w:t>a</w:t>
      </w:r>
      <w:r w:rsidRPr="00735AE7">
        <w:rPr>
          <w:sz w:val="22"/>
          <w:szCs w:val="22"/>
        </w:rPr>
        <w:t> </w:t>
      </w:r>
      <w:r w:rsidRPr="00735AE7">
        <w:rPr>
          <w:caps w:val="0"/>
          <w:sz w:val="22"/>
          <w:szCs w:val="22"/>
        </w:rPr>
        <w:t>na čo sa používa</w:t>
      </w:r>
      <w:bookmarkEnd w:id="1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735AE7" w:rsidRDefault="003926DD" w:rsidP="00DC2F92">
      <w:pPr>
        <w:pStyle w:val="Normlndobloku"/>
      </w:pPr>
      <w:r w:rsidRPr="00735AE7">
        <w:t>GASTRIX</w:t>
      </w:r>
      <w:r w:rsidR="00D030C8" w:rsidRPr="00735AE7">
        <w:t xml:space="preserve"> patrí do skupiny liekov nazývaných prokinetiká. Prokinetiká sú lieky, ktoré normalizujú alebo </w:t>
      </w:r>
      <w:r w:rsidR="003D478F" w:rsidRPr="00735AE7">
        <w:t xml:space="preserve">zlepšujú </w:t>
      </w:r>
      <w:r w:rsidR="00D030C8" w:rsidRPr="00735AE7">
        <w:t>a urýchľujú pohyb čriev (motilitu). Po ich podaní dochádza k urýchleniu vyprázdň</w:t>
      </w:r>
      <w:r w:rsidR="0035389A" w:rsidRPr="00735AE7">
        <w:t>ovania žalúdka, zrýchľuje sa pr</w:t>
      </w:r>
      <w:r w:rsidR="00D030C8" w:rsidRPr="00735AE7">
        <w:t xml:space="preserve">echod natrávenej potravy tenkým črevom a zvyšuje sa tonus (napätie) dolného pažerákového zvierača. </w:t>
      </w:r>
      <w:r w:rsidRPr="00735AE7">
        <w:t>GASTRIX</w:t>
      </w:r>
      <w:r w:rsidR="00D030C8" w:rsidRPr="00735AE7">
        <w:t xml:space="preserve"> tiež potláča nutkanie na vracanie.</w:t>
      </w:r>
    </w:p>
    <w:p w:rsidR="00D030C8" w:rsidRPr="00735AE7" w:rsidRDefault="003926DD" w:rsidP="00D1309E">
      <w:pPr>
        <w:pStyle w:val="Normlndobloku"/>
      </w:pPr>
      <w:r w:rsidRPr="00735AE7">
        <w:t>GASTRIX</w:t>
      </w:r>
      <w:r w:rsidR="00D030C8" w:rsidRPr="00735AE7">
        <w:t xml:space="preserve"> je určený </w:t>
      </w:r>
      <w:r w:rsidR="008B413E" w:rsidRPr="00AE0A3E">
        <w:t>na liečenie</w:t>
      </w:r>
      <w:r w:rsidR="00D030C8" w:rsidRPr="00735AE7">
        <w:t xml:space="preserve"> príznakov spôsobených spomaleným vyprá</w:t>
      </w:r>
      <w:r w:rsidR="0035389A" w:rsidRPr="00735AE7">
        <w:t>zdňovaním žalúdka, napr. pocit plného žalúdka, boles</w:t>
      </w:r>
      <w:r w:rsidR="008B413E" w:rsidRPr="00AE0A3E">
        <w:t>ť</w:t>
      </w:r>
      <w:r w:rsidR="0035389A" w:rsidRPr="00735AE7">
        <w:t xml:space="preserve"> v hornej časti brucha, nechutenstv</w:t>
      </w:r>
      <w:r w:rsidR="008B413E" w:rsidRPr="00AE0A3E">
        <w:t>o</w:t>
      </w:r>
      <w:r w:rsidR="0035389A" w:rsidRPr="00735AE7">
        <w:t>, páleni</w:t>
      </w:r>
      <w:r w:rsidR="008B413E" w:rsidRPr="00AE0A3E">
        <w:t>e</w:t>
      </w:r>
      <w:r w:rsidR="0035389A" w:rsidRPr="00735AE7">
        <w:t xml:space="preserve"> záhy, nevoľnos</w:t>
      </w:r>
      <w:r w:rsidR="008B413E" w:rsidRPr="00AE0A3E">
        <w:t>ť</w:t>
      </w:r>
      <w:r w:rsidR="0035389A" w:rsidRPr="00735AE7">
        <w:t xml:space="preserve"> a vracani</w:t>
      </w:r>
      <w:r w:rsidR="008B413E" w:rsidRPr="00AE0A3E">
        <w:t>e</w:t>
      </w:r>
      <w:r w:rsidR="0035389A" w:rsidRPr="00735AE7">
        <w:t xml:space="preserve"> pri poruchách trávenia, ktoré nie sú spôsobené vredovým ochorením alebo organickým ochorením ovplyvňujúcim pohyb natrávenej potravy zažívacím ústrojenstvom.</w:t>
      </w:r>
    </w:p>
    <w:p w:rsidR="008403A6" w:rsidRPr="00735AE7" w:rsidRDefault="003926DD" w:rsidP="00D1309E">
      <w:pPr>
        <w:pStyle w:val="Normlndobloku"/>
      </w:pPr>
      <w:r w:rsidRPr="00735AE7">
        <w:t>GASTRIX</w:t>
      </w:r>
      <w:r w:rsidR="008403A6" w:rsidRPr="00735AE7">
        <w:t xml:space="preserve"> je určený pre dospelých.</w:t>
      </w:r>
    </w:p>
    <w:p w:rsidR="00FD00EF" w:rsidRPr="00735AE7" w:rsidRDefault="00FD00EF" w:rsidP="00D1309E">
      <w:pPr>
        <w:pStyle w:val="Normlndobloku"/>
      </w:pPr>
    </w:p>
    <w:p w:rsidR="00FD00EF" w:rsidRPr="00735AE7" w:rsidRDefault="00FD00EF" w:rsidP="00D1309E">
      <w:pPr>
        <w:pStyle w:val="Normlndobloku"/>
      </w:pPr>
    </w:p>
    <w:p w:rsidR="00625A4D" w:rsidRPr="00AE0A3E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2" w:name="_Toc443314744"/>
      <w:r w:rsidRPr="00735AE7">
        <w:rPr>
          <w:caps w:val="0"/>
          <w:sz w:val="22"/>
          <w:szCs w:val="22"/>
        </w:rPr>
        <w:t>Čo potrebuj</w:t>
      </w:r>
      <w:r w:rsidR="0035389A" w:rsidRPr="00735AE7">
        <w:rPr>
          <w:caps w:val="0"/>
          <w:sz w:val="22"/>
          <w:szCs w:val="22"/>
        </w:rPr>
        <w:t>ete vedieť predtým, ako užijete</w:t>
      </w:r>
      <w:r w:rsidR="00E65499" w:rsidRPr="00735AE7">
        <w:rPr>
          <w:sz w:val="22"/>
          <w:szCs w:val="22"/>
        </w:rPr>
        <w:t xml:space="preserve"> </w:t>
      </w:r>
      <w:r w:rsidR="003926DD" w:rsidRPr="00735AE7">
        <w:rPr>
          <w:sz w:val="22"/>
          <w:szCs w:val="22"/>
        </w:rPr>
        <w:t>GASTRIX</w:t>
      </w:r>
      <w:bookmarkEnd w:id="2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Neužívajte </w:t>
      </w:r>
      <w:r w:rsidR="003926DD" w:rsidRPr="00735AE7">
        <w:rPr>
          <w:sz w:val="22"/>
          <w:szCs w:val="22"/>
        </w:rPr>
        <w:t>GASTRIX</w:t>
      </w:r>
    </w:p>
    <w:p w:rsidR="00625A4D" w:rsidRPr="00735AE7" w:rsidRDefault="002426EB" w:rsidP="00DC2F92">
      <w:pPr>
        <w:pStyle w:val="Normlndoblokusodrkami"/>
      </w:pPr>
      <w:r w:rsidRPr="00735AE7">
        <w:t xml:space="preserve">ak </w:t>
      </w:r>
      <w:r w:rsidR="0035389A" w:rsidRPr="00735AE7">
        <w:t>ste alergický na itoprid</w:t>
      </w:r>
      <w:r w:rsidR="00625A4D" w:rsidRPr="00735AE7">
        <w:t xml:space="preserve"> alebo na ktorúkoľvek z ďalších zložiek tohto lieku (uvedených v časti 6)</w:t>
      </w:r>
    </w:p>
    <w:p w:rsidR="00625A4D" w:rsidRPr="00735AE7" w:rsidRDefault="00A553AF" w:rsidP="00D1309E">
      <w:pPr>
        <w:pStyle w:val="Normlndoblokusodrkami"/>
      </w:pPr>
      <w:r w:rsidRPr="00735AE7">
        <w:t>ak pre vás môže byť zrýchlené vyprázdňovanie obsahu žalúdka škodlivé, napr. pri</w:t>
      </w:r>
      <w:r w:rsidR="000A669A" w:rsidRPr="00735AE7">
        <w:t> </w:t>
      </w:r>
      <w:r w:rsidRPr="00735AE7">
        <w:t>krvácaní do</w:t>
      </w:r>
      <w:r w:rsidR="00AE0A3E">
        <w:t> </w:t>
      </w:r>
      <w:r w:rsidRPr="00735AE7">
        <w:t>tráviaceho traktu, jeho nepriechodnosti alebo prederavení</w:t>
      </w:r>
    </w:p>
    <w:p w:rsidR="00625A4D" w:rsidRPr="00AE0A3E" w:rsidRDefault="003926DD">
      <w:pPr>
        <w:pStyle w:val="Default"/>
        <w:rPr>
          <w:sz w:val="22"/>
          <w:szCs w:val="22"/>
        </w:rPr>
      </w:pPr>
      <w:r w:rsidRPr="00AE0A3E">
        <w:rPr>
          <w:sz w:val="22"/>
          <w:szCs w:val="22"/>
        </w:rPr>
        <w:t>GASTRIX</w:t>
      </w:r>
      <w:r w:rsidR="00A553AF" w:rsidRPr="00AE0A3E">
        <w:rPr>
          <w:sz w:val="22"/>
          <w:szCs w:val="22"/>
        </w:rPr>
        <w:t xml:space="preserve"> nie je určený </w:t>
      </w:r>
      <w:r w:rsidR="001D34A5" w:rsidRPr="00AE0A3E">
        <w:rPr>
          <w:sz w:val="22"/>
          <w:szCs w:val="22"/>
        </w:rPr>
        <w:t>na</w:t>
      </w:r>
      <w:r w:rsidR="00E31311" w:rsidRPr="00AE0A3E">
        <w:rPr>
          <w:sz w:val="22"/>
          <w:szCs w:val="22"/>
        </w:rPr>
        <w:t xml:space="preserve"> použitie</w:t>
      </w:r>
      <w:r w:rsidR="00A553AF" w:rsidRPr="00AE0A3E">
        <w:rPr>
          <w:sz w:val="22"/>
          <w:szCs w:val="22"/>
        </w:rPr>
        <w:t xml:space="preserve"> u detí.</w:t>
      </w:r>
    </w:p>
    <w:p w:rsidR="00FD00EF" w:rsidRPr="00735AE7" w:rsidRDefault="00FD00EF">
      <w:pPr>
        <w:pStyle w:val="Default"/>
        <w:rPr>
          <w:sz w:val="22"/>
          <w:szCs w:val="22"/>
        </w:rPr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Upozornenia a opatrenia</w:t>
      </w:r>
    </w:p>
    <w:p w:rsidR="00A553AF" w:rsidRPr="00735AE7" w:rsidRDefault="00A553AF" w:rsidP="00DC2F92">
      <w:pPr>
        <w:pStyle w:val="Normlndobloku"/>
      </w:pPr>
      <w:r w:rsidRPr="00735AE7">
        <w:t xml:space="preserve">Predtým, ako začnete užívať </w:t>
      </w:r>
      <w:r w:rsidR="003926DD" w:rsidRPr="00735AE7">
        <w:t>GASTRIX</w:t>
      </w:r>
      <w:r w:rsidRPr="00735AE7">
        <w:t>, obráťte sa na svojho lekára alebo lekárnika.</w:t>
      </w:r>
    </w:p>
    <w:p w:rsidR="00A553AF" w:rsidRPr="00AE0A3E" w:rsidRDefault="00A553AF" w:rsidP="00D1309E">
      <w:pPr>
        <w:pStyle w:val="Normlndobloku"/>
      </w:pPr>
      <w:r w:rsidRPr="00735AE7">
        <w:t>U starších pacientov je potrebná zvýšená opatrnosť.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Iné lieky a </w:t>
      </w:r>
      <w:r w:rsidR="003926DD" w:rsidRPr="00735AE7">
        <w:rPr>
          <w:sz w:val="22"/>
          <w:szCs w:val="22"/>
        </w:rPr>
        <w:t>GASTRIX</w:t>
      </w:r>
    </w:p>
    <w:p w:rsidR="00625A4D" w:rsidRPr="00735AE7" w:rsidRDefault="00625A4D" w:rsidP="00DC2F92">
      <w:pPr>
        <w:pStyle w:val="Normlndobloku"/>
      </w:pPr>
      <w:r w:rsidRPr="00735AE7">
        <w:t>Ak teraz užívate, alebo ste v poslednom čase užívali, či práve budete užívať ďalšie lieky, povedzte to svojmu lekárovi alebo lekárnikovi.</w:t>
      </w:r>
    </w:p>
    <w:p w:rsidR="00A553AF" w:rsidRPr="00735AE7" w:rsidRDefault="00A553AF" w:rsidP="00DC2F92">
      <w:pPr>
        <w:pStyle w:val="Normlndobloku"/>
      </w:pPr>
      <w:r w:rsidRPr="00735AE7">
        <w:t xml:space="preserve">Účinky lieku </w:t>
      </w:r>
      <w:r w:rsidR="003926DD" w:rsidRPr="00735AE7">
        <w:t>GASTRIX</w:t>
      </w:r>
      <w:r w:rsidRPr="00735AE7">
        <w:t xml:space="preserve"> a iných súčasne užívaných liekov sa môžu navzájom ovplyvňovať.</w:t>
      </w:r>
    </w:p>
    <w:p w:rsidR="00A553AF" w:rsidRPr="00735AE7" w:rsidRDefault="00A553AF" w:rsidP="00D1309E">
      <w:pPr>
        <w:pStyle w:val="Normlndobloku"/>
      </w:pPr>
      <w:r w:rsidRPr="00735AE7">
        <w:lastRenderedPageBreak/>
        <w:t xml:space="preserve">Anticholinergné látky (používané </w:t>
      </w:r>
      <w:r w:rsidR="00BD2D9A" w:rsidRPr="00AE0A3E">
        <w:t>na</w:t>
      </w:r>
      <w:r w:rsidRPr="00735AE7">
        <w:t> liečb</w:t>
      </w:r>
      <w:r w:rsidR="00BD2D9A" w:rsidRPr="00AE0A3E">
        <w:t>u</w:t>
      </w:r>
      <w:r w:rsidRPr="00735AE7">
        <w:t xml:space="preserve"> astmy, chronického obštrukčného ochorenia pľúc, hnačky, Parkinsonovej choroby a </w:t>
      </w:r>
      <w:r w:rsidR="00054E91" w:rsidRPr="00AE0A3E">
        <w:t>na</w:t>
      </w:r>
      <w:r w:rsidRPr="00735AE7">
        <w:t xml:space="preserve"> </w:t>
      </w:r>
      <w:r w:rsidR="001F4F91" w:rsidRPr="00AE0A3E">
        <w:t>uvoľnenie</w:t>
      </w:r>
      <w:r w:rsidRPr="00735AE7">
        <w:t xml:space="preserve"> kŕčov hladkého svalstva</w:t>
      </w:r>
      <w:r w:rsidR="0081266F" w:rsidRPr="00735AE7">
        <w:t>, napr. močového mechúra) môžu znížiť účinok itopridu.</w:t>
      </w:r>
    </w:p>
    <w:p w:rsidR="0081266F" w:rsidRPr="00735AE7" w:rsidRDefault="0081266F" w:rsidP="00D1309E">
      <w:pPr>
        <w:pStyle w:val="Normlndobloku"/>
      </w:pPr>
      <w:r w:rsidRPr="00735AE7">
        <w:t xml:space="preserve">Itoprid môže ovplyvniť vstrebávanie iných liekov vzhľadom na jeho účinok na tráviaci trakt, </w:t>
      </w:r>
      <w:r w:rsidR="001F4F91" w:rsidRPr="00AE0A3E">
        <w:t>ob</w:t>
      </w:r>
      <w:r w:rsidRPr="00735AE7">
        <w:t>zvlášť</w:t>
      </w:r>
      <w:r w:rsidR="007E3FBC" w:rsidRPr="00735AE7">
        <w:t xml:space="preserve"> </w:t>
      </w:r>
      <w:r w:rsidRPr="00735AE7">
        <w:t>liekov s úzkym terapeutickým rozpätím, liekov s predĺženým uvoľňovaním a liekov rozpustných v čreve.</w:t>
      </w:r>
    </w:p>
    <w:p w:rsidR="00A553AF" w:rsidRPr="00735AE7" w:rsidRDefault="007E3FBC" w:rsidP="00D1309E">
      <w:pPr>
        <w:pStyle w:val="Normlndobloku"/>
      </w:pPr>
      <w:r w:rsidRPr="00735AE7">
        <w:t>Lieky podávané na zníženie žalúdočnej kyseliny ako je cimetidín, ranitidín, tepren</w:t>
      </w:r>
      <w:r w:rsidR="00DC2F92">
        <w:t>ó</w:t>
      </w:r>
      <w:r w:rsidRPr="00735AE7">
        <w:t>n a cetr</w:t>
      </w:r>
      <w:r w:rsidR="00961E73" w:rsidRPr="00735AE7">
        <w:t>a</w:t>
      </w:r>
      <w:r w:rsidRPr="00735AE7">
        <w:t>xát neovplyvňujú účinok itopridu na pohyb čriev (motilitu).</w:t>
      </w:r>
    </w:p>
    <w:p w:rsidR="00A553AF" w:rsidRPr="00AE0A3E" w:rsidRDefault="003926DD" w:rsidP="00D1309E">
      <w:pPr>
        <w:pStyle w:val="Normlndobloku"/>
      </w:pPr>
      <w:r w:rsidRPr="00735AE7">
        <w:t>GASTRIX</w:t>
      </w:r>
      <w:r w:rsidR="007E3FBC" w:rsidRPr="00735AE7">
        <w:t xml:space="preserve"> </w:t>
      </w:r>
      <w:r w:rsidR="0044097B" w:rsidRPr="00735AE7">
        <w:t>nevykazuje žiadnu interakci</w:t>
      </w:r>
      <w:r w:rsidR="001F4F91" w:rsidRPr="00AE0A3E">
        <w:t>u</w:t>
      </w:r>
      <w:r w:rsidR="007E3FBC" w:rsidRPr="00735AE7">
        <w:t xml:space="preserve"> pri súčasnom </w:t>
      </w:r>
      <w:r w:rsidR="0044097B" w:rsidRPr="00735AE7">
        <w:t xml:space="preserve">užívaní </w:t>
      </w:r>
      <w:r w:rsidR="007E3FBC" w:rsidRPr="00735AE7">
        <w:t>s warfarínom, diazepamom, diklofenakom, tiklopidínom, nefedipínom a nikardipínom.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Tehotenstvo a dojčenie</w:t>
      </w:r>
    </w:p>
    <w:p w:rsidR="00625A4D" w:rsidRPr="00735AE7" w:rsidRDefault="00625A4D" w:rsidP="00DC2F92">
      <w:pPr>
        <w:pStyle w:val="Normlndobloku"/>
      </w:pPr>
      <w:r w:rsidRPr="00735AE7">
        <w:t>Ak ste tehotná alebo dojčíte, ak si myslíte, že ste tehotná alebo ak plánujete otehotnieť, poraďte sa so</w:t>
      </w:r>
      <w:r w:rsidR="00FC3CC2" w:rsidRPr="00AE0A3E">
        <w:t> </w:t>
      </w:r>
      <w:r w:rsidRPr="00735AE7">
        <w:t>svojím lekárom alebo lekárnikom predtým, ako začnete užívať tento liek.</w:t>
      </w:r>
    </w:p>
    <w:p w:rsidR="007E3FBC" w:rsidRPr="00735AE7" w:rsidRDefault="007E3FBC" w:rsidP="00D1309E">
      <w:pPr>
        <w:pStyle w:val="Normlndobloku"/>
      </w:pPr>
      <w:r w:rsidRPr="00735AE7">
        <w:t xml:space="preserve">Bezpečnosť </w:t>
      </w:r>
      <w:r w:rsidR="00701590" w:rsidRPr="00735AE7">
        <w:t xml:space="preserve">lieku </w:t>
      </w:r>
      <w:r w:rsidR="003926DD" w:rsidRPr="00735AE7">
        <w:t>GASTRIX</w:t>
      </w:r>
      <w:r w:rsidR="00701590" w:rsidRPr="00735AE7">
        <w:t xml:space="preserve"> nebola stanovená</w:t>
      </w:r>
      <w:r w:rsidR="00C57148" w:rsidRPr="00AE0A3E">
        <w:t xml:space="preserve"> u tehotných žien</w:t>
      </w:r>
      <w:r w:rsidR="00701590" w:rsidRPr="00735AE7">
        <w:t xml:space="preserve">. Váš lekár vám odporučí </w:t>
      </w:r>
      <w:r w:rsidR="003926DD" w:rsidRPr="00735AE7">
        <w:t>GASTRIX</w:t>
      </w:r>
      <w:r w:rsidR="00701590" w:rsidRPr="00735AE7">
        <w:t xml:space="preserve"> len v prípade, pokiaľ prínos liečby výrazne prevýši možné riziká.</w:t>
      </w:r>
    </w:p>
    <w:p w:rsidR="00701590" w:rsidRPr="00AE0A3E" w:rsidRDefault="00701590" w:rsidP="00D1309E">
      <w:pPr>
        <w:pStyle w:val="Normlndobloku"/>
      </w:pPr>
      <w:r w:rsidRPr="00735AE7">
        <w:t xml:space="preserve">Pokiaľ dojčíte, váš lekár z dôvodu možných </w:t>
      </w:r>
      <w:r w:rsidR="00E37AC1" w:rsidRPr="00AE0A3E">
        <w:t>vedľajších</w:t>
      </w:r>
      <w:r w:rsidRPr="00735AE7">
        <w:t xml:space="preserve"> účinkov na dieťa rozhodne, buď ukončiť podávanie lieku </w:t>
      </w:r>
      <w:r w:rsidR="003926DD" w:rsidRPr="00735AE7">
        <w:t>GASTRIX</w:t>
      </w:r>
      <w:r w:rsidRPr="00735AE7">
        <w:t xml:space="preserve"> alebo prerušiť dojčenie.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Vedenie vozidiel a obsluha strojov</w:t>
      </w:r>
    </w:p>
    <w:p w:rsidR="00701590" w:rsidRPr="00735AE7" w:rsidRDefault="00701590" w:rsidP="00DC2F92">
      <w:pPr>
        <w:pStyle w:val="Normlndobloku"/>
      </w:pPr>
      <w:r w:rsidRPr="00735AE7">
        <w:t>Hoci sa zatiaľ nezistil žiadny vplyv na schopnosť viesť vozidlá a obsluhovať stroje, nie je možné vylúčiť zníženie alebo zhoršenie pozornosti, pretože sa zriedkavo vyskytuj</w:t>
      </w:r>
      <w:r w:rsidR="009F2C1B" w:rsidRPr="00AE0A3E">
        <w:t>e</w:t>
      </w:r>
      <w:r w:rsidRPr="00735AE7">
        <w:t xml:space="preserve"> závrat.</w:t>
      </w:r>
    </w:p>
    <w:p w:rsidR="00701590" w:rsidRPr="00AE0A3E" w:rsidRDefault="0059221C" w:rsidP="00D1309E">
      <w:pPr>
        <w:pStyle w:val="Normlndobloku"/>
      </w:pPr>
      <w:r w:rsidRPr="00735AE7">
        <w:t>V </w:t>
      </w:r>
      <w:r w:rsidR="007A0ADF" w:rsidRPr="00735AE7">
        <w:t xml:space="preserve">týchto prípadoch </w:t>
      </w:r>
      <w:r w:rsidR="009F2C1B" w:rsidRPr="00AE0A3E">
        <w:t>neveďte vozidlá</w:t>
      </w:r>
      <w:r w:rsidR="007A0ADF" w:rsidRPr="00735AE7">
        <w:t xml:space="preserve"> a</w:t>
      </w:r>
      <w:r w:rsidR="00B20E5A" w:rsidRPr="00AE0A3E">
        <w:t>lebo</w:t>
      </w:r>
      <w:r w:rsidR="007A0ADF" w:rsidRPr="00735AE7">
        <w:t xml:space="preserve"> </w:t>
      </w:r>
      <w:r w:rsidR="009F2C1B" w:rsidRPr="00AE0A3E">
        <w:t>ne</w:t>
      </w:r>
      <w:r w:rsidR="007A0ADF" w:rsidRPr="00735AE7">
        <w:t>obsluhuje stroje, kým tieto príznaky nevymiznú.</w:t>
      </w:r>
    </w:p>
    <w:p w:rsidR="00FD00EF" w:rsidRPr="00735AE7" w:rsidRDefault="00FD00EF" w:rsidP="00D1309E">
      <w:pPr>
        <w:pStyle w:val="Normlndobloku"/>
      </w:pPr>
    </w:p>
    <w:p w:rsidR="00625A4D" w:rsidRPr="00735AE7" w:rsidRDefault="003926D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GASTRIX</w:t>
      </w:r>
      <w:r w:rsidR="00701590" w:rsidRPr="00735AE7">
        <w:rPr>
          <w:sz w:val="22"/>
          <w:szCs w:val="22"/>
        </w:rPr>
        <w:t xml:space="preserve"> obsahuje laktózu</w:t>
      </w:r>
    </w:p>
    <w:p w:rsidR="00625A4D" w:rsidRPr="00AE0A3E" w:rsidRDefault="00625A4D" w:rsidP="00DC2F92">
      <w:pPr>
        <w:pStyle w:val="Normlndobloku"/>
      </w:pPr>
      <w:r w:rsidRPr="00735AE7">
        <w:t>Ak vám váš lekár povedal, že neznášate niektoré cukry, kontaktujte svojho lekára pred užitím tohto lieku.</w:t>
      </w:r>
    </w:p>
    <w:p w:rsidR="00FD00EF" w:rsidRPr="00AE0A3E" w:rsidRDefault="00FD00EF" w:rsidP="00D1309E">
      <w:pPr>
        <w:pStyle w:val="Normlndobloku"/>
      </w:pPr>
    </w:p>
    <w:p w:rsidR="00FD00EF" w:rsidRPr="00735AE7" w:rsidRDefault="00FD00EF" w:rsidP="00D1309E">
      <w:pPr>
        <w:pStyle w:val="Normlndobloku"/>
      </w:pPr>
    </w:p>
    <w:p w:rsidR="00625A4D" w:rsidRPr="00AE0A3E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3" w:name="_Toc443314745"/>
      <w:r w:rsidRPr="00735AE7">
        <w:rPr>
          <w:caps w:val="0"/>
          <w:sz w:val="22"/>
          <w:szCs w:val="22"/>
        </w:rPr>
        <w:t xml:space="preserve">Ako užívať </w:t>
      </w:r>
      <w:r w:rsidR="003926DD" w:rsidRPr="00735AE7">
        <w:rPr>
          <w:sz w:val="22"/>
          <w:szCs w:val="22"/>
        </w:rPr>
        <w:t>GASTRIX</w:t>
      </w:r>
      <w:bookmarkEnd w:id="3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735AE7" w:rsidRDefault="00625A4D" w:rsidP="00DC2F92">
      <w:pPr>
        <w:pStyle w:val="Normlndobloku"/>
      </w:pPr>
      <w:r w:rsidRPr="00735AE7">
        <w:t>Vždy užívajte tento liek presne tak, ako vám povedal váš lekár. Ak si nie ste niečím istý, overte si to u svojho lekára alebo lekárnika.</w:t>
      </w:r>
    </w:p>
    <w:p w:rsidR="00764E0E" w:rsidRPr="00735AE7" w:rsidRDefault="00764E0E" w:rsidP="00D1309E">
      <w:pPr>
        <w:pStyle w:val="Normlndobloku"/>
      </w:pPr>
      <w:r w:rsidRPr="00735AE7">
        <w:rPr>
          <w:bCs/>
        </w:rPr>
        <w:t xml:space="preserve">Odporúčaná </w:t>
      </w:r>
      <w:r w:rsidRPr="00735AE7">
        <w:t>dávka pre dospelých je jedna tableta 3-krát denne pred jedlom.</w:t>
      </w:r>
    </w:p>
    <w:p w:rsidR="00764E0E" w:rsidRPr="00AE0A3E" w:rsidRDefault="00764E0E" w:rsidP="00D1309E">
      <w:pPr>
        <w:pStyle w:val="Normlndobloku"/>
      </w:pPr>
      <w:r w:rsidRPr="00735AE7">
        <w:t>Dávk</w:t>
      </w:r>
      <w:r w:rsidR="001473D7" w:rsidRPr="00AE0A3E">
        <w:t>a</w:t>
      </w:r>
      <w:r w:rsidRPr="00735AE7">
        <w:t xml:space="preserve"> sa môž</w:t>
      </w:r>
      <w:r w:rsidR="001473D7" w:rsidRPr="00AE0A3E">
        <w:t>e</w:t>
      </w:r>
      <w:r w:rsidRPr="00735AE7">
        <w:t xml:space="preserve"> znížiť v závislosti od veku a priebehu ochorenia.</w:t>
      </w:r>
      <w:r w:rsidR="00241A54" w:rsidRPr="00735AE7">
        <w:t xml:space="preserve"> </w:t>
      </w:r>
      <w:r w:rsidRPr="00735AE7">
        <w:t>Presné dávkovanie lieku a dĺžku liečby určí lekár.</w:t>
      </w:r>
    </w:p>
    <w:p w:rsidR="00FD00EF" w:rsidRPr="00735AE7" w:rsidRDefault="00FD00EF" w:rsidP="00D1309E">
      <w:pPr>
        <w:pStyle w:val="Normlndobloku"/>
      </w:pPr>
    </w:p>
    <w:p w:rsidR="00764E0E" w:rsidRPr="00735AE7" w:rsidRDefault="00764E0E" w:rsidP="00735AE7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Pacienti s poruchou </w:t>
      </w:r>
      <w:r w:rsidR="00676DE1" w:rsidRPr="00735AE7">
        <w:rPr>
          <w:sz w:val="22"/>
          <w:szCs w:val="22"/>
        </w:rPr>
        <w:t>funkcie pečene alebo obli</w:t>
      </w:r>
      <w:r w:rsidRPr="00735AE7">
        <w:rPr>
          <w:sz w:val="22"/>
          <w:szCs w:val="22"/>
        </w:rPr>
        <w:t>čiek a starší pacienti</w:t>
      </w:r>
    </w:p>
    <w:p w:rsidR="00764E0E" w:rsidRPr="00AE0A3E" w:rsidRDefault="00676DE1" w:rsidP="00DC2F92">
      <w:pPr>
        <w:pStyle w:val="Normlndobloku"/>
      </w:pPr>
      <w:r w:rsidRPr="00735AE7">
        <w:t xml:space="preserve">Pokiaľ máte poruchu funkcie pečene alebo obličiek alebo pokiaľ ste starší, váš lekár vás bude pozornejšie sledovať. Ak sa objaví akýkoľvek </w:t>
      </w:r>
      <w:r w:rsidR="00692563" w:rsidRPr="00AE0A3E">
        <w:t>vedľajší</w:t>
      </w:r>
      <w:r w:rsidRPr="00735AE7">
        <w:t xml:space="preserve"> účinok, informujte svojho lekára. Váš lekár vám môže odporučiť zníženie dávky alebo prerušenie liečby.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 užijete viac lieku </w:t>
      </w:r>
      <w:r w:rsidR="003926DD" w:rsidRPr="00735AE7">
        <w:rPr>
          <w:sz w:val="22"/>
          <w:szCs w:val="22"/>
        </w:rPr>
        <w:t>GASTRIX</w:t>
      </w:r>
      <w:r w:rsidRPr="00735AE7">
        <w:rPr>
          <w:sz w:val="22"/>
          <w:szCs w:val="22"/>
        </w:rPr>
        <w:t>, ako máte</w:t>
      </w:r>
    </w:p>
    <w:p w:rsidR="00625A4D" w:rsidRPr="00AE0A3E" w:rsidRDefault="00625A4D" w:rsidP="00DC2F92">
      <w:pPr>
        <w:pStyle w:val="Normlndobloku"/>
      </w:pPr>
      <w:r w:rsidRPr="00735AE7">
        <w:t xml:space="preserve">Ak </w:t>
      </w:r>
      <w:r w:rsidR="003B3B3E" w:rsidRPr="00AE0A3E">
        <w:t>užijete</w:t>
      </w:r>
      <w:r w:rsidRPr="00735AE7">
        <w:t xml:space="preserve"> v</w:t>
      </w:r>
      <w:r w:rsidR="00F260B1" w:rsidRPr="00AE0A3E">
        <w:t>iac</w:t>
      </w:r>
      <w:r w:rsidRPr="00735AE7">
        <w:t xml:space="preserve"> lieku </w:t>
      </w:r>
      <w:r w:rsidR="003926DD" w:rsidRPr="00735AE7">
        <w:t>GASTRIX</w:t>
      </w:r>
      <w:r w:rsidR="005E16A2" w:rsidRPr="00735AE7">
        <w:t xml:space="preserve"> ako </w:t>
      </w:r>
      <w:r w:rsidR="00CA281D" w:rsidRPr="00AE0A3E">
        <w:t>máte</w:t>
      </w:r>
      <w:r w:rsidR="005E16A2" w:rsidRPr="00735AE7">
        <w:t>, kontaktujte svojho lekára.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 zabudnete užiť </w:t>
      </w:r>
      <w:r w:rsidR="003926DD" w:rsidRPr="00735AE7">
        <w:rPr>
          <w:sz w:val="22"/>
          <w:szCs w:val="22"/>
        </w:rPr>
        <w:t>GASTRIX</w:t>
      </w:r>
    </w:p>
    <w:p w:rsidR="00625A4D" w:rsidRPr="00AE0A3E" w:rsidRDefault="00625A4D" w:rsidP="00DC2F92">
      <w:pPr>
        <w:pStyle w:val="Normlndobloku"/>
      </w:pPr>
      <w:r w:rsidRPr="00735AE7">
        <w:t>Ak zab</w:t>
      </w:r>
      <w:r w:rsidR="005E16A2" w:rsidRPr="00735AE7">
        <w:t>ud</w:t>
      </w:r>
      <w:r w:rsidR="003B3B3E" w:rsidRPr="00AE0A3E">
        <w:t>nete</w:t>
      </w:r>
      <w:r w:rsidR="005E16A2" w:rsidRPr="00735AE7">
        <w:t xml:space="preserve"> užiť </w:t>
      </w:r>
      <w:r w:rsidR="003926DD" w:rsidRPr="00735AE7">
        <w:t>GASTRIX</w:t>
      </w:r>
      <w:r w:rsidR="005E16A2" w:rsidRPr="00735AE7">
        <w:t xml:space="preserve">, pokračujte vo svojom pravidelnom dávkovacom režime. </w:t>
      </w:r>
      <w:r w:rsidRPr="00735AE7">
        <w:t>Neužívajte dvojnásobnú dávku, a</w:t>
      </w:r>
      <w:r w:rsidR="005E16A2" w:rsidRPr="00735AE7">
        <w:t>by ste nahradili vynechanú tabletu.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 prestanete užívať </w:t>
      </w:r>
      <w:r w:rsidR="003926DD" w:rsidRPr="00735AE7">
        <w:rPr>
          <w:sz w:val="22"/>
          <w:szCs w:val="22"/>
        </w:rPr>
        <w:t>GASTRIX</w:t>
      </w:r>
    </w:p>
    <w:p w:rsidR="005E16A2" w:rsidRPr="00735AE7" w:rsidRDefault="005E16A2" w:rsidP="00DC2F92">
      <w:pPr>
        <w:pStyle w:val="Normlndobloku"/>
      </w:pPr>
      <w:r w:rsidRPr="00735AE7">
        <w:t xml:space="preserve">Ak prestanete užívať </w:t>
      </w:r>
      <w:r w:rsidR="003926DD" w:rsidRPr="00735AE7">
        <w:t>GASTRIX</w:t>
      </w:r>
      <w:r w:rsidRPr="00735AE7">
        <w:t xml:space="preserve"> príliš skoro, vaše príznaky sa môžu zhoršiť</w:t>
      </w:r>
      <w:r w:rsidR="006A4E1C" w:rsidRPr="00735AE7">
        <w:t>. Pred ukončením liečby sa poraďte so svojím lekárom.</w:t>
      </w:r>
    </w:p>
    <w:p w:rsidR="00625A4D" w:rsidRPr="00AE0A3E" w:rsidRDefault="00625A4D" w:rsidP="00D1309E">
      <w:pPr>
        <w:pStyle w:val="Normlndobloku"/>
      </w:pPr>
      <w:r w:rsidRPr="00735AE7">
        <w:t>Ak máte akékoľvek ďalšie otázky týkajúce sa použitia tohto lieku, opýtajte sa svojho lekára alebo lekárnika.</w:t>
      </w:r>
    </w:p>
    <w:p w:rsidR="00727905" w:rsidRPr="00AE0A3E" w:rsidRDefault="00727905" w:rsidP="00D1309E">
      <w:pPr>
        <w:pStyle w:val="Normlndobloku"/>
      </w:pPr>
    </w:p>
    <w:p w:rsidR="00727905" w:rsidRPr="00735AE7" w:rsidRDefault="00727905" w:rsidP="00D1309E">
      <w:pPr>
        <w:pStyle w:val="Normlndobloku"/>
      </w:pPr>
    </w:p>
    <w:p w:rsidR="00625A4D" w:rsidRPr="00735AE7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4" w:name="_Toc443314746"/>
      <w:r w:rsidRPr="00735AE7">
        <w:rPr>
          <w:caps w:val="0"/>
          <w:sz w:val="22"/>
          <w:szCs w:val="22"/>
        </w:rPr>
        <w:lastRenderedPageBreak/>
        <w:t>Možné vedľajšie účinky</w:t>
      </w:r>
      <w:bookmarkEnd w:id="4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AE0A3E" w:rsidRDefault="00625A4D" w:rsidP="00DC2F92">
      <w:pPr>
        <w:pStyle w:val="Normlndobloku"/>
      </w:pPr>
      <w:r w:rsidRPr="00735AE7">
        <w:t>Tak ako všetky lieky, aj tento liek môže spôsobovať vedľajšie účinky</w:t>
      </w:r>
      <w:r w:rsidR="002566F5" w:rsidRPr="00735AE7">
        <w:t>, hoci sa neprejavia u každého.</w:t>
      </w:r>
    </w:p>
    <w:p w:rsidR="00FD00EF" w:rsidRPr="00735AE7" w:rsidRDefault="00FD00EF" w:rsidP="00D1309E">
      <w:pPr>
        <w:pStyle w:val="Normlndobloku"/>
      </w:pPr>
    </w:p>
    <w:p w:rsidR="002566F5" w:rsidRPr="00735AE7" w:rsidRDefault="002566F5" w:rsidP="00735AE7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Prestaňte užívať </w:t>
      </w:r>
      <w:r w:rsidR="003926DD" w:rsidRPr="00735AE7">
        <w:rPr>
          <w:sz w:val="22"/>
          <w:szCs w:val="22"/>
        </w:rPr>
        <w:t>GASTRIX</w:t>
      </w:r>
      <w:r w:rsidRPr="00735AE7">
        <w:rPr>
          <w:sz w:val="22"/>
          <w:szCs w:val="22"/>
        </w:rPr>
        <w:t xml:space="preserve"> a informujte svojho lekára:</w:t>
      </w:r>
    </w:p>
    <w:p w:rsidR="002566F5" w:rsidRPr="00735AE7" w:rsidRDefault="002566F5" w:rsidP="00DC2F92">
      <w:pPr>
        <w:pStyle w:val="Normlndoblokusodrkami"/>
      </w:pPr>
      <w:r w:rsidRPr="00735AE7">
        <w:t>ak sa u vás vyskytn</w:t>
      </w:r>
      <w:r w:rsidR="00B054B3" w:rsidRPr="00735AE7">
        <w:t>e</w:t>
      </w:r>
      <w:r w:rsidRPr="00735AE7">
        <w:t xml:space="preserve"> opuch rúk, nôh, opuch tváre, pier alebo hrdla, ktoré vám môžu spôsobiť ťažkosti pri prehĺtaní</w:t>
      </w:r>
      <w:r w:rsidR="00D52AC5" w:rsidRPr="00735AE7">
        <w:t xml:space="preserve"> </w:t>
      </w:r>
      <w:r w:rsidRPr="00735AE7">
        <w:t>alebo dýchaní. Môže sa tiež vyskytnúť vyrážka alebo svrbenie. To môže znamenať, že máte alergickú reakciu.</w:t>
      </w:r>
    </w:p>
    <w:p w:rsidR="00FD00EF" w:rsidRPr="00735AE7" w:rsidRDefault="00FD00EF" w:rsidP="00D1309E">
      <w:pPr>
        <w:pStyle w:val="Normlndobloku"/>
      </w:pPr>
    </w:p>
    <w:p w:rsidR="002566F5" w:rsidRPr="00735AE7" w:rsidRDefault="003926DD" w:rsidP="00735AE7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P</w:t>
      </w:r>
      <w:r w:rsidR="00083C12" w:rsidRPr="00AE0A3E">
        <w:rPr>
          <w:sz w:val="22"/>
          <w:szCs w:val="22"/>
        </w:rPr>
        <w:t>očas</w:t>
      </w:r>
      <w:r w:rsidRPr="00735AE7">
        <w:rPr>
          <w:sz w:val="22"/>
          <w:szCs w:val="22"/>
        </w:rPr>
        <w:t xml:space="preserve"> liečb</w:t>
      </w:r>
      <w:r w:rsidR="00083C12" w:rsidRPr="00AE0A3E">
        <w:rPr>
          <w:sz w:val="22"/>
          <w:szCs w:val="22"/>
        </w:rPr>
        <w:t>y</w:t>
      </w:r>
      <w:r w:rsidRPr="00735AE7">
        <w:rPr>
          <w:sz w:val="22"/>
          <w:szCs w:val="22"/>
        </w:rPr>
        <w:t xml:space="preserve"> liekom GASTRIX</w:t>
      </w:r>
      <w:r w:rsidR="002566F5" w:rsidRPr="00735AE7">
        <w:rPr>
          <w:sz w:val="22"/>
          <w:szCs w:val="22"/>
        </w:rPr>
        <w:t xml:space="preserve"> sa môžu vyskytnúť </w:t>
      </w:r>
      <w:r w:rsidR="000D7BB5" w:rsidRPr="00AE0A3E">
        <w:rPr>
          <w:sz w:val="22"/>
          <w:szCs w:val="22"/>
        </w:rPr>
        <w:t>nasledovné vedľajšie</w:t>
      </w:r>
      <w:r w:rsidR="002566F5" w:rsidRPr="00735AE7">
        <w:rPr>
          <w:sz w:val="22"/>
          <w:szCs w:val="22"/>
        </w:rPr>
        <w:t xml:space="preserve"> účinky:</w:t>
      </w:r>
    </w:p>
    <w:p w:rsidR="00625A4D" w:rsidRPr="00735AE7" w:rsidRDefault="002566F5" w:rsidP="00735AE7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Menej časté </w:t>
      </w:r>
      <w:r w:rsidR="00625A4D" w:rsidRPr="00735AE7">
        <w:rPr>
          <w:sz w:val="22"/>
          <w:szCs w:val="22"/>
        </w:rPr>
        <w:t>(môžu postihovať</w:t>
      </w:r>
      <w:r w:rsidR="00B20E5A" w:rsidRPr="00AE0A3E">
        <w:rPr>
          <w:sz w:val="22"/>
          <w:szCs w:val="22"/>
        </w:rPr>
        <w:t xml:space="preserve"> menej ako </w:t>
      </w:r>
      <w:r w:rsidR="00625A4D" w:rsidRPr="00735AE7">
        <w:rPr>
          <w:sz w:val="22"/>
          <w:szCs w:val="22"/>
        </w:rPr>
        <w:t>1 zo 100</w:t>
      </w:r>
      <w:r w:rsidR="00B20E5A" w:rsidRPr="00AE0A3E">
        <w:rPr>
          <w:sz w:val="22"/>
          <w:szCs w:val="22"/>
        </w:rPr>
        <w:t xml:space="preserve"> osôb</w:t>
      </w:r>
      <w:r w:rsidR="00625A4D" w:rsidRPr="00735AE7">
        <w:rPr>
          <w:sz w:val="22"/>
          <w:szCs w:val="22"/>
        </w:rPr>
        <w:t>)</w:t>
      </w:r>
    </w:p>
    <w:p w:rsidR="00625A4D" w:rsidRPr="00735AE7" w:rsidRDefault="002566F5" w:rsidP="00DC2F92">
      <w:pPr>
        <w:pStyle w:val="Normlndoblokusodrkami"/>
      </w:pPr>
      <w:r w:rsidRPr="00735AE7">
        <w:t>znížený počet bielych krviniek</w:t>
      </w:r>
    </w:p>
    <w:p w:rsidR="002566F5" w:rsidRPr="00735AE7" w:rsidRDefault="002566F5" w:rsidP="00D1309E">
      <w:pPr>
        <w:pStyle w:val="Normlndoblokusodrkami"/>
      </w:pPr>
      <w:r w:rsidRPr="00735AE7">
        <w:t>zvýšené hladiny prolaktínu</w:t>
      </w:r>
    </w:p>
    <w:p w:rsidR="002566F5" w:rsidRPr="00735AE7" w:rsidRDefault="002566F5" w:rsidP="00D1309E">
      <w:pPr>
        <w:pStyle w:val="Normlndoblokusodrkami"/>
      </w:pPr>
      <w:r w:rsidRPr="00735AE7">
        <w:t>závrat, bolesť hlavy, poruchy spánku</w:t>
      </w:r>
    </w:p>
    <w:p w:rsidR="002566F5" w:rsidRPr="00735AE7" w:rsidRDefault="002566F5" w:rsidP="00D1309E">
      <w:pPr>
        <w:pStyle w:val="Normlndoblokusodrkami"/>
      </w:pPr>
      <w:r w:rsidRPr="00735AE7">
        <w:t>hnačka</w:t>
      </w:r>
    </w:p>
    <w:p w:rsidR="002566F5" w:rsidRPr="00735AE7" w:rsidRDefault="002566F5" w:rsidP="00D1309E">
      <w:pPr>
        <w:pStyle w:val="Normlndoblokusodrkami"/>
      </w:pPr>
      <w:r w:rsidRPr="00735AE7">
        <w:t>zápcha</w:t>
      </w:r>
    </w:p>
    <w:p w:rsidR="001C38D9" w:rsidRPr="00735AE7" w:rsidRDefault="001C38D9" w:rsidP="00D1309E">
      <w:pPr>
        <w:pStyle w:val="Normlndoblokusodrkami"/>
      </w:pPr>
      <w:r w:rsidRPr="00735AE7">
        <w:rPr>
          <w:noProof w:val="0"/>
        </w:rPr>
        <w:t>bolesť</w:t>
      </w:r>
      <w:r w:rsidRPr="00735AE7">
        <w:t xml:space="preserve"> brucha</w:t>
      </w:r>
    </w:p>
    <w:p w:rsidR="002566F5" w:rsidRPr="00735AE7" w:rsidRDefault="002566F5" w:rsidP="00D1309E">
      <w:pPr>
        <w:pStyle w:val="Normlndoblokusodrkami"/>
      </w:pPr>
      <w:r w:rsidRPr="00735AE7">
        <w:t>zvýšená tvorba slín</w:t>
      </w:r>
    </w:p>
    <w:p w:rsidR="002566F5" w:rsidRPr="00735AE7" w:rsidRDefault="002566F5" w:rsidP="00D1309E">
      <w:pPr>
        <w:pStyle w:val="Normlndoblokusodrkami"/>
      </w:pPr>
      <w:r w:rsidRPr="00735AE7">
        <w:t>zvýšené h</w:t>
      </w:r>
      <w:r w:rsidR="00310C42" w:rsidRPr="00735AE7">
        <w:t>ladin</w:t>
      </w:r>
      <w:r w:rsidRPr="00735AE7">
        <w:t>y dusíka močoviny a kreatinínu v krvi pri laboratórnych testoch</w:t>
      </w:r>
    </w:p>
    <w:p w:rsidR="002566F5" w:rsidRPr="00735AE7" w:rsidRDefault="002566F5" w:rsidP="00D1309E">
      <w:pPr>
        <w:pStyle w:val="Normlndoblokusodrkami"/>
      </w:pPr>
      <w:r w:rsidRPr="00735AE7">
        <w:t>bolesť na hrud</w:t>
      </w:r>
      <w:r w:rsidR="000E01A8" w:rsidRPr="00735AE7">
        <w:t>níku</w:t>
      </w:r>
      <w:r w:rsidRPr="00735AE7">
        <w:t xml:space="preserve"> alebo bolesť chrbta</w:t>
      </w:r>
    </w:p>
    <w:p w:rsidR="002566F5" w:rsidRPr="00735AE7" w:rsidRDefault="002566F5" w:rsidP="00D1309E">
      <w:pPr>
        <w:pStyle w:val="Normlndoblokusodrkami"/>
      </w:pPr>
      <w:r w:rsidRPr="00735AE7">
        <w:t>únava</w:t>
      </w:r>
    </w:p>
    <w:p w:rsidR="002566F5" w:rsidRPr="00735AE7" w:rsidRDefault="002566F5" w:rsidP="00D1309E">
      <w:pPr>
        <w:pStyle w:val="Normlndoblokusodrkami"/>
      </w:pPr>
      <w:r w:rsidRPr="00735AE7">
        <w:t>podráždenosť</w:t>
      </w:r>
    </w:p>
    <w:p w:rsidR="000E01A8" w:rsidRPr="00735AE7" w:rsidRDefault="000E01A8" w:rsidP="00D1309E">
      <w:pPr>
        <w:pStyle w:val="Normlndobloku"/>
      </w:pPr>
    </w:p>
    <w:p w:rsidR="00625A4D" w:rsidRPr="00735AE7" w:rsidRDefault="002566F5" w:rsidP="00735AE7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 xml:space="preserve">Zriedkavé </w:t>
      </w:r>
      <w:r w:rsidR="00625A4D" w:rsidRPr="00735AE7">
        <w:rPr>
          <w:sz w:val="22"/>
          <w:szCs w:val="22"/>
        </w:rPr>
        <w:t xml:space="preserve">(môžu postihovať </w:t>
      </w:r>
      <w:r w:rsidR="00C0243C" w:rsidRPr="00AE0A3E">
        <w:rPr>
          <w:sz w:val="22"/>
          <w:szCs w:val="22"/>
        </w:rPr>
        <w:t>menej ako</w:t>
      </w:r>
      <w:r w:rsidR="00625A4D" w:rsidRPr="00735AE7">
        <w:rPr>
          <w:sz w:val="22"/>
          <w:szCs w:val="22"/>
        </w:rPr>
        <w:t xml:space="preserve"> 1 z</w:t>
      </w:r>
      <w:r w:rsidR="0056673E" w:rsidRPr="00735AE7">
        <w:rPr>
          <w:sz w:val="22"/>
          <w:szCs w:val="22"/>
        </w:rPr>
        <w:t> </w:t>
      </w:r>
      <w:r w:rsidR="00625A4D" w:rsidRPr="00735AE7">
        <w:rPr>
          <w:sz w:val="22"/>
          <w:szCs w:val="22"/>
        </w:rPr>
        <w:t>1</w:t>
      </w:r>
      <w:r w:rsidR="00C0243C" w:rsidRPr="00AE0A3E">
        <w:rPr>
          <w:sz w:val="22"/>
          <w:szCs w:val="22"/>
        </w:rPr>
        <w:t> </w:t>
      </w:r>
      <w:r w:rsidR="00625A4D" w:rsidRPr="00735AE7">
        <w:rPr>
          <w:sz w:val="22"/>
          <w:szCs w:val="22"/>
        </w:rPr>
        <w:t>000</w:t>
      </w:r>
      <w:r w:rsidR="00C0243C" w:rsidRPr="00AE0A3E">
        <w:rPr>
          <w:sz w:val="22"/>
          <w:szCs w:val="22"/>
        </w:rPr>
        <w:t xml:space="preserve"> osôb</w:t>
      </w:r>
      <w:r w:rsidR="00625A4D" w:rsidRPr="00735AE7">
        <w:rPr>
          <w:sz w:val="22"/>
          <w:szCs w:val="22"/>
        </w:rPr>
        <w:t>)</w:t>
      </w:r>
    </w:p>
    <w:p w:rsidR="00625A4D" w:rsidRPr="00735AE7" w:rsidRDefault="002566F5" w:rsidP="00DC2F92">
      <w:pPr>
        <w:pStyle w:val="Normlndoblokusodrkami"/>
      </w:pPr>
      <w:r w:rsidRPr="00735AE7">
        <w:t>kožn</w:t>
      </w:r>
      <w:r w:rsidR="004114C4" w:rsidRPr="00735AE7">
        <w:t>é</w:t>
      </w:r>
      <w:r w:rsidRPr="00735AE7">
        <w:t xml:space="preserve"> vyrážk</w:t>
      </w:r>
      <w:r w:rsidR="004114C4" w:rsidRPr="00735AE7">
        <w:t>y</w:t>
      </w:r>
    </w:p>
    <w:p w:rsidR="00625A4D" w:rsidRPr="00735AE7" w:rsidRDefault="004114C4" w:rsidP="00D1309E">
      <w:pPr>
        <w:pStyle w:val="Normlndoblokusodrkami"/>
      </w:pPr>
      <w:r w:rsidRPr="00735AE7">
        <w:t>s</w:t>
      </w:r>
      <w:r w:rsidR="002566F5" w:rsidRPr="00735AE7">
        <w:t>červen</w:t>
      </w:r>
      <w:r w:rsidRPr="00735AE7">
        <w:t>e</w:t>
      </w:r>
      <w:r w:rsidR="002566F5" w:rsidRPr="00735AE7">
        <w:t>nie kože</w:t>
      </w:r>
    </w:p>
    <w:p w:rsidR="002566F5" w:rsidRPr="00735AE7" w:rsidRDefault="002566F5" w:rsidP="00D1309E">
      <w:pPr>
        <w:pStyle w:val="Normlndoblokusodrkami"/>
      </w:pPr>
      <w:r w:rsidRPr="00735AE7">
        <w:t>svrbenie</w:t>
      </w:r>
    </w:p>
    <w:p w:rsidR="004114C4" w:rsidRPr="00DC2F92" w:rsidRDefault="004114C4" w:rsidP="00D1309E">
      <w:pPr>
        <w:pStyle w:val="Normlndobloku"/>
      </w:pPr>
    </w:p>
    <w:p w:rsidR="005264C5" w:rsidRPr="00735AE7" w:rsidRDefault="005264C5" w:rsidP="00735AE7">
      <w:pPr>
        <w:pStyle w:val="Styl3"/>
        <w:spacing w:after="0"/>
        <w:jc w:val="left"/>
        <w:rPr>
          <w:sz w:val="22"/>
          <w:szCs w:val="22"/>
        </w:rPr>
      </w:pPr>
      <w:r w:rsidRPr="00735AE7">
        <w:rPr>
          <w:sz w:val="22"/>
          <w:szCs w:val="22"/>
        </w:rPr>
        <w:t>Neznám</w:t>
      </w:r>
      <w:r w:rsidR="00255208" w:rsidRPr="00AE0A3E">
        <w:rPr>
          <w:sz w:val="22"/>
          <w:szCs w:val="22"/>
        </w:rPr>
        <w:t>e</w:t>
      </w:r>
      <w:r w:rsidRPr="00735AE7">
        <w:rPr>
          <w:sz w:val="22"/>
          <w:szCs w:val="22"/>
        </w:rPr>
        <w:t xml:space="preserve"> (</w:t>
      </w:r>
      <w:r w:rsidR="00255208" w:rsidRPr="00AE0A3E">
        <w:rPr>
          <w:sz w:val="22"/>
          <w:szCs w:val="22"/>
        </w:rPr>
        <w:t xml:space="preserve">častosť sa nedá odhadnúť </w:t>
      </w:r>
      <w:r w:rsidRPr="00735AE7">
        <w:rPr>
          <w:sz w:val="22"/>
          <w:szCs w:val="22"/>
        </w:rPr>
        <w:t>z dostupných údajov)</w:t>
      </w:r>
    </w:p>
    <w:p w:rsidR="005264C5" w:rsidRPr="00735AE7" w:rsidRDefault="00BC7C86" w:rsidP="00DC2F92">
      <w:pPr>
        <w:pStyle w:val="Normlndoblokusodrkami"/>
      </w:pPr>
      <w:r w:rsidRPr="00735AE7">
        <w:t>žlté sfarbenie</w:t>
      </w:r>
      <w:r w:rsidR="005264C5" w:rsidRPr="00735AE7">
        <w:t xml:space="preserve"> kože a očí</w:t>
      </w:r>
    </w:p>
    <w:p w:rsidR="005264C5" w:rsidRPr="00735AE7" w:rsidRDefault="005264C5" w:rsidP="00D1309E">
      <w:pPr>
        <w:pStyle w:val="Normlndoblokusodrkami"/>
      </w:pPr>
      <w:r w:rsidRPr="00735AE7">
        <w:t>nevoľnosť</w:t>
      </w:r>
    </w:p>
    <w:p w:rsidR="005264C5" w:rsidRPr="00735AE7" w:rsidRDefault="005264C5" w:rsidP="00D1309E">
      <w:pPr>
        <w:pStyle w:val="Normlndoblokusodrkami"/>
      </w:pPr>
      <w:r w:rsidRPr="00735AE7">
        <w:t>tras</w:t>
      </w:r>
    </w:p>
    <w:p w:rsidR="005264C5" w:rsidRPr="00735AE7" w:rsidRDefault="005264C5" w:rsidP="00D1309E">
      <w:pPr>
        <w:pStyle w:val="Normlndoblokusodrkami"/>
      </w:pPr>
      <w:r w:rsidRPr="00735AE7">
        <w:t>zväčšenie pŕs u mužov</w:t>
      </w:r>
    </w:p>
    <w:p w:rsidR="005264C5" w:rsidRPr="00735AE7" w:rsidRDefault="005264C5" w:rsidP="00D1309E">
      <w:pPr>
        <w:pStyle w:val="Normlndoblokusodrkami"/>
      </w:pPr>
      <w:r w:rsidRPr="00735AE7">
        <w:t>znížený počet krvných doštičiek</w:t>
      </w:r>
    </w:p>
    <w:p w:rsidR="005264C5" w:rsidRPr="00735AE7" w:rsidRDefault="005264C5" w:rsidP="00D1309E">
      <w:pPr>
        <w:pStyle w:val="Normlndoblokusodrkami"/>
      </w:pPr>
      <w:r w:rsidRPr="00735AE7">
        <w:t>zvýšenie laboratórnych hodnôt v krvi (AST – aspartátaminotransferázy, ALT – alanínaminotransferázy, gama-GTP – gamaglutamyltranspeptidázy, alkalickej fosfatázy, bilirubínu)</w:t>
      </w:r>
    </w:p>
    <w:p w:rsidR="00FD00EF" w:rsidRPr="00735AE7" w:rsidRDefault="00FD00EF" w:rsidP="00D1309E">
      <w:pPr>
        <w:pStyle w:val="Normlndobloku"/>
      </w:pPr>
    </w:p>
    <w:p w:rsidR="00625A4D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Hlásenie vedľajších účinkov</w:t>
      </w:r>
    </w:p>
    <w:p w:rsidR="00625A4D" w:rsidRPr="00AE0A3E" w:rsidRDefault="00625A4D" w:rsidP="00DC2F92">
      <w:pPr>
        <w:pStyle w:val="Normlndobloku"/>
      </w:pPr>
      <w:r w:rsidRPr="00735AE7"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CC63B7" w:rsidRPr="00AE0A3E">
        <w:t>na</w:t>
      </w:r>
      <w:r w:rsidRPr="00735AE7">
        <w:t xml:space="preserve"> </w:t>
      </w:r>
      <w:r w:rsidRPr="00735AE7">
        <w:rPr>
          <w:highlight w:val="lightGray"/>
        </w:rPr>
        <w:t>národn</w:t>
      </w:r>
      <w:r w:rsidR="00CC63B7" w:rsidRPr="00AE0A3E">
        <w:rPr>
          <w:highlight w:val="lightGray"/>
        </w:rPr>
        <w:t>é</w:t>
      </w:r>
      <w:r w:rsidRPr="00735AE7">
        <w:rPr>
          <w:highlight w:val="lightGray"/>
        </w:rPr>
        <w:t xml:space="preserve"> </w:t>
      </w:r>
      <w:r w:rsidR="00CC63B7" w:rsidRPr="00AE0A3E">
        <w:rPr>
          <w:highlight w:val="lightGray"/>
        </w:rPr>
        <w:t>centrum</w:t>
      </w:r>
      <w:r w:rsidRPr="00735AE7">
        <w:rPr>
          <w:highlight w:val="lightGray"/>
        </w:rPr>
        <w:t xml:space="preserve"> hlásenia uvedené v </w:t>
      </w:r>
      <w:hyperlink r:id="rId8" w:history="1">
        <w:r w:rsidRPr="00735AE7">
          <w:rPr>
            <w:rStyle w:val="Hypertextovprepojenie"/>
            <w:szCs w:val="22"/>
            <w:highlight w:val="lightGray"/>
          </w:rPr>
          <w:t>Prílohe V</w:t>
        </w:r>
      </w:hyperlink>
      <w:r w:rsidRPr="00D1309E">
        <w:t>.</w:t>
      </w:r>
      <w:r w:rsidRPr="00735AE7">
        <w:t xml:space="preserve"> Hlásením vedľajších účinkov môžete prispieť k získaniu ďalších informácií o bezpečnosti tohto lieku.</w:t>
      </w:r>
    </w:p>
    <w:p w:rsidR="00FD00EF" w:rsidRPr="00AE0A3E" w:rsidRDefault="00FD00EF" w:rsidP="00D1309E">
      <w:pPr>
        <w:pStyle w:val="Normlndobloku"/>
      </w:pPr>
    </w:p>
    <w:p w:rsidR="00FD00EF" w:rsidRPr="00735AE7" w:rsidRDefault="00FD00EF" w:rsidP="00D1309E">
      <w:pPr>
        <w:pStyle w:val="Normlndobloku"/>
      </w:pPr>
    </w:p>
    <w:p w:rsidR="00625A4D" w:rsidRPr="00AE0A3E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5" w:name="_Toc443314747"/>
      <w:r w:rsidRPr="00735AE7">
        <w:rPr>
          <w:caps w:val="0"/>
          <w:sz w:val="22"/>
          <w:szCs w:val="22"/>
        </w:rPr>
        <w:t xml:space="preserve">Ako uchovávať </w:t>
      </w:r>
      <w:r w:rsidR="003926DD" w:rsidRPr="00735AE7">
        <w:rPr>
          <w:sz w:val="22"/>
          <w:szCs w:val="22"/>
        </w:rPr>
        <w:t>GASTRIX</w:t>
      </w:r>
      <w:bookmarkEnd w:id="5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Pr="00AE0A3E" w:rsidRDefault="00625A4D" w:rsidP="00DC2F92">
      <w:pPr>
        <w:pStyle w:val="Normlndobloku"/>
      </w:pPr>
      <w:r w:rsidRPr="00735AE7">
        <w:t>Tento liek uchovávajte mimo dohľadu a dosahu detí.</w:t>
      </w:r>
    </w:p>
    <w:p w:rsidR="00E351CD" w:rsidRPr="00735AE7" w:rsidRDefault="00E351CD" w:rsidP="00D1309E">
      <w:pPr>
        <w:pStyle w:val="Normlndobloku"/>
      </w:pPr>
    </w:p>
    <w:p w:rsidR="00F9173B" w:rsidRPr="00735AE7" w:rsidRDefault="00625A4D" w:rsidP="00D1309E">
      <w:pPr>
        <w:pStyle w:val="Normlndobloku"/>
      </w:pPr>
      <w:r w:rsidRPr="00735AE7">
        <w:t xml:space="preserve">Neužívajte tento liek po dátume exspirácie, ktorý je uvedený na škatuľke po EXP. </w:t>
      </w:r>
      <w:r w:rsidR="00F9173B" w:rsidRPr="00735AE7">
        <w:t>Dátum ex</w:t>
      </w:r>
      <w:r w:rsidR="009A35AB" w:rsidRPr="00735AE7">
        <w:t>s</w:t>
      </w:r>
      <w:r w:rsidR="00F9173B" w:rsidRPr="00735AE7">
        <w:t>pirácie sa vzťahuje na posledný deň v danom mesiaci.</w:t>
      </w:r>
    </w:p>
    <w:p w:rsidR="00F9173B" w:rsidRPr="00735AE7" w:rsidRDefault="00F9173B" w:rsidP="00D1309E">
      <w:pPr>
        <w:pStyle w:val="Normlndobloku"/>
      </w:pPr>
      <w:r w:rsidRPr="00735AE7">
        <w:t xml:space="preserve">Tento liek nevyžaduje žiadne </w:t>
      </w:r>
      <w:r w:rsidR="00362109" w:rsidRPr="00AE0A3E">
        <w:t>zvlášt</w:t>
      </w:r>
      <w:r w:rsidRPr="00735AE7">
        <w:t>ne podmienky na uchovávanie.</w:t>
      </w:r>
    </w:p>
    <w:p w:rsidR="00625A4D" w:rsidRPr="00AE0A3E" w:rsidRDefault="00625A4D" w:rsidP="00D1309E">
      <w:pPr>
        <w:pStyle w:val="Normlndobloku"/>
      </w:pPr>
      <w:r w:rsidRPr="00735AE7">
        <w:t>Nelikvidujte lieky odpadovou vodou alebo domovým odpadom. Nepoužitý liek vráťte do lekárne. Tieto opatrenia pomôžu chrániť životné prostredie.</w:t>
      </w:r>
    </w:p>
    <w:p w:rsidR="00104868" w:rsidRPr="00AE0A3E" w:rsidRDefault="00104868" w:rsidP="00D1309E">
      <w:pPr>
        <w:pStyle w:val="Normlndobloku"/>
      </w:pPr>
    </w:p>
    <w:p w:rsidR="00104868" w:rsidRPr="00735AE7" w:rsidRDefault="00104868" w:rsidP="00D1309E">
      <w:pPr>
        <w:pStyle w:val="Normlndobloku"/>
      </w:pPr>
    </w:p>
    <w:p w:rsidR="00625A4D" w:rsidRPr="00735AE7" w:rsidRDefault="003606AA" w:rsidP="00D1309E">
      <w:pPr>
        <w:pStyle w:val="Styl1"/>
        <w:numPr>
          <w:ilvl w:val="0"/>
          <w:numId w:val="1"/>
        </w:numPr>
        <w:tabs>
          <w:tab w:val="clear" w:pos="360"/>
          <w:tab w:val="num" w:pos="709"/>
        </w:tabs>
        <w:spacing w:before="0" w:after="0"/>
        <w:ind w:left="0" w:firstLine="0"/>
        <w:rPr>
          <w:sz w:val="22"/>
          <w:szCs w:val="22"/>
        </w:rPr>
      </w:pPr>
      <w:bookmarkStart w:id="6" w:name="_Toc443314748"/>
      <w:r w:rsidRPr="00735AE7">
        <w:rPr>
          <w:caps w:val="0"/>
          <w:sz w:val="22"/>
          <w:szCs w:val="22"/>
        </w:rPr>
        <w:t>Obsah balenia a ďalšie informácie</w:t>
      </w:r>
      <w:bookmarkEnd w:id="6"/>
    </w:p>
    <w:p w:rsidR="00FD00EF" w:rsidRPr="00D1309E" w:rsidRDefault="00FD00EF" w:rsidP="00735AE7">
      <w:pPr>
        <w:pStyle w:val="Styl1"/>
        <w:numPr>
          <w:ilvl w:val="0"/>
          <w:numId w:val="0"/>
        </w:numPr>
        <w:spacing w:before="0" w:after="0"/>
        <w:rPr>
          <w:b w:val="0"/>
          <w:sz w:val="22"/>
          <w:szCs w:val="22"/>
        </w:rPr>
      </w:pPr>
    </w:p>
    <w:p w:rsidR="00625A4D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Čo </w:t>
      </w:r>
      <w:r w:rsidR="003926DD" w:rsidRPr="00735AE7">
        <w:rPr>
          <w:sz w:val="22"/>
          <w:szCs w:val="22"/>
        </w:rPr>
        <w:t>GASTRIX</w:t>
      </w:r>
      <w:r w:rsidRPr="00735AE7">
        <w:rPr>
          <w:sz w:val="22"/>
          <w:szCs w:val="22"/>
        </w:rPr>
        <w:t xml:space="preserve"> obsahuje</w:t>
      </w:r>
    </w:p>
    <w:p w:rsidR="00D86F0F" w:rsidRPr="00D1309E" w:rsidRDefault="00D86F0F" w:rsidP="00735AE7">
      <w:pPr>
        <w:pStyle w:val="Styl2"/>
        <w:spacing w:before="0" w:after="0"/>
        <w:rPr>
          <w:b w:val="0"/>
          <w:sz w:val="22"/>
          <w:szCs w:val="22"/>
        </w:rPr>
      </w:pPr>
    </w:p>
    <w:p w:rsidR="00F9173B" w:rsidRPr="00735AE7" w:rsidRDefault="00F9173B" w:rsidP="00DC2F92">
      <w:pPr>
        <w:pStyle w:val="Normlndoblokusodrkami"/>
      </w:pPr>
      <w:r w:rsidRPr="00735AE7">
        <w:t>Liečivo je itoprid.</w:t>
      </w:r>
    </w:p>
    <w:p w:rsidR="00F9173B" w:rsidRPr="00735AE7" w:rsidRDefault="00F9173B" w:rsidP="00D1309E">
      <w:pPr>
        <w:pStyle w:val="Normlndobloku"/>
        <w:spacing w:after="60"/>
        <w:ind w:left="709"/>
      </w:pPr>
      <w:r w:rsidRPr="00735AE7">
        <w:t>Jedna filmom obalená tableta</w:t>
      </w:r>
      <w:r w:rsidR="00625A4D" w:rsidRPr="00735AE7">
        <w:t xml:space="preserve"> obsahuje </w:t>
      </w:r>
      <w:r w:rsidR="000D09F3" w:rsidRPr="00AE0A3E">
        <w:t xml:space="preserve">50 mg </w:t>
      </w:r>
      <w:r w:rsidRPr="00735AE7">
        <w:t>itopridi</w:t>
      </w:r>
      <w:r w:rsidR="000D09F3" w:rsidRPr="00AE0A3E">
        <w:t>um</w:t>
      </w:r>
      <w:r w:rsidR="008F6FEF" w:rsidRPr="00D86F0F">
        <w:t>c</w:t>
      </w:r>
      <w:r w:rsidRPr="00735AE7">
        <w:t>hlorid</w:t>
      </w:r>
      <w:r w:rsidR="000D09F3" w:rsidRPr="00AE0A3E">
        <w:t>u</w:t>
      </w:r>
      <w:r w:rsidRPr="00735AE7">
        <w:t>.</w:t>
      </w:r>
    </w:p>
    <w:p w:rsidR="00625A4D" w:rsidRPr="00735AE7" w:rsidRDefault="00625A4D" w:rsidP="00DC2F92">
      <w:pPr>
        <w:pStyle w:val="Normlndoblokusodrkami"/>
      </w:pPr>
      <w:r w:rsidRPr="00735AE7">
        <w:t>Ďalšie zložky sú:</w:t>
      </w:r>
    </w:p>
    <w:p w:rsidR="00C64463" w:rsidRPr="00AE0A3E" w:rsidRDefault="00C64463" w:rsidP="00D1309E">
      <w:pPr>
        <w:pStyle w:val="Normlndobloku"/>
        <w:ind w:left="709"/>
      </w:pPr>
      <w:r w:rsidRPr="00735AE7">
        <w:t xml:space="preserve">Monohydrát laktózy, </w:t>
      </w:r>
      <w:r w:rsidR="00585F29" w:rsidRPr="00735AE7">
        <w:t xml:space="preserve">karmelóza, </w:t>
      </w:r>
      <w:r w:rsidRPr="00735AE7">
        <w:t>predželat</w:t>
      </w:r>
      <w:r w:rsidR="00F1494F" w:rsidRPr="00AE0A3E">
        <w:t>i</w:t>
      </w:r>
      <w:r w:rsidRPr="00735AE7">
        <w:t xml:space="preserve">novaný škrob, koloidný bezvodý oxid kremičitý, </w:t>
      </w:r>
      <w:r w:rsidR="00F1494F" w:rsidRPr="00AE0A3E">
        <w:t>stearan horečnatý</w:t>
      </w:r>
      <w:r w:rsidRPr="00735AE7">
        <w:t>, hypromelóza 2 910, oxid titaničitý (E171), makrogol 6</w:t>
      </w:r>
      <w:r w:rsidR="006C017A" w:rsidRPr="00AE0A3E">
        <w:t> </w:t>
      </w:r>
      <w:r w:rsidRPr="00735AE7">
        <w:t>000</w:t>
      </w:r>
      <w:r w:rsidR="006C017A" w:rsidRPr="00AE0A3E">
        <w:t>,</w:t>
      </w:r>
      <w:r w:rsidRPr="00735AE7">
        <w:t> mastenec.</w:t>
      </w:r>
    </w:p>
    <w:p w:rsidR="00FD00EF" w:rsidRPr="00735AE7" w:rsidRDefault="00FD00EF" w:rsidP="00DC2F92">
      <w:pPr>
        <w:pStyle w:val="Normlndobloku"/>
      </w:pPr>
    </w:p>
    <w:p w:rsidR="00625A4D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 xml:space="preserve">Ako vyzerá </w:t>
      </w:r>
      <w:r w:rsidR="003926DD" w:rsidRPr="00735AE7">
        <w:rPr>
          <w:sz w:val="22"/>
          <w:szCs w:val="22"/>
        </w:rPr>
        <w:t>GASTRIX</w:t>
      </w:r>
      <w:r w:rsidRPr="00735AE7">
        <w:rPr>
          <w:sz w:val="22"/>
          <w:szCs w:val="22"/>
        </w:rPr>
        <w:t xml:space="preserve"> a obsah balenia</w:t>
      </w:r>
    </w:p>
    <w:p w:rsidR="005905D2" w:rsidRPr="00D1309E" w:rsidRDefault="005905D2" w:rsidP="00735AE7">
      <w:pPr>
        <w:pStyle w:val="Styl2"/>
        <w:spacing w:before="0" w:after="0"/>
        <w:rPr>
          <w:b w:val="0"/>
          <w:sz w:val="22"/>
          <w:szCs w:val="22"/>
        </w:rPr>
      </w:pPr>
    </w:p>
    <w:p w:rsidR="00C64463" w:rsidRPr="00735AE7" w:rsidRDefault="003926DD" w:rsidP="00DC2F92">
      <w:pPr>
        <w:pStyle w:val="Normlndobloku"/>
      </w:pPr>
      <w:r w:rsidRPr="00735AE7">
        <w:t>GASTRIX</w:t>
      </w:r>
      <w:r w:rsidR="00C64463" w:rsidRPr="00735AE7">
        <w:t xml:space="preserve"> tablety sú </w:t>
      </w:r>
      <w:r w:rsidR="004E7AE7" w:rsidRPr="00735AE7">
        <w:t>b</w:t>
      </w:r>
      <w:r w:rsidR="00C64463" w:rsidRPr="00735AE7">
        <w:t xml:space="preserve">iele, okrúhle, </w:t>
      </w:r>
      <w:r w:rsidR="006C017A" w:rsidRPr="00AE0A3E">
        <w:t>z oboch strán vypuklé</w:t>
      </w:r>
      <w:r w:rsidR="005F03BC" w:rsidRPr="00D86F0F">
        <w:t>,</w:t>
      </w:r>
      <w:r w:rsidR="00C64463" w:rsidRPr="00735AE7">
        <w:t xml:space="preserve"> </w:t>
      </w:r>
      <w:r w:rsidR="005F03BC" w:rsidRPr="00AE0A3E">
        <w:t xml:space="preserve">filmom obalené tablety </w:t>
      </w:r>
      <w:r w:rsidR="00C64463" w:rsidRPr="00735AE7">
        <w:t>s priemerom 7 mm.</w:t>
      </w:r>
    </w:p>
    <w:p w:rsidR="00C64463" w:rsidRPr="00735AE7" w:rsidRDefault="0061553C" w:rsidP="00D1309E">
      <w:pPr>
        <w:pStyle w:val="Normlndobloku"/>
      </w:pPr>
      <w:r w:rsidRPr="00735AE7">
        <w:t xml:space="preserve">Priehľadné </w:t>
      </w:r>
      <w:r w:rsidR="00C64463" w:rsidRPr="00735AE7">
        <w:t>PVC/PE/PVDC-Al blistre a priehľadné PVC/PVDC-Al blistre.</w:t>
      </w:r>
    </w:p>
    <w:p w:rsidR="00C64463" w:rsidRPr="00735AE7" w:rsidRDefault="003926DD" w:rsidP="00D1309E">
      <w:pPr>
        <w:pStyle w:val="Normlndobloku"/>
      </w:pPr>
      <w:r w:rsidRPr="00735AE7">
        <w:t>GASTRIX</w:t>
      </w:r>
      <w:r w:rsidR="00C64463" w:rsidRPr="00735AE7">
        <w:t xml:space="preserve"> je dodávaný v blistroch, veľkos</w:t>
      </w:r>
      <w:r w:rsidR="007E7BD0" w:rsidRPr="00AE0A3E">
        <w:t>ti</w:t>
      </w:r>
      <w:r w:rsidR="00C64463" w:rsidRPr="00735AE7">
        <w:t xml:space="preserve"> balenia: 20, 30, 40 a 100 filmom obalených tabliet</w:t>
      </w:r>
      <w:r w:rsidR="00397C95" w:rsidRPr="00AE0A3E">
        <w:t>.</w:t>
      </w:r>
    </w:p>
    <w:p w:rsidR="00625A4D" w:rsidRPr="00AE0A3E" w:rsidRDefault="00625A4D" w:rsidP="00D1309E">
      <w:pPr>
        <w:pStyle w:val="Normlndobloku"/>
      </w:pPr>
      <w:r w:rsidRPr="00735AE7">
        <w:t>Na trh nemusia byť uvedené všetky veľkosti balenia.</w:t>
      </w:r>
    </w:p>
    <w:p w:rsidR="00FD00EF" w:rsidRPr="00735AE7" w:rsidRDefault="00FD00EF" w:rsidP="00D1309E">
      <w:pPr>
        <w:pStyle w:val="Normlndobloku"/>
      </w:pPr>
    </w:p>
    <w:p w:rsidR="00FD00EF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Držiteľ roz</w:t>
      </w:r>
      <w:r w:rsidR="00C64463" w:rsidRPr="00735AE7">
        <w:rPr>
          <w:sz w:val="22"/>
          <w:szCs w:val="22"/>
        </w:rPr>
        <w:t>hodnutia o registrácii a</w:t>
      </w:r>
      <w:r w:rsidR="004621B3">
        <w:rPr>
          <w:sz w:val="22"/>
          <w:szCs w:val="22"/>
        </w:rPr>
        <w:t> </w:t>
      </w:r>
      <w:r w:rsidR="00C64463" w:rsidRPr="00735AE7">
        <w:rPr>
          <w:sz w:val="22"/>
          <w:szCs w:val="22"/>
        </w:rPr>
        <w:t>výrobca</w:t>
      </w:r>
    </w:p>
    <w:p w:rsidR="004621B3" w:rsidRPr="00D1309E" w:rsidRDefault="004621B3" w:rsidP="00735AE7">
      <w:pPr>
        <w:pStyle w:val="Styl2"/>
        <w:spacing w:before="0" w:after="0"/>
        <w:rPr>
          <w:b w:val="0"/>
          <w:sz w:val="22"/>
          <w:szCs w:val="22"/>
        </w:rPr>
      </w:pPr>
    </w:p>
    <w:p w:rsidR="00346703" w:rsidRPr="00D1309E" w:rsidRDefault="00C64463" w:rsidP="00DC2F92">
      <w:pPr>
        <w:pStyle w:val="Normlndobloku"/>
        <w:rPr>
          <w:u w:val="single"/>
        </w:rPr>
      </w:pPr>
      <w:r w:rsidRPr="00D1309E">
        <w:rPr>
          <w:u w:val="single"/>
        </w:rPr>
        <w:t>Držiteľ rozhodnutia o</w:t>
      </w:r>
      <w:r w:rsidR="00346703" w:rsidRPr="00D1309E">
        <w:rPr>
          <w:u w:val="single"/>
        </w:rPr>
        <w:t> </w:t>
      </w:r>
      <w:r w:rsidRPr="00D1309E">
        <w:rPr>
          <w:u w:val="single"/>
        </w:rPr>
        <w:t>registrácii</w:t>
      </w:r>
    </w:p>
    <w:p w:rsidR="00346703" w:rsidRPr="00735AE7" w:rsidRDefault="008C5D19" w:rsidP="00D1309E">
      <w:pPr>
        <w:pStyle w:val="Normlndobloku"/>
      </w:pPr>
      <w:r w:rsidRPr="00DC2F92">
        <w:t>MEDOCHEMIE Ltd., 1-10 Constantinoupoleos Street, 3011 Limassol, Cyprus</w:t>
      </w:r>
    </w:p>
    <w:p w:rsidR="008C5D19" w:rsidRDefault="008C5D19" w:rsidP="00D1309E">
      <w:pPr>
        <w:pStyle w:val="Normlndobloku"/>
      </w:pPr>
    </w:p>
    <w:p w:rsidR="00346703" w:rsidRPr="00D1309E" w:rsidRDefault="00C64463" w:rsidP="00D1309E">
      <w:pPr>
        <w:pStyle w:val="Normlndobloku"/>
        <w:rPr>
          <w:u w:val="single"/>
        </w:rPr>
      </w:pPr>
      <w:r w:rsidRPr="00D1309E">
        <w:rPr>
          <w:u w:val="single"/>
        </w:rPr>
        <w:t>Výrobca</w:t>
      </w:r>
    </w:p>
    <w:p w:rsidR="00625A4D" w:rsidRPr="00AE0A3E" w:rsidRDefault="00625A4D" w:rsidP="00D1309E">
      <w:pPr>
        <w:pStyle w:val="Normlndobloku"/>
      </w:pPr>
      <w:r w:rsidRPr="00735AE7">
        <w:t>MEDOCHEMIE Ltd.</w:t>
      </w:r>
      <w:r w:rsidR="00DC2F92">
        <w:t>,</w:t>
      </w:r>
      <w:r w:rsidR="0061553C" w:rsidRPr="00735AE7">
        <w:t xml:space="preserve"> </w:t>
      </w:r>
      <w:r w:rsidRPr="00735AE7">
        <w:t>Central Factory, 1-10 Constantinoupoleos Street</w:t>
      </w:r>
      <w:r w:rsidR="00DC2F92">
        <w:t xml:space="preserve">, </w:t>
      </w:r>
      <w:r w:rsidRPr="00735AE7">
        <w:t>3011 Limassol</w:t>
      </w:r>
      <w:r w:rsidR="00DC2F92">
        <w:t xml:space="preserve">, </w:t>
      </w:r>
      <w:r w:rsidRPr="00735AE7">
        <w:t>Cyprus</w:t>
      </w:r>
    </w:p>
    <w:p w:rsidR="00FD00EF" w:rsidRPr="00735AE7" w:rsidRDefault="00FD00EF" w:rsidP="00D1309E">
      <w:pPr>
        <w:pStyle w:val="Normlndobloku"/>
      </w:pPr>
    </w:p>
    <w:p w:rsidR="00C64463" w:rsidRDefault="00C64463" w:rsidP="00735AE7">
      <w:pPr>
        <w:pStyle w:val="Styl2-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Liek je schválený v členských štátoch Európskeho hospodárskeho priestoru (EHP) pod</w:t>
      </w:r>
      <w:r w:rsidR="00336F0B" w:rsidRPr="00AE0A3E">
        <w:rPr>
          <w:sz w:val="22"/>
          <w:szCs w:val="22"/>
        </w:rPr>
        <w:t> </w:t>
      </w:r>
      <w:r w:rsidRPr="00735AE7">
        <w:rPr>
          <w:sz w:val="22"/>
          <w:szCs w:val="22"/>
        </w:rPr>
        <w:t>nasledovnými názvami</w:t>
      </w:r>
      <w:r w:rsidR="004621B3">
        <w:rPr>
          <w:sz w:val="22"/>
          <w:szCs w:val="22"/>
        </w:rPr>
        <w:t>:</w:t>
      </w:r>
    </w:p>
    <w:p w:rsidR="004621B3" w:rsidRPr="00735AE7" w:rsidRDefault="004621B3" w:rsidP="00735AE7">
      <w:pPr>
        <w:rPr>
          <w:sz w:val="22"/>
          <w:szCs w:val="22"/>
        </w:rPr>
      </w:pPr>
    </w:p>
    <w:p w:rsidR="000F5E80" w:rsidRPr="00735AE7" w:rsidRDefault="000F5E80" w:rsidP="00DC2F92">
      <w:pPr>
        <w:pStyle w:val="Normlndobloku"/>
      </w:pPr>
      <w:r w:rsidRPr="00735AE7">
        <w:t>Estónsko, Slovenská republika: GASTRIX</w:t>
      </w:r>
    </w:p>
    <w:p w:rsidR="00FD00EF" w:rsidRPr="00735AE7" w:rsidRDefault="00FD00EF" w:rsidP="00D1309E">
      <w:pPr>
        <w:pStyle w:val="Normlndobloku"/>
      </w:pPr>
    </w:p>
    <w:p w:rsidR="005E11AC" w:rsidRPr="00735AE7" w:rsidRDefault="00625A4D" w:rsidP="00735AE7">
      <w:pPr>
        <w:pStyle w:val="Styl2"/>
        <w:spacing w:before="0" w:after="0"/>
        <w:rPr>
          <w:sz w:val="22"/>
          <w:szCs w:val="22"/>
        </w:rPr>
      </w:pPr>
      <w:r w:rsidRPr="00735AE7">
        <w:rPr>
          <w:sz w:val="22"/>
          <w:szCs w:val="22"/>
        </w:rPr>
        <w:t>Táto písomná informácia bola naposledy aktualizovaná v</w:t>
      </w:r>
      <w:r w:rsidR="00DC2F92">
        <w:rPr>
          <w:sz w:val="22"/>
          <w:szCs w:val="22"/>
        </w:rPr>
        <w:t> júni 2018.</w:t>
      </w:r>
    </w:p>
    <w:sectPr w:rsidR="005E11AC" w:rsidRPr="00735AE7" w:rsidSect="002A486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383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7A2" w:rsidRDefault="003D47A2">
      <w:r>
        <w:separator/>
      </w:r>
    </w:p>
  </w:endnote>
  <w:endnote w:type="continuationSeparator" w:id="0">
    <w:p w:rsidR="003D47A2" w:rsidRDefault="003D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661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2021190737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:rsidR="00C22245" w:rsidRPr="00D1309E" w:rsidRDefault="00F23918" w:rsidP="00DC2F92">
            <w:pPr>
              <w:pStyle w:val="Pta"/>
              <w:jc w:val="center"/>
              <w:rPr>
                <w:sz w:val="18"/>
                <w:szCs w:val="18"/>
              </w:rPr>
            </w:pPr>
            <w:r w:rsidRPr="00DC2F92">
              <w:rPr>
                <w:bCs/>
                <w:sz w:val="18"/>
                <w:szCs w:val="18"/>
              </w:rPr>
              <w:fldChar w:fldCharType="begin"/>
            </w:r>
            <w:r w:rsidRPr="00D1309E">
              <w:rPr>
                <w:bCs/>
                <w:sz w:val="18"/>
                <w:szCs w:val="18"/>
              </w:rPr>
              <w:instrText>PAGE</w:instrText>
            </w:r>
            <w:r w:rsidRPr="00DC2F92">
              <w:rPr>
                <w:bCs/>
                <w:sz w:val="18"/>
                <w:szCs w:val="18"/>
              </w:rPr>
              <w:fldChar w:fldCharType="separate"/>
            </w:r>
            <w:r w:rsidR="0086660C">
              <w:rPr>
                <w:bCs/>
                <w:noProof/>
                <w:sz w:val="18"/>
                <w:szCs w:val="18"/>
              </w:rPr>
              <w:t>1</w:t>
            </w:r>
            <w:r w:rsidRPr="00DC2F92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019995"/>
      <w:docPartObj>
        <w:docPartGallery w:val="Page Numbers (Bottom of Page)"/>
        <w:docPartUnique/>
      </w:docPartObj>
    </w:sdtPr>
    <w:sdtEndPr/>
    <w:sdtContent>
      <w:sdt>
        <w:sdtPr>
          <w:id w:val="508568667"/>
          <w:docPartObj>
            <w:docPartGallery w:val="Page Numbers (Top of Page)"/>
            <w:docPartUnique/>
          </w:docPartObj>
        </w:sdtPr>
        <w:sdtEndPr/>
        <w:sdtContent>
          <w:p w:rsidR="00F23918" w:rsidRDefault="00F23918" w:rsidP="00E31E9D">
            <w:pPr>
              <w:pStyle w:val="Pta"/>
              <w:jc w:val="center"/>
            </w:pPr>
            <w:r w:rsidRPr="00E31E9D">
              <w:rPr>
                <w:bCs/>
                <w:sz w:val="18"/>
                <w:szCs w:val="18"/>
              </w:rPr>
              <w:fldChar w:fldCharType="begin"/>
            </w:r>
            <w:r w:rsidRPr="00E31E9D">
              <w:rPr>
                <w:bCs/>
                <w:sz w:val="18"/>
                <w:szCs w:val="18"/>
              </w:rPr>
              <w:instrText>PAGE</w:instrText>
            </w:r>
            <w:r w:rsidRPr="00E31E9D">
              <w:rPr>
                <w:bCs/>
                <w:sz w:val="18"/>
                <w:szCs w:val="18"/>
              </w:rPr>
              <w:fldChar w:fldCharType="separate"/>
            </w:r>
            <w:r w:rsidR="00E31E9D">
              <w:rPr>
                <w:bCs/>
                <w:noProof/>
                <w:sz w:val="18"/>
                <w:szCs w:val="18"/>
              </w:rPr>
              <w:t>1</w:t>
            </w:r>
            <w:r w:rsidRPr="00E31E9D">
              <w:rPr>
                <w:bCs/>
                <w:sz w:val="18"/>
                <w:szCs w:val="18"/>
              </w:rPr>
              <w:fldChar w:fldCharType="end"/>
            </w:r>
            <w:r w:rsidR="00E31E9D" w:rsidRPr="00E31E9D">
              <w:rPr>
                <w:sz w:val="18"/>
                <w:szCs w:val="18"/>
              </w:rPr>
              <w:t>/</w:t>
            </w:r>
            <w:r w:rsidRPr="00E31E9D">
              <w:rPr>
                <w:bCs/>
                <w:sz w:val="18"/>
                <w:szCs w:val="18"/>
              </w:rPr>
              <w:fldChar w:fldCharType="begin"/>
            </w:r>
            <w:r w:rsidRPr="00E31E9D">
              <w:rPr>
                <w:bCs/>
                <w:sz w:val="18"/>
                <w:szCs w:val="18"/>
              </w:rPr>
              <w:instrText>NUMPAGES</w:instrText>
            </w:r>
            <w:r w:rsidRPr="00E31E9D">
              <w:rPr>
                <w:bCs/>
                <w:sz w:val="18"/>
                <w:szCs w:val="18"/>
              </w:rPr>
              <w:fldChar w:fldCharType="separate"/>
            </w:r>
            <w:r w:rsidR="0086660C">
              <w:rPr>
                <w:bCs/>
                <w:noProof/>
                <w:sz w:val="18"/>
                <w:szCs w:val="18"/>
              </w:rPr>
              <w:t>4</w:t>
            </w:r>
            <w:r w:rsidRPr="00E31E9D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C22245" w:rsidRPr="00231EC7" w:rsidRDefault="0086660C" w:rsidP="00C22245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7A2" w:rsidRDefault="003D47A2">
      <w:r>
        <w:separator/>
      </w:r>
    </w:p>
  </w:footnote>
  <w:footnote w:type="continuationSeparator" w:id="0">
    <w:p w:rsidR="003D47A2" w:rsidRDefault="003D4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D19" w:rsidRPr="00D1309E" w:rsidRDefault="008C5D19" w:rsidP="00DC2F92">
    <w:pPr>
      <w:pStyle w:val="Hlavika"/>
      <w:rPr>
        <w:sz w:val="18"/>
        <w:szCs w:val="18"/>
      </w:rPr>
    </w:pPr>
    <w:r w:rsidRPr="00D1309E">
      <w:rPr>
        <w:sz w:val="18"/>
        <w:szCs w:val="18"/>
      </w:rPr>
      <w:t>Schválený text k rozhodnutiu o prevode, ev. č.:</w:t>
    </w:r>
    <w:r w:rsidR="00DC2F92" w:rsidRPr="00DC2F92">
      <w:rPr>
        <w:sz w:val="18"/>
        <w:szCs w:val="18"/>
      </w:rPr>
      <w:t xml:space="preserve"> 2018/03594-TR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245" w:rsidRDefault="00D52AC5" w:rsidP="00D52AC5">
    <w:pPr>
      <w:outlineLvl w:val="0"/>
      <w:rPr>
        <w:sz w:val="18"/>
        <w:szCs w:val="18"/>
      </w:rPr>
    </w:pPr>
    <w:r w:rsidRPr="00601450">
      <w:rPr>
        <w:noProof/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 w:rsidRPr="00601450">
      <w:rPr>
        <w:noProof/>
        <w:sz w:val="18"/>
        <w:szCs w:val="18"/>
        <w:lang w:eastAsia="en-GB"/>
      </w:rPr>
      <w:t xml:space="preserve"> r</w:t>
    </w:r>
    <w:r w:rsidRPr="00601450">
      <w:rPr>
        <w:sz w:val="18"/>
        <w:szCs w:val="18"/>
      </w:rPr>
      <w:t>ozhodnutiu o </w:t>
    </w:r>
    <w:r w:rsidRPr="0017401B">
      <w:rPr>
        <w:noProof/>
        <w:sz w:val="18"/>
        <w:szCs w:val="18"/>
        <w:lang w:eastAsia="en-GB"/>
      </w:rPr>
      <w:t>registrácii</w:t>
    </w:r>
    <w:r w:rsidRPr="00601450">
      <w:rPr>
        <w:sz w:val="18"/>
        <w:szCs w:val="18"/>
      </w:rPr>
      <w:t>, evid.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2014/04</w:t>
    </w:r>
    <w:r w:rsidR="003070E4">
      <w:rPr>
        <w:sz w:val="18"/>
        <w:szCs w:val="18"/>
      </w:rPr>
      <w:t>624</w:t>
    </w:r>
    <w:r>
      <w:rPr>
        <w:sz w:val="18"/>
        <w:szCs w:val="18"/>
      </w:rPr>
      <w:t>-REG</w:t>
    </w:r>
  </w:p>
  <w:p w:rsidR="008C5D19" w:rsidRPr="0017670F" w:rsidRDefault="008C5D19" w:rsidP="008C5D19">
    <w:pPr>
      <w:pStyle w:val="Hlavika"/>
      <w:rPr>
        <w:sz w:val="18"/>
        <w:szCs w:val="18"/>
        <w:lang w:val="cs-CZ"/>
      </w:rPr>
    </w:pPr>
    <w:r w:rsidRPr="008315D8">
      <w:rPr>
        <w:sz w:val="18"/>
        <w:szCs w:val="18"/>
        <w:lang w:val="cs-CZ"/>
      </w:rPr>
      <w:t>Schválený text k rozhodnutiu o prevode, ev. č.:</w:t>
    </w:r>
  </w:p>
  <w:p w:rsidR="008C5D19" w:rsidRPr="00D52AC5" w:rsidRDefault="008C5D19" w:rsidP="00D52AC5">
    <w:pPr>
      <w:outlineLvl w:val="0"/>
      <w:rPr>
        <w:noProof/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C7DB5"/>
    <w:multiLevelType w:val="hybridMultilevel"/>
    <w:tmpl w:val="3690948A"/>
    <w:lvl w:ilvl="0" w:tplc="04FA3C28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20FAC"/>
    <w:multiLevelType w:val="hybridMultilevel"/>
    <w:tmpl w:val="C07CE6DE"/>
    <w:lvl w:ilvl="0" w:tplc="5ED69D1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8F6C9D"/>
    <w:multiLevelType w:val="hybridMultilevel"/>
    <w:tmpl w:val="11F43370"/>
    <w:lvl w:ilvl="0" w:tplc="CEDA10D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3C7E95"/>
    <w:multiLevelType w:val="hybridMultilevel"/>
    <w:tmpl w:val="8598B186"/>
    <w:lvl w:ilvl="0" w:tplc="0048191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>
    <w:nsid w:val="7A711277"/>
    <w:multiLevelType w:val="multilevel"/>
    <w:tmpl w:val="AA0E75B2"/>
    <w:lvl w:ilvl="0">
      <w:start w:val="1"/>
      <w:numFmt w:val="bullet"/>
      <w:pStyle w:val="EMEA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1"/>
  </w:num>
  <w:num w:numId="12">
    <w:abstractNumId w:val="3"/>
  </w:num>
  <w:num w:numId="1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83"/>
    <w:rsid w:val="00007B94"/>
    <w:rsid w:val="00054E91"/>
    <w:rsid w:val="00066214"/>
    <w:rsid w:val="0007008F"/>
    <w:rsid w:val="00076F36"/>
    <w:rsid w:val="00083C12"/>
    <w:rsid w:val="000A669A"/>
    <w:rsid w:val="000D09F3"/>
    <w:rsid w:val="000D7BB5"/>
    <w:rsid w:val="000E01A8"/>
    <w:rsid w:val="000F5E80"/>
    <w:rsid w:val="000F768C"/>
    <w:rsid w:val="00104868"/>
    <w:rsid w:val="00107893"/>
    <w:rsid w:val="001455AD"/>
    <w:rsid w:val="001473D7"/>
    <w:rsid w:val="001709E3"/>
    <w:rsid w:val="0018507C"/>
    <w:rsid w:val="001C38D9"/>
    <w:rsid w:val="001D34A5"/>
    <w:rsid w:val="001D72B6"/>
    <w:rsid w:val="001F29FB"/>
    <w:rsid w:val="001F4F91"/>
    <w:rsid w:val="00202C39"/>
    <w:rsid w:val="00227D4B"/>
    <w:rsid w:val="00241A54"/>
    <w:rsid w:val="002426EB"/>
    <w:rsid w:val="00254B8B"/>
    <w:rsid w:val="00255208"/>
    <w:rsid w:val="002562E2"/>
    <w:rsid w:val="002566F5"/>
    <w:rsid w:val="00272495"/>
    <w:rsid w:val="0027649B"/>
    <w:rsid w:val="00293F53"/>
    <w:rsid w:val="002A4865"/>
    <w:rsid w:val="002B0C26"/>
    <w:rsid w:val="002C3C7C"/>
    <w:rsid w:val="003031A4"/>
    <w:rsid w:val="003070E4"/>
    <w:rsid w:val="00310C42"/>
    <w:rsid w:val="0031607C"/>
    <w:rsid w:val="003223DF"/>
    <w:rsid w:val="003354DC"/>
    <w:rsid w:val="00336F0B"/>
    <w:rsid w:val="00342111"/>
    <w:rsid w:val="00346703"/>
    <w:rsid w:val="00350C8C"/>
    <w:rsid w:val="0035389A"/>
    <w:rsid w:val="003563E8"/>
    <w:rsid w:val="003606AA"/>
    <w:rsid w:val="00362109"/>
    <w:rsid w:val="00385B04"/>
    <w:rsid w:val="003926DD"/>
    <w:rsid w:val="00397C95"/>
    <w:rsid w:val="003B3B3E"/>
    <w:rsid w:val="003D2F18"/>
    <w:rsid w:val="003D478F"/>
    <w:rsid w:val="003D47A2"/>
    <w:rsid w:val="00407A39"/>
    <w:rsid w:val="00410AC4"/>
    <w:rsid w:val="004114C4"/>
    <w:rsid w:val="00417083"/>
    <w:rsid w:val="00436F9C"/>
    <w:rsid w:val="0044097B"/>
    <w:rsid w:val="00454162"/>
    <w:rsid w:val="004567F8"/>
    <w:rsid w:val="0046151C"/>
    <w:rsid w:val="004621B3"/>
    <w:rsid w:val="00496240"/>
    <w:rsid w:val="004D1D3B"/>
    <w:rsid w:val="004E7AE7"/>
    <w:rsid w:val="00511F2D"/>
    <w:rsid w:val="0052017D"/>
    <w:rsid w:val="005264C5"/>
    <w:rsid w:val="0053570C"/>
    <w:rsid w:val="0056673E"/>
    <w:rsid w:val="00585F29"/>
    <w:rsid w:val="005905D2"/>
    <w:rsid w:val="0059221C"/>
    <w:rsid w:val="005C18A6"/>
    <w:rsid w:val="005E16A2"/>
    <w:rsid w:val="005F03BC"/>
    <w:rsid w:val="005F398D"/>
    <w:rsid w:val="0061553C"/>
    <w:rsid w:val="00625A4D"/>
    <w:rsid w:val="0063086A"/>
    <w:rsid w:val="00634F7C"/>
    <w:rsid w:val="00666163"/>
    <w:rsid w:val="00676DE1"/>
    <w:rsid w:val="00692563"/>
    <w:rsid w:val="006A4E1C"/>
    <w:rsid w:val="006C017A"/>
    <w:rsid w:val="006D1BE6"/>
    <w:rsid w:val="006F1380"/>
    <w:rsid w:val="00701590"/>
    <w:rsid w:val="007123ED"/>
    <w:rsid w:val="00727905"/>
    <w:rsid w:val="00735AE7"/>
    <w:rsid w:val="00764E0E"/>
    <w:rsid w:val="00770291"/>
    <w:rsid w:val="007A0ADF"/>
    <w:rsid w:val="007A6CFF"/>
    <w:rsid w:val="007B3833"/>
    <w:rsid w:val="007C5651"/>
    <w:rsid w:val="007E3FBC"/>
    <w:rsid w:val="007E7BD0"/>
    <w:rsid w:val="007F71BE"/>
    <w:rsid w:val="0081266F"/>
    <w:rsid w:val="00821234"/>
    <w:rsid w:val="008403A6"/>
    <w:rsid w:val="00861342"/>
    <w:rsid w:val="00862C6D"/>
    <w:rsid w:val="0086660C"/>
    <w:rsid w:val="008816AA"/>
    <w:rsid w:val="00884588"/>
    <w:rsid w:val="00893671"/>
    <w:rsid w:val="008B413E"/>
    <w:rsid w:val="008C5D19"/>
    <w:rsid w:val="008F6FEF"/>
    <w:rsid w:val="00901AF7"/>
    <w:rsid w:val="00911598"/>
    <w:rsid w:val="009338FA"/>
    <w:rsid w:val="0095112C"/>
    <w:rsid w:val="00961B84"/>
    <w:rsid w:val="00961E73"/>
    <w:rsid w:val="00997F10"/>
    <w:rsid w:val="009A35AB"/>
    <w:rsid w:val="009D1FC3"/>
    <w:rsid w:val="009E6ADE"/>
    <w:rsid w:val="009F2C1B"/>
    <w:rsid w:val="00A17839"/>
    <w:rsid w:val="00A553AF"/>
    <w:rsid w:val="00AA575E"/>
    <w:rsid w:val="00AA6E0E"/>
    <w:rsid w:val="00AE0A3E"/>
    <w:rsid w:val="00AE1640"/>
    <w:rsid w:val="00AE3551"/>
    <w:rsid w:val="00B054B3"/>
    <w:rsid w:val="00B07C27"/>
    <w:rsid w:val="00B20E5A"/>
    <w:rsid w:val="00BC6A2A"/>
    <w:rsid w:val="00BC7C86"/>
    <w:rsid w:val="00BD2D9A"/>
    <w:rsid w:val="00BD4E61"/>
    <w:rsid w:val="00BE5409"/>
    <w:rsid w:val="00BE546D"/>
    <w:rsid w:val="00BE5E50"/>
    <w:rsid w:val="00BF2AA0"/>
    <w:rsid w:val="00C0243C"/>
    <w:rsid w:val="00C53D1D"/>
    <w:rsid w:val="00C57148"/>
    <w:rsid w:val="00C64463"/>
    <w:rsid w:val="00CA281D"/>
    <w:rsid w:val="00CB347F"/>
    <w:rsid w:val="00CB4D91"/>
    <w:rsid w:val="00CC63B7"/>
    <w:rsid w:val="00D030C8"/>
    <w:rsid w:val="00D1309E"/>
    <w:rsid w:val="00D24A1E"/>
    <w:rsid w:val="00D36019"/>
    <w:rsid w:val="00D46143"/>
    <w:rsid w:val="00D529E3"/>
    <w:rsid w:val="00D52AC5"/>
    <w:rsid w:val="00D6362D"/>
    <w:rsid w:val="00D86F0F"/>
    <w:rsid w:val="00D924A0"/>
    <w:rsid w:val="00DB72EA"/>
    <w:rsid w:val="00DC2F92"/>
    <w:rsid w:val="00E31311"/>
    <w:rsid w:val="00E31E9D"/>
    <w:rsid w:val="00E351CD"/>
    <w:rsid w:val="00E37AC1"/>
    <w:rsid w:val="00E644AD"/>
    <w:rsid w:val="00E65499"/>
    <w:rsid w:val="00E94585"/>
    <w:rsid w:val="00EF1B6A"/>
    <w:rsid w:val="00EF7064"/>
    <w:rsid w:val="00F03A4C"/>
    <w:rsid w:val="00F1494F"/>
    <w:rsid w:val="00F17A61"/>
    <w:rsid w:val="00F23918"/>
    <w:rsid w:val="00F260B1"/>
    <w:rsid w:val="00F4121B"/>
    <w:rsid w:val="00F7048A"/>
    <w:rsid w:val="00F73D2C"/>
    <w:rsid w:val="00F9173B"/>
    <w:rsid w:val="00FA3EDC"/>
    <w:rsid w:val="00FC3CC2"/>
    <w:rsid w:val="00FC6BCD"/>
    <w:rsid w:val="00FD00EF"/>
    <w:rsid w:val="00FD3627"/>
    <w:rsid w:val="00FE1E9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C2F92"/>
    <w:pPr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DC2F9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7C5651"/>
    <w:pPr>
      <w:numPr>
        <w:numId w:val="12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7C5651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5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DB72EA"/>
    <w:pPr>
      <w:keepNext/>
      <w:numPr>
        <w:numId w:val="2"/>
      </w:numPr>
      <w:spacing w:before="360" w:after="120"/>
    </w:pPr>
    <w:rPr>
      <w:b/>
      <w:bCs/>
      <w:caps/>
    </w:rPr>
  </w:style>
  <w:style w:type="paragraph" w:customStyle="1" w:styleId="Styl2">
    <w:name w:val="Styl2"/>
    <w:basedOn w:val="Normlny"/>
    <w:autoRedefine/>
    <w:rsid w:val="00625A4D"/>
    <w:pPr>
      <w:keepNext/>
      <w:spacing w:before="120" w:after="120"/>
    </w:pPr>
    <w:rPr>
      <w:b/>
      <w:bCs/>
      <w:szCs w:val="20"/>
    </w:rPr>
  </w:style>
  <w:style w:type="paragraph" w:customStyle="1" w:styleId="Styl2-2">
    <w:name w:val="Styl2-2"/>
    <w:basedOn w:val="Styl2"/>
    <w:next w:val="Normlny"/>
    <w:autoRedefine/>
    <w:qFormat/>
    <w:rsid w:val="00625A4D"/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C2F92"/>
    <w:pPr>
      <w:suppressAutoHyphens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DC2F92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7C5651"/>
    <w:pPr>
      <w:numPr>
        <w:numId w:val="12"/>
      </w:numPr>
      <w:jc w:val="left"/>
    </w:pPr>
    <w:rPr>
      <w:noProof/>
    </w:r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625A4D"/>
    <w:rPr>
      <w:rFonts w:ascii="Times New Roman" w:eastAsia="Times New Roman" w:hAnsi="Times New Roman" w:cs="Times New Roman"/>
      <w:b/>
      <w:bCs/>
      <w:caps/>
      <w:szCs w:val="24"/>
    </w:rPr>
  </w:style>
  <w:style w:type="character" w:customStyle="1" w:styleId="NormlndoblokusodrkamiChar">
    <w:name w:val="Normální do bloku s odrážkami Char"/>
    <w:link w:val="Normlndoblokusodrkami"/>
    <w:rsid w:val="007C5651"/>
    <w:rPr>
      <w:rFonts w:ascii="Times New Roman" w:eastAsia="Calibri" w:hAnsi="Times New Roman" w:cs="Times New Roman"/>
      <w:noProof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semiHidden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EMEABullet">
    <w:name w:val="EMEA Bullet"/>
    <w:rsid w:val="00A553AF"/>
    <w:pPr>
      <w:numPr>
        <w:numId w:val="5"/>
      </w:num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1300</Words>
  <Characters>7415</Characters>
  <Application>Microsoft Office Word</Application>
  <DocSecurity>0</DocSecurity>
  <Lines>61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8698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Litera</dc:creator>
  <cp:lastModifiedBy>marianna forgacova</cp:lastModifiedBy>
  <cp:revision>4</cp:revision>
  <cp:lastPrinted>2018-06-19T13:33:00Z</cp:lastPrinted>
  <dcterms:created xsi:type="dcterms:W3CDTF">2018-06-14T09:19:00Z</dcterms:created>
  <dcterms:modified xsi:type="dcterms:W3CDTF">2018-06-19T13:33:00Z</dcterms:modified>
</cp:coreProperties>
</file>