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4D0" w:rsidRPr="00657E59" w:rsidRDefault="00AD34D0" w:rsidP="00AD34D0">
      <w:pPr>
        <w:pStyle w:val="SPCaPILhlavika"/>
        <w:rPr>
          <w:bCs/>
          <w:szCs w:val="22"/>
          <w:lang w:val="sk-SK"/>
        </w:rPr>
      </w:pPr>
      <w:r w:rsidRPr="00657E59">
        <w:rPr>
          <w:bCs/>
          <w:szCs w:val="22"/>
          <w:lang w:val="sk-SK"/>
        </w:rPr>
        <w:t>Písomná informácia pre používateľa</w:t>
      </w:r>
    </w:p>
    <w:p w:rsidR="00DC28AC" w:rsidRPr="00657E59" w:rsidRDefault="00DC28AC" w:rsidP="00FF69BB">
      <w:pPr>
        <w:pStyle w:val="SPCaPILhlavika"/>
        <w:rPr>
          <w:szCs w:val="22"/>
          <w:lang w:val="sk-SK"/>
        </w:rPr>
      </w:pPr>
      <w:r w:rsidRPr="00657E59">
        <w:rPr>
          <w:szCs w:val="22"/>
          <w:lang w:val="sk-SK"/>
        </w:rPr>
        <w:t>SULCEF 2</w:t>
      </w:r>
      <w:r w:rsidR="00494BBB" w:rsidRPr="00657E59">
        <w:rPr>
          <w:szCs w:val="22"/>
          <w:lang w:val="sk-SK"/>
        </w:rPr>
        <w:t> g</w:t>
      </w:r>
    </w:p>
    <w:p w:rsidR="00806302" w:rsidRPr="00657E59" w:rsidRDefault="00494BBB" w:rsidP="00806302">
      <w:pPr>
        <w:pStyle w:val="SPCaPILhlavika"/>
        <w:rPr>
          <w:b w:val="0"/>
          <w:szCs w:val="22"/>
          <w:lang w:val="sk-SK"/>
        </w:rPr>
      </w:pPr>
      <w:r w:rsidRPr="00657E59">
        <w:rPr>
          <w:b w:val="0"/>
          <w:szCs w:val="22"/>
          <w:lang w:val="sk-SK"/>
        </w:rPr>
        <w:t>prášok na injekčný/</w:t>
      </w:r>
      <w:proofErr w:type="spellStart"/>
      <w:r w:rsidRPr="00657E59">
        <w:rPr>
          <w:b w:val="0"/>
          <w:szCs w:val="22"/>
          <w:lang w:val="sk-SK"/>
        </w:rPr>
        <w:t>infúzny</w:t>
      </w:r>
      <w:proofErr w:type="spellEnd"/>
      <w:r w:rsidRPr="00657E59">
        <w:rPr>
          <w:b w:val="0"/>
          <w:szCs w:val="22"/>
          <w:lang w:val="sk-SK"/>
        </w:rPr>
        <w:t xml:space="preserve"> roztok</w:t>
      </w:r>
    </w:p>
    <w:p w:rsidR="00DC28AC" w:rsidRPr="00657E59" w:rsidRDefault="00494BBB" w:rsidP="00FF69BB">
      <w:pPr>
        <w:pStyle w:val="SPCaPILhlavika"/>
        <w:rPr>
          <w:b w:val="0"/>
          <w:szCs w:val="22"/>
          <w:lang w:val="sk-SK"/>
        </w:rPr>
      </w:pPr>
      <w:proofErr w:type="spellStart"/>
      <w:r w:rsidRPr="00657E59">
        <w:rPr>
          <w:b w:val="0"/>
          <w:szCs w:val="22"/>
          <w:lang w:val="sk-SK"/>
        </w:rPr>
        <w:t>cefoperazón</w:t>
      </w:r>
      <w:proofErr w:type="spellEnd"/>
      <w:r w:rsidRPr="00657E59">
        <w:rPr>
          <w:b w:val="0"/>
          <w:szCs w:val="22"/>
          <w:lang w:val="sk-SK"/>
        </w:rPr>
        <w:t>/</w:t>
      </w:r>
      <w:proofErr w:type="spellStart"/>
      <w:r w:rsidRPr="00657E59">
        <w:rPr>
          <w:b w:val="0"/>
          <w:szCs w:val="22"/>
          <w:lang w:val="sk-SK"/>
        </w:rPr>
        <w:t>sulbakt</w:t>
      </w:r>
      <w:r w:rsidR="00833A49" w:rsidRPr="00657E59">
        <w:rPr>
          <w:b w:val="0"/>
          <w:szCs w:val="22"/>
          <w:lang w:val="sk-SK"/>
        </w:rPr>
        <w:t>á</w:t>
      </w:r>
      <w:r w:rsidRPr="00657E59">
        <w:rPr>
          <w:b w:val="0"/>
          <w:szCs w:val="22"/>
          <w:lang w:val="sk-SK"/>
        </w:rPr>
        <w:t>m</w:t>
      </w:r>
      <w:proofErr w:type="spellEnd"/>
    </w:p>
    <w:p w:rsidR="00DC28AC" w:rsidRPr="00657E59" w:rsidRDefault="00494BBB" w:rsidP="00FF69BB">
      <w:pPr>
        <w:pStyle w:val="Styl2"/>
        <w:rPr>
          <w:noProof w:val="0"/>
          <w:lang w:val="sk-SK"/>
        </w:rPr>
      </w:pPr>
      <w:r w:rsidRPr="00657E59">
        <w:rPr>
          <w:noProof w:val="0"/>
          <w:lang w:val="sk-SK"/>
        </w:rPr>
        <w:t>Pozorne si prečítajte celú písomnú informáciu predtým, ako začnete používať tento liek, pretože obsahuje pre vás dôležité informácie.</w:t>
      </w:r>
    </w:p>
    <w:p w:rsidR="00DC28AC" w:rsidRPr="00657E59" w:rsidRDefault="00494BBB" w:rsidP="00555C8E">
      <w:pPr>
        <w:pStyle w:val="Normlndoblokusodrkami"/>
      </w:pPr>
      <w:r w:rsidRPr="00657E59">
        <w:t>Túto písomnú informáciu si uschovajte. Možno bude potrebné, aby ste si ju znovu prečítali.</w:t>
      </w:r>
    </w:p>
    <w:p w:rsidR="00494BBB" w:rsidRPr="00657E59" w:rsidRDefault="00494BBB" w:rsidP="00555C8E">
      <w:pPr>
        <w:pStyle w:val="Normlndoblokusodrkami"/>
      </w:pPr>
      <w:r w:rsidRPr="00657E59">
        <w:t>Ak máte akékoľvek ďalšie otázky, obráťte sa na svojho lekár</w:t>
      </w:r>
      <w:r w:rsidR="00555C8E" w:rsidRPr="00657E59">
        <w:t>a</w:t>
      </w:r>
      <w:r w:rsidRPr="00657E59">
        <w:t xml:space="preserve"> alebo lekárnika.</w:t>
      </w:r>
    </w:p>
    <w:p w:rsidR="00494BBB" w:rsidRPr="00657E59" w:rsidRDefault="00494BBB">
      <w:pPr>
        <w:pStyle w:val="Normlndoblokusodrkami"/>
      </w:pPr>
      <w:r w:rsidRPr="00657E59">
        <w:tab/>
        <w:t>Ak sa u vás vyskytne akýkoľvek vedľajší účinok, obráťte sa na svojho lekára alebo lekárnika. To sa týka aj akýchkoľvek vedľajších účinkov, ktoré nie sú uvedené v tejto písomnej informácii</w:t>
      </w:r>
      <w:r w:rsidRPr="00657E59">
        <w:rPr>
          <w:noProof w:val="0"/>
        </w:rPr>
        <w:t>.</w:t>
      </w:r>
      <w:r w:rsidRPr="00657E59">
        <w:t xml:space="preserve"> Pozri časť 4.</w:t>
      </w:r>
    </w:p>
    <w:p w:rsidR="00494BBB" w:rsidRPr="00657E59" w:rsidRDefault="00494BBB">
      <w:pPr>
        <w:pStyle w:val="Normlndobloku"/>
      </w:pPr>
    </w:p>
    <w:p w:rsidR="00C20A80" w:rsidRPr="00657E59" w:rsidRDefault="00DC28AC" w:rsidP="00AD34D0">
      <w:pPr>
        <w:pStyle w:val="styl20"/>
      </w:pPr>
      <w:r w:rsidRPr="00657E59">
        <w:t xml:space="preserve">V tejto písomnej informácii </w:t>
      </w:r>
      <w:r w:rsidR="00494BBB" w:rsidRPr="00657E59">
        <w:t>sa dozviete:</w:t>
      </w:r>
    </w:p>
    <w:p w:rsidR="00DC28AC" w:rsidRPr="00657E59" w:rsidRDefault="00494BBB" w:rsidP="00555C8E">
      <w:pPr>
        <w:pStyle w:val="Normlndobloku"/>
      </w:pPr>
      <w:r w:rsidRPr="00657E59">
        <w:t>1.</w:t>
      </w:r>
      <w:r w:rsidRPr="00657E59">
        <w:tab/>
        <w:t>Čo je SULCEF a na čo sa používa</w:t>
      </w:r>
    </w:p>
    <w:p w:rsidR="00494BBB" w:rsidRPr="00657E59" w:rsidRDefault="00494BBB">
      <w:pPr>
        <w:pStyle w:val="Normlndobloku"/>
      </w:pPr>
      <w:r w:rsidRPr="00657E59">
        <w:t>2.</w:t>
      </w:r>
      <w:r w:rsidRPr="00657E59">
        <w:tab/>
        <w:t>Čo potrebujete vedieť predtým, ako použijete SULCEF</w:t>
      </w:r>
    </w:p>
    <w:p w:rsidR="00494BBB" w:rsidRPr="00657E59" w:rsidRDefault="00494BBB">
      <w:pPr>
        <w:pStyle w:val="Normlndobloku"/>
      </w:pPr>
      <w:r w:rsidRPr="00657E59">
        <w:t>3.</w:t>
      </w:r>
      <w:r w:rsidRPr="00657E59">
        <w:tab/>
        <w:t>Ako užívať SULCEF</w:t>
      </w:r>
    </w:p>
    <w:p w:rsidR="00494BBB" w:rsidRPr="00657E59" w:rsidRDefault="00494BBB">
      <w:pPr>
        <w:pStyle w:val="Normlndobloku"/>
      </w:pPr>
      <w:r w:rsidRPr="00657E59">
        <w:t>4.</w:t>
      </w:r>
      <w:r w:rsidRPr="00657E59">
        <w:tab/>
        <w:t>Možné vedľajšie účinky</w:t>
      </w:r>
    </w:p>
    <w:p w:rsidR="00494BBB" w:rsidRPr="00657E59" w:rsidRDefault="00494BBB">
      <w:pPr>
        <w:pStyle w:val="Normlndobloku"/>
      </w:pPr>
      <w:r w:rsidRPr="00657E59">
        <w:t>5.</w:t>
      </w:r>
      <w:r w:rsidRPr="00657E59">
        <w:tab/>
        <w:t>Ako uchovávať SULCEF</w:t>
      </w:r>
    </w:p>
    <w:p w:rsidR="00494BBB" w:rsidRPr="00657E59" w:rsidRDefault="00494BBB">
      <w:pPr>
        <w:pStyle w:val="Normlndobloku"/>
      </w:pPr>
      <w:r w:rsidRPr="00657E59">
        <w:t>6.</w:t>
      </w:r>
      <w:r w:rsidRPr="00657E59">
        <w:tab/>
        <w:t>Obsah balenia a ďalšie informácie</w:t>
      </w:r>
    </w:p>
    <w:p w:rsidR="00494BBB" w:rsidRPr="00657E59" w:rsidRDefault="00494BBB">
      <w:pPr>
        <w:pStyle w:val="Normlndobloku"/>
      </w:pPr>
    </w:p>
    <w:p w:rsidR="00F454E4" w:rsidRPr="00657E59" w:rsidRDefault="00F454E4" w:rsidP="00AD34D0">
      <w:pPr>
        <w:pStyle w:val="Styl1"/>
      </w:pPr>
      <w:r w:rsidRPr="00657E59">
        <w:t>Čo je SULCEF</w:t>
      </w:r>
      <w:r w:rsidR="00494BBB" w:rsidRPr="00657E59">
        <w:t xml:space="preserve"> a na čo sa používa</w:t>
      </w:r>
    </w:p>
    <w:p w:rsidR="009014B7" w:rsidRPr="00657E59" w:rsidRDefault="00494BBB" w:rsidP="00555C8E">
      <w:pPr>
        <w:pStyle w:val="Normlndobloku"/>
      </w:pPr>
      <w:r w:rsidRPr="00657E59">
        <w:t xml:space="preserve">SULCEF patrí do skupiny antibiotík nazývaných </w:t>
      </w:r>
      <w:proofErr w:type="spellStart"/>
      <w:r w:rsidRPr="00657E59">
        <w:t>cefalosporíny</w:t>
      </w:r>
      <w:proofErr w:type="spellEnd"/>
      <w:r w:rsidRPr="00657E59">
        <w:t xml:space="preserve"> a je dostupný ako prášok na prípravu injekčného a </w:t>
      </w:r>
      <w:proofErr w:type="spellStart"/>
      <w:r w:rsidRPr="00657E59">
        <w:t>infúzneho</w:t>
      </w:r>
      <w:proofErr w:type="spellEnd"/>
      <w:r w:rsidRPr="00657E59">
        <w:t xml:space="preserve"> roztoku. Antibiotiká zabíjajú baktérie alebo zabraňujú ich rastu v rôznych častiach tela. SULCEF je kombináciou aktívnej látky </w:t>
      </w:r>
      <w:proofErr w:type="spellStart"/>
      <w:r w:rsidRPr="00657E59">
        <w:t>cefoperazónu</w:t>
      </w:r>
      <w:proofErr w:type="spellEnd"/>
      <w:r w:rsidRPr="00657E59">
        <w:t xml:space="preserve">, ktorý patrí do tretej generácie </w:t>
      </w:r>
      <w:proofErr w:type="spellStart"/>
      <w:r w:rsidRPr="00657E59">
        <w:t>cefalosporínov</w:t>
      </w:r>
      <w:proofErr w:type="spellEnd"/>
      <w:r w:rsidRPr="00657E59">
        <w:t xml:space="preserve"> (pôsobí na širokú škálu </w:t>
      </w:r>
      <w:proofErr w:type="spellStart"/>
      <w:r w:rsidRPr="00657E59">
        <w:t>grampozitívnych</w:t>
      </w:r>
      <w:proofErr w:type="spellEnd"/>
      <w:r w:rsidRPr="00657E59">
        <w:t xml:space="preserve"> a </w:t>
      </w:r>
      <w:proofErr w:type="spellStart"/>
      <w:r w:rsidRPr="00657E59">
        <w:t>gramnegatívnych</w:t>
      </w:r>
      <w:proofErr w:type="spellEnd"/>
      <w:r w:rsidRPr="00657E59">
        <w:t xml:space="preserve"> mikroorganizmov) a </w:t>
      </w:r>
      <w:proofErr w:type="spellStart"/>
      <w:r w:rsidRPr="00657E59">
        <w:t>sulbaktámu</w:t>
      </w:r>
      <w:proofErr w:type="spellEnd"/>
      <w:r w:rsidRPr="00657E59">
        <w:t xml:space="preserve">, ktorý je inhibítor </w:t>
      </w:r>
      <w:proofErr w:type="spellStart"/>
      <w:r w:rsidRPr="00657E59">
        <w:t>betalaktamáz</w:t>
      </w:r>
      <w:proofErr w:type="spellEnd"/>
      <w:r w:rsidRPr="00657E59">
        <w:t xml:space="preserve"> pomáhajúci </w:t>
      </w:r>
      <w:proofErr w:type="spellStart"/>
      <w:r w:rsidRPr="00657E59">
        <w:t>cefoperazónu</w:t>
      </w:r>
      <w:proofErr w:type="spellEnd"/>
      <w:r w:rsidRPr="00657E59">
        <w:t xml:space="preserve"> účinkovať efektívnejšie.</w:t>
      </w:r>
    </w:p>
    <w:p w:rsidR="00494BBB" w:rsidRPr="00657E59" w:rsidRDefault="00494BBB">
      <w:pPr>
        <w:pStyle w:val="Normlndobloku"/>
      </w:pPr>
      <w:r w:rsidRPr="00657E59">
        <w:t>SULCEF nie je účinný proti infekciám ako chrípka a nádcha zapríčinených vírusmi.</w:t>
      </w:r>
    </w:p>
    <w:p w:rsidR="00494BBB" w:rsidRPr="00657E59" w:rsidRDefault="00494BBB">
      <w:pPr>
        <w:pStyle w:val="Normlndobloku"/>
      </w:pPr>
      <w:r w:rsidRPr="00657E59">
        <w:t>SULCEF je indikovaný pre liečbu nasledujúcich infekcií vyvolaných citlivými baktériami:</w:t>
      </w:r>
    </w:p>
    <w:p w:rsidR="00494BBB" w:rsidRPr="00657E59" w:rsidRDefault="00494BBB">
      <w:pPr>
        <w:pStyle w:val="Normlndoblokusodrkami"/>
      </w:pPr>
      <w:r w:rsidRPr="00657E59">
        <w:t>infekcie dýchacích ciest (horných a dolných)</w:t>
      </w:r>
    </w:p>
    <w:p w:rsidR="00494BBB" w:rsidRPr="00657E59" w:rsidRDefault="00494BBB">
      <w:pPr>
        <w:pStyle w:val="Normlndoblokusodrkami"/>
      </w:pPr>
      <w:r w:rsidRPr="00657E59">
        <w:t>infekcie močových ciest (horných a dolných)</w:t>
      </w:r>
    </w:p>
    <w:p w:rsidR="00494BBB" w:rsidRPr="00657E59" w:rsidRDefault="00494BBB">
      <w:pPr>
        <w:pStyle w:val="Normlndoblokusodrkami"/>
      </w:pPr>
      <w:r w:rsidRPr="00657E59">
        <w:t>peritonitída, cholecystitída, cholangoitídy a iné intraabdominálne infekcie</w:t>
      </w:r>
    </w:p>
    <w:p w:rsidR="00494BBB" w:rsidRPr="00657E59" w:rsidRDefault="00494BBB">
      <w:pPr>
        <w:pStyle w:val="Normlndoblokusodrkami"/>
      </w:pPr>
      <w:r w:rsidRPr="00657E59">
        <w:t>septické stavy</w:t>
      </w:r>
    </w:p>
    <w:p w:rsidR="00494BBB" w:rsidRPr="00657E59" w:rsidRDefault="00494BBB">
      <w:pPr>
        <w:pStyle w:val="Normlndoblokusodrkami"/>
      </w:pPr>
      <w:r w:rsidRPr="00657E59">
        <w:t>meningitídy</w:t>
      </w:r>
    </w:p>
    <w:p w:rsidR="00494BBB" w:rsidRPr="00657E59" w:rsidRDefault="00494BBB">
      <w:pPr>
        <w:pStyle w:val="Normlndoblokusodrkami"/>
      </w:pPr>
      <w:r w:rsidRPr="00657E59">
        <w:t>infekcie kože a</w:t>
      </w:r>
      <w:r w:rsidRPr="00657E59">
        <w:rPr>
          <w:noProof w:val="0"/>
        </w:rPr>
        <w:t> </w:t>
      </w:r>
      <w:r w:rsidRPr="00657E59">
        <w:t>mäkkých tkanív</w:t>
      </w:r>
    </w:p>
    <w:p w:rsidR="00494BBB" w:rsidRPr="00657E59" w:rsidRDefault="00494BBB">
      <w:pPr>
        <w:pStyle w:val="Normlndoblokusodrkami"/>
      </w:pPr>
      <w:r w:rsidRPr="00657E59">
        <w:t>infekcie kostí a kĺbov</w:t>
      </w:r>
    </w:p>
    <w:p w:rsidR="00494BBB" w:rsidRPr="00657E59" w:rsidRDefault="00494BBB">
      <w:pPr>
        <w:pStyle w:val="Normlndoblokusodrkami"/>
      </w:pPr>
      <w:r w:rsidRPr="00657E59">
        <w:t>zápalové ochorenia malej panvy, endometritídy, kvapavka a iné infekcie pohlavných orgánov</w:t>
      </w:r>
    </w:p>
    <w:p w:rsidR="00494BBB" w:rsidRPr="00657E59" w:rsidRDefault="00494BBB">
      <w:pPr>
        <w:pStyle w:val="Normlndobloku"/>
      </w:pPr>
      <w:r w:rsidRPr="00657E59">
        <w:lastRenderedPageBreak/>
        <w:t>Váš lekár vám vysvetlí dôvody na užívanie lieku. Liek je možné užívať samostatne alebo vám lekár odporučí doplnkové antibiotiká.</w:t>
      </w:r>
    </w:p>
    <w:p w:rsidR="003401DC" w:rsidRPr="00657E59" w:rsidRDefault="00754FBB" w:rsidP="00AD34D0">
      <w:pPr>
        <w:pStyle w:val="Styl1"/>
      </w:pPr>
      <w:r w:rsidRPr="00657E59">
        <w:t xml:space="preserve">Čo potrebujete vedieť predtým, ako </w:t>
      </w:r>
      <w:r w:rsidR="00AD34D0" w:rsidRPr="00657E59">
        <w:t>po</w:t>
      </w:r>
      <w:r w:rsidRPr="00657E59">
        <w:t>užijete</w:t>
      </w:r>
      <w:r w:rsidR="00F454E4" w:rsidRPr="00657E59">
        <w:t xml:space="preserve"> SULCE</w:t>
      </w:r>
      <w:r w:rsidR="00494BBB" w:rsidRPr="00657E59">
        <w:t>F</w:t>
      </w:r>
    </w:p>
    <w:p w:rsidR="00C20A80" w:rsidRPr="00657E59" w:rsidRDefault="00494BBB" w:rsidP="00AD34D0">
      <w:pPr>
        <w:pStyle w:val="styl20"/>
      </w:pPr>
      <w:r w:rsidRPr="00657E59">
        <w:t>Nepoužívajte SULCEF</w:t>
      </w:r>
    </w:p>
    <w:p w:rsidR="00494BBB" w:rsidRPr="00657E59" w:rsidRDefault="00422202" w:rsidP="00555C8E">
      <w:pPr>
        <w:pStyle w:val="Normlndobloku"/>
      </w:pPr>
      <w:r w:rsidRPr="00657E59">
        <w:t xml:space="preserve">ak ste alergický na </w:t>
      </w:r>
      <w:proofErr w:type="spellStart"/>
      <w:r w:rsidRPr="00657E59">
        <w:t>sulbaktám</w:t>
      </w:r>
      <w:proofErr w:type="spellEnd"/>
      <w:r w:rsidRPr="00657E59">
        <w:t xml:space="preserve">, </w:t>
      </w:r>
      <w:proofErr w:type="spellStart"/>
      <w:r w:rsidRPr="00657E59">
        <w:t>cefoperazón</w:t>
      </w:r>
      <w:proofErr w:type="spellEnd"/>
      <w:r w:rsidRPr="00657E59">
        <w:t xml:space="preserve">, </w:t>
      </w:r>
      <w:proofErr w:type="spellStart"/>
      <w:r w:rsidRPr="00657E59">
        <w:t>cefalosporínové</w:t>
      </w:r>
      <w:proofErr w:type="spellEnd"/>
      <w:r w:rsidRPr="00657E59">
        <w:t xml:space="preserve"> antibiotiká alebo penicilín.</w:t>
      </w:r>
    </w:p>
    <w:p w:rsidR="00660EC2" w:rsidRPr="00657E59" w:rsidRDefault="00660EC2" w:rsidP="00AD34D0">
      <w:pPr>
        <w:pStyle w:val="styl20"/>
      </w:pPr>
      <w:r w:rsidRPr="00657E59">
        <w:t>Upozornenia a</w:t>
      </w:r>
      <w:r w:rsidR="00AD34D0" w:rsidRPr="00657E59">
        <w:t> </w:t>
      </w:r>
      <w:r w:rsidRPr="00657E59">
        <w:t>opatrenia</w:t>
      </w:r>
    </w:p>
    <w:p w:rsidR="00AD34D0" w:rsidRPr="00657E59" w:rsidRDefault="00494BBB" w:rsidP="00AD34D0">
      <w:pPr>
        <w:pStyle w:val="styl20"/>
        <w:rPr>
          <w:b w:val="0"/>
        </w:rPr>
      </w:pPr>
      <w:r w:rsidRPr="00657E59">
        <w:rPr>
          <w:b w:val="0"/>
        </w:rPr>
        <w:t>Predtým, ako začnete používať SULCEF, obráťte sa na svojho lekára alebo lekárnika.</w:t>
      </w:r>
    </w:p>
    <w:p w:rsidR="00C20A80" w:rsidRPr="00657E59" w:rsidRDefault="00494BBB" w:rsidP="00AD34D0">
      <w:pPr>
        <w:pStyle w:val="styl20"/>
      </w:pPr>
      <w:r w:rsidRPr="00657E59">
        <w:t>Buďte zvlášť opatrný pri používaní SULCEFU</w:t>
      </w:r>
    </w:p>
    <w:p w:rsidR="009E431D" w:rsidRPr="00657E59" w:rsidRDefault="00494BBB" w:rsidP="00555C8E">
      <w:pPr>
        <w:pStyle w:val="Normlndoblokusodrkami"/>
      </w:pPr>
      <w:r w:rsidRPr="00657E59">
        <w:t>ak máte alebo ste mali gastrointestinálne problémy, osobitne zápal hrubého čreva,</w:t>
      </w:r>
    </w:p>
    <w:p w:rsidR="00494BBB" w:rsidRPr="00657E59" w:rsidRDefault="00494BBB">
      <w:pPr>
        <w:pStyle w:val="Normlndoblokusodrkami"/>
      </w:pPr>
      <w:r w:rsidRPr="00657E59">
        <w:t>ak máte choroby pečene, obličiek a žlčových ciest. Možno bude potrebné znížiť dávkovanie. Nutnosť znížiť dávkovanie je viac pravdepodobná</w:t>
      </w:r>
      <w:r w:rsidRPr="00657E59">
        <w:rPr>
          <w:noProof w:val="0"/>
        </w:rPr>
        <w:t>,</w:t>
      </w:r>
      <w:r w:rsidRPr="00657E59">
        <w:t xml:space="preserve"> ak choroby pečene sú sprevádzané chorobami obličiek.</w:t>
      </w:r>
    </w:p>
    <w:p w:rsidR="00494BBB" w:rsidRPr="00657E59" w:rsidRDefault="00494BBB">
      <w:pPr>
        <w:pStyle w:val="Normlndobloku"/>
      </w:pPr>
      <w:r w:rsidRPr="00657E59">
        <w:t>Zvýšenú pozornosť je treba venovať pri podávaní SULCEFU u novorodencov so žltačkou (zožltnutie očného bielka, kože a/alebo sliznice).</w:t>
      </w:r>
    </w:p>
    <w:p w:rsidR="00494BBB" w:rsidRPr="00657E59" w:rsidRDefault="00494BBB">
      <w:pPr>
        <w:pStyle w:val="Normlndobloku"/>
      </w:pPr>
      <w:proofErr w:type="spellStart"/>
      <w:r w:rsidRPr="00657E59">
        <w:t>Cefoperazón</w:t>
      </w:r>
      <w:proofErr w:type="spellEnd"/>
      <w:r w:rsidRPr="00657E59">
        <w:t xml:space="preserve"> – jedna z účinných látok lieku SULCEF – môže </w:t>
      </w:r>
      <w:proofErr w:type="spellStart"/>
      <w:r w:rsidRPr="00657E59">
        <w:t>inhibovať</w:t>
      </w:r>
      <w:proofErr w:type="spellEnd"/>
      <w:r w:rsidRPr="00657E59">
        <w:t xml:space="preserve"> (potláčať) zrážanie krvi. Pri liečbe liekom SULCEF boli hlásené závažné prípady krvácania vrátane smrteľných prípadov. Ak sa u vás vyskytnú akékoľvek znaky krvácania, ihneď kontaktujte svojho lekára.</w:t>
      </w:r>
    </w:p>
    <w:p w:rsidR="00F86DE4" w:rsidRPr="00657E59" w:rsidRDefault="00660EC2" w:rsidP="00AD34D0">
      <w:pPr>
        <w:pStyle w:val="styl20"/>
      </w:pPr>
      <w:r w:rsidRPr="00657E59">
        <w:t>Iné lieky a SULCEF</w:t>
      </w:r>
    </w:p>
    <w:p w:rsidR="00F86DE4" w:rsidRPr="00657E59" w:rsidRDefault="00494BBB" w:rsidP="00555C8E">
      <w:pPr>
        <w:pStyle w:val="Normlndobloku"/>
      </w:pPr>
      <w:r w:rsidRPr="00657E59">
        <w:t>Ak teraz užívate alebo ste v poslednom čase užívali, či práve budete užívať ďalšie lieky, povedzte to svojmu lekárovi.</w:t>
      </w:r>
    </w:p>
    <w:p w:rsidR="00095E77" w:rsidRPr="00657E59" w:rsidRDefault="00F86DE4" w:rsidP="00AD34D0">
      <w:pPr>
        <w:pStyle w:val="styl20"/>
      </w:pPr>
      <w:r w:rsidRPr="00657E59">
        <w:t>SULCEF</w:t>
      </w:r>
      <w:r w:rsidR="00494BBB" w:rsidRPr="00657E59">
        <w:t xml:space="preserve"> a jedlo, nápoje a alkohol</w:t>
      </w:r>
    </w:p>
    <w:p w:rsidR="00F86DE4" w:rsidRPr="00657E59" w:rsidRDefault="00494BBB" w:rsidP="00555C8E">
      <w:pPr>
        <w:pStyle w:val="Normlndobloku"/>
      </w:pPr>
      <w:r w:rsidRPr="00657E59">
        <w:t>Je veľmi dôležité, aby ste počas liečby liekom SULCEF neužívali alkohol.</w:t>
      </w:r>
    </w:p>
    <w:p w:rsidR="00A06434" w:rsidRPr="00657E59" w:rsidRDefault="00A06434" w:rsidP="00AD34D0">
      <w:pPr>
        <w:pStyle w:val="styl20"/>
      </w:pPr>
      <w:r w:rsidRPr="00657E59">
        <w:t>Tehotenstvo</w:t>
      </w:r>
      <w:r w:rsidR="00FE30EE" w:rsidRPr="00657E59">
        <w:t>,</w:t>
      </w:r>
      <w:r w:rsidRPr="00657E59">
        <w:t xml:space="preserve"> </w:t>
      </w:r>
      <w:r w:rsidR="00494BBB" w:rsidRPr="00657E59">
        <w:t>dojčenie a plodnosť</w:t>
      </w:r>
    </w:p>
    <w:p w:rsidR="00DC64BF" w:rsidRPr="00657E59" w:rsidRDefault="00494BBB" w:rsidP="00555C8E">
      <w:pPr>
        <w:pStyle w:val="Normlndobloku"/>
      </w:pPr>
      <w:r w:rsidRPr="00657E59">
        <w:t>Ak ste tehotná alebo dojčíte, ak si myslíte, že ste tehotná alebo ak plánujete otehotnieť, poraďte sa so svojím lekárom alebo lekárnikom predtým, ako začnete užívať tento liek.</w:t>
      </w:r>
    </w:p>
    <w:p w:rsidR="00DC64BF" w:rsidRPr="00657E59" w:rsidRDefault="00DC64BF" w:rsidP="00AD34D0">
      <w:pPr>
        <w:pStyle w:val="styl20"/>
      </w:pPr>
      <w:r w:rsidRPr="00657E59">
        <w:t>Vedenie vozid</w:t>
      </w:r>
      <w:r w:rsidR="009655A5" w:rsidRPr="00657E59">
        <w:t xml:space="preserve">iel </w:t>
      </w:r>
      <w:r w:rsidRPr="00657E59">
        <w:t>a obsluha strojov</w:t>
      </w:r>
    </w:p>
    <w:p w:rsidR="00627699" w:rsidRPr="00657E59" w:rsidRDefault="00494BBB" w:rsidP="00555C8E">
      <w:pPr>
        <w:pStyle w:val="Normlndobloku"/>
      </w:pPr>
      <w:r w:rsidRPr="00657E59">
        <w:t>Nie je známy žiadny účinok lieku SULCEF na schopnosť viesť vozidlá alebo obsluhovať stroje.</w:t>
      </w:r>
    </w:p>
    <w:p w:rsidR="009655A5" w:rsidRPr="00657E59" w:rsidRDefault="009655A5" w:rsidP="00AD34D0">
      <w:pPr>
        <w:pStyle w:val="styl20"/>
      </w:pPr>
      <w:r w:rsidRPr="00657E59">
        <w:t>SULCEF</w:t>
      </w:r>
      <w:r w:rsidR="00494BBB" w:rsidRPr="00657E59">
        <w:t xml:space="preserve"> obsahuje sodík</w:t>
      </w:r>
    </w:p>
    <w:p w:rsidR="00210B45" w:rsidRPr="00657E59" w:rsidRDefault="00494BBB" w:rsidP="00555C8E">
      <w:pPr>
        <w:pStyle w:val="Normlndobloku"/>
      </w:pPr>
      <w:r w:rsidRPr="00657E59">
        <w:t>Tento liek obsahuje 126 mg sodíka v jednej injekčnej liekovke. To je nutné vziať do úvahy, ak máte diétu s nízkym obsahom sodíka.</w:t>
      </w:r>
    </w:p>
    <w:p w:rsidR="00F454E4" w:rsidRPr="00657E59" w:rsidRDefault="00F454E4" w:rsidP="00AD34D0">
      <w:pPr>
        <w:pStyle w:val="Styl1"/>
      </w:pPr>
      <w:r w:rsidRPr="00657E59">
        <w:t xml:space="preserve">Ako </w:t>
      </w:r>
      <w:r w:rsidR="00AD34D0" w:rsidRPr="00657E59">
        <w:t>po</w:t>
      </w:r>
      <w:r w:rsidRPr="00657E59">
        <w:t>užívať SULCEF</w:t>
      </w:r>
    </w:p>
    <w:p w:rsidR="00B948A1" w:rsidRPr="00657E59" w:rsidRDefault="00494BBB" w:rsidP="00555C8E">
      <w:pPr>
        <w:pStyle w:val="Normlndobloku"/>
      </w:pPr>
      <w:r w:rsidRPr="00657E59">
        <w:t>Vždy používajte tento liek presne tak, ako vám povedal váš lekár. Ak si nie ste niečím istý overte si to u svojho lekára.</w:t>
      </w:r>
    </w:p>
    <w:p w:rsidR="00494BBB" w:rsidRPr="00657E59" w:rsidRDefault="00494BBB">
      <w:pPr>
        <w:pStyle w:val="Normlndobloku"/>
      </w:pPr>
      <w:r w:rsidRPr="00657E59">
        <w:t>Váš liek vám bude vždy podávať lekár alebo iný zdravotný pracovník. Nepokúšajte sa použiť injekcie sami pokiaľ vám váš lekár nepovie, aby ste tak urobili a nedá vám kompletné inštrukcie.</w:t>
      </w:r>
    </w:p>
    <w:p w:rsidR="00494BBB" w:rsidRPr="00657E59" w:rsidRDefault="00494BBB">
      <w:pPr>
        <w:pStyle w:val="Normlndobloku"/>
      </w:pPr>
      <w:r w:rsidRPr="00657E59">
        <w:t>SULCEF sa môže podávať tromi spôsobmi: ako pomalé (minimálne 3 minúty trvajúce) injekcie do žily, ako prerušovaná infúzia do žily, a ako hlboká injekcia do veľkého svalu.</w:t>
      </w:r>
    </w:p>
    <w:p w:rsidR="00494BBB" w:rsidRPr="00657E59" w:rsidRDefault="00494BBB">
      <w:pPr>
        <w:pStyle w:val="Normlndobloku"/>
      </w:pPr>
      <w:r w:rsidRPr="00657E59">
        <w:t>SULCEF je dodávaný ako prášok, z ktorého je treba pred použitím pripraviť roztok. Zvyčajne to robí doktor alebo zdravotná sestra.</w:t>
      </w:r>
    </w:p>
    <w:p w:rsidR="00494BBB" w:rsidRPr="00657E59" w:rsidRDefault="00494BBB">
      <w:pPr>
        <w:pStyle w:val="Normlndobloku"/>
      </w:pPr>
      <w:r w:rsidRPr="00657E59">
        <w:lastRenderedPageBreak/>
        <w:t>Pre väčšinu infekcií sa SULCEF podáva každých 12 hodín. Váš lekár vám určí presnú dávku a dobu trvania liečby podľa závažnosti infekcie a ostatných faktorov ako je vaša váha. Ak máte ďalšie otázky týkajúce sa použitia tohto lieku, opýtajte sa svojho lekára alebo lekárnika.</w:t>
      </w:r>
    </w:p>
    <w:p w:rsidR="006C40EF" w:rsidRPr="00657E59" w:rsidRDefault="00422202" w:rsidP="00E55426">
      <w:pPr>
        <w:pStyle w:val="Styl30"/>
        <w:rPr>
          <w:rFonts w:ascii="Times New Roman" w:hAnsi="Times New Roman"/>
          <w:szCs w:val="22"/>
        </w:rPr>
      </w:pPr>
      <w:r w:rsidRPr="00657E59">
        <w:rPr>
          <w:rFonts w:ascii="Times New Roman" w:hAnsi="Times New Roman"/>
          <w:szCs w:val="22"/>
        </w:rPr>
        <w:t>Dospelí</w:t>
      </w:r>
    </w:p>
    <w:p w:rsidR="00C13EE2" w:rsidRPr="00657E59" w:rsidRDefault="00494BBB" w:rsidP="00555C8E">
      <w:pPr>
        <w:pStyle w:val="Normlndobloku"/>
      </w:pPr>
      <w:r w:rsidRPr="00657E59">
        <w:t>Zvyčajná dávka lieku SULCEF pre dospelých je 2,0 – 4,0 g/deň (</w:t>
      </w:r>
      <w:proofErr w:type="spellStart"/>
      <w:r w:rsidRPr="00657E59">
        <w:t>tj</w:t>
      </w:r>
      <w:proofErr w:type="spellEnd"/>
      <w:r w:rsidRPr="00657E59">
        <w:t xml:space="preserve">. ekvivalent dennej aktivity 1 – 2 g </w:t>
      </w:r>
      <w:proofErr w:type="spellStart"/>
      <w:r w:rsidRPr="00657E59">
        <w:t>cefoperazónu</w:t>
      </w:r>
      <w:proofErr w:type="spellEnd"/>
      <w:r w:rsidRPr="00657E59">
        <w:t xml:space="preserve">), podávaných intravenózne alebo </w:t>
      </w:r>
      <w:proofErr w:type="spellStart"/>
      <w:r w:rsidRPr="00657E59">
        <w:t>intramuskulárne</w:t>
      </w:r>
      <w:proofErr w:type="spellEnd"/>
      <w:r w:rsidRPr="00657E59">
        <w:t xml:space="preserve"> v rovnomerne rozdelených dávkach v intervale 12 hodín.</w:t>
      </w:r>
    </w:p>
    <w:p w:rsidR="00494BBB" w:rsidRPr="00657E59" w:rsidRDefault="00494BBB">
      <w:pPr>
        <w:pStyle w:val="Normlndobloku"/>
      </w:pPr>
      <w:r w:rsidRPr="00657E59">
        <w:t xml:space="preserve">Pri závažných alebo intenzívnych infekciách môže byť denná dávka zvýšená až na 8 g lieku SULCEF (ekvivalent aktivity 4 g </w:t>
      </w:r>
      <w:proofErr w:type="spellStart"/>
      <w:r w:rsidRPr="00657E59">
        <w:t>cefoperazónu</w:t>
      </w:r>
      <w:proofErr w:type="spellEnd"/>
      <w:r w:rsidRPr="00657E59">
        <w:t xml:space="preserve">), podávaných intravenózne v rovnomerne rozdelených dávkach s intervalom 12 hodín. Doporučená maximálna denná dávka </w:t>
      </w:r>
      <w:proofErr w:type="spellStart"/>
      <w:r w:rsidRPr="00657E59">
        <w:t>sulbaktámu</w:t>
      </w:r>
      <w:proofErr w:type="spellEnd"/>
      <w:r w:rsidRPr="00657E59">
        <w:t xml:space="preserve"> je 4 g (odpovedá dávke 8 g lieku SULCEF). Ak je treba viac antibiotika, je možné podať ďalší </w:t>
      </w:r>
      <w:proofErr w:type="spellStart"/>
      <w:r w:rsidRPr="00657E59">
        <w:t>cefoperazón</w:t>
      </w:r>
      <w:proofErr w:type="spellEnd"/>
      <w:r w:rsidRPr="00657E59">
        <w:t xml:space="preserve"> osobitne.</w:t>
      </w:r>
    </w:p>
    <w:p w:rsidR="00A034E0" w:rsidRPr="00657E59" w:rsidRDefault="00422202" w:rsidP="00E55426">
      <w:pPr>
        <w:pStyle w:val="Styl30"/>
        <w:rPr>
          <w:rFonts w:ascii="Times New Roman" w:hAnsi="Times New Roman"/>
          <w:szCs w:val="22"/>
        </w:rPr>
      </w:pPr>
      <w:r w:rsidRPr="00657E59">
        <w:rPr>
          <w:rFonts w:ascii="Times New Roman" w:hAnsi="Times New Roman"/>
          <w:szCs w:val="22"/>
        </w:rPr>
        <w:t>Použitie u detí</w:t>
      </w:r>
    </w:p>
    <w:p w:rsidR="00A034E0" w:rsidRPr="00657E59" w:rsidRDefault="00494BBB" w:rsidP="00555C8E">
      <w:pPr>
        <w:pStyle w:val="Normlndobloku"/>
      </w:pPr>
      <w:r w:rsidRPr="00657E59">
        <w:t xml:space="preserve">Zvyčajná dávka lieku SULCEF </w:t>
      </w:r>
      <w:r w:rsidR="008315D8">
        <w:t xml:space="preserve">2 g </w:t>
      </w:r>
      <w:r w:rsidRPr="00657E59">
        <w:t xml:space="preserve">u detí je 40 – 80 mg/kg/deň (ekvivalent aktivity </w:t>
      </w:r>
      <w:proofErr w:type="spellStart"/>
      <w:r w:rsidRPr="00657E59">
        <w:t>cefoperazónu</w:t>
      </w:r>
      <w:proofErr w:type="spellEnd"/>
      <w:r w:rsidRPr="00657E59">
        <w:t xml:space="preserve"> 20 – 40 mg/kg/deň) vo 2 – 4 rovnomerne rozdelených dávkach. Pri ťažkých alebo intenzívnych infekciách je možné dávku lieku SULCEF</w:t>
      </w:r>
      <w:r w:rsidR="008315D8">
        <w:t xml:space="preserve"> 2 </w:t>
      </w:r>
      <w:r w:rsidRPr="00657E59">
        <w:t xml:space="preserve">g zvýšiť až na 160 mg/kg/deň (ekvivalent </w:t>
      </w:r>
      <w:proofErr w:type="spellStart"/>
      <w:r w:rsidRPr="00657E59">
        <w:t>cefoperazónu</w:t>
      </w:r>
      <w:proofErr w:type="spellEnd"/>
      <w:r w:rsidRPr="00657E59">
        <w:t xml:space="preserve"> 80 mg/kg/deň) vo 2 – 4 rovnomerne rozdelených dávkach.</w:t>
      </w:r>
    </w:p>
    <w:p w:rsidR="00A034E0" w:rsidRPr="00657E59" w:rsidRDefault="00422202" w:rsidP="00E55426">
      <w:pPr>
        <w:pStyle w:val="Styl30"/>
        <w:rPr>
          <w:rFonts w:ascii="Times New Roman" w:hAnsi="Times New Roman"/>
          <w:szCs w:val="22"/>
        </w:rPr>
      </w:pPr>
      <w:r w:rsidRPr="00657E59">
        <w:rPr>
          <w:rFonts w:ascii="Times New Roman" w:hAnsi="Times New Roman"/>
          <w:szCs w:val="22"/>
        </w:rPr>
        <w:t>Starší pacienti</w:t>
      </w:r>
    </w:p>
    <w:p w:rsidR="00C20A80" w:rsidRPr="00657E59" w:rsidRDefault="00494BBB" w:rsidP="00555C8E">
      <w:pPr>
        <w:pStyle w:val="Normlndobloku"/>
      </w:pPr>
      <w:r w:rsidRPr="00657E59">
        <w:t>U starších pacientov, ktorí môžu mať poruchu funkcie obličiek alebo pečene, je potrebné dávku lieku SULCEF znížiť podľa stupňa poškodenia ako je opísané nižšie.</w:t>
      </w:r>
    </w:p>
    <w:p w:rsidR="00A034E0" w:rsidRPr="00657E59" w:rsidRDefault="00422202" w:rsidP="00E55426">
      <w:pPr>
        <w:pStyle w:val="Styl30"/>
        <w:rPr>
          <w:rFonts w:ascii="Times New Roman" w:hAnsi="Times New Roman"/>
          <w:szCs w:val="22"/>
        </w:rPr>
      </w:pPr>
      <w:r w:rsidRPr="00657E59">
        <w:rPr>
          <w:rFonts w:ascii="Times New Roman" w:hAnsi="Times New Roman"/>
          <w:szCs w:val="22"/>
        </w:rPr>
        <w:t>Porucha funkcie obličiek</w:t>
      </w:r>
    </w:p>
    <w:p w:rsidR="00A034E0" w:rsidRPr="00657E59" w:rsidRDefault="00494BBB" w:rsidP="00555C8E">
      <w:pPr>
        <w:pStyle w:val="Normlndobloku"/>
      </w:pPr>
      <w:r w:rsidRPr="00657E59">
        <w:t xml:space="preserve">Dávkovací režim lieku </w:t>
      </w:r>
      <w:proofErr w:type="spellStart"/>
      <w:r w:rsidRPr="00657E59">
        <w:t>sulbaktám</w:t>
      </w:r>
      <w:proofErr w:type="spellEnd"/>
      <w:r w:rsidRPr="00657E59">
        <w:t>/</w:t>
      </w:r>
      <w:proofErr w:type="spellStart"/>
      <w:r w:rsidRPr="00657E59">
        <w:t>cefoperazón</w:t>
      </w:r>
      <w:proofErr w:type="spellEnd"/>
      <w:r w:rsidRPr="00657E59">
        <w:t xml:space="preserve"> je potrebné upraviť u pacientov s významným poklesom obličkových funkcií (</w:t>
      </w:r>
      <w:proofErr w:type="spellStart"/>
      <w:r w:rsidRPr="00657E59">
        <w:t>klírens</w:t>
      </w:r>
      <w:proofErr w:type="spellEnd"/>
      <w:r w:rsidRPr="00657E59">
        <w:t xml:space="preserve"> </w:t>
      </w:r>
      <w:proofErr w:type="spellStart"/>
      <w:r w:rsidRPr="00657E59">
        <w:t>kreatinínu</w:t>
      </w:r>
      <w:proofErr w:type="spellEnd"/>
      <w:r w:rsidRPr="00657E59">
        <w:t xml:space="preserve"> nižší ako 30 ml/min), aby sa zohľadnil znížený </w:t>
      </w:r>
      <w:proofErr w:type="spellStart"/>
      <w:r w:rsidRPr="00657E59">
        <w:t>klírens</w:t>
      </w:r>
      <w:proofErr w:type="spellEnd"/>
      <w:r w:rsidRPr="00657E59">
        <w:t xml:space="preserve"> </w:t>
      </w:r>
      <w:proofErr w:type="spellStart"/>
      <w:r w:rsidRPr="00657E59">
        <w:t>sulbaktámu</w:t>
      </w:r>
      <w:proofErr w:type="spellEnd"/>
      <w:r w:rsidRPr="00657E59">
        <w:t>. Pacientom s </w:t>
      </w:r>
      <w:proofErr w:type="spellStart"/>
      <w:r w:rsidRPr="00657E59">
        <w:t>klírensom</w:t>
      </w:r>
      <w:proofErr w:type="spellEnd"/>
      <w:r w:rsidRPr="00657E59">
        <w:t xml:space="preserve"> </w:t>
      </w:r>
      <w:proofErr w:type="spellStart"/>
      <w:r w:rsidRPr="00657E59">
        <w:t>kreatinínu</w:t>
      </w:r>
      <w:proofErr w:type="spellEnd"/>
      <w:r w:rsidRPr="00657E59">
        <w:t xml:space="preserve"> v rozmedzí 15 – 30 ml/min sa má podávať </w:t>
      </w:r>
      <w:proofErr w:type="spellStart"/>
      <w:r w:rsidRPr="00657E59">
        <w:t>sulbaktám</w:t>
      </w:r>
      <w:proofErr w:type="spellEnd"/>
      <w:r w:rsidRPr="00657E59">
        <w:t xml:space="preserve"> v maximálnej dávke </w:t>
      </w:r>
      <w:smartTag w:uri="urn:schemas-microsoft-com:office:smarttags" w:element="metricconverter">
        <w:smartTagPr>
          <w:attr w:name="ProductID" w:val="1ﾠg"/>
        </w:smartTagPr>
        <w:r w:rsidRPr="00657E59">
          <w:t>1 g</w:t>
        </w:r>
      </w:smartTag>
      <w:r w:rsidRPr="00657E59">
        <w:t xml:space="preserve"> každých 12 hodín (maximálna denná dávka </w:t>
      </w:r>
      <w:proofErr w:type="spellStart"/>
      <w:r w:rsidRPr="00657E59">
        <w:t>sulbaktámu</w:t>
      </w:r>
      <w:proofErr w:type="spellEnd"/>
      <w:r w:rsidRPr="00657E59">
        <w:t xml:space="preserve"> </w:t>
      </w:r>
      <w:smartTag w:uri="urn:schemas-microsoft-com:office:smarttags" w:element="metricconverter">
        <w:smartTagPr>
          <w:attr w:name="ProductID" w:val="pc誦ଛĀ．潄畣敭瑮3詛ଛĀ（ƨ̔ƨ̔킼2詜ଛĠ（䵌䵅બշ詑ଛţ（䵌䵅઴շ7詒ଛŌ（az1ﾠg詗ଛP（q楆敬䠀䙐䩄〲0詈ଛn（tn佐呒䅒呉倀灡詍ଛz（w䕔R敒潳畬楴湯詎ଛ0（z䵐倀慬湩潎浲污詃ଛr"/>
        </w:smartTagPr>
        <w:r w:rsidRPr="00657E59">
          <w:t>2 g</w:t>
        </w:r>
      </w:smartTag>
      <w:r w:rsidRPr="00657E59">
        <w:t>), zatiaľ čo pacientom s </w:t>
      </w:r>
      <w:proofErr w:type="spellStart"/>
      <w:r w:rsidRPr="00657E59">
        <w:t>klírensom</w:t>
      </w:r>
      <w:proofErr w:type="spellEnd"/>
      <w:r w:rsidRPr="00657E59">
        <w:t xml:space="preserve"> </w:t>
      </w:r>
      <w:proofErr w:type="spellStart"/>
      <w:r w:rsidRPr="00657E59">
        <w:t>kreatinínu</w:t>
      </w:r>
      <w:proofErr w:type="spellEnd"/>
      <w:r w:rsidRPr="00657E59">
        <w:t xml:space="preserve"> nižším ako 15 ml/min sa má podávať maximálne 500 mg </w:t>
      </w:r>
      <w:proofErr w:type="spellStart"/>
      <w:r w:rsidRPr="00657E59">
        <w:t>sulbaktámu</w:t>
      </w:r>
      <w:proofErr w:type="spellEnd"/>
      <w:r w:rsidRPr="00657E59">
        <w:t xml:space="preserve"> každých 12 hodín (maximálna denná dávka </w:t>
      </w:r>
      <w:proofErr w:type="spellStart"/>
      <w:r w:rsidRPr="00657E59">
        <w:t>sulbaktámu</w:t>
      </w:r>
      <w:proofErr w:type="spellEnd"/>
      <w:r w:rsidRPr="00657E59">
        <w:t xml:space="preserve"> </w:t>
      </w:r>
      <w:smartTag w:uri="urn:schemas-microsoft-com:office:smarttags" w:element="metricconverter">
        <w:smartTagPr>
          <w:attr w:name="ProductID" w:val="1ﾠg"/>
        </w:smartTagPr>
        <w:r w:rsidRPr="00657E59">
          <w:t>1 g</w:t>
        </w:r>
      </w:smartTag>
      <w:r w:rsidRPr="00657E59">
        <w:t xml:space="preserve">). Pri ťažších infekciách môže byť v niektorých prípadoch nutné podať </w:t>
      </w:r>
      <w:proofErr w:type="spellStart"/>
      <w:r w:rsidRPr="00657E59">
        <w:t>naviac</w:t>
      </w:r>
      <w:proofErr w:type="spellEnd"/>
      <w:r w:rsidRPr="00657E59">
        <w:t xml:space="preserve"> samotný </w:t>
      </w:r>
      <w:proofErr w:type="spellStart"/>
      <w:r w:rsidRPr="00657E59">
        <w:t>cefoperazón</w:t>
      </w:r>
      <w:proofErr w:type="spellEnd"/>
      <w:r w:rsidRPr="00657E59">
        <w:t>.</w:t>
      </w:r>
    </w:p>
    <w:p w:rsidR="00C13EE2" w:rsidRPr="00657E59" w:rsidRDefault="00422202" w:rsidP="00E55426">
      <w:pPr>
        <w:pStyle w:val="Styl30"/>
        <w:rPr>
          <w:rFonts w:ascii="Times New Roman" w:hAnsi="Times New Roman"/>
          <w:szCs w:val="22"/>
        </w:rPr>
      </w:pPr>
      <w:r w:rsidRPr="00657E59">
        <w:rPr>
          <w:rFonts w:ascii="Times New Roman" w:hAnsi="Times New Roman"/>
          <w:szCs w:val="22"/>
        </w:rPr>
        <w:t>Porucha funkcie pečene</w:t>
      </w:r>
    </w:p>
    <w:p w:rsidR="006C40EF" w:rsidRPr="00657E59" w:rsidRDefault="00494BBB" w:rsidP="00555C8E">
      <w:pPr>
        <w:pStyle w:val="Normlndobloku"/>
      </w:pPr>
      <w:r w:rsidRPr="00657E59">
        <w:t>U pacientov so závažnou poruchou funkcie pečene nesmie denná dávka SULCEF prekročiť 2 – 4 g (1 – 2 injekčné liekovky).</w:t>
      </w:r>
    </w:p>
    <w:p w:rsidR="005A6D57" w:rsidRPr="00657E59" w:rsidRDefault="005A6D57" w:rsidP="005A6D57">
      <w:pPr>
        <w:pStyle w:val="Styl2"/>
        <w:rPr>
          <w:noProof w:val="0"/>
          <w:lang w:val="sk-SK"/>
        </w:rPr>
      </w:pPr>
      <w:r w:rsidRPr="00657E59">
        <w:rPr>
          <w:noProof w:val="0"/>
          <w:lang w:val="sk-SK"/>
        </w:rPr>
        <w:t>Ak použijete viac lieku SULCEF</w:t>
      </w:r>
      <w:r w:rsidR="00494BBB" w:rsidRPr="00657E59">
        <w:rPr>
          <w:noProof w:val="0"/>
          <w:lang w:val="sk-SK"/>
        </w:rPr>
        <w:t>, ako máte</w:t>
      </w:r>
    </w:p>
    <w:p w:rsidR="00C20A80" w:rsidRPr="00657E59" w:rsidRDefault="00494BBB" w:rsidP="00555C8E">
      <w:pPr>
        <w:pStyle w:val="Normlndobloku"/>
      </w:pPr>
      <w:r w:rsidRPr="00657E59">
        <w:t>Je veľmi nepravdepodobné, že od lekára alebo od zdravotnej sestry dostanete viac lieku, ako máte. Váš lekár alebo zdravotná sestra bude sledovať vašu liečbu a kontrolovať liek, ktorý vám podávajú. Ak si nie ste istý, prečo dostávate dávku, vždy sa opýtajte.</w:t>
      </w:r>
    </w:p>
    <w:p w:rsidR="005A6D57" w:rsidRPr="00657E59" w:rsidRDefault="005A6D57" w:rsidP="005A6D57">
      <w:pPr>
        <w:pStyle w:val="Styl2"/>
        <w:rPr>
          <w:noProof w:val="0"/>
          <w:lang w:val="sk-SK"/>
        </w:rPr>
      </w:pPr>
      <w:r w:rsidRPr="00657E59">
        <w:rPr>
          <w:noProof w:val="0"/>
          <w:lang w:val="sk-SK"/>
        </w:rPr>
        <w:t>Ak zabudnete použiť SULCEF</w:t>
      </w:r>
    </w:p>
    <w:p w:rsidR="005A6D57" w:rsidRPr="00657E59" w:rsidRDefault="00494BBB" w:rsidP="00555C8E">
      <w:pPr>
        <w:pStyle w:val="Normlndobloku"/>
      </w:pPr>
      <w:r w:rsidRPr="00657E59">
        <w:t>Váš lekár alebo zdravotná sestra majú pokyny, kedy vám podať váš liek. Veľmi pravdepodobne nedostanete liek vôbec do ruky. Ak si myslíte, že vám vynechali dávku, opýtajte sa svojho lekára. Neužívajte dvojnásobnú dávku, aby ste nahradili vynechanú dávku.</w:t>
      </w:r>
    </w:p>
    <w:p w:rsidR="00494BBB" w:rsidRPr="00657E59" w:rsidRDefault="00494BBB" w:rsidP="00095E77">
      <w:pPr>
        <w:pStyle w:val="Normlndobloku"/>
      </w:pPr>
      <w:r w:rsidRPr="00657E59">
        <w:t>Ak máte akékoľvek ďalšie otázky týkajúce sa použitia tohto lieku, opýtajte sa svojho lekára alebo zdravotnej sestry.</w:t>
      </w:r>
    </w:p>
    <w:p w:rsidR="00F454E4" w:rsidRPr="00657E59" w:rsidRDefault="00F454E4" w:rsidP="00AD34D0">
      <w:pPr>
        <w:pStyle w:val="Styl1"/>
      </w:pPr>
      <w:r w:rsidRPr="00657E59">
        <w:t>Možné vedľajšie účinky</w:t>
      </w:r>
    </w:p>
    <w:p w:rsidR="00C03B7D" w:rsidRPr="00657E59" w:rsidRDefault="00494BBB" w:rsidP="00555C8E">
      <w:pPr>
        <w:pStyle w:val="Normlndobloku"/>
      </w:pPr>
      <w:r w:rsidRPr="00657E59">
        <w:t>Tak ako všetky lieky, aj tento liek môže spôsobovať vedľajšie účinky, hoci sa neprejavia u každého.</w:t>
      </w:r>
    </w:p>
    <w:p w:rsidR="00494BBB" w:rsidRPr="00657E59" w:rsidRDefault="00494BBB">
      <w:pPr>
        <w:pStyle w:val="Normlndobloku"/>
      </w:pPr>
      <w:r w:rsidRPr="00657E59">
        <w:t xml:space="preserve">Ak sa u vás objaví niektorý z nasledovných príznakov </w:t>
      </w:r>
      <w:proofErr w:type="spellStart"/>
      <w:r w:rsidRPr="00657E59">
        <w:t>hypersenzitivity</w:t>
      </w:r>
      <w:proofErr w:type="spellEnd"/>
      <w:r w:rsidRPr="00657E59">
        <w:t xml:space="preserve"> (alergie), ihneď PRESTAŇTE používať SULCEF a kontaktujte svojho lekára:</w:t>
      </w:r>
    </w:p>
    <w:p w:rsidR="00E814A6" w:rsidRPr="00657E59" w:rsidRDefault="00494BBB">
      <w:pPr>
        <w:pStyle w:val="Normlndoblokusodrkami"/>
      </w:pPr>
      <w:r w:rsidRPr="00657E59">
        <w:lastRenderedPageBreak/>
        <w:t>kožné problémy ako vyrážka, červené škvrny, svrbenie, kožné hrče, žihľavka, pľuzgieriky alebo olupovanie kože</w:t>
      </w:r>
    </w:p>
    <w:p w:rsidR="00E814A6" w:rsidRPr="00657E59" w:rsidRDefault="00494BBB">
      <w:pPr>
        <w:pStyle w:val="Normlndoblokusodrkami"/>
      </w:pPr>
      <w:r w:rsidRPr="00657E59">
        <w:t>opuch očných viečok, tváre alebo pier</w:t>
      </w:r>
    </w:p>
    <w:p w:rsidR="00E814A6" w:rsidRPr="00657E59" w:rsidRDefault="00494BBB">
      <w:pPr>
        <w:pStyle w:val="Normlndoblokusodrkami"/>
      </w:pPr>
      <w:r w:rsidRPr="00657E59">
        <w:t>problémy s dýchaním (pískanie, dusnosť) a prehĺtaním</w:t>
      </w:r>
    </w:p>
    <w:p w:rsidR="00E814A6" w:rsidRPr="00657E59" w:rsidRDefault="00494BBB">
      <w:pPr>
        <w:pStyle w:val="Normlndoblokusodrkami"/>
      </w:pPr>
      <w:r w:rsidRPr="00657E59">
        <w:t>závažná hnačka s krvácaním (zriedkavo)</w:t>
      </w:r>
    </w:p>
    <w:p w:rsidR="00E814A6" w:rsidRPr="00657E59" w:rsidRDefault="00494BBB">
      <w:pPr>
        <w:pStyle w:val="Normlndoblokusodrkami"/>
      </w:pPr>
      <w:r w:rsidRPr="00657E59">
        <w:t>horúčka</w:t>
      </w:r>
    </w:p>
    <w:p w:rsidR="00E814A6" w:rsidRPr="00657E59" w:rsidRDefault="00494BBB">
      <w:pPr>
        <w:pStyle w:val="Normlndoblokusodrkami"/>
      </w:pPr>
      <w:r w:rsidRPr="00657E59">
        <w:t>nízky krvný tlak</w:t>
      </w:r>
    </w:p>
    <w:p w:rsidR="00C20A80" w:rsidRPr="00657E59" w:rsidRDefault="00494BBB">
      <w:pPr>
        <w:pStyle w:val="Normlndobloku"/>
      </w:pPr>
      <w:r w:rsidRPr="00657E59">
        <w:t>Toto sú zriedkavé, ale závažné vedľajšie účinky, ktoré vyžadujú okamžitý zásah lekára.</w:t>
      </w:r>
    </w:p>
    <w:p w:rsidR="00494BBB" w:rsidRPr="00657E59" w:rsidRDefault="00494BBB">
      <w:pPr>
        <w:pStyle w:val="Normlndobloku"/>
      </w:pPr>
      <w:r w:rsidRPr="00657E59">
        <w:t>Zo zhromaždených klinických nálezov komparatívnych a nekomparatívnych štúdií s približne 2 500 pacientmi vyplýva nasledujúce:</w:t>
      </w:r>
    </w:p>
    <w:p w:rsidR="00BF43F7" w:rsidRPr="00657E59" w:rsidRDefault="00422202" w:rsidP="00E55426">
      <w:pPr>
        <w:pStyle w:val="Styl30"/>
        <w:rPr>
          <w:rFonts w:ascii="Times New Roman" w:hAnsi="Times New Roman"/>
          <w:szCs w:val="22"/>
        </w:rPr>
      </w:pPr>
      <w:r w:rsidRPr="00657E59">
        <w:rPr>
          <w:rFonts w:ascii="Times New Roman" w:hAnsi="Times New Roman"/>
          <w:szCs w:val="22"/>
        </w:rPr>
        <w:t xml:space="preserve">Poruchy </w:t>
      </w:r>
      <w:proofErr w:type="spellStart"/>
      <w:r w:rsidRPr="00657E59">
        <w:rPr>
          <w:rFonts w:ascii="Times New Roman" w:hAnsi="Times New Roman"/>
          <w:szCs w:val="22"/>
        </w:rPr>
        <w:t>gastrointestinálneho</w:t>
      </w:r>
      <w:proofErr w:type="spellEnd"/>
      <w:r w:rsidRPr="00657E59">
        <w:rPr>
          <w:rFonts w:ascii="Times New Roman" w:hAnsi="Times New Roman"/>
          <w:szCs w:val="22"/>
        </w:rPr>
        <w:t xml:space="preserve"> traktu</w:t>
      </w:r>
    </w:p>
    <w:p w:rsidR="00BF43F7" w:rsidRPr="00657E59" w:rsidRDefault="00494BBB" w:rsidP="00555C8E">
      <w:pPr>
        <w:pStyle w:val="Normlndobloku"/>
      </w:pPr>
      <w:r w:rsidRPr="00657E59">
        <w:t xml:space="preserve">Podobne ako pri iných antibiotikách aj </w:t>
      </w:r>
      <w:proofErr w:type="spellStart"/>
      <w:r w:rsidRPr="00657E59">
        <w:t>sulbaktám</w:t>
      </w:r>
      <w:proofErr w:type="spellEnd"/>
      <w:r w:rsidRPr="00657E59">
        <w:t>/</w:t>
      </w:r>
      <w:proofErr w:type="spellStart"/>
      <w:r w:rsidRPr="00657E59">
        <w:t>cefoperazón</w:t>
      </w:r>
      <w:proofErr w:type="spellEnd"/>
      <w:r w:rsidRPr="00657E59">
        <w:t xml:space="preserve"> najčastejšie vyvoláva </w:t>
      </w:r>
      <w:proofErr w:type="spellStart"/>
      <w:r w:rsidRPr="00657E59">
        <w:t>gastrointestinálne</w:t>
      </w:r>
      <w:proofErr w:type="spellEnd"/>
      <w:r w:rsidRPr="00657E59">
        <w:t xml:space="preserve"> nežiaduce účinky. Obyčajne sú to hnačky alebo riedke stolice 3,9 % sprevádzané </w:t>
      </w:r>
      <w:proofErr w:type="spellStart"/>
      <w:r w:rsidRPr="00657E59">
        <w:t>nauzeou</w:t>
      </w:r>
      <w:proofErr w:type="spellEnd"/>
      <w:r w:rsidRPr="00657E59">
        <w:t xml:space="preserve"> a vracaním 0,6 %.</w:t>
      </w:r>
    </w:p>
    <w:p w:rsidR="00BF43F7" w:rsidRPr="00657E59" w:rsidRDefault="00422202" w:rsidP="00E55426">
      <w:pPr>
        <w:pStyle w:val="Styl30"/>
        <w:rPr>
          <w:rFonts w:ascii="Times New Roman" w:hAnsi="Times New Roman"/>
          <w:szCs w:val="22"/>
        </w:rPr>
      </w:pPr>
      <w:r w:rsidRPr="00657E59">
        <w:rPr>
          <w:rFonts w:ascii="Times New Roman" w:hAnsi="Times New Roman"/>
          <w:szCs w:val="22"/>
        </w:rPr>
        <w:t>Poruchy kože a podkožného tkaniva</w:t>
      </w:r>
    </w:p>
    <w:p w:rsidR="00BF43F7" w:rsidRPr="00657E59" w:rsidRDefault="00494BBB" w:rsidP="00555C8E">
      <w:pPr>
        <w:pStyle w:val="Normlndobloku"/>
      </w:pPr>
      <w:r w:rsidRPr="00657E59">
        <w:t>Podobne ako pri všetkých penicilínových a </w:t>
      </w:r>
      <w:proofErr w:type="spellStart"/>
      <w:r w:rsidRPr="00657E59">
        <w:t>cefalosporínových</w:t>
      </w:r>
      <w:proofErr w:type="spellEnd"/>
      <w:r w:rsidRPr="00657E59">
        <w:t xml:space="preserve"> antibiotikách bola aj v tomto prípade opísaná precitlivenosť, ktorá sa manifestuje </w:t>
      </w:r>
      <w:proofErr w:type="spellStart"/>
      <w:r w:rsidRPr="00657E59">
        <w:t>makulopapulóznym</w:t>
      </w:r>
      <w:proofErr w:type="spellEnd"/>
      <w:r w:rsidRPr="00657E59">
        <w:t xml:space="preserve"> exantémom 0,6 % a žihľavkou 0,08 %. Vznik týchto reakcií je pravdepodobnejší u pacientov s preukázanou alergiou v anamnéze, najmä na penicilín.</w:t>
      </w:r>
    </w:p>
    <w:p w:rsidR="00BF43F7" w:rsidRPr="00657E59" w:rsidRDefault="00422202" w:rsidP="00E55426">
      <w:pPr>
        <w:pStyle w:val="Styl30"/>
        <w:rPr>
          <w:rFonts w:ascii="Times New Roman" w:hAnsi="Times New Roman"/>
          <w:szCs w:val="22"/>
        </w:rPr>
      </w:pPr>
      <w:r w:rsidRPr="00657E59">
        <w:rPr>
          <w:rFonts w:ascii="Times New Roman" w:hAnsi="Times New Roman"/>
          <w:szCs w:val="22"/>
        </w:rPr>
        <w:t>Poruchy krvi a lymfatického systému</w:t>
      </w:r>
    </w:p>
    <w:p w:rsidR="00E63686" w:rsidRPr="00657E59" w:rsidRDefault="00494BBB" w:rsidP="00555C8E">
      <w:pPr>
        <w:pStyle w:val="Normlndobloku"/>
      </w:pPr>
      <w:r w:rsidRPr="00657E59">
        <w:t xml:space="preserve">Po podaní lieku sa pozoroval mierny pokles </w:t>
      </w:r>
      <w:proofErr w:type="spellStart"/>
      <w:r w:rsidRPr="00657E59">
        <w:t>neutrofilov</w:t>
      </w:r>
      <w:proofErr w:type="spellEnd"/>
      <w:r w:rsidRPr="00657E59">
        <w:t xml:space="preserve"> 0,4 % (5/1 131). Pri dlhšom podávaní môže vzniknúť, podobne ako pri iných </w:t>
      </w:r>
      <w:proofErr w:type="spellStart"/>
      <w:r w:rsidRPr="00657E59">
        <w:t>betalaktámových</w:t>
      </w:r>
      <w:proofErr w:type="spellEnd"/>
      <w:r w:rsidRPr="00657E59">
        <w:t xml:space="preserve"> antibiotikách, reverzibilná </w:t>
      </w:r>
      <w:proofErr w:type="spellStart"/>
      <w:r w:rsidRPr="00657E59">
        <w:t>neutropénia</w:t>
      </w:r>
      <w:proofErr w:type="spellEnd"/>
      <w:r w:rsidRPr="00657E59">
        <w:t xml:space="preserve"> 0,5 % (9/1 696). U niektorých pacientov sa počas liečby môže objaviť pozitívny priamy </w:t>
      </w:r>
      <w:proofErr w:type="spellStart"/>
      <w:r w:rsidRPr="00657E59">
        <w:t>Coombsov</w:t>
      </w:r>
      <w:proofErr w:type="spellEnd"/>
      <w:r w:rsidRPr="00657E59">
        <w:t xml:space="preserve"> test 5,5 % (15/269). V súlade s publikovanými literárnymi údajmi o </w:t>
      </w:r>
      <w:proofErr w:type="spellStart"/>
      <w:r w:rsidRPr="00657E59">
        <w:t>cefalosporínoch</w:t>
      </w:r>
      <w:proofErr w:type="spellEnd"/>
      <w:r w:rsidRPr="00657E59">
        <w:t xml:space="preserve"> boli hlásené zníženia hemoglobínu 0,9 % (13/1 416) alebo </w:t>
      </w:r>
      <w:proofErr w:type="spellStart"/>
      <w:r w:rsidRPr="00657E59">
        <w:t>hematokritu</w:t>
      </w:r>
      <w:proofErr w:type="spellEnd"/>
      <w:r w:rsidRPr="00657E59">
        <w:t xml:space="preserve"> 0,9 % (13/1 409). Bola zaznamenaná aj prechodná </w:t>
      </w:r>
      <w:proofErr w:type="spellStart"/>
      <w:r w:rsidRPr="00657E59">
        <w:t>eozinofília</w:t>
      </w:r>
      <w:proofErr w:type="spellEnd"/>
      <w:r w:rsidRPr="00657E59">
        <w:t xml:space="preserve"> 3,5 % (40/1 130) a </w:t>
      </w:r>
      <w:proofErr w:type="spellStart"/>
      <w:r w:rsidRPr="00657E59">
        <w:t>trombocytopénia</w:t>
      </w:r>
      <w:proofErr w:type="spellEnd"/>
      <w:r w:rsidRPr="00657E59">
        <w:t xml:space="preserve"> 0,8 % (11/1 414), ako aj </w:t>
      </w:r>
      <w:proofErr w:type="spellStart"/>
      <w:r w:rsidRPr="00657E59">
        <w:t>hypoprotrombinémia</w:t>
      </w:r>
      <w:proofErr w:type="spellEnd"/>
      <w:r w:rsidRPr="00657E59">
        <w:t xml:space="preserve"> 3,8 % (10/262).</w:t>
      </w:r>
    </w:p>
    <w:p w:rsidR="00BF43F7" w:rsidRPr="00657E59" w:rsidRDefault="00422202" w:rsidP="00E55426">
      <w:pPr>
        <w:pStyle w:val="Styl30"/>
        <w:rPr>
          <w:rFonts w:ascii="Times New Roman" w:hAnsi="Times New Roman"/>
          <w:szCs w:val="22"/>
        </w:rPr>
      </w:pPr>
      <w:r w:rsidRPr="00657E59">
        <w:rPr>
          <w:rFonts w:ascii="Times New Roman" w:hAnsi="Times New Roman"/>
          <w:szCs w:val="22"/>
        </w:rPr>
        <w:t>Celkové poruchy a reakcie v mieste podania</w:t>
      </w:r>
    </w:p>
    <w:p w:rsidR="00BF43F7" w:rsidRPr="00657E59" w:rsidRDefault="00494BBB" w:rsidP="00555C8E">
      <w:pPr>
        <w:pStyle w:val="Normlndobloku"/>
      </w:pPr>
      <w:r w:rsidRPr="00657E59">
        <w:t>Bolesti hlavy 0,04 %, horúčka 0,5 %, bolesť v mieste vpichu injekcie 0,08 % a pocity mrazenia 0,04 %.</w:t>
      </w:r>
    </w:p>
    <w:p w:rsidR="00494BBB" w:rsidRPr="00657E59" w:rsidRDefault="00494BBB">
      <w:pPr>
        <w:pStyle w:val="Normlndobloku"/>
      </w:pPr>
      <w:proofErr w:type="spellStart"/>
      <w:r w:rsidRPr="00657E59">
        <w:t>Sulbaktám</w:t>
      </w:r>
      <w:proofErr w:type="spellEnd"/>
      <w:r w:rsidRPr="00657E59">
        <w:t>/</w:t>
      </w:r>
      <w:proofErr w:type="spellStart"/>
      <w:r w:rsidRPr="00657E59">
        <w:t>cefoperazón</w:t>
      </w:r>
      <w:proofErr w:type="spellEnd"/>
      <w:r w:rsidRPr="00657E59">
        <w:t xml:space="preserve"> po </w:t>
      </w:r>
      <w:proofErr w:type="spellStart"/>
      <w:r w:rsidRPr="00657E59">
        <w:t>intramuskulárnom</w:t>
      </w:r>
      <w:proofErr w:type="spellEnd"/>
      <w:r w:rsidRPr="00657E59">
        <w:t xml:space="preserve"> podaní sa veľmi dobre toleruje. Avšak v ojedinelých prípadoch sa pri tomto spôsobe podávania môže objaviť krátkodobá prechodná bolesť. Pri intravenóznom podaní lieku cez </w:t>
      </w:r>
      <w:proofErr w:type="spellStart"/>
      <w:r w:rsidRPr="00657E59">
        <w:t>i.v</w:t>
      </w:r>
      <w:proofErr w:type="spellEnd"/>
      <w:r w:rsidRPr="00657E59">
        <w:t xml:space="preserve">. katéter sa môže, podobne ako pri </w:t>
      </w:r>
      <w:proofErr w:type="spellStart"/>
      <w:r w:rsidRPr="00657E59">
        <w:t>i.v</w:t>
      </w:r>
      <w:proofErr w:type="spellEnd"/>
      <w:r w:rsidRPr="00657E59">
        <w:t xml:space="preserve">. podaní iných </w:t>
      </w:r>
      <w:proofErr w:type="spellStart"/>
      <w:r w:rsidRPr="00657E59">
        <w:t>cefalosporínov</w:t>
      </w:r>
      <w:proofErr w:type="spellEnd"/>
      <w:r w:rsidRPr="00657E59">
        <w:t xml:space="preserve"> a penicilínov, vyvinúť u niektorých pacientov v mieste aplikácie infúzie </w:t>
      </w:r>
      <w:proofErr w:type="spellStart"/>
      <w:r w:rsidRPr="00657E59">
        <w:t>flebitída</w:t>
      </w:r>
      <w:proofErr w:type="spellEnd"/>
      <w:r w:rsidRPr="00657E59">
        <w:t> 0,1 %.</w:t>
      </w:r>
    </w:p>
    <w:p w:rsidR="00BF43F7" w:rsidRPr="00657E59" w:rsidRDefault="00422202" w:rsidP="00E55426">
      <w:pPr>
        <w:pStyle w:val="Styl30"/>
        <w:rPr>
          <w:rFonts w:ascii="Times New Roman" w:hAnsi="Times New Roman"/>
          <w:szCs w:val="22"/>
        </w:rPr>
      </w:pPr>
      <w:r w:rsidRPr="00657E59">
        <w:rPr>
          <w:rFonts w:ascii="Times New Roman" w:hAnsi="Times New Roman"/>
          <w:szCs w:val="22"/>
        </w:rPr>
        <w:t>Laboratórne a funkčné vyšetrenia</w:t>
      </w:r>
    </w:p>
    <w:p w:rsidR="00BF43F7" w:rsidRPr="00657E59" w:rsidRDefault="00494BBB" w:rsidP="00555C8E">
      <w:pPr>
        <w:pStyle w:val="Normlndobloku"/>
      </w:pPr>
      <w:r w:rsidRPr="00657E59">
        <w:t xml:space="preserve">Zistilo sa prechodné zvýšenie koncentrácie AST 5,7 % (94/1 638), ALT 6,2 % (95/1 529), alkalickej </w:t>
      </w:r>
      <w:proofErr w:type="spellStart"/>
      <w:r w:rsidRPr="00657E59">
        <w:t>fosfatázy</w:t>
      </w:r>
      <w:proofErr w:type="spellEnd"/>
      <w:r w:rsidRPr="00657E59">
        <w:t xml:space="preserve"> 2,4 % (37/1 518) a </w:t>
      </w:r>
      <w:proofErr w:type="spellStart"/>
      <w:r w:rsidRPr="00657E59">
        <w:t>bilirubínu</w:t>
      </w:r>
      <w:proofErr w:type="spellEnd"/>
      <w:r w:rsidRPr="00657E59">
        <w:t xml:space="preserve"> 1,2 % (12/1 040).</w:t>
      </w:r>
    </w:p>
    <w:p w:rsidR="00BF43F7" w:rsidRPr="00657E59" w:rsidRDefault="00422202" w:rsidP="00E55426">
      <w:pPr>
        <w:pStyle w:val="Styl30"/>
        <w:rPr>
          <w:rFonts w:ascii="Times New Roman" w:hAnsi="Times New Roman"/>
          <w:szCs w:val="22"/>
        </w:rPr>
      </w:pPr>
      <w:r w:rsidRPr="00657E59">
        <w:rPr>
          <w:rFonts w:ascii="Times New Roman" w:hAnsi="Times New Roman"/>
          <w:szCs w:val="22"/>
        </w:rPr>
        <w:t>Po uvedení lieku na trh boli hlásené ďalšie nasledujúce nežiaduce účinky:</w:t>
      </w:r>
    </w:p>
    <w:p w:rsidR="00494BBB" w:rsidRPr="00657E59" w:rsidRDefault="00494BBB" w:rsidP="00555C8E">
      <w:pPr>
        <w:pStyle w:val="Normlndoblokusodrkami"/>
      </w:pPr>
      <w:r w:rsidRPr="00657E59">
        <w:t>Všeobecné: anafylaktoidná reakcia (vrátane šoku)</w:t>
      </w:r>
    </w:p>
    <w:p w:rsidR="00E814A6" w:rsidRPr="00657E59" w:rsidRDefault="00494BBB">
      <w:pPr>
        <w:pStyle w:val="Normlndoblokusodrkami"/>
      </w:pPr>
      <w:r w:rsidRPr="00657E59">
        <w:t>Kardiovaskulárne: hypotenzia</w:t>
      </w:r>
    </w:p>
    <w:p w:rsidR="00E814A6" w:rsidRPr="00657E59" w:rsidRDefault="00494BBB">
      <w:pPr>
        <w:pStyle w:val="Normlndoblokusodrkami"/>
      </w:pPr>
      <w:r w:rsidRPr="00657E59">
        <w:t>Gastrointestinálne: pseudomembranózna kolitída</w:t>
      </w:r>
    </w:p>
    <w:p w:rsidR="00E814A6" w:rsidRPr="00657E59" w:rsidRDefault="00494BBB">
      <w:pPr>
        <w:pStyle w:val="Normlndoblokusodrkami"/>
      </w:pPr>
      <w:r w:rsidRPr="00657E59">
        <w:t>Hematopoetické: leukopénia</w:t>
      </w:r>
    </w:p>
    <w:p w:rsidR="00E814A6" w:rsidRPr="00657E59" w:rsidRDefault="00494BBB">
      <w:pPr>
        <w:pStyle w:val="Normlndoblokusodrkami"/>
      </w:pPr>
      <w:r w:rsidRPr="00657E59">
        <w:t>Kožné: pruritus, Stevensov-Johnsonov syndróm</w:t>
      </w:r>
    </w:p>
    <w:p w:rsidR="00E814A6" w:rsidRPr="00657E59" w:rsidRDefault="00494BBB">
      <w:pPr>
        <w:pStyle w:val="Normlndoblokusodrkami"/>
      </w:pPr>
      <w:r w:rsidRPr="00657E59">
        <w:lastRenderedPageBreak/>
        <w:t>Močové: hematúria</w:t>
      </w:r>
    </w:p>
    <w:p w:rsidR="00E814A6" w:rsidRPr="00657E59" w:rsidRDefault="00494BBB">
      <w:pPr>
        <w:pStyle w:val="Normlndoblokusodrkami"/>
      </w:pPr>
      <w:r w:rsidRPr="00657E59">
        <w:t>Cievne: vaskulitída</w:t>
      </w:r>
      <w:r w:rsidR="00833A49" w:rsidRPr="00657E59">
        <w:t>, krvácanie (častosť sa nedá odhadnúť z dostupných údajov)</w:t>
      </w:r>
    </w:p>
    <w:p w:rsidR="00E814A6" w:rsidRPr="00657E59" w:rsidRDefault="00E814A6">
      <w:pPr>
        <w:pStyle w:val="Normlndobloku"/>
      </w:pPr>
    </w:p>
    <w:p w:rsidR="009655A5" w:rsidRPr="00657E59" w:rsidRDefault="00422202" w:rsidP="00E55426">
      <w:pPr>
        <w:pStyle w:val="Styl30"/>
        <w:rPr>
          <w:rFonts w:ascii="Times New Roman" w:hAnsi="Times New Roman"/>
          <w:szCs w:val="22"/>
        </w:rPr>
      </w:pPr>
      <w:r w:rsidRPr="00657E59">
        <w:rPr>
          <w:rFonts w:ascii="Times New Roman" w:hAnsi="Times New Roman"/>
          <w:szCs w:val="22"/>
        </w:rPr>
        <w:t>Hlásenie vedľajších účinkov</w:t>
      </w:r>
    </w:p>
    <w:p w:rsidR="009655A5" w:rsidRPr="00657E59" w:rsidRDefault="00494BBB" w:rsidP="00555C8E">
      <w:pPr>
        <w:pStyle w:val="Normlndobloku"/>
      </w:pPr>
      <w:r w:rsidRPr="00657E59">
        <w:t xml:space="preserve">Ak sa u vás vyskytne akýkoľvek vedľajší účinok, obráťte sa na svojho lekára alebo lekárnika. To sa týka aj akýchkoľvek vedľajších účinkov, ktoré nie sú uvedené v tejto písomnej informácii. </w:t>
      </w:r>
      <w:r w:rsidRPr="008315D8">
        <w:rPr>
          <w:highlight w:val="lightGray"/>
        </w:rPr>
        <w:t xml:space="preserve">Vedľajšie účinky môžete hlásiť aj priamo </w:t>
      </w:r>
      <w:r w:rsidRPr="008315D8">
        <w:rPr>
          <w:noProof/>
          <w:highlight w:val="lightGray"/>
        </w:rPr>
        <w:t>na národné centrum hlásenia uvedené</w:t>
      </w:r>
      <w:r w:rsidR="00422202" w:rsidRPr="008315D8">
        <w:rPr>
          <w:noProof/>
          <w:highlight w:val="lightGray"/>
        </w:rPr>
        <w:t xml:space="preserve"> v </w:t>
      </w:r>
      <w:hyperlink r:id="rId7" w:history="1">
        <w:r w:rsidR="00422202" w:rsidRPr="008315D8">
          <w:rPr>
            <w:rStyle w:val="Hypertextovprepojenie"/>
            <w:rFonts w:ascii="Times New Roman" w:hAnsi="Times New Roman"/>
            <w:noProof/>
            <w:szCs w:val="22"/>
            <w:highlight w:val="lightGray"/>
          </w:rPr>
          <w:t>Prílohe V</w:t>
        </w:r>
      </w:hyperlink>
      <w:r w:rsidR="00422202" w:rsidRPr="008315D8">
        <w:rPr>
          <w:color w:val="008000"/>
          <w:highlight w:val="lightGray"/>
        </w:rPr>
        <w:t>*</w:t>
      </w:r>
      <w:r w:rsidR="00422202" w:rsidRPr="00657E59">
        <w:rPr>
          <w:noProof/>
        </w:rPr>
        <w:t>.</w:t>
      </w:r>
      <w:r w:rsidR="00422202" w:rsidRPr="00657E59">
        <w:t xml:space="preserve"> Hlásením vedľajších účinkov môžete prispieť k získaniu ďalších informácií o bezpečnosti tohto lieku.</w:t>
      </w:r>
    </w:p>
    <w:p w:rsidR="006C0C31" w:rsidRPr="00657E59" w:rsidRDefault="00F454E4" w:rsidP="00AD34D0">
      <w:pPr>
        <w:pStyle w:val="Styl1"/>
      </w:pPr>
      <w:r w:rsidRPr="00657E59">
        <w:t>Ako uchovávať SULCEF</w:t>
      </w:r>
    </w:p>
    <w:p w:rsidR="009655A5" w:rsidRPr="00657E59" w:rsidRDefault="00422202" w:rsidP="00555C8E">
      <w:pPr>
        <w:pStyle w:val="Normlndobloku"/>
      </w:pPr>
      <w:r w:rsidRPr="00657E59">
        <w:t>Tento liek uchovávajte mimo dohľadu a dosahu detí.</w:t>
      </w:r>
    </w:p>
    <w:p w:rsidR="00E25BCF" w:rsidRPr="00657E59" w:rsidRDefault="00422202" w:rsidP="00555C8E">
      <w:pPr>
        <w:pStyle w:val="Normlndobloku"/>
      </w:pPr>
      <w:r w:rsidRPr="00657E59">
        <w:t>Uchovávajte pri teplote do 25 °C v pôvodnom obale na ochranu pred svetlom.</w:t>
      </w:r>
    </w:p>
    <w:p w:rsidR="00F21B82" w:rsidRPr="00657E59" w:rsidRDefault="00422202" w:rsidP="00555C8E">
      <w:pPr>
        <w:pStyle w:val="Normlndobloku"/>
      </w:pPr>
      <w:r w:rsidRPr="00657E59">
        <w:t>Nepoužívajte tento liek po dátume exspirácie, ktorý je uvedený na obale po EXP. Dátum exspirácie sa vzťahuje na posledný deň v danom mesiaci.</w:t>
      </w:r>
    </w:p>
    <w:p w:rsidR="00E25BCF" w:rsidRPr="00657E59" w:rsidRDefault="00095E77" w:rsidP="00095E77">
      <w:pPr>
        <w:pStyle w:val="Normlndobloku"/>
      </w:pPr>
      <w:r w:rsidRPr="00657E59">
        <w:t>Nelikvidujte</w:t>
      </w:r>
      <w:r w:rsidR="00422202" w:rsidRPr="00657E59">
        <w:t xml:space="preserve"> lieky odpadovou vodou alebo domovým odpadom. Nepoužitý liek vráťte do lekárne. Tieto opatrenia pomôžu chrániť životné prostredie.</w:t>
      </w:r>
    </w:p>
    <w:p w:rsidR="00F454E4" w:rsidRPr="00657E59" w:rsidRDefault="000C41CB" w:rsidP="00AD34D0">
      <w:pPr>
        <w:pStyle w:val="Styl1"/>
      </w:pPr>
      <w:r w:rsidRPr="00657E59">
        <w:t xml:space="preserve">Obsah balenia a </w:t>
      </w:r>
      <w:r w:rsidR="0070262A" w:rsidRPr="00657E59">
        <w:t>ď</w:t>
      </w:r>
      <w:r w:rsidR="00F454E4" w:rsidRPr="00657E59">
        <w:t>alšie informácie</w:t>
      </w:r>
    </w:p>
    <w:p w:rsidR="00E25BCF" w:rsidRPr="00657E59" w:rsidRDefault="00E25BCF" w:rsidP="00E25BCF">
      <w:pPr>
        <w:pStyle w:val="Styl2"/>
        <w:rPr>
          <w:noProof w:val="0"/>
          <w:lang w:val="sk-SK"/>
        </w:rPr>
      </w:pPr>
      <w:r w:rsidRPr="00657E59">
        <w:rPr>
          <w:noProof w:val="0"/>
          <w:lang w:val="sk-SK"/>
        </w:rPr>
        <w:t>Čo SULCEF obsahuje</w:t>
      </w:r>
    </w:p>
    <w:p w:rsidR="00E25BCF" w:rsidRPr="00657E59" w:rsidRDefault="00422202" w:rsidP="00555C8E">
      <w:pPr>
        <w:pStyle w:val="Normlndoblokusodrkami"/>
      </w:pPr>
      <w:r w:rsidRPr="00657E59">
        <w:t xml:space="preserve">Liečivá sú sodná soľ cefoperazónu a sodná soľ </w:t>
      </w:r>
      <w:proofErr w:type="spellStart"/>
      <w:r w:rsidRPr="00657E59">
        <w:rPr>
          <w:noProof w:val="0"/>
        </w:rPr>
        <w:t>sulbaktámu</w:t>
      </w:r>
      <w:proofErr w:type="spellEnd"/>
      <w:r w:rsidRPr="00657E59">
        <w:t>.</w:t>
      </w:r>
    </w:p>
    <w:p w:rsidR="00E25BCF" w:rsidRPr="00657E59" w:rsidRDefault="00095E77" w:rsidP="00555C8E">
      <w:pPr>
        <w:pStyle w:val="Normlndobloku"/>
      </w:pPr>
      <w:r w:rsidRPr="00657E59">
        <w:t xml:space="preserve">Jedna injekčná liekovka obsahuje 1 g </w:t>
      </w:r>
      <w:proofErr w:type="spellStart"/>
      <w:r w:rsidRPr="00657E59">
        <w:t>cefoperazónu</w:t>
      </w:r>
      <w:proofErr w:type="spellEnd"/>
      <w:r w:rsidRPr="00657E59">
        <w:t xml:space="preserve"> (ako </w:t>
      </w:r>
      <w:proofErr w:type="spellStart"/>
      <w:r w:rsidRPr="00657E59">
        <w:t>cefoperazón</w:t>
      </w:r>
      <w:proofErr w:type="spellEnd"/>
      <w:r w:rsidRPr="00657E59">
        <w:t xml:space="preserve">, sodná soľ) a 1 g </w:t>
      </w:r>
      <w:proofErr w:type="spellStart"/>
      <w:r w:rsidRPr="00657E59">
        <w:t>sulbaktámu</w:t>
      </w:r>
      <w:proofErr w:type="spellEnd"/>
      <w:r w:rsidRPr="00657E59">
        <w:t xml:space="preserve"> (ako </w:t>
      </w:r>
      <w:proofErr w:type="spellStart"/>
      <w:r w:rsidRPr="00657E59">
        <w:t>sulbaktám</w:t>
      </w:r>
      <w:proofErr w:type="spellEnd"/>
      <w:r w:rsidRPr="00657E59">
        <w:t>, sodná soľ).</w:t>
      </w:r>
    </w:p>
    <w:p w:rsidR="00E25BCF" w:rsidRPr="00657E59" w:rsidRDefault="00E25BCF" w:rsidP="00E25BCF">
      <w:pPr>
        <w:pStyle w:val="Styl2"/>
        <w:rPr>
          <w:noProof w:val="0"/>
          <w:lang w:val="sk-SK"/>
        </w:rPr>
      </w:pPr>
      <w:r w:rsidRPr="00657E59">
        <w:rPr>
          <w:noProof w:val="0"/>
          <w:lang w:val="sk-SK"/>
        </w:rPr>
        <w:t>Ako vyzerá SULCEF a</w:t>
      </w:r>
      <w:r w:rsidR="0070262A" w:rsidRPr="00657E59">
        <w:rPr>
          <w:noProof w:val="0"/>
          <w:lang w:val="sk-SK"/>
        </w:rPr>
        <w:t> </w:t>
      </w:r>
      <w:r w:rsidRPr="00657E59">
        <w:rPr>
          <w:noProof w:val="0"/>
          <w:lang w:val="sk-SK"/>
        </w:rPr>
        <w:t>obsah balenia</w:t>
      </w:r>
    </w:p>
    <w:p w:rsidR="00E25BCF" w:rsidRPr="00657E59" w:rsidRDefault="00422202" w:rsidP="00555C8E">
      <w:pPr>
        <w:pStyle w:val="Normlndobloku"/>
      </w:pPr>
      <w:r w:rsidRPr="00657E59">
        <w:t>Biely alebo takmer biely prášok.</w:t>
      </w:r>
    </w:p>
    <w:p w:rsidR="0054552F" w:rsidRPr="00657E59" w:rsidRDefault="00422202" w:rsidP="00555C8E">
      <w:pPr>
        <w:pStyle w:val="Normlndobloku"/>
      </w:pPr>
      <w:r w:rsidRPr="00657E59">
        <w:t>Injekčná liekovka z bezfarebného skla s menovitým objemom 20 ml, gumová zátka, hliníkový kryt, škatuľka.</w:t>
      </w:r>
    </w:p>
    <w:p w:rsidR="00494BBB" w:rsidRPr="00657E59" w:rsidRDefault="00422202" w:rsidP="00555C8E">
      <w:pPr>
        <w:pStyle w:val="Normlndobloku"/>
      </w:pPr>
      <w:r w:rsidRPr="00657E59">
        <w:t>Veľkosť balenia: 1, 10, 25, 50 a 100 injekčných liekoviek</w:t>
      </w:r>
    </w:p>
    <w:p w:rsidR="00494BBB" w:rsidRPr="00657E59" w:rsidRDefault="00422202" w:rsidP="00555C8E">
      <w:pPr>
        <w:pStyle w:val="Normlndobloku"/>
      </w:pPr>
      <w:r w:rsidRPr="00657E59">
        <w:t>Na trh nemusia byť uvedené všetky veľkosti balenia.</w:t>
      </w:r>
    </w:p>
    <w:p w:rsidR="00C20A80" w:rsidRPr="00657E59" w:rsidRDefault="00E25BCF" w:rsidP="00E25BCF">
      <w:pPr>
        <w:pStyle w:val="Styl2"/>
        <w:rPr>
          <w:noProof w:val="0"/>
          <w:lang w:val="sk-SK"/>
        </w:rPr>
      </w:pPr>
      <w:r w:rsidRPr="00657E59">
        <w:rPr>
          <w:noProof w:val="0"/>
          <w:lang w:val="sk-SK"/>
        </w:rPr>
        <w:t>Držiteľ rozhodnutia o registrácii</w:t>
      </w:r>
    </w:p>
    <w:p w:rsidR="008315D8" w:rsidRPr="00657E59" w:rsidRDefault="008315D8" w:rsidP="00555C8E">
      <w:pPr>
        <w:pStyle w:val="Normlndobloku"/>
      </w:pPr>
      <w:r w:rsidRPr="008315D8">
        <w:t xml:space="preserve"> </w:t>
      </w:r>
      <w:r w:rsidRPr="00FD009E">
        <w:t xml:space="preserve">MEDOCHEMIE </w:t>
      </w:r>
      <w:proofErr w:type="spellStart"/>
      <w:r w:rsidRPr="00FD009E">
        <w:t>Ltd</w:t>
      </w:r>
      <w:proofErr w:type="spellEnd"/>
      <w:r w:rsidRPr="00FD009E">
        <w:t xml:space="preserve">., </w:t>
      </w:r>
      <w:r w:rsidRPr="00F9196F">
        <w:rPr>
          <w:rFonts w:cs="TimesNewRoman"/>
        </w:rPr>
        <w:t xml:space="preserve">1-10 </w:t>
      </w:r>
      <w:proofErr w:type="spellStart"/>
      <w:r w:rsidRPr="00F9196F">
        <w:rPr>
          <w:rFonts w:cs="TimesNewRoman"/>
        </w:rPr>
        <w:t>Constantinoupoleos</w:t>
      </w:r>
      <w:proofErr w:type="spellEnd"/>
      <w:r w:rsidRPr="00F9196F">
        <w:rPr>
          <w:rFonts w:cs="TimesNewRoman"/>
        </w:rPr>
        <w:t xml:space="preserve"> </w:t>
      </w:r>
      <w:proofErr w:type="spellStart"/>
      <w:r w:rsidRPr="00F9196F">
        <w:rPr>
          <w:rFonts w:cs="TimesNewRoman"/>
        </w:rPr>
        <w:t>Street</w:t>
      </w:r>
      <w:proofErr w:type="spellEnd"/>
      <w:r w:rsidRPr="00F9196F">
        <w:rPr>
          <w:rFonts w:cs="TimesNewRoman"/>
        </w:rPr>
        <w:t xml:space="preserve">, 3011 </w:t>
      </w:r>
      <w:proofErr w:type="spellStart"/>
      <w:r w:rsidRPr="00F9196F">
        <w:rPr>
          <w:rFonts w:cs="TimesNewRoman"/>
        </w:rPr>
        <w:t>Limassol</w:t>
      </w:r>
      <w:proofErr w:type="spellEnd"/>
      <w:r w:rsidRPr="00F9196F">
        <w:rPr>
          <w:rFonts w:cs="TimesNewRoman"/>
        </w:rPr>
        <w:t>, Cyprus</w:t>
      </w:r>
    </w:p>
    <w:p w:rsidR="00C03B7D" w:rsidRPr="00657E59" w:rsidRDefault="00C03B7D" w:rsidP="00C03B7D">
      <w:pPr>
        <w:pStyle w:val="Styl2"/>
        <w:rPr>
          <w:noProof w:val="0"/>
          <w:lang w:val="sk-SK"/>
        </w:rPr>
      </w:pPr>
      <w:r w:rsidRPr="00657E59">
        <w:rPr>
          <w:noProof w:val="0"/>
          <w:lang w:val="sk-SK"/>
        </w:rPr>
        <w:t>Výrobca</w:t>
      </w:r>
    </w:p>
    <w:p w:rsidR="00C03B7D" w:rsidRPr="00657E59" w:rsidRDefault="00555C8E" w:rsidP="00555C8E">
      <w:pPr>
        <w:pStyle w:val="Normlndobloku"/>
        <w:rPr>
          <w:rFonts w:ascii="Times New Roman" w:hAnsi="Times New Roman"/>
          <w:b/>
          <w:bCs/>
          <w:szCs w:val="22"/>
        </w:rPr>
      </w:pPr>
      <w:proofErr w:type="spellStart"/>
      <w:r w:rsidRPr="00657E59">
        <w:t>Medochemie</w:t>
      </w:r>
      <w:proofErr w:type="spellEnd"/>
      <w:r w:rsidRPr="00657E59">
        <w:t xml:space="preserve"> </w:t>
      </w:r>
      <w:proofErr w:type="spellStart"/>
      <w:r w:rsidRPr="00657E59">
        <w:t>Ltd</w:t>
      </w:r>
      <w:proofErr w:type="spellEnd"/>
      <w:r w:rsidRPr="00657E59">
        <w:t xml:space="preserve"> (</w:t>
      </w:r>
      <w:proofErr w:type="spellStart"/>
      <w:r w:rsidRPr="00657E59">
        <w:t>Factory</w:t>
      </w:r>
      <w:proofErr w:type="spellEnd"/>
      <w:r w:rsidRPr="00657E59">
        <w:t xml:space="preserve"> C)</w:t>
      </w:r>
      <w:r w:rsidR="00422202" w:rsidRPr="00657E59">
        <w:t xml:space="preserve">, </w:t>
      </w:r>
      <w:proofErr w:type="spellStart"/>
      <w:r w:rsidRPr="00657E59">
        <w:t>Michalaki</w:t>
      </w:r>
      <w:proofErr w:type="spellEnd"/>
      <w:r w:rsidRPr="00657E59">
        <w:t xml:space="preserve"> </w:t>
      </w:r>
      <w:proofErr w:type="spellStart"/>
      <w:r w:rsidRPr="00657E59">
        <w:t>Erakleous</w:t>
      </w:r>
      <w:proofErr w:type="spellEnd"/>
      <w:r w:rsidRPr="00657E59">
        <w:t xml:space="preserve"> </w:t>
      </w:r>
      <w:proofErr w:type="spellStart"/>
      <w:r w:rsidRPr="00657E59">
        <w:t>Street</w:t>
      </w:r>
      <w:proofErr w:type="spellEnd"/>
      <w:r w:rsidRPr="00657E59">
        <w:t xml:space="preserve"> </w:t>
      </w:r>
      <w:proofErr w:type="spellStart"/>
      <w:r w:rsidRPr="00657E59">
        <w:t>Agios</w:t>
      </w:r>
      <w:proofErr w:type="spellEnd"/>
      <w:r w:rsidRPr="00657E59">
        <w:t xml:space="preserve"> </w:t>
      </w:r>
      <w:proofErr w:type="spellStart"/>
      <w:r w:rsidRPr="00657E59">
        <w:t>Athanassios</w:t>
      </w:r>
      <w:proofErr w:type="spellEnd"/>
      <w:r w:rsidRPr="00657E59">
        <w:t xml:space="preserve"> </w:t>
      </w:r>
      <w:proofErr w:type="spellStart"/>
      <w:r w:rsidRPr="00657E59">
        <w:t>Industrial</w:t>
      </w:r>
      <w:proofErr w:type="spellEnd"/>
      <w:r w:rsidRPr="00657E59">
        <w:t xml:space="preserve"> </w:t>
      </w:r>
      <w:proofErr w:type="spellStart"/>
      <w:r w:rsidRPr="00657E59">
        <w:t>Area</w:t>
      </w:r>
      <w:proofErr w:type="spellEnd"/>
      <w:r w:rsidRPr="00657E59">
        <w:t>, 4101</w:t>
      </w:r>
      <w:r w:rsidR="00095E77" w:rsidRPr="00657E59">
        <w:t> </w:t>
      </w:r>
      <w:proofErr w:type="spellStart"/>
      <w:r w:rsidRPr="00657E59">
        <w:t>Limassol</w:t>
      </w:r>
      <w:proofErr w:type="spellEnd"/>
      <w:r w:rsidR="00422202" w:rsidRPr="00657E59">
        <w:t xml:space="preserve">, </w:t>
      </w:r>
      <w:r w:rsidRPr="00657E59">
        <w:t xml:space="preserve">Cyprus </w:t>
      </w:r>
    </w:p>
    <w:p w:rsidR="00E25BCF" w:rsidRPr="00F73377" w:rsidRDefault="00E25BCF" w:rsidP="0054552F">
      <w:pPr>
        <w:pStyle w:val="Styl2"/>
        <w:rPr>
          <w:lang w:val="sk-SK"/>
        </w:rPr>
      </w:pPr>
      <w:r w:rsidRPr="00657E59">
        <w:rPr>
          <w:noProof w:val="0"/>
          <w:lang w:val="sk-SK"/>
        </w:rPr>
        <w:t>Táto písomná informácia</w:t>
      </w:r>
      <w:r w:rsidR="000C41CB" w:rsidRPr="00657E59">
        <w:rPr>
          <w:noProof w:val="0"/>
          <w:lang w:val="sk-SK"/>
        </w:rPr>
        <w:t xml:space="preserve"> </w:t>
      </w:r>
      <w:r w:rsidRPr="00657E59">
        <w:rPr>
          <w:noProof w:val="0"/>
          <w:lang w:val="sk-SK"/>
        </w:rPr>
        <w:t xml:space="preserve">bola naposledy </w:t>
      </w:r>
      <w:r w:rsidR="000C41CB" w:rsidRPr="00657E59">
        <w:rPr>
          <w:noProof w:val="0"/>
          <w:lang w:val="sk-SK"/>
        </w:rPr>
        <w:t>aktualizovaná v</w:t>
      </w:r>
      <w:r w:rsidR="00484E3D">
        <w:rPr>
          <w:noProof w:val="0"/>
          <w:lang w:val="sk-SK"/>
        </w:rPr>
        <w:t> 06/2018</w:t>
      </w:r>
      <w:bookmarkStart w:id="0" w:name="_GoBack"/>
      <w:bookmarkEnd w:id="0"/>
      <w:r w:rsidR="00E55426" w:rsidRPr="00657E59">
        <w:rPr>
          <w:noProof w:val="0"/>
          <w:lang w:val="sk-SK"/>
        </w:rPr>
        <w:t>.</w:t>
      </w:r>
    </w:p>
    <w:sectPr w:rsidR="00E25BCF" w:rsidRPr="00F73377" w:rsidSect="008315D8">
      <w:headerReference w:type="default" r:id="rId8"/>
      <w:footerReference w:type="default" r:id="rId9"/>
      <w:headerReference w:type="first" r:id="rId10"/>
      <w:footerReference w:type="first" r:id="rId11"/>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72D" w:rsidRDefault="008A272D" w:rsidP="00B31413">
      <w:pPr>
        <w:spacing w:after="0" w:line="240" w:lineRule="auto"/>
      </w:pPr>
      <w:r>
        <w:separator/>
      </w:r>
    </w:p>
  </w:endnote>
  <w:endnote w:type="continuationSeparator" w:id="0">
    <w:p w:rsidR="008A272D" w:rsidRDefault="008A272D" w:rsidP="00B31413">
      <w:pPr>
        <w:spacing w:after="0" w:line="240" w:lineRule="auto"/>
      </w:pPr>
      <w:r>
        <w:continuationSeparator/>
      </w:r>
    </w:p>
  </w:endnote>
  <w:endnote w:type="continuationNotice" w:id="1">
    <w:p w:rsidR="008A272D" w:rsidRDefault="008A272D">
      <w:pPr>
        <w:spacing w:after="0" w:line="240" w:lineRule="auto"/>
      </w:pPr>
    </w:p>
  </w:endnote>
</w:endnotes>
</file>

<file path=word/fontTable.xml><?xml version="1.0" encoding="utf-8"?>
<w:fonts xmlns:r="http://schemas.openxmlformats.org/officeDocument/2006/relationships" xmlns:w="http://schemas.openxmlformats.org/wordprocessingml/2006/main">
  <w:font w:name="TimesNewRoman">
    <w:altName w:val="Times New Roman"/>
    <w:panose1 w:val="00000000000000000000"/>
    <w:charset w:val="00"/>
    <w:family w:val="roman"/>
    <w:notTrueType/>
    <w:pitch w:val="default"/>
    <w:sig w:usb0="00000007" w:usb1="08070000" w:usb2="00000010" w:usb3="00000000" w:csb0="00020003"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ITC Garamond Bk AT">
    <w:altName w:val="Courier New"/>
    <w:charset w:val="00"/>
    <w:family w:val="auto"/>
    <w:pitch w:val="variable"/>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219" w:rsidRPr="00B31413" w:rsidRDefault="00B156AB" w:rsidP="00B31413">
    <w:pPr>
      <w:pStyle w:val="Pta"/>
      <w:jc w:val="center"/>
      <w:rPr>
        <w:rFonts w:ascii="Times New Roman" w:hAnsi="Times New Roman"/>
      </w:rPr>
    </w:pPr>
    <w:r w:rsidRPr="00B31413">
      <w:rPr>
        <w:rStyle w:val="slostrany"/>
        <w:rFonts w:ascii="Times New Roman" w:hAnsi="Times New Roman"/>
      </w:rPr>
      <w:fldChar w:fldCharType="begin"/>
    </w:r>
    <w:r w:rsidR="008C7219" w:rsidRPr="00B31413">
      <w:rPr>
        <w:rStyle w:val="slostrany"/>
        <w:rFonts w:ascii="Times New Roman" w:hAnsi="Times New Roman"/>
      </w:rPr>
      <w:instrText xml:space="preserve"> PAGE </w:instrText>
    </w:r>
    <w:r w:rsidRPr="00B31413">
      <w:rPr>
        <w:rStyle w:val="slostrany"/>
        <w:rFonts w:ascii="Times New Roman" w:hAnsi="Times New Roman"/>
      </w:rPr>
      <w:fldChar w:fldCharType="separate"/>
    </w:r>
    <w:r w:rsidR="00A83C77">
      <w:rPr>
        <w:rStyle w:val="slostrany"/>
        <w:rFonts w:ascii="Times New Roman" w:hAnsi="Times New Roman"/>
        <w:noProof/>
      </w:rPr>
      <w:t>1</w:t>
    </w:r>
    <w:r w:rsidRPr="00B31413">
      <w:rPr>
        <w:rStyle w:val="slostrany"/>
        <w:rFonts w:ascii="Times New Roman" w:hAnsi="Times New Roman"/>
      </w:rPr>
      <w:fldChar w:fldCharType="end"/>
    </w:r>
    <w:r w:rsidR="008C7219" w:rsidRPr="00B31413">
      <w:rPr>
        <w:rStyle w:val="slostrany"/>
        <w:rFonts w:ascii="Times New Roman" w:hAnsi="Times New Roman"/>
      </w:rPr>
      <w:t>/</w:t>
    </w:r>
    <w:r w:rsidRPr="00B31413">
      <w:rPr>
        <w:rStyle w:val="slostrany"/>
        <w:rFonts w:ascii="Times New Roman" w:hAnsi="Times New Roman"/>
      </w:rPr>
      <w:fldChar w:fldCharType="begin"/>
    </w:r>
    <w:r w:rsidR="008C7219" w:rsidRPr="00B31413">
      <w:rPr>
        <w:rStyle w:val="slostrany"/>
        <w:rFonts w:ascii="Times New Roman" w:hAnsi="Times New Roman"/>
      </w:rPr>
      <w:instrText xml:space="preserve"> NUMPAGES </w:instrText>
    </w:r>
    <w:r w:rsidRPr="00B31413">
      <w:rPr>
        <w:rStyle w:val="slostrany"/>
        <w:rFonts w:ascii="Times New Roman" w:hAnsi="Times New Roman"/>
      </w:rPr>
      <w:fldChar w:fldCharType="separate"/>
    </w:r>
    <w:r w:rsidR="00A83C77">
      <w:rPr>
        <w:rStyle w:val="slostrany"/>
        <w:rFonts w:ascii="Times New Roman" w:hAnsi="Times New Roman"/>
        <w:noProof/>
      </w:rPr>
      <w:t>5</w:t>
    </w:r>
    <w:r w:rsidRPr="00B31413">
      <w:rPr>
        <w:rStyle w:val="slostrany"/>
        <w:rFonts w:ascii="Times New Roman" w:hAnsi="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219" w:rsidRDefault="00B156AB" w:rsidP="00B31413">
    <w:pPr>
      <w:pStyle w:val="Pta"/>
      <w:jc w:val="center"/>
    </w:pPr>
    <w:r w:rsidRPr="00B31413">
      <w:rPr>
        <w:rStyle w:val="slostrany"/>
        <w:rFonts w:ascii="Times New Roman" w:hAnsi="Times New Roman"/>
      </w:rPr>
      <w:fldChar w:fldCharType="begin"/>
    </w:r>
    <w:r w:rsidR="008C7219" w:rsidRPr="00B31413">
      <w:rPr>
        <w:rStyle w:val="slostrany"/>
        <w:rFonts w:ascii="Times New Roman" w:hAnsi="Times New Roman"/>
      </w:rPr>
      <w:instrText xml:space="preserve"> PAGE </w:instrText>
    </w:r>
    <w:r w:rsidRPr="00B31413">
      <w:rPr>
        <w:rStyle w:val="slostrany"/>
        <w:rFonts w:ascii="Times New Roman" w:hAnsi="Times New Roman"/>
      </w:rPr>
      <w:fldChar w:fldCharType="separate"/>
    </w:r>
    <w:r w:rsidR="00657E59">
      <w:rPr>
        <w:rStyle w:val="slostrany"/>
        <w:rFonts w:ascii="Times New Roman" w:hAnsi="Times New Roman"/>
        <w:noProof/>
      </w:rPr>
      <w:t>1</w:t>
    </w:r>
    <w:r w:rsidRPr="00B31413">
      <w:rPr>
        <w:rStyle w:val="slostrany"/>
        <w:rFonts w:ascii="Times New Roman" w:hAnsi="Times New Roman"/>
      </w:rPr>
      <w:fldChar w:fldCharType="end"/>
    </w:r>
    <w:r w:rsidR="008C7219" w:rsidRPr="00B31413">
      <w:rPr>
        <w:rStyle w:val="slostrany"/>
        <w:rFonts w:ascii="Times New Roman" w:hAnsi="Times New Roman"/>
      </w:rPr>
      <w:t>/</w:t>
    </w:r>
    <w:r w:rsidRPr="00B31413">
      <w:rPr>
        <w:rStyle w:val="slostrany"/>
        <w:rFonts w:ascii="Times New Roman" w:hAnsi="Times New Roman"/>
      </w:rPr>
      <w:fldChar w:fldCharType="begin"/>
    </w:r>
    <w:r w:rsidR="008C7219" w:rsidRPr="00B31413">
      <w:rPr>
        <w:rStyle w:val="slostrany"/>
        <w:rFonts w:ascii="Times New Roman" w:hAnsi="Times New Roman"/>
      </w:rPr>
      <w:instrText xml:space="preserve"> NUMPAGES </w:instrText>
    </w:r>
    <w:r w:rsidRPr="00B31413">
      <w:rPr>
        <w:rStyle w:val="slostrany"/>
        <w:rFonts w:ascii="Times New Roman" w:hAnsi="Times New Roman"/>
      </w:rPr>
      <w:fldChar w:fldCharType="separate"/>
    </w:r>
    <w:r w:rsidR="00A83C77">
      <w:rPr>
        <w:rStyle w:val="slostrany"/>
        <w:rFonts w:ascii="Times New Roman" w:hAnsi="Times New Roman"/>
        <w:noProof/>
      </w:rPr>
      <w:t>5</w:t>
    </w:r>
    <w:r w:rsidRPr="00B31413">
      <w:rPr>
        <w:rStyle w:val="slostrany"/>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72D" w:rsidRDefault="008A272D" w:rsidP="00B31413">
      <w:pPr>
        <w:spacing w:after="0" w:line="240" w:lineRule="auto"/>
      </w:pPr>
      <w:r>
        <w:separator/>
      </w:r>
    </w:p>
  </w:footnote>
  <w:footnote w:type="continuationSeparator" w:id="0">
    <w:p w:rsidR="008A272D" w:rsidRDefault="008A272D" w:rsidP="00B31413">
      <w:pPr>
        <w:spacing w:after="0" w:line="240" w:lineRule="auto"/>
      </w:pPr>
      <w:r>
        <w:continuationSeparator/>
      </w:r>
    </w:p>
  </w:footnote>
  <w:footnote w:type="continuationNotice" w:id="1">
    <w:p w:rsidR="008A272D" w:rsidRDefault="008A272D">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5D8" w:rsidRPr="008315D8" w:rsidRDefault="008315D8">
    <w:pPr>
      <w:pStyle w:val="Hlavika"/>
      <w:rPr>
        <w:rFonts w:ascii="Times New Roman" w:hAnsi="Times New Roman"/>
        <w:sz w:val="18"/>
        <w:szCs w:val="18"/>
        <w:lang w:val="cs-CZ"/>
      </w:rPr>
    </w:pPr>
    <w:r w:rsidRPr="008315D8">
      <w:rPr>
        <w:rFonts w:ascii="Times New Roman" w:hAnsi="Times New Roman"/>
        <w:sz w:val="18"/>
        <w:szCs w:val="18"/>
        <w:lang w:val="cs-CZ"/>
      </w:rPr>
      <w:t>Schválený text k </w:t>
    </w:r>
    <w:proofErr w:type="spellStart"/>
    <w:r w:rsidRPr="008315D8">
      <w:rPr>
        <w:rFonts w:ascii="Times New Roman" w:hAnsi="Times New Roman"/>
        <w:sz w:val="18"/>
        <w:szCs w:val="18"/>
        <w:lang w:val="cs-CZ"/>
      </w:rPr>
      <w:t>rozhodnutiu</w:t>
    </w:r>
    <w:proofErr w:type="spellEnd"/>
    <w:r w:rsidRPr="008315D8">
      <w:rPr>
        <w:rFonts w:ascii="Times New Roman" w:hAnsi="Times New Roman"/>
        <w:sz w:val="18"/>
        <w:szCs w:val="18"/>
        <w:lang w:val="cs-CZ"/>
      </w:rPr>
      <w:t xml:space="preserve"> o </w:t>
    </w:r>
    <w:proofErr w:type="spellStart"/>
    <w:r w:rsidRPr="008315D8">
      <w:rPr>
        <w:rFonts w:ascii="Times New Roman" w:hAnsi="Times New Roman"/>
        <w:sz w:val="18"/>
        <w:szCs w:val="18"/>
        <w:lang w:val="cs-CZ"/>
      </w:rPr>
      <w:t>prevode</w:t>
    </w:r>
    <w:proofErr w:type="spellEnd"/>
    <w:r w:rsidRPr="008315D8">
      <w:rPr>
        <w:rFonts w:ascii="Times New Roman" w:hAnsi="Times New Roman"/>
        <w:sz w:val="18"/>
        <w:szCs w:val="18"/>
        <w:lang w:val="cs-CZ"/>
      </w:rPr>
      <w:t xml:space="preserve">, </w:t>
    </w:r>
    <w:proofErr w:type="spellStart"/>
    <w:r w:rsidRPr="008315D8">
      <w:rPr>
        <w:rFonts w:ascii="Times New Roman" w:hAnsi="Times New Roman"/>
        <w:sz w:val="18"/>
        <w:szCs w:val="18"/>
        <w:lang w:val="cs-CZ"/>
      </w:rPr>
      <w:t>ev</w:t>
    </w:r>
    <w:proofErr w:type="spellEnd"/>
    <w:r w:rsidRPr="008315D8">
      <w:rPr>
        <w:rFonts w:ascii="Times New Roman" w:hAnsi="Times New Roman"/>
        <w:sz w:val="18"/>
        <w:szCs w:val="18"/>
        <w:lang w:val="cs-CZ"/>
      </w:rPr>
      <w:t>. č.:</w:t>
    </w:r>
    <w:r w:rsidR="00713D4F">
      <w:rPr>
        <w:rFonts w:ascii="Times New Roman" w:hAnsi="Times New Roman"/>
        <w:sz w:val="18"/>
        <w:szCs w:val="18"/>
        <w:lang w:val="cs-CZ"/>
      </w:rPr>
      <w:t xml:space="preserve"> 2018/03581-TR</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4A6" w:rsidRDefault="00422202">
    <w:pPr>
      <w:rPr>
        <w:rFonts w:ascii="Times New Roman" w:eastAsia="Times New Roman" w:hAnsi="Times New Roman"/>
        <w:sz w:val="18"/>
        <w:szCs w:val="18"/>
        <w:lang w:val="sk-SK"/>
      </w:rPr>
    </w:pPr>
    <w:proofErr w:type="spellStart"/>
    <w:r w:rsidRPr="00422202">
      <w:rPr>
        <w:rFonts w:ascii="Times New Roman" w:hAnsi="Times New Roman"/>
        <w:sz w:val="18"/>
        <w:szCs w:val="18"/>
      </w:rPr>
      <w:t>Príloha</w:t>
    </w:r>
    <w:proofErr w:type="spellEnd"/>
    <w:r w:rsidRPr="00422202">
      <w:rPr>
        <w:rFonts w:ascii="Times New Roman" w:hAnsi="Times New Roman"/>
        <w:sz w:val="18"/>
        <w:szCs w:val="18"/>
      </w:rPr>
      <w:t xml:space="preserve"> č. 2 k </w:t>
    </w:r>
    <w:proofErr w:type="spellStart"/>
    <w:r w:rsidRPr="00422202">
      <w:rPr>
        <w:rFonts w:ascii="Times New Roman" w:hAnsi="Times New Roman"/>
        <w:sz w:val="18"/>
        <w:szCs w:val="18"/>
      </w:rPr>
      <w:t>notifikácii</w:t>
    </w:r>
    <w:proofErr w:type="spellEnd"/>
    <w:r w:rsidRPr="00422202">
      <w:rPr>
        <w:rFonts w:ascii="Times New Roman" w:hAnsi="Times New Roman"/>
        <w:sz w:val="18"/>
        <w:szCs w:val="18"/>
      </w:rPr>
      <w:t xml:space="preserve"> o </w:t>
    </w:r>
    <w:proofErr w:type="spellStart"/>
    <w:r w:rsidRPr="00422202">
      <w:rPr>
        <w:rFonts w:ascii="Times New Roman" w:hAnsi="Times New Roman"/>
        <w:sz w:val="18"/>
        <w:szCs w:val="18"/>
      </w:rPr>
      <w:t>zmene</w:t>
    </w:r>
    <w:proofErr w:type="spellEnd"/>
    <w:r w:rsidRPr="00422202">
      <w:rPr>
        <w:rFonts w:ascii="Times New Roman" w:hAnsi="Times New Roman"/>
        <w:sz w:val="18"/>
        <w:szCs w:val="18"/>
      </w:rPr>
      <w:t xml:space="preserve">, </w:t>
    </w:r>
    <w:proofErr w:type="spellStart"/>
    <w:r w:rsidRPr="00422202">
      <w:rPr>
        <w:rFonts w:ascii="Times New Roman" w:hAnsi="Times New Roman"/>
        <w:sz w:val="18"/>
        <w:szCs w:val="18"/>
      </w:rPr>
      <w:t>ev</w:t>
    </w:r>
    <w:proofErr w:type="spellEnd"/>
    <w:r w:rsidRPr="00422202">
      <w:rPr>
        <w:rFonts w:ascii="Times New Roman" w:hAnsi="Times New Roman"/>
        <w:sz w:val="18"/>
        <w:szCs w:val="18"/>
      </w:rPr>
      <w:t>. č.: 2017/00279-Z1A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94447"/>
    <w:multiLevelType w:val="hybridMultilevel"/>
    <w:tmpl w:val="B53C6418"/>
    <w:lvl w:ilvl="0" w:tplc="2CECE070">
      <w:start w:val="1"/>
      <w:numFmt w:val="bullet"/>
      <w:lvlText w:val="-"/>
      <w:lvlJc w:val="left"/>
      <w:pPr>
        <w:ind w:left="720" w:hanging="360"/>
      </w:pPr>
      <w:rPr>
        <w:rFonts w:ascii="TimesNewRoman" w:eastAsia="Times New Roman" w:hAnsi="TimesNew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74C7DB5"/>
    <w:multiLevelType w:val="hybridMultilevel"/>
    <w:tmpl w:val="A63A8B70"/>
    <w:lvl w:ilvl="0" w:tplc="ECDA2B46">
      <w:start w:val="1"/>
      <w:numFmt w:val="bullet"/>
      <w:pStyle w:val="Normlndoblokusodrkami"/>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EBA28EF"/>
    <w:multiLevelType w:val="hybridMultilevel"/>
    <w:tmpl w:val="1EECBB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448F6C9D"/>
    <w:multiLevelType w:val="hybridMultilevel"/>
    <w:tmpl w:val="11F43370"/>
    <w:lvl w:ilvl="0" w:tplc="CEDA10D0">
      <w:start w:val="1"/>
      <w:numFmt w:val="bullet"/>
      <w:lvlText w:val="o"/>
      <w:lvlJc w:val="left"/>
      <w:pPr>
        <w:tabs>
          <w:tab w:val="num" w:pos="720"/>
        </w:tabs>
        <w:ind w:left="720" w:hanging="360"/>
      </w:pPr>
      <w:rPr>
        <w:rFonts w:ascii="Courier New" w:hAnsi="Courier New" w:cs="Courier New"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nsid w:val="4A1676D7"/>
    <w:multiLevelType w:val="hybridMultilevel"/>
    <w:tmpl w:val="BCACBC80"/>
    <w:lvl w:ilvl="0" w:tplc="88E8C448">
      <w:start w:val="1"/>
      <w:numFmt w:val="bullet"/>
      <w:pStyle w:val="tlNormlndoblokusodrkamiPrvriadok0cm"/>
      <w:lvlText w:val=""/>
      <w:lvlJc w:val="left"/>
      <w:pPr>
        <w:tabs>
          <w:tab w:val="num" w:pos="720"/>
        </w:tabs>
        <w:ind w:left="72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nsid w:val="5CAF6D8B"/>
    <w:multiLevelType w:val="multilevel"/>
    <w:tmpl w:val="096CC4A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61CE5EF6"/>
    <w:multiLevelType w:val="multilevel"/>
    <w:tmpl w:val="5AB0A8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680"/>
        </w:tabs>
        <w:ind w:left="4680" w:hanging="1800"/>
      </w:pPr>
      <w:rPr>
        <w:rFonts w:hint="default"/>
      </w:rPr>
    </w:lvl>
    <w:lvl w:ilvl="8">
      <w:start w:val="1"/>
      <w:numFmt w:val="decimal"/>
      <w:lvlText w:val="%1.%2.%3.%4.%5.%6.%7.%8.%9"/>
      <w:lvlJc w:val="left"/>
      <w:pPr>
        <w:tabs>
          <w:tab w:val="num" w:pos="5400"/>
        </w:tabs>
        <w:ind w:left="5400" w:hanging="2160"/>
      </w:pPr>
      <w:rPr>
        <w:rFonts w:hint="default"/>
      </w:rPr>
    </w:lvl>
  </w:abstractNum>
  <w:abstractNum w:abstractNumId="7">
    <w:nsid w:val="63F572B3"/>
    <w:multiLevelType w:val="hybridMultilevel"/>
    <w:tmpl w:val="0C7073C8"/>
    <w:lvl w:ilvl="0" w:tplc="EECA4E36">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nsid w:val="69C741DD"/>
    <w:multiLevelType w:val="multilevel"/>
    <w:tmpl w:val="453A3854"/>
    <w:styleLink w:val="tlViacrovovTun"/>
    <w:lvl w:ilvl="0">
      <w:start w:val="3"/>
      <w:numFmt w:val="decimal"/>
      <w:lvlText w:val="%1."/>
      <w:lvlJc w:val="left"/>
      <w:pPr>
        <w:ind w:left="360" w:hanging="360"/>
      </w:pPr>
      <w:rPr>
        <w:rFonts w:cs="Times New Roman"/>
        <w:b/>
      </w:rPr>
    </w:lvl>
    <w:lvl w:ilvl="1">
      <w:start w:val="1"/>
      <w:numFmt w:val="decimal"/>
      <w:lvlText w:val="%1.%2."/>
      <w:lvlJc w:val="left"/>
      <w:pPr>
        <w:ind w:left="792" w:hanging="432"/>
      </w:pPr>
      <w:rPr>
        <w:b/>
        <w:bCs/>
        <w:sz w:val="24"/>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6AAD4AA7"/>
    <w:multiLevelType w:val="multilevel"/>
    <w:tmpl w:val="BCF6A780"/>
    <w:lvl w:ilvl="0">
      <w:start w:val="1"/>
      <w:numFmt w:val="decimal"/>
      <w:pStyle w:val="Styl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9"/>
  </w:num>
  <w:num w:numId="3">
    <w:abstractNumId w:val="8"/>
  </w:num>
  <w:num w:numId="4">
    <w:abstractNumId w:val="3"/>
  </w:num>
  <w:num w:numId="5">
    <w:abstractNumId w:val="5"/>
  </w:num>
  <w:num w:numId="6">
    <w:abstractNumId w:val="4"/>
  </w:num>
  <w:num w:numId="7">
    <w:abstractNumId w:val="7"/>
  </w:num>
  <w:num w:numId="8">
    <w:abstractNumId w:val="2"/>
  </w:num>
  <w:num w:numId="9">
    <w:abstractNumId w:val="1"/>
  </w:num>
  <w:num w:numId="10">
    <w:abstractNumId w:val="9"/>
  </w:num>
  <w:num w:numId="11">
    <w:abstractNumId w:val="9"/>
  </w:num>
  <w:num w:numId="12">
    <w:abstractNumId w:val="6"/>
  </w:num>
  <w:num w:numId="13">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uskova">
    <w15:presenceInfo w15:providerId="None" w15:userId="matuskov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601"/>
  <w:trackRevisions/>
  <w:doNotTrackMoves/>
  <w:defaultTabStop w:val="708"/>
  <w:hyphenationZone w:val="425"/>
  <w:characterSpacingControl w:val="doNotCompress"/>
  <w:hdrShapeDefaults>
    <o:shapedefaults v:ext="edit" spidmax="16386"/>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C28AC"/>
    <w:rsid w:val="000149CC"/>
    <w:rsid w:val="00014CAE"/>
    <w:rsid w:val="00016068"/>
    <w:rsid w:val="00027D31"/>
    <w:rsid w:val="000328EA"/>
    <w:rsid w:val="00034CF3"/>
    <w:rsid w:val="00040ED0"/>
    <w:rsid w:val="00041FF9"/>
    <w:rsid w:val="00044169"/>
    <w:rsid w:val="000474A6"/>
    <w:rsid w:val="000478C7"/>
    <w:rsid w:val="0005254E"/>
    <w:rsid w:val="00056833"/>
    <w:rsid w:val="00057787"/>
    <w:rsid w:val="0007390F"/>
    <w:rsid w:val="00081019"/>
    <w:rsid w:val="000843EF"/>
    <w:rsid w:val="00084581"/>
    <w:rsid w:val="0008620F"/>
    <w:rsid w:val="00095E77"/>
    <w:rsid w:val="000A357E"/>
    <w:rsid w:val="000C03D3"/>
    <w:rsid w:val="000C04F9"/>
    <w:rsid w:val="000C08FB"/>
    <w:rsid w:val="000C41CB"/>
    <w:rsid w:val="000C755F"/>
    <w:rsid w:val="000E39BA"/>
    <w:rsid w:val="000E43E7"/>
    <w:rsid w:val="000E798E"/>
    <w:rsid w:val="00103970"/>
    <w:rsid w:val="001075D6"/>
    <w:rsid w:val="00117585"/>
    <w:rsid w:val="00120690"/>
    <w:rsid w:val="00120C4A"/>
    <w:rsid w:val="00121E1F"/>
    <w:rsid w:val="00126AFF"/>
    <w:rsid w:val="00130B72"/>
    <w:rsid w:val="00141AD6"/>
    <w:rsid w:val="00160AAC"/>
    <w:rsid w:val="00161442"/>
    <w:rsid w:val="00164B48"/>
    <w:rsid w:val="0017353D"/>
    <w:rsid w:val="00176DE9"/>
    <w:rsid w:val="00177BA5"/>
    <w:rsid w:val="00180237"/>
    <w:rsid w:val="00180888"/>
    <w:rsid w:val="00184A00"/>
    <w:rsid w:val="001A1CBE"/>
    <w:rsid w:val="001A3FDC"/>
    <w:rsid w:val="001A4A8F"/>
    <w:rsid w:val="001A69F9"/>
    <w:rsid w:val="001B0109"/>
    <w:rsid w:val="001B184F"/>
    <w:rsid w:val="001B6528"/>
    <w:rsid w:val="001B7F15"/>
    <w:rsid w:val="001C0064"/>
    <w:rsid w:val="001C303A"/>
    <w:rsid w:val="001D7710"/>
    <w:rsid w:val="001E0B63"/>
    <w:rsid w:val="001E15DC"/>
    <w:rsid w:val="001E1F0F"/>
    <w:rsid w:val="001E243C"/>
    <w:rsid w:val="001E65EA"/>
    <w:rsid w:val="001E6695"/>
    <w:rsid w:val="001F3154"/>
    <w:rsid w:val="001F5B93"/>
    <w:rsid w:val="001F6356"/>
    <w:rsid w:val="001F6CAC"/>
    <w:rsid w:val="0020304B"/>
    <w:rsid w:val="002036FF"/>
    <w:rsid w:val="00207D86"/>
    <w:rsid w:val="00210B45"/>
    <w:rsid w:val="00214FB5"/>
    <w:rsid w:val="00215BF9"/>
    <w:rsid w:val="00230D58"/>
    <w:rsid w:val="00232EF2"/>
    <w:rsid w:val="002340BC"/>
    <w:rsid w:val="0024759D"/>
    <w:rsid w:val="002618D0"/>
    <w:rsid w:val="00267958"/>
    <w:rsid w:val="002807AD"/>
    <w:rsid w:val="0028741A"/>
    <w:rsid w:val="00287D57"/>
    <w:rsid w:val="00287ED9"/>
    <w:rsid w:val="00290D19"/>
    <w:rsid w:val="00295BC4"/>
    <w:rsid w:val="00296D11"/>
    <w:rsid w:val="002A5B0B"/>
    <w:rsid w:val="002B4828"/>
    <w:rsid w:val="002B6B19"/>
    <w:rsid w:val="002C13A4"/>
    <w:rsid w:val="002C1FAD"/>
    <w:rsid w:val="002D5F73"/>
    <w:rsid w:val="002D63DC"/>
    <w:rsid w:val="002E096C"/>
    <w:rsid w:val="002E4932"/>
    <w:rsid w:val="002F0A24"/>
    <w:rsid w:val="002F2C85"/>
    <w:rsid w:val="00305285"/>
    <w:rsid w:val="003134B5"/>
    <w:rsid w:val="0031458A"/>
    <w:rsid w:val="00325AA7"/>
    <w:rsid w:val="003335E3"/>
    <w:rsid w:val="003352D4"/>
    <w:rsid w:val="00340039"/>
    <w:rsid w:val="003401DC"/>
    <w:rsid w:val="00343DCA"/>
    <w:rsid w:val="00345205"/>
    <w:rsid w:val="003466FE"/>
    <w:rsid w:val="00367804"/>
    <w:rsid w:val="0038098D"/>
    <w:rsid w:val="003909EE"/>
    <w:rsid w:val="00397C1A"/>
    <w:rsid w:val="003A1534"/>
    <w:rsid w:val="003A3103"/>
    <w:rsid w:val="003A56EF"/>
    <w:rsid w:val="003A704C"/>
    <w:rsid w:val="003B4788"/>
    <w:rsid w:val="003C225A"/>
    <w:rsid w:val="003F404F"/>
    <w:rsid w:val="003F60BA"/>
    <w:rsid w:val="0040350A"/>
    <w:rsid w:val="004071DC"/>
    <w:rsid w:val="00411A9F"/>
    <w:rsid w:val="00422130"/>
    <w:rsid w:val="00422202"/>
    <w:rsid w:val="0042263B"/>
    <w:rsid w:val="00427757"/>
    <w:rsid w:val="00430FCA"/>
    <w:rsid w:val="00436710"/>
    <w:rsid w:val="00456A06"/>
    <w:rsid w:val="004602FC"/>
    <w:rsid w:val="0046163B"/>
    <w:rsid w:val="00462693"/>
    <w:rsid w:val="00466720"/>
    <w:rsid w:val="0047262C"/>
    <w:rsid w:val="00484E3D"/>
    <w:rsid w:val="00485AE3"/>
    <w:rsid w:val="0049316A"/>
    <w:rsid w:val="00494BBB"/>
    <w:rsid w:val="00495173"/>
    <w:rsid w:val="004A0FBA"/>
    <w:rsid w:val="004A588B"/>
    <w:rsid w:val="004A5BA9"/>
    <w:rsid w:val="004A5F8B"/>
    <w:rsid w:val="004A685D"/>
    <w:rsid w:val="004A68A2"/>
    <w:rsid w:val="004B17B1"/>
    <w:rsid w:val="004B4229"/>
    <w:rsid w:val="004D00F4"/>
    <w:rsid w:val="005155F7"/>
    <w:rsid w:val="00515C93"/>
    <w:rsid w:val="00516AAD"/>
    <w:rsid w:val="00516D97"/>
    <w:rsid w:val="00520BC7"/>
    <w:rsid w:val="00522097"/>
    <w:rsid w:val="00525F7C"/>
    <w:rsid w:val="00540BBB"/>
    <w:rsid w:val="0054552F"/>
    <w:rsid w:val="00554F49"/>
    <w:rsid w:val="00555C8E"/>
    <w:rsid w:val="00560FEB"/>
    <w:rsid w:val="0057001E"/>
    <w:rsid w:val="005729C1"/>
    <w:rsid w:val="005755C6"/>
    <w:rsid w:val="00580667"/>
    <w:rsid w:val="00580AF1"/>
    <w:rsid w:val="005A55C0"/>
    <w:rsid w:val="005A6D57"/>
    <w:rsid w:val="005B43E6"/>
    <w:rsid w:val="005D4E7B"/>
    <w:rsid w:val="005E24B7"/>
    <w:rsid w:val="005E33D6"/>
    <w:rsid w:val="005F1F62"/>
    <w:rsid w:val="005F3A4E"/>
    <w:rsid w:val="005F680D"/>
    <w:rsid w:val="00600B6F"/>
    <w:rsid w:val="00601A7B"/>
    <w:rsid w:val="006058E5"/>
    <w:rsid w:val="00615EF0"/>
    <w:rsid w:val="006171F0"/>
    <w:rsid w:val="006175A5"/>
    <w:rsid w:val="00622D60"/>
    <w:rsid w:val="00627699"/>
    <w:rsid w:val="006333EE"/>
    <w:rsid w:val="00634E6C"/>
    <w:rsid w:val="006403B9"/>
    <w:rsid w:val="006403E8"/>
    <w:rsid w:val="00640FE3"/>
    <w:rsid w:val="00647B6D"/>
    <w:rsid w:val="0065390A"/>
    <w:rsid w:val="00657E59"/>
    <w:rsid w:val="00660EC2"/>
    <w:rsid w:val="006622EE"/>
    <w:rsid w:val="00667AAB"/>
    <w:rsid w:val="00667DD3"/>
    <w:rsid w:val="00674728"/>
    <w:rsid w:val="00677FB9"/>
    <w:rsid w:val="006836B3"/>
    <w:rsid w:val="006941B0"/>
    <w:rsid w:val="00696B6E"/>
    <w:rsid w:val="006A0611"/>
    <w:rsid w:val="006A4160"/>
    <w:rsid w:val="006A5DF8"/>
    <w:rsid w:val="006A637F"/>
    <w:rsid w:val="006B23E8"/>
    <w:rsid w:val="006C0C31"/>
    <w:rsid w:val="006C40EF"/>
    <w:rsid w:val="006C5736"/>
    <w:rsid w:val="006C6375"/>
    <w:rsid w:val="006E1CA7"/>
    <w:rsid w:val="006E3ADE"/>
    <w:rsid w:val="006E6154"/>
    <w:rsid w:val="006F40D5"/>
    <w:rsid w:val="006F469D"/>
    <w:rsid w:val="006F5F3A"/>
    <w:rsid w:val="00701DB1"/>
    <w:rsid w:val="0070262A"/>
    <w:rsid w:val="00713D4F"/>
    <w:rsid w:val="007201E7"/>
    <w:rsid w:val="0072388D"/>
    <w:rsid w:val="0072451A"/>
    <w:rsid w:val="0072710C"/>
    <w:rsid w:val="007325FD"/>
    <w:rsid w:val="00735135"/>
    <w:rsid w:val="00742B8B"/>
    <w:rsid w:val="00754FBB"/>
    <w:rsid w:val="00755935"/>
    <w:rsid w:val="00770E67"/>
    <w:rsid w:val="007714D5"/>
    <w:rsid w:val="007760A4"/>
    <w:rsid w:val="0078240C"/>
    <w:rsid w:val="007869A4"/>
    <w:rsid w:val="00794079"/>
    <w:rsid w:val="00797955"/>
    <w:rsid w:val="00797B2A"/>
    <w:rsid w:val="007A24E8"/>
    <w:rsid w:val="007B62DF"/>
    <w:rsid w:val="007C2371"/>
    <w:rsid w:val="007D33DE"/>
    <w:rsid w:val="007D3A0E"/>
    <w:rsid w:val="007E10F0"/>
    <w:rsid w:val="007E11CE"/>
    <w:rsid w:val="007F1EF7"/>
    <w:rsid w:val="008032E5"/>
    <w:rsid w:val="00806302"/>
    <w:rsid w:val="008149A3"/>
    <w:rsid w:val="00815684"/>
    <w:rsid w:val="00823AC9"/>
    <w:rsid w:val="00827C3B"/>
    <w:rsid w:val="008315D8"/>
    <w:rsid w:val="00833A49"/>
    <w:rsid w:val="00835352"/>
    <w:rsid w:val="008428F5"/>
    <w:rsid w:val="00847D2C"/>
    <w:rsid w:val="0086146C"/>
    <w:rsid w:val="008625DE"/>
    <w:rsid w:val="0086683D"/>
    <w:rsid w:val="0086757B"/>
    <w:rsid w:val="008762E7"/>
    <w:rsid w:val="00884B4B"/>
    <w:rsid w:val="00885D4D"/>
    <w:rsid w:val="00894410"/>
    <w:rsid w:val="008A2212"/>
    <w:rsid w:val="008A272D"/>
    <w:rsid w:val="008A317B"/>
    <w:rsid w:val="008A41CC"/>
    <w:rsid w:val="008A4BC2"/>
    <w:rsid w:val="008B3EA0"/>
    <w:rsid w:val="008B4B00"/>
    <w:rsid w:val="008B6F5C"/>
    <w:rsid w:val="008C0B90"/>
    <w:rsid w:val="008C7219"/>
    <w:rsid w:val="008E18CC"/>
    <w:rsid w:val="008E6E40"/>
    <w:rsid w:val="008F3392"/>
    <w:rsid w:val="009014B7"/>
    <w:rsid w:val="00906C06"/>
    <w:rsid w:val="00907A1C"/>
    <w:rsid w:val="00926C5C"/>
    <w:rsid w:val="00927286"/>
    <w:rsid w:val="00927363"/>
    <w:rsid w:val="00932685"/>
    <w:rsid w:val="00952775"/>
    <w:rsid w:val="009655A5"/>
    <w:rsid w:val="00966889"/>
    <w:rsid w:val="00972039"/>
    <w:rsid w:val="00974F95"/>
    <w:rsid w:val="00987D3E"/>
    <w:rsid w:val="00994699"/>
    <w:rsid w:val="00996AC6"/>
    <w:rsid w:val="00997349"/>
    <w:rsid w:val="009A149C"/>
    <w:rsid w:val="009B365A"/>
    <w:rsid w:val="009B4C08"/>
    <w:rsid w:val="009C47F7"/>
    <w:rsid w:val="009C74B9"/>
    <w:rsid w:val="009E2291"/>
    <w:rsid w:val="009E431D"/>
    <w:rsid w:val="009E6F0E"/>
    <w:rsid w:val="009F59DF"/>
    <w:rsid w:val="00A034E0"/>
    <w:rsid w:val="00A0415B"/>
    <w:rsid w:val="00A06434"/>
    <w:rsid w:val="00A15D78"/>
    <w:rsid w:val="00A3768A"/>
    <w:rsid w:val="00A40335"/>
    <w:rsid w:val="00A41EB0"/>
    <w:rsid w:val="00A4347E"/>
    <w:rsid w:val="00A4376C"/>
    <w:rsid w:val="00A5557B"/>
    <w:rsid w:val="00A57628"/>
    <w:rsid w:val="00A629F3"/>
    <w:rsid w:val="00A72ADA"/>
    <w:rsid w:val="00A75EFF"/>
    <w:rsid w:val="00A8051C"/>
    <w:rsid w:val="00A83C77"/>
    <w:rsid w:val="00A84399"/>
    <w:rsid w:val="00A96229"/>
    <w:rsid w:val="00AB7356"/>
    <w:rsid w:val="00AD3392"/>
    <w:rsid w:val="00AD34D0"/>
    <w:rsid w:val="00AD3509"/>
    <w:rsid w:val="00AD6E60"/>
    <w:rsid w:val="00AE048C"/>
    <w:rsid w:val="00AE048E"/>
    <w:rsid w:val="00B05377"/>
    <w:rsid w:val="00B05A52"/>
    <w:rsid w:val="00B155D7"/>
    <w:rsid w:val="00B156AB"/>
    <w:rsid w:val="00B21F4E"/>
    <w:rsid w:val="00B30945"/>
    <w:rsid w:val="00B31413"/>
    <w:rsid w:val="00B41AAE"/>
    <w:rsid w:val="00B47B21"/>
    <w:rsid w:val="00B5169E"/>
    <w:rsid w:val="00B54033"/>
    <w:rsid w:val="00B55464"/>
    <w:rsid w:val="00B554D1"/>
    <w:rsid w:val="00B556D1"/>
    <w:rsid w:val="00B64D14"/>
    <w:rsid w:val="00B65560"/>
    <w:rsid w:val="00B8645E"/>
    <w:rsid w:val="00B948A1"/>
    <w:rsid w:val="00B95F4C"/>
    <w:rsid w:val="00BA47D9"/>
    <w:rsid w:val="00BA6755"/>
    <w:rsid w:val="00BA7816"/>
    <w:rsid w:val="00BB0DF2"/>
    <w:rsid w:val="00BB4015"/>
    <w:rsid w:val="00BB4272"/>
    <w:rsid w:val="00BD0382"/>
    <w:rsid w:val="00BD63BF"/>
    <w:rsid w:val="00BE07FA"/>
    <w:rsid w:val="00BE5FCD"/>
    <w:rsid w:val="00BE67B6"/>
    <w:rsid w:val="00BF0982"/>
    <w:rsid w:val="00BF43F7"/>
    <w:rsid w:val="00C00685"/>
    <w:rsid w:val="00C00F8E"/>
    <w:rsid w:val="00C03B7D"/>
    <w:rsid w:val="00C055BF"/>
    <w:rsid w:val="00C13EE2"/>
    <w:rsid w:val="00C15E92"/>
    <w:rsid w:val="00C17D2C"/>
    <w:rsid w:val="00C20A80"/>
    <w:rsid w:val="00C218A4"/>
    <w:rsid w:val="00C26827"/>
    <w:rsid w:val="00C27470"/>
    <w:rsid w:val="00C34E8E"/>
    <w:rsid w:val="00C360D4"/>
    <w:rsid w:val="00C42460"/>
    <w:rsid w:val="00C527FF"/>
    <w:rsid w:val="00C549DB"/>
    <w:rsid w:val="00C5641C"/>
    <w:rsid w:val="00C61940"/>
    <w:rsid w:val="00C6443C"/>
    <w:rsid w:val="00C65BBD"/>
    <w:rsid w:val="00C661BD"/>
    <w:rsid w:val="00C67ABE"/>
    <w:rsid w:val="00C67AE1"/>
    <w:rsid w:val="00C71B87"/>
    <w:rsid w:val="00C75178"/>
    <w:rsid w:val="00C7592A"/>
    <w:rsid w:val="00C8087A"/>
    <w:rsid w:val="00C81704"/>
    <w:rsid w:val="00CA38E9"/>
    <w:rsid w:val="00CA69B7"/>
    <w:rsid w:val="00CA7789"/>
    <w:rsid w:val="00CC1A04"/>
    <w:rsid w:val="00CC206A"/>
    <w:rsid w:val="00CC5E8F"/>
    <w:rsid w:val="00CD09D6"/>
    <w:rsid w:val="00CD329D"/>
    <w:rsid w:val="00CF2FCC"/>
    <w:rsid w:val="00CF5A4B"/>
    <w:rsid w:val="00D04A7B"/>
    <w:rsid w:val="00D326B2"/>
    <w:rsid w:val="00D35013"/>
    <w:rsid w:val="00D36429"/>
    <w:rsid w:val="00D37F05"/>
    <w:rsid w:val="00D430CD"/>
    <w:rsid w:val="00D46318"/>
    <w:rsid w:val="00D47982"/>
    <w:rsid w:val="00D52AD2"/>
    <w:rsid w:val="00D54AF6"/>
    <w:rsid w:val="00D56645"/>
    <w:rsid w:val="00D6553F"/>
    <w:rsid w:val="00D6644F"/>
    <w:rsid w:val="00D67B9B"/>
    <w:rsid w:val="00D742CC"/>
    <w:rsid w:val="00D81135"/>
    <w:rsid w:val="00D827E0"/>
    <w:rsid w:val="00D95284"/>
    <w:rsid w:val="00DA3B8B"/>
    <w:rsid w:val="00DB7278"/>
    <w:rsid w:val="00DC12D8"/>
    <w:rsid w:val="00DC1FC8"/>
    <w:rsid w:val="00DC28AC"/>
    <w:rsid w:val="00DC2B2D"/>
    <w:rsid w:val="00DC64BF"/>
    <w:rsid w:val="00DC6F5D"/>
    <w:rsid w:val="00DD05AA"/>
    <w:rsid w:val="00DE26D1"/>
    <w:rsid w:val="00DE34A3"/>
    <w:rsid w:val="00DE7D20"/>
    <w:rsid w:val="00E01373"/>
    <w:rsid w:val="00E02AB5"/>
    <w:rsid w:val="00E12E42"/>
    <w:rsid w:val="00E14CBE"/>
    <w:rsid w:val="00E207A4"/>
    <w:rsid w:val="00E2378E"/>
    <w:rsid w:val="00E24144"/>
    <w:rsid w:val="00E25BCF"/>
    <w:rsid w:val="00E27E1F"/>
    <w:rsid w:val="00E33EC0"/>
    <w:rsid w:val="00E41682"/>
    <w:rsid w:val="00E441FB"/>
    <w:rsid w:val="00E51C01"/>
    <w:rsid w:val="00E541E6"/>
    <w:rsid w:val="00E55426"/>
    <w:rsid w:val="00E63686"/>
    <w:rsid w:val="00E64B93"/>
    <w:rsid w:val="00E814A6"/>
    <w:rsid w:val="00EB12C3"/>
    <w:rsid w:val="00EB493A"/>
    <w:rsid w:val="00EC3B67"/>
    <w:rsid w:val="00EC571A"/>
    <w:rsid w:val="00ED3E7C"/>
    <w:rsid w:val="00EE08A9"/>
    <w:rsid w:val="00EF6C69"/>
    <w:rsid w:val="00EF7B1F"/>
    <w:rsid w:val="00F21B82"/>
    <w:rsid w:val="00F278A4"/>
    <w:rsid w:val="00F3740E"/>
    <w:rsid w:val="00F454E4"/>
    <w:rsid w:val="00F5507A"/>
    <w:rsid w:val="00F5527A"/>
    <w:rsid w:val="00F73377"/>
    <w:rsid w:val="00F85FB4"/>
    <w:rsid w:val="00F86DE4"/>
    <w:rsid w:val="00F9669E"/>
    <w:rsid w:val="00F97459"/>
    <w:rsid w:val="00FB337E"/>
    <w:rsid w:val="00FB5BF4"/>
    <w:rsid w:val="00FB6A15"/>
    <w:rsid w:val="00FC25F7"/>
    <w:rsid w:val="00FC42C8"/>
    <w:rsid w:val="00FC53AE"/>
    <w:rsid w:val="00FD4E32"/>
    <w:rsid w:val="00FE30EE"/>
    <w:rsid w:val="00FF3214"/>
    <w:rsid w:val="00FF69BB"/>
    <w:rsid w:val="00FF764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25BCF"/>
    <w:pPr>
      <w:spacing w:after="200" w:line="276" w:lineRule="auto"/>
    </w:pPr>
    <w:rPr>
      <w:rFonts w:ascii="Calibri" w:eastAsia="Calibri" w:hAnsi="Calibri"/>
      <w:sz w:val="22"/>
      <w:szCs w:val="22"/>
      <w:lang w:val="cs-CZ" w:eastAsia="en-US"/>
    </w:rPr>
  </w:style>
  <w:style w:type="paragraph" w:styleId="Nadpis1">
    <w:name w:val="heading 1"/>
    <w:basedOn w:val="Normlny"/>
    <w:next w:val="Normlny"/>
    <w:qFormat/>
    <w:rsid w:val="00177BA5"/>
    <w:pPr>
      <w:keepNext/>
      <w:ind w:right="-109" w:hanging="27"/>
      <w:outlineLvl w:val="0"/>
    </w:pPr>
    <w:rPr>
      <w:b/>
      <w:noProof/>
    </w:rPr>
  </w:style>
  <w:style w:type="paragraph" w:styleId="Nadpis2">
    <w:name w:val="heading 2"/>
    <w:basedOn w:val="Normlny"/>
    <w:next w:val="Normlny"/>
    <w:qFormat/>
    <w:rsid w:val="00177BA5"/>
    <w:pPr>
      <w:keepNext/>
      <w:outlineLvl w:val="1"/>
    </w:pPr>
    <w:rPr>
      <w:i/>
      <w:iCs/>
      <w:noProof/>
      <w:u w:val="single"/>
    </w:rPr>
  </w:style>
  <w:style w:type="paragraph" w:styleId="Nadpis3">
    <w:name w:val="heading 3"/>
    <w:basedOn w:val="Normlny"/>
    <w:next w:val="Normlny"/>
    <w:qFormat/>
    <w:rsid w:val="00177BA5"/>
    <w:pPr>
      <w:keepNext/>
      <w:outlineLvl w:val="2"/>
    </w:pPr>
    <w:rPr>
      <w:i/>
      <w:iCs/>
      <w:noProof/>
    </w:rPr>
  </w:style>
  <w:style w:type="paragraph" w:styleId="Nadpis4">
    <w:name w:val="heading 4"/>
    <w:basedOn w:val="Normlny"/>
    <w:next w:val="Normlny"/>
    <w:qFormat/>
    <w:rsid w:val="00177BA5"/>
    <w:pPr>
      <w:keepNext/>
      <w:outlineLvl w:val="3"/>
    </w:pPr>
    <w:rPr>
      <w:i/>
      <w:iCs/>
      <w:noProof/>
    </w:rPr>
  </w:style>
  <w:style w:type="paragraph" w:styleId="Nadpis5">
    <w:name w:val="heading 5"/>
    <w:basedOn w:val="Normlny"/>
    <w:next w:val="Normlny"/>
    <w:qFormat/>
    <w:rsid w:val="00177BA5"/>
    <w:pPr>
      <w:keepNext/>
      <w:outlineLvl w:val="4"/>
    </w:pPr>
    <w:rPr>
      <w:i/>
      <w:iCs/>
      <w:noProof/>
      <w:color w:val="FF0000"/>
    </w:rPr>
  </w:style>
  <w:style w:type="paragraph" w:styleId="Nadpis6">
    <w:name w:val="heading 6"/>
    <w:basedOn w:val="Normlny"/>
    <w:next w:val="Normlny"/>
    <w:qFormat/>
    <w:rsid w:val="00177BA5"/>
    <w:pPr>
      <w:keepNext/>
      <w:outlineLvl w:val="5"/>
    </w:pPr>
    <w:rPr>
      <w:noProof/>
      <w:u w:val="single"/>
    </w:rPr>
  </w:style>
  <w:style w:type="paragraph" w:styleId="Nadpis7">
    <w:name w:val="heading 7"/>
    <w:basedOn w:val="Normlny"/>
    <w:next w:val="Normlny"/>
    <w:qFormat/>
    <w:rsid w:val="00177BA5"/>
    <w:pPr>
      <w:keepNext/>
      <w:tabs>
        <w:tab w:val="left" w:pos="-720"/>
        <w:tab w:val="left" w:pos="567"/>
        <w:tab w:val="left" w:pos="4536"/>
      </w:tabs>
      <w:suppressAutoHyphens/>
      <w:spacing w:line="260" w:lineRule="exact"/>
      <w:jc w:val="both"/>
      <w:outlineLvl w:val="6"/>
    </w:pPr>
    <w:rPr>
      <w:i/>
      <w:szCs w:val="20"/>
    </w:rPr>
  </w:style>
  <w:style w:type="paragraph" w:styleId="Nadpis8">
    <w:name w:val="heading 8"/>
    <w:basedOn w:val="Normlny"/>
    <w:next w:val="Normlny"/>
    <w:qFormat/>
    <w:rsid w:val="00177BA5"/>
    <w:pPr>
      <w:keepNext/>
      <w:outlineLvl w:val="7"/>
    </w:pPr>
    <w:rPr>
      <w:b/>
      <w:bCs/>
      <w:noProof/>
    </w:rPr>
  </w:style>
  <w:style w:type="paragraph" w:styleId="Nadpis9">
    <w:name w:val="heading 9"/>
    <w:basedOn w:val="Normlny"/>
    <w:next w:val="Normlny"/>
    <w:qFormat/>
    <w:rsid w:val="00177BA5"/>
    <w:pPr>
      <w:keepNext/>
      <w:tabs>
        <w:tab w:val="left" w:pos="0"/>
      </w:tabs>
      <w:outlineLvl w:val="8"/>
    </w:pPr>
    <w:rPr>
      <w:b/>
      <w:bCs/>
      <w:noProo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obloku">
    <w:name w:val="Do bloku"/>
    <w:basedOn w:val="Nadpis1"/>
    <w:rsid w:val="009E2291"/>
    <w:pPr>
      <w:spacing w:after="0"/>
      <w:jc w:val="center"/>
    </w:pPr>
    <w:rPr>
      <w:rFonts w:ascii="Times New Roman" w:hAnsi="Times New Roman"/>
      <w:bCs/>
      <w:caps/>
      <w:szCs w:val="20"/>
    </w:rPr>
  </w:style>
  <w:style w:type="paragraph" w:customStyle="1" w:styleId="SPCnadpis">
    <w:name w:val="SPC nadpis"/>
    <w:basedOn w:val="Nadpis1"/>
    <w:rsid w:val="00177BA5"/>
    <w:pPr>
      <w:keepNext w:val="0"/>
      <w:spacing w:before="240" w:after="120"/>
      <w:ind w:left="357" w:right="0" w:hanging="357"/>
      <w:jc w:val="center"/>
    </w:pPr>
    <w:rPr>
      <w:bCs/>
      <w:noProof w:val="0"/>
      <w:szCs w:val="20"/>
      <w:lang w:val="en-US" w:eastAsia="cs-CZ"/>
    </w:rPr>
  </w:style>
  <w:style w:type="paragraph" w:customStyle="1" w:styleId="Normlndobloku">
    <w:name w:val="Normální do bloku"/>
    <w:basedOn w:val="Normlny"/>
    <w:link w:val="NormlndoblokuChar"/>
    <w:autoRedefine/>
    <w:rsid w:val="00555C8E"/>
    <w:pPr>
      <w:suppressAutoHyphens/>
      <w:spacing w:after="120" w:line="240" w:lineRule="auto"/>
      <w:jc w:val="both"/>
    </w:pPr>
    <w:rPr>
      <w:rFonts w:ascii="TimesNewRoman" w:eastAsia="Times New Roman" w:hAnsi="TimesNewRoman"/>
      <w:szCs w:val="18"/>
      <w:lang w:val="sk-SK"/>
    </w:rPr>
  </w:style>
  <w:style w:type="paragraph" w:customStyle="1" w:styleId="Normlndoblokusodrkami">
    <w:name w:val="Normální do bloku s odrážkami"/>
    <w:basedOn w:val="Normlndobloku"/>
    <w:next w:val="Normlndobloku"/>
    <w:autoRedefine/>
    <w:qFormat/>
    <w:rsid w:val="00E25BCF"/>
    <w:pPr>
      <w:numPr>
        <w:numId w:val="9"/>
      </w:numPr>
    </w:pPr>
    <w:rPr>
      <w:noProof/>
    </w:rPr>
  </w:style>
  <w:style w:type="paragraph" w:customStyle="1" w:styleId="Styl1">
    <w:name w:val="Styl1"/>
    <w:basedOn w:val="Normlny"/>
    <w:autoRedefine/>
    <w:rsid w:val="00AD34D0"/>
    <w:pPr>
      <w:keepNext/>
      <w:numPr>
        <w:numId w:val="11"/>
      </w:numPr>
      <w:tabs>
        <w:tab w:val="left" w:pos="567"/>
      </w:tabs>
      <w:spacing w:before="360" w:after="120" w:line="240" w:lineRule="auto"/>
    </w:pPr>
    <w:rPr>
      <w:rFonts w:ascii="Times New Roman" w:eastAsia="Times New Roman" w:hAnsi="Times New Roman"/>
      <w:b/>
      <w:bCs/>
      <w:lang w:val="sk-SK"/>
    </w:rPr>
  </w:style>
  <w:style w:type="paragraph" w:customStyle="1" w:styleId="Styl2">
    <w:name w:val="Styl2"/>
    <w:basedOn w:val="Normlny"/>
    <w:autoRedefine/>
    <w:rsid w:val="00E25BCF"/>
    <w:pPr>
      <w:keepNext/>
      <w:suppressAutoHyphens/>
      <w:spacing w:before="240" w:after="120" w:line="240" w:lineRule="auto"/>
    </w:pPr>
    <w:rPr>
      <w:rFonts w:ascii="Times New Roman" w:eastAsia="Times New Roman" w:hAnsi="Times New Roman"/>
      <w:b/>
      <w:bCs/>
      <w:noProof/>
    </w:rPr>
  </w:style>
  <w:style w:type="paragraph" w:customStyle="1" w:styleId="styl20">
    <w:name w:val="styl2"/>
    <w:basedOn w:val="Styl1"/>
    <w:autoRedefine/>
    <w:rsid w:val="00AD34D0"/>
    <w:pPr>
      <w:keepNext w:val="0"/>
      <w:numPr>
        <w:numId w:val="0"/>
      </w:numPr>
      <w:spacing w:before="0"/>
    </w:pPr>
    <w:rPr>
      <w:bCs w:val="0"/>
      <w:lang w:eastAsia="sk-SK"/>
    </w:rPr>
  </w:style>
  <w:style w:type="paragraph" w:customStyle="1" w:styleId="styl3">
    <w:name w:val="styl3"/>
    <w:basedOn w:val="styl20"/>
    <w:next w:val="Normlny"/>
    <w:rsid w:val="00177BA5"/>
    <w:rPr>
      <w:b w:val="0"/>
      <w:u w:val="single"/>
    </w:rPr>
  </w:style>
  <w:style w:type="paragraph" w:customStyle="1" w:styleId="EMEAEnBodyText">
    <w:name w:val="EMEA En Body Text"/>
    <w:basedOn w:val="Normlny"/>
    <w:semiHidden/>
    <w:rsid w:val="00177BA5"/>
    <w:pPr>
      <w:spacing w:before="120" w:after="120"/>
      <w:jc w:val="both"/>
    </w:pPr>
    <w:rPr>
      <w:szCs w:val="20"/>
      <w:lang w:val="en-US"/>
    </w:rPr>
  </w:style>
  <w:style w:type="paragraph" w:styleId="Hlavika">
    <w:name w:val="header"/>
    <w:basedOn w:val="Normlny"/>
    <w:semiHidden/>
    <w:rsid w:val="00177BA5"/>
    <w:pPr>
      <w:widowControl w:val="0"/>
      <w:tabs>
        <w:tab w:val="center" w:pos="4153"/>
        <w:tab w:val="right" w:pos="8306"/>
      </w:tabs>
    </w:pPr>
    <w:rPr>
      <w:szCs w:val="20"/>
      <w:lang w:val="en-US"/>
    </w:rPr>
  </w:style>
  <w:style w:type="paragraph" w:customStyle="1" w:styleId="Hoechst">
    <w:name w:val="Hoechst"/>
    <w:semiHidden/>
    <w:rsid w:val="00177BA5"/>
    <w:rPr>
      <w:rFonts w:ascii="ITC Garamond Bk AT" w:hAnsi="ITC Garamond Bk AT"/>
      <w:noProof/>
      <w:sz w:val="24"/>
      <w:lang w:val="en-US" w:eastAsia="en-US"/>
    </w:rPr>
  </w:style>
  <w:style w:type="character" w:styleId="Hypertextovprepojenie">
    <w:name w:val="Hyperlink"/>
    <w:semiHidden/>
    <w:rsid w:val="00177BA5"/>
    <w:rPr>
      <w:color w:val="0000FF"/>
      <w:u w:val="single"/>
    </w:rPr>
  </w:style>
  <w:style w:type="paragraph" w:styleId="Nzov">
    <w:name w:val="Title"/>
    <w:basedOn w:val="Normlny"/>
    <w:qFormat/>
    <w:rsid w:val="00177BA5"/>
    <w:pPr>
      <w:jc w:val="center"/>
    </w:pPr>
    <w:rPr>
      <w:b/>
      <w:szCs w:val="20"/>
      <w:lang w:val="en-GB"/>
    </w:rPr>
  </w:style>
  <w:style w:type="character" w:styleId="Odkaznakomentr">
    <w:name w:val="annotation reference"/>
    <w:semiHidden/>
    <w:rsid w:val="00177BA5"/>
    <w:rPr>
      <w:sz w:val="16"/>
      <w:szCs w:val="16"/>
    </w:rPr>
  </w:style>
  <w:style w:type="paragraph" w:styleId="Pta">
    <w:name w:val="footer"/>
    <w:basedOn w:val="Normlny"/>
    <w:rsid w:val="00177BA5"/>
    <w:pPr>
      <w:tabs>
        <w:tab w:val="center" w:pos="4536"/>
        <w:tab w:val="right" w:pos="9072"/>
      </w:tabs>
    </w:pPr>
  </w:style>
  <w:style w:type="character" w:styleId="PouitHypertextovPrepojenie">
    <w:name w:val="FollowedHyperlink"/>
    <w:semiHidden/>
    <w:rsid w:val="00177BA5"/>
    <w:rPr>
      <w:color w:val="800080"/>
      <w:u w:val="single"/>
    </w:rPr>
  </w:style>
  <w:style w:type="paragraph" w:styleId="Textkomentra">
    <w:name w:val="annotation text"/>
    <w:basedOn w:val="Normlny"/>
    <w:semiHidden/>
    <w:rsid w:val="00177BA5"/>
    <w:rPr>
      <w:sz w:val="20"/>
      <w:szCs w:val="20"/>
    </w:rPr>
  </w:style>
  <w:style w:type="paragraph" w:styleId="Predmetkomentra">
    <w:name w:val="annotation subject"/>
    <w:basedOn w:val="Textkomentra"/>
    <w:next w:val="Textkomentra"/>
    <w:semiHidden/>
    <w:rsid w:val="00177BA5"/>
    <w:rPr>
      <w:b/>
      <w:bCs/>
    </w:rPr>
  </w:style>
  <w:style w:type="paragraph" w:customStyle="1" w:styleId="TblTextCenter">
    <w:name w:val="Tbl Text Center"/>
    <w:basedOn w:val="Normlny"/>
    <w:semiHidden/>
    <w:rsid w:val="00177BA5"/>
    <w:pPr>
      <w:spacing w:before="60" w:after="60"/>
      <w:jc w:val="center"/>
    </w:pPr>
    <w:rPr>
      <w:rFonts w:ascii="Arial Narrow" w:hAnsi="Arial Narrow"/>
      <w:sz w:val="20"/>
      <w:szCs w:val="20"/>
      <w:lang w:val="en-US"/>
    </w:rPr>
  </w:style>
  <w:style w:type="paragraph" w:styleId="Textbubliny">
    <w:name w:val="Balloon Text"/>
    <w:basedOn w:val="Normlny"/>
    <w:semiHidden/>
    <w:rsid w:val="00177BA5"/>
    <w:rPr>
      <w:rFonts w:ascii="Tahoma" w:hAnsi="Tahoma" w:cs="Tahoma"/>
      <w:sz w:val="16"/>
      <w:szCs w:val="16"/>
    </w:rPr>
  </w:style>
  <w:style w:type="paragraph" w:customStyle="1" w:styleId="Textkoncovejpoznmky1">
    <w:name w:val="Text koncovej poznámky1"/>
    <w:basedOn w:val="Normlny"/>
    <w:semiHidden/>
    <w:rsid w:val="00177BA5"/>
    <w:pPr>
      <w:tabs>
        <w:tab w:val="left" w:pos="567"/>
      </w:tabs>
    </w:pPr>
    <w:rPr>
      <w:szCs w:val="20"/>
      <w:lang w:val="en-GB"/>
    </w:rPr>
  </w:style>
  <w:style w:type="paragraph" w:styleId="Zkladntext">
    <w:name w:val="Body Text"/>
    <w:basedOn w:val="Normlny"/>
    <w:semiHidden/>
    <w:rsid w:val="00177BA5"/>
  </w:style>
  <w:style w:type="paragraph" w:customStyle="1" w:styleId="tlStyl2Vavo063cmPrvriadok0cm">
    <w:name w:val="Štýl Styl2 + Vľavo:  063 cm Prvý riadok:  0 cm"/>
    <w:basedOn w:val="Styl2"/>
    <w:rsid w:val="00177BA5"/>
    <w:rPr>
      <w:szCs w:val="20"/>
    </w:rPr>
  </w:style>
  <w:style w:type="paragraph" w:customStyle="1" w:styleId="Styl30">
    <w:name w:val="Styl3"/>
    <w:basedOn w:val="Normlny"/>
    <w:link w:val="Styl3Char"/>
    <w:autoRedefine/>
    <w:rsid w:val="00E55426"/>
    <w:pPr>
      <w:suppressAutoHyphens/>
      <w:spacing w:before="120" w:after="120" w:line="240" w:lineRule="auto"/>
      <w:jc w:val="both"/>
    </w:pPr>
    <w:rPr>
      <w:rFonts w:ascii="TimesNewRoman" w:eastAsia="Times New Roman" w:hAnsi="TimesNewRoman"/>
      <w:b/>
      <w:szCs w:val="24"/>
      <w:lang w:val="sk-SK"/>
    </w:rPr>
  </w:style>
  <w:style w:type="numbering" w:customStyle="1" w:styleId="tlViacrovovTun">
    <w:name w:val="Štýl Viacúrovňové Tučné"/>
    <w:basedOn w:val="Bezzoznamu"/>
    <w:rsid w:val="009B4C08"/>
    <w:pPr>
      <w:numPr>
        <w:numId w:val="3"/>
      </w:numPr>
    </w:pPr>
  </w:style>
  <w:style w:type="paragraph" w:customStyle="1" w:styleId="tl2">
    <w:name w:val="Štýl2"/>
    <w:basedOn w:val="Normlny"/>
    <w:next w:val="Normlny"/>
    <w:autoRedefine/>
    <w:rsid w:val="00647B6D"/>
    <w:pPr>
      <w:keepNext/>
      <w:ind w:right="-109"/>
      <w:outlineLvl w:val="0"/>
    </w:pPr>
    <w:rPr>
      <w:b/>
      <w:noProof/>
      <w:sz w:val="24"/>
    </w:rPr>
  </w:style>
  <w:style w:type="paragraph" w:customStyle="1" w:styleId="Text">
    <w:name w:val="Text"/>
    <w:basedOn w:val="Normlny"/>
    <w:rsid w:val="00DC28AC"/>
    <w:pPr>
      <w:jc w:val="both"/>
    </w:pPr>
  </w:style>
  <w:style w:type="paragraph" w:customStyle="1" w:styleId="Skupiny">
    <w:name w:val="Skupiny"/>
    <w:basedOn w:val="Text"/>
    <w:next w:val="Text"/>
    <w:rsid w:val="00DC28AC"/>
    <w:rPr>
      <w:b/>
      <w:caps/>
      <w:sz w:val="24"/>
      <w:u w:val="single"/>
    </w:rPr>
  </w:style>
  <w:style w:type="paragraph" w:styleId="Zkladntext2">
    <w:name w:val="Body Text 2"/>
    <w:basedOn w:val="Normlny"/>
    <w:rsid w:val="00DC28AC"/>
    <w:rPr>
      <w:sz w:val="24"/>
      <w:lang w:val="sk-SK"/>
    </w:rPr>
  </w:style>
  <w:style w:type="paragraph" w:customStyle="1" w:styleId="Nzovlieku">
    <w:name w:val="Názov lieku"/>
    <w:basedOn w:val="Normlny"/>
    <w:next w:val="Normlny"/>
    <w:rsid w:val="00DC28AC"/>
    <w:pPr>
      <w:keepNext/>
      <w:keepLines/>
      <w:spacing w:before="360" w:line="360" w:lineRule="auto"/>
    </w:pPr>
    <w:rPr>
      <w:b/>
      <w:caps/>
      <w:sz w:val="24"/>
    </w:rPr>
  </w:style>
  <w:style w:type="paragraph" w:styleId="Zkladntext3">
    <w:name w:val="Body Text 3"/>
    <w:basedOn w:val="Normlny"/>
    <w:rsid w:val="00DC28AC"/>
    <w:rPr>
      <w:sz w:val="24"/>
      <w:u w:val="single"/>
      <w:lang w:val="sk-SK"/>
    </w:rPr>
  </w:style>
  <w:style w:type="paragraph" w:styleId="Zarkazkladnhotextu3">
    <w:name w:val="Body Text Indent 3"/>
    <w:basedOn w:val="Normlny"/>
    <w:rsid w:val="00DC28AC"/>
    <w:pPr>
      <w:ind w:firstLine="720"/>
      <w:jc w:val="both"/>
    </w:pPr>
    <w:rPr>
      <w:rFonts w:ascii="Arial" w:hAnsi="Arial"/>
      <w:lang w:val="sk-SK"/>
    </w:rPr>
  </w:style>
  <w:style w:type="paragraph" w:customStyle="1" w:styleId="Dtumrevzie">
    <w:name w:val="Dátum revízie"/>
    <w:basedOn w:val="Text"/>
    <w:next w:val="Text"/>
    <w:rsid w:val="00DC28AC"/>
    <w:rPr>
      <w:b/>
      <w:u w:val="single"/>
    </w:rPr>
  </w:style>
  <w:style w:type="paragraph" w:customStyle="1" w:styleId="tlNormlndoblokusodrkamiPrvriadok0cm">
    <w:name w:val="Štýl Normální do bloku s odrážkami + Prvý riadok:  0 cm"/>
    <w:basedOn w:val="Normlny"/>
    <w:rsid w:val="008149A3"/>
    <w:pPr>
      <w:numPr>
        <w:numId w:val="6"/>
      </w:numPr>
    </w:pPr>
  </w:style>
  <w:style w:type="character" w:customStyle="1" w:styleId="NormlndoblokuChar">
    <w:name w:val="Normální do bloku Char"/>
    <w:link w:val="Normlndobloku"/>
    <w:rsid w:val="00555C8E"/>
    <w:rPr>
      <w:rFonts w:ascii="TimesNewRoman" w:hAnsi="TimesNewRoman"/>
      <w:sz w:val="22"/>
      <w:szCs w:val="18"/>
      <w:lang w:eastAsia="en-US"/>
    </w:rPr>
  </w:style>
  <w:style w:type="paragraph" w:customStyle="1" w:styleId="SPCaPILhlavika">
    <w:name w:val="SPC a PIL hlavička"/>
    <w:basedOn w:val="Normlny"/>
    <w:autoRedefine/>
    <w:qFormat/>
    <w:rsid w:val="00E25BCF"/>
    <w:pPr>
      <w:spacing w:before="240" w:after="120" w:line="240" w:lineRule="auto"/>
      <w:jc w:val="center"/>
    </w:pPr>
    <w:rPr>
      <w:rFonts w:ascii="Times New Roman" w:eastAsia="Times New Roman" w:hAnsi="Times New Roman"/>
      <w:b/>
      <w:szCs w:val="20"/>
    </w:rPr>
  </w:style>
  <w:style w:type="character" w:customStyle="1" w:styleId="Styl3Char">
    <w:name w:val="Styl3 Char"/>
    <w:link w:val="Styl30"/>
    <w:rsid w:val="00E55426"/>
    <w:rPr>
      <w:rFonts w:ascii="TimesNewRoman" w:hAnsi="TimesNewRoman"/>
      <w:b/>
      <w:sz w:val="22"/>
      <w:szCs w:val="24"/>
    </w:rPr>
  </w:style>
  <w:style w:type="character" w:styleId="slostrany">
    <w:name w:val="page number"/>
    <w:basedOn w:val="Predvolenpsmoodseku"/>
    <w:rsid w:val="00B31413"/>
  </w:style>
  <w:style w:type="paragraph" w:styleId="Normlnywebov">
    <w:name w:val="Normal (Web)"/>
    <w:basedOn w:val="Normlny"/>
    <w:uiPriority w:val="99"/>
    <w:unhideWhenUsed/>
    <w:rsid w:val="009655A5"/>
    <w:pPr>
      <w:spacing w:before="100" w:beforeAutospacing="1" w:after="100" w:afterAutospacing="1" w:line="240" w:lineRule="auto"/>
    </w:pPr>
    <w:rPr>
      <w:rFonts w:ascii="Times New Roman" w:eastAsia="Times New Roman" w:hAnsi="Times New Roman"/>
      <w:sz w:val="24"/>
      <w:szCs w:val="24"/>
      <w:lang w:val="sk-SK" w:eastAsia="zh-CN"/>
    </w:rPr>
  </w:style>
  <w:style w:type="character" w:customStyle="1" w:styleId="apple-converted-space">
    <w:name w:val="apple-converted-space"/>
    <w:basedOn w:val="Predvolenpsmoodseku"/>
    <w:rsid w:val="009655A5"/>
  </w:style>
</w:styles>
</file>

<file path=word/webSettings.xml><?xml version="1.0" encoding="utf-8"?>
<w:webSettings xmlns:r="http://schemas.openxmlformats.org/officeDocument/2006/relationships" xmlns:w="http://schemas.openxmlformats.org/wordprocessingml/2006/main">
  <w:divs>
    <w:div w:id="179366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1792</Words>
  <Characters>10221</Characters>
  <Application>Microsoft Office Word</Application>
  <DocSecurity>0</DocSecurity>
  <Lines>85</Lines>
  <Paragraphs>23</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PÍSOMNÁ INFORMÁCIA PRE POUŽÍVATEĽA</vt:lpstr>
      <vt:lpstr>PÍSOMNÁ INFORMÁCIA PRE POUŽÍVATEĽA</vt:lpstr>
    </vt:vector>
  </TitlesOfParts>
  <Company>Medochemie, Ltd.</Company>
  <LinksUpToDate>false</LinksUpToDate>
  <CharactersWithSpaces>11990</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POUŽÍVATEĽA</dc:title>
  <dc:creator>katarinaj</dc:creator>
  <cp:lastModifiedBy> Jana Repiščáková</cp:lastModifiedBy>
  <cp:revision>7</cp:revision>
  <cp:lastPrinted>2018-06-20T06:28:00Z</cp:lastPrinted>
  <dcterms:created xsi:type="dcterms:W3CDTF">2018-06-19T06:25:00Z</dcterms:created>
  <dcterms:modified xsi:type="dcterms:W3CDTF">2018-06-20T06:28:00Z</dcterms:modified>
</cp:coreProperties>
</file>