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28D" w:rsidRPr="00B75E0B" w:rsidRDefault="004B728D" w:rsidP="004B728D">
      <w:pPr>
        <w:outlineLvl w:val="0"/>
        <w:rPr>
          <w:szCs w:val="22"/>
        </w:rPr>
      </w:pPr>
    </w:p>
    <w:p w:rsidR="00CB56BE" w:rsidRPr="00B75E0B" w:rsidRDefault="00CB56BE" w:rsidP="000D1BEE">
      <w:pPr>
        <w:jc w:val="center"/>
        <w:outlineLvl w:val="0"/>
        <w:rPr>
          <w:szCs w:val="22"/>
        </w:rPr>
      </w:pPr>
      <w:r w:rsidRPr="00B75E0B">
        <w:rPr>
          <w:b/>
          <w:szCs w:val="22"/>
        </w:rPr>
        <w:t>Písomná informácia pre používateľa</w:t>
      </w:r>
    </w:p>
    <w:p w:rsidR="00CB56BE" w:rsidRPr="00B75E0B" w:rsidRDefault="00CB56BE" w:rsidP="000D1BEE">
      <w:pPr>
        <w:jc w:val="center"/>
        <w:rPr>
          <w:szCs w:val="22"/>
        </w:rPr>
      </w:pPr>
    </w:p>
    <w:p w:rsidR="00CB56BE" w:rsidRPr="00B75E0B" w:rsidRDefault="00CB56BE" w:rsidP="000D1BEE">
      <w:pPr>
        <w:jc w:val="center"/>
        <w:rPr>
          <w:b/>
          <w:bCs/>
          <w:szCs w:val="22"/>
        </w:rPr>
      </w:pPr>
      <w:r w:rsidRPr="00B75E0B">
        <w:rPr>
          <w:b/>
          <w:bCs/>
          <w:szCs w:val="22"/>
        </w:rPr>
        <w:t>COLDREX TABLETY</w:t>
      </w:r>
    </w:p>
    <w:p w:rsidR="00930714" w:rsidRDefault="00930714" w:rsidP="000D1BEE">
      <w:pPr>
        <w:numPr>
          <w:ilvl w:val="12"/>
          <w:numId w:val="0"/>
        </w:numPr>
        <w:jc w:val="center"/>
        <w:rPr>
          <w:szCs w:val="22"/>
        </w:rPr>
      </w:pPr>
      <w:r w:rsidRPr="0066381D">
        <w:rPr>
          <w:bCs/>
        </w:rPr>
        <w:t>500 mg/25 mg/5 mg/20 mg/38 mg</w:t>
      </w:r>
    </w:p>
    <w:p w:rsidR="00CB56BE" w:rsidRPr="00B75E0B" w:rsidRDefault="00CB56BE" w:rsidP="000D1BEE">
      <w:pPr>
        <w:numPr>
          <w:ilvl w:val="12"/>
          <w:numId w:val="0"/>
        </w:numPr>
        <w:jc w:val="center"/>
        <w:rPr>
          <w:szCs w:val="22"/>
        </w:rPr>
      </w:pPr>
      <w:r w:rsidRPr="00B75E0B">
        <w:rPr>
          <w:szCs w:val="22"/>
        </w:rPr>
        <w:t>tablety</w:t>
      </w:r>
    </w:p>
    <w:p w:rsidR="00CB56BE" w:rsidRPr="00B75E0B" w:rsidRDefault="00CB56BE" w:rsidP="000D1BEE">
      <w:pPr>
        <w:numPr>
          <w:ilvl w:val="12"/>
          <w:numId w:val="0"/>
        </w:numPr>
        <w:jc w:val="center"/>
        <w:rPr>
          <w:szCs w:val="22"/>
        </w:rPr>
      </w:pPr>
    </w:p>
    <w:p w:rsidR="00CB56BE" w:rsidRPr="00B75E0B" w:rsidRDefault="002013FB" w:rsidP="00B70FE8">
      <w:pPr>
        <w:ind w:left="0" w:firstLine="0"/>
        <w:jc w:val="center"/>
        <w:rPr>
          <w:szCs w:val="22"/>
        </w:rPr>
      </w:pPr>
      <w:r>
        <w:rPr>
          <w:szCs w:val="22"/>
        </w:rPr>
        <w:t>p</w:t>
      </w:r>
      <w:r w:rsidR="00CB56BE" w:rsidRPr="00B75E0B">
        <w:rPr>
          <w:szCs w:val="22"/>
        </w:rPr>
        <w:t xml:space="preserve">aracetamol, </w:t>
      </w:r>
      <w:r>
        <w:rPr>
          <w:szCs w:val="22"/>
        </w:rPr>
        <w:t>k</w:t>
      </w:r>
      <w:r w:rsidR="00BB4D95" w:rsidRPr="00B75E0B">
        <w:rPr>
          <w:szCs w:val="22"/>
        </w:rPr>
        <w:t>ofeín</w:t>
      </w:r>
      <w:r w:rsidR="00CB56BE" w:rsidRPr="00B75E0B">
        <w:rPr>
          <w:szCs w:val="22"/>
        </w:rPr>
        <w:t xml:space="preserve">, </w:t>
      </w:r>
      <w:r>
        <w:rPr>
          <w:szCs w:val="22"/>
        </w:rPr>
        <w:t>f</w:t>
      </w:r>
      <w:r w:rsidR="00BB4D95" w:rsidRPr="00B75E0B">
        <w:rPr>
          <w:szCs w:val="22"/>
        </w:rPr>
        <w:t>enylefríniumchlorid</w:t>
      </w:r>
      <w:r w:rsidR="00CB56BE" w:rsidRPr="00B75E0B">
        <w:rPr>
          <w:szCs w:val="22"/>
        </w:rPr>
        <w:t xml:space="preserve">, </w:t>
      </w:r>
      <w:r>
        <w:rPr>
          <w:szCs w:val="22"/>
        </w:rPr>
        <w:t>m</w:t>
      </w:r>
      <w:r w:rsidR="00BB4D95" w:rsidRPr="00B75E0B">
        <w:rPr>
          <w:szCs w:val="22"/>
        </w:rPr>
        <w:t>onohydrát terpínu</w:t>
      </w:r>
      <w:r w:rsidR="00CB56BE" w:rsidRPr="00B75E0B">
        <w:rPr>
          <w:szCs w:val="22"/>
        </w:rPr>
        <w:t xml:space="preserve">, </w:t>
      </w:r>
      <w:r>
        <w:rPr>
          <w:szCs w:val="22"/>
        </w:rPr>
        <w:t>k</w:t>
      </w:r>
      <w:r w:rsidR="00BB4D95" w:rsidRPr="00B75E0B">
        <w:rPr>
          <w:szCs w:val="22"/>
        </w:rPr>
        <w:t>yselina askorbová obalená etylcelulózou</w:t>
      </w:r>
    </w:p>
    <w:p w:rsidR="004F757F" w:rsidRPr="00B75E0B" w:rsidRDefault="004F757F" w:rsidP="000D1BEE">
      <w:pPr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  <w:r w:rsidRPr="00B75E0B">
        <w:rPr>
          <w:b/>
          <w:szCs w:val="22"/>
        </w:rPr>
        <w:t>Pozorne si prečítajte</w:t>
      </w:r>
      <w:r w:rsidRPr="00B75E0B">
        <w:rPr>
          <w:szCs w:val="22"/>
        </w:rPr>
        <w:t xml:space="preserve"> </w:t>
      </w:r>
      <w:r w:rsidRPr="00B75E0B">
        <w:rPr>
          <w:b/>
          <w:szCs w:val="22"/>
        </w:rPr>
        <w:t>celú písomnú informáciu predtým, ako začnete užívať tento liek, pretože obsahuje pre vás dôležité informácie.</w:t>
      </w:r>
    </w:p>
    <w:p w:rsidR="00CB56BE" w:rsidRPr="00B75E0B" w:rsidRDefault="00CB56BE" w:rsidP="000D1BEE">
      <w:pPr>
        <w:ind w:left="0" w:firstLine="0"/>
        <w:rPr>
          <w:bCs/>
          <w:iCs/>
          <w:szCs w:val="22"/>
        </w:rPr>
      </w:pPr>
      <w:r w:rsidRPr="00B75E0B">
        <w:rPr>
          <w:szCs w:val="22"/>
        </w:rPr>
        <w:t xml:space="preserve">Vždy užívajte tento liek presne tak, ako je to uvedené v tejto </w:t>
      </w:r>
      <w:r w:rsidR="004B728D" w:rsidRPr="00B70FE8">
        <w:rPr>
          <w:szCs w:val="22"/>
        </w:rPr>
        <w:t>písomnej</w:t>
      </w:r>
      <w:r w:rsidR="004B728D" w:rsidRPr="00B75E0B">
        <w:rPr>
          <w:szCs w:val="22"/>
        </w:rPr>
        <w:t xml:space="preserve"> </w:t>
      </w:r>
      <w:r w:rsidRPr="00B75E0B">
        <w:rPr>
          <w:szCs w:val="22"/>
        </w:rPr>
        <w:t>informácii alebo ako vám povedal váš lekár alebo lekárnik.</w:t>
      </w:r>
    </w:p>
    <w:p w:rsidR="00CB56BE" w:rsidRPr="00B75E0B" w:rsidRDefault="00CB56BE" w:rsidP="000D1BEE">
      <w:pPr>
        <w:numPr>
          <w:ilvl w:val="0"/>
          <w:numId w:val="1"/>
        </w:numPr>
        <w:rPr>
          <w:szCs w:val="22"/>
        </w:rPr>
      </w:pPr>
      <w:r w:rsidRPr="00B75E0B">
        <w:rPr>
          <w:szCs w:val="22"/>
        </w:rPr>
        <w:t>Túto písomnú informáciu si uschovajte. Možno bude potrebné, aby ste si ju znovu prečítali.</w:t>
      </w:r>
    </w:p>
    <w:p w:rsidR="00CB56BE" w:rsidRPr="00B75E0B" w:rsidRDefault="00CB56BE" w:rsidP="000D1BEE">
      <w:pPr>
        <w:numPr>
          <w:ilvl w:val="0"/>
          <w:numId w:val="1"/>
        </w:numPr>
        <w:rPr>
          <w:szCs w:val="22"/>
        </w:rPr>
      </w:pPr>
      <w:r w:rsidRPr="00B75E0B">
        <w:rPr>
          <w:szCs w:val="22"/>
        </w:rPr>
        <w:t>Ak potrebujete ďalšie informácie alebo radu, obráťte sa na svojho lekárnika.</w:t>
      </w:r>
    </w:p>
    <w:p w:rsidR="00CB56BE" w:rsidRPr="00B70FE8" w:rsidRDefault="00CB56BE" w:rsidP="004B728D">
      <w:pPr>
        <w:numPr>
          <w:ilvl w:val="0"/>
          <w:numId w:val="1"/>
        </w:numPr>
        <w:rPr>
          <w:szCs w:val="22"/>
        </w:rPr>
      </w:pPr>
      <w:r w:rsidRPr="00B75E0B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Pr="00B70FE8">
        <w:rPr>
          <w:szCs w:val="22"/>
        </w:rPr>
        <w:t>.</w:t>
      </w:r>
      <w:r w:rsidR="004B728D" w:rsidRPr="00B70FE8">
        <w:rPr>
          <w:szCs w:val="22"/>
        </w:rPr>
        <w:t xml:space="preserve"> Pozri časť 4.</w:t>
      </w:r>
    </w:p>
    <w:p w:rsidR="00CB56BE" w:rsidRPr="00B75E0B" w:rsidRDefault="00CB56BE" w:rsidP="000D1BEE">
      <w:pPr>
        <w:numPr>
          <w:ilvl w:val="0"/>
          <w:numId w:val="1"/>
        </w:numPr>
        <w:rPr>
          <w:szCs w:val="22"/>
        </w:rPr>
      </w:pPr>
      <w:r w:rsidRPr="00B75E0B">
        <w:rPr>
          <w:szCs w:val="22"/>
        </w:rPr>
        <w:t xml:space="preserve">Ak sa do 3 dní </w:t>
      </w:r>
      <w:r w:rsidR="004B728D" w:rsidRPr="00B70FE8">
        <w:rPr>
          <w:szCs w:val="22"/>
        </w:rPr>
        <w:t>nebudete cítiť lepšie alebo sa budete cítiť horšie</w:t>
      </w:r>
      <w:r w:rsidRPr="00B75E0B">
        <w:rPr>
          <w:szCs w:val="22"/>
        </w:rPr>
        <w:t>, musíte sa obrátiť na lekára.</w:t>
      </w:r>
    </w:p>
    <w:p w:rsidR="00CB56BE" w:rsidRPr="00B75E0B" w:rsidRDefault="00CB56BE" w:rsidP="000D1BEE">
      <w:pPr>
        <w:rPr>
          <w:b/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75E0B">
        <w:rPr>
          <w:b/>
          <w:szCs w:val="22"/>
        </w:rPr>
        <w:t>V tejto písomnej informácii sa dozviete</w:t>
      </w:r>
      <w:r w:rsidRPr="00B75E0B">
        <w:rPr>
          <w:szCs w:val="22"/>
        </w:rPr>
        <w:t>:</w:t>
      </w:r>
    </w:p>
    <w:p w:rsidR="00CB56BE" w:rsidRPr="00B75E0B" w:rsidRDefault="00CB56BE" w:rsidP="000D1BEE">
      <w:pPr>
        <w:ind w:right="-29"/>
        <w:rPr>
          <w:szCs w:val="22"/>
        </w:rPr>
      </w:pPr>
      <w:r w:rsidRPr="00B75E0B">
        <w:rPr>
          <w:szCs w:val="22"/>
        </w:rPr>
        <w:t>1.</w:t>
      </w:r>
      <w:r w:rsidRPr="00B75E0B">
        <w:rPr>
          <w:szCs w:val="22"/>
        </w:rPr>
        <w:tab/>
        <w:t>Čo je C</w:t>
      </w:r>
      <w:r w:rsidRPr="00B75E0B">
        <w:rPr>
          <w:caps/>
          <w:szCs w:val="22"/>
        </w:rPr>
        <w:t>oldrex</w:t>
      </w:r>
      <w:r w:rsidRPr="00B75E0B">
        <w:rPr>
          <w:szCs w:val="22"/>
        </w:rPr>
        <w:t xml:space="preserve"> T</w:t>
      </w:r>
      <w:r w:rsidRPr="00B75E0B">
        <w:rPr>
          <w:caps/>
          <w:szCs w:val="22"/>
        </w:rPr>
        <w:t>ablety</w:t>
      </w:r>
      <w:r w:rsidRPr="00B75E0B">
        <w:rPr>
          <w:szCs w:val="22"/>
        </w:rPr>
        <w:t xml:space="preserve"> a na čo sa používa</w:t>
      </w:r>
    </w:p>
    <w:p w:rsidR="00CB56BE" w:rsidRPr="00B75E0B" w:rsidRDefault="00CB56BE" w:rsidP="000D1BEE">
      <w:pPr>
        <w:ind w:right="-29"/>
        <w:rPr>
          <w:szCs w:val="22"/>
        </w:rPr>
      </w:pPr>
      <w:r w:rsidRPr="00B75E0B">
        <w:rPr>
          <w:szCs w:val="22"/>
        </w:rPr>
        <w:t>2.</w:t>
      </w:r>
      <w:r w:rsidRPr="00B75E0B">
        <w:rPr>
          <w:szCs w:val="22"/>
        </w:rPr>
        <w:tab/>
        <w:t>Čo potrebujete vedieť predtým, ako užijete C</w:t>
      </w:r>
      <w:r w:rsidRPr="00B75E0B">
        <w:rPr>
          <w:caps/>
          <w:szCs w:val="22"/>
        </w:rPr>
        <w:t>oldrex</w:t>
      </w:r>
      <w:r w:rsidRPr="00B75E0B">
        <w:rPr>
          <w:szCs w:val="22"/>
        </w:rPr>
        <w:t xml:space="preserve"> T</w:t>
      </w:r>
      <w:r w:rsidRPr="00B75E0B">
        <w:rPr>
          <w:caps/>
          <w:szCs w:val="22"/>
        </w:rPr>
        <w:t>ablety</w:t>
      </w:r>
    </w:p>
    <w:p w:rsidR="00CB56BE" w:rsidRPr="00B75E0B" w:rsidRDefault="00CB56BE" w:rsidP="000D1BEE">
      <w:pPr>
        <w:tabs>
          <w:tab w:val="left" w:pos="708"/>
          <w:tab w:val="left" w:pos="1416"/>
          <w:tab w:val="left" w:pos="2124"/>
          <w:tab w:val="left" w:pos="2832"/>
          <w:tab w:val="right" w:pos="9099"/>
        </w:tabs>
        <w:ind w:right="-29"/>
        <w:rPr>
          <w:szCs w:val="22"/>
        </w:rPr>
      </w:pPr>
      <w:r w:rsidRPr="00B75E0B">
        <w:rPr>
          <w:szCs w:val="22"/>
        </w:rPr>
        <w:t>3.</w:t>
      </w:r>
      <w:r w:rsidRPr="00B75E0B">
        <w:rPr>
          <w:szCs w:val="22"/>
        </w:rPr>
        <w:tab/>
        <w:t>Ako užívať C</w:t>
      </w:r>
      <w:r w:rsidRPr="00B70FE8">
        <w:rPr>
          <w:caps/>
          <w:szCs w:val="22"/>
        </w:rPr>
        <w:t>oldrex</w:t>
      </w:r>
      <w:r w:rsidRPr="00B75E0B">
        <w:rPr>
          <w:szCs w:val="22"/>
        </w:rPr>
        <w:t xml:space="preserve"> T</w:t>
      </w:r>
      <w:r w:rsidRPr="00B70FE8">
        <w:rPr>
          <w:caps/>
          <w:szCs w:val="22"/>
        </w:rPr>
        <w:t>ablety</w:t>
      </w:r>
      <w:r w:rsidRPr="00B75E0B">
        <w:rPr>
          <w:szCs w:val="22"/>
        </w:rPr>
        <w:tab/>
      </w:r>
    </w:p>
    <w:p w:rsidR="00CB56BE" w:rsidRPr="00B75E0B" w:rsidRDefault="00CB56BE" w:rsidP="000D1BEE">
      <w:pPr>
        <w:ind w:right="-29"/>
        <w:rPr>
          <w:szCs w:val="22"/>
        </w:rPr>
      </w:pPr>
      <w:r w:rsidRPr="00B75E0B">
        <w:rPr>
          <w:szCs w:val="22"/>
        </w:rPr>
        <w:t>4.</w:t>
      </w:r>
      <w:r w:rsidRPr="00B75E0B">
        <w:rPr>
          <w:szCs w:val="22"/>
        </w:rPr>
        <w:tab/>
        <w:t>Možné vedľajšie účinky</w:t>
      </w:r>
    </w:p>
    <w:p w:rsidR="00CB56BE" w:rsidRPr="00B75E0B" w:rsidRDefault="00CB56BE" w:rsidP="000D1BEE">
      <w:pPr>
        <w:ind w:right="-29"/>
        <w:rPr>
          <w:szCs w:val="22"/>
        </w:rPr>
      </w:pPr>
      <w:r w:rsidRPr="00B75E0B">
        <w:rPr>
          <w:szCs w:val="22"/>
        </w:rPr>
        <w:t>5.</w:t>
      </w:r>
      <w:r w:rsidRPr="00B75E0B">
        <w:rPr>
          <w:szCs w:val="22"/>
        </w:rPr>
        <w:tab/>
        <w:t>Ako uchovávať C</w:t>
      </w:r>
      <w:r w:rsidRPr="00B70FE8">
        <w:rPr>
          <w:caps/>
          <w:szCs w:val="22"/>
        </w:rPr>
        <w:t>oldrex</w:t>
      </w:r>
      <w:r w:rsidRPr="00B75E0B">
        <w:rPr>
          <w:szCs w:val="22"/>
        </w:rPr>
        <w:t xml:space="preserve"> T</w:t>
      </w:r>
      <w:r w:rsidRPr="00B70FE8">
        <w:rPr>
          <w:caps/>
          <w:szCs w:val="22"/>
        </w:rPr>
        <w:t>ablety</w:t>
      </w:r>
    </w:p>
    <w:p w:rsidR="00CB56BE" w:rsidRPr="00B75E0B" w:rsidRDefault="00CB56BE" w:rsidP="000D1BEE">
      <w:pPr>
        <w:ind w:right="-29"/>
        <w:rPr>
          <w:szCs w:val="22"/>
        </w:rPr>
      </w:pPr>
      <w:r w:rsidRPr="00B75E0B">
        <w:rPr>
          <w:szCs w:val="22"/>
        </w:rPr>
        <w:t>6.</w:t>
      </w:r>
      <w:r w:rsidRPr="00B75E0B">
        <w:rPr>
          <w:szCs w:val="22"/>
        </w:rPr>
        <w:tab/>
        <w:t>Obsah balenia a ďalšie informácie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rPr>
          <w:szCs w:val="22"/>
        </w:rPr>
      </w:pPr>
      <w:r w:rsidRPr="00B75E0B">
        <w:rPr>
          <w:b/>
          <w:szCs w:val="22"/>
        </w:rPr>
        <w:t>1.</w:t>
      </w:r>
      <w:r w:rsidRPr="00B75E0B">
        <w:rPr>
          <w:b/>
          <w:szCs w:val="22"/>
        </w:rPr>
        <w:tab/>
        <w:t>Čo je C</w:t>
      </w:r>
      <w:r w:rsidRPr="00B70FE8">
        <w:rPr>
          <w:b/>
          <w:caps/>
          <w:szCs w:val="22"/>
        </w:rPr>
        <w:t>oldrex</w:t>
      </w:r>
      <w:r w:rsidRPr="00B75E0B">
        <w:rPr>
          <w:b/>
          <w:szCs w:val="22"/>
        </w:rPr>
        <w:t xml:space="preserve"> T</w:t>
      </w:r>
      <w:r w:rsidRPr="00B70FE8">
        <w:rPr>
          <w:b/>
          <w:caps/>
          <w:szCs w:val="22"/>
        </w:rPr>
        <w:t>ablety</w:t>
      </w:r>
      <w:r w:rsidRPr="00B75E0B">
        <w:rPr>
          <w:b/>
          <w:szCs w:val="22"/>
        </w:rPr>
        <w:t xml:space="preserve"> a na čo sa používa</w:t>
      </w:r>
      <w:r w:rsidRPr="00B75E0B" w:rsidDel="006C6C52">
        <w:rPr>
          <w:b/>
          <w:szCs w:val="22"/>
        </w:rPr>
        <w:t xml:space="preserve"> 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ind w:left="0" w:firstLine="0"/>
        <w:rPr>
          <w:szCs w:val="22"/>
        </w:rPr>
      </w:pPr>
      <w:r w:rsidRPr="00B75E0B">
        <w:rPr>
          <w:szCs w:val="22"/>
        </w:rPr>
        <w:t>C</w:t>
      </w:r>
      <w:r w:rsidRPr="00B70FE8">
        <w:rPr>
          <w:caps/>
          <w:szCs w:val="22"/>
        </w:rPr>
        <w:t>oldrex</w:t>
      </w:r>
      <w:r w:rsidRPr="00B75E0B">
        <w:rPr>
          <w:szCs w:val="22"/>
        </w:rPr>
        <w:t xml:space="preserve"> T</w:t>
      </w:r>
      <w:r w:rsidRPr="00B70FE8">
        <w:rPr>
          <w:caps/>
          <w:szCs w:val="22"/>
        </w:rPr>
        <w:t>ablety</w:t>
      </w:r>
      <w:r w:rsidRPr="00B75E0B">
        <w:rPr>
          <w:szCs w:val="22"/>
        </w:rPr>
        <w:t xml:space="preserve"> je liek na </w:t>
      </w:r>
      <w:r w:rsidR="00B3372A" w:rsidRPr="00B75E0B">
        <w:rPr>
          <w:szCs w:val="22"/>
        </w:rPr>
        <w:t>zmiernenie</w:t>
      </w:r>
      <w:r w:rsidRPr="00B75E0B">
        <w:rPr>
          <w:szCs w:val="22"/>
        </w:rPr>
        <w:t xml:space="preserve"> príznakov chrípky a</w:t>
      </w:r>
      <w:r w:rsidR="00BE6FE7">
        <w:rPr>
          <w:szCs w:val="22"/>
        </w:rPr>
        <w:t> akútneho zápalu horných dýchací</w:t>
      </w:r>
      <w:r w:rsidR="002013FB">
        <w:rPr>
          <w:szCs w:val="22"/>
        </w:rPr>
        <w:t>c</w:t>
      </w:r>
      <w:r w:rsidR="00BE6FE7">
        <w:rPr>
          <w:szCs w:val="22"/>
        </w:rPr>
        <w:t>h ciest</w:t>
      </w:r>
      <w:r w:rsidRPr="00B75E0B">
        <w:rPr>
          <w:szCs w:val="22"/>
        </w:rPr>
        <w:t>, odstraňuje bolesti v hrdle, uvoľňuje upchatý nos aj prínosné dutiny, odstraňuje bolesti hlavy, svalov aj kĺbov</w:t>
      </w:r>
      <w:r w:rsidR="00BE6FE7">
        <w:rPr>
          <w:szCs w:val="22"/>
        </w:rPr>
        <w:t>.</w:t>
      </w:r>
    </w:p>
    <w:p w:rsidR="00CB56BE" w:rsidRPr="00B75E0B" w:rsidRDefault="00CB56BE" w:rsidP="000D1BEE">
      <w:pPr>
        <w:ind w:left="0" w:firstLine="0"/>
        <w:rPr>
          <w:szCs w:val="22"/>
        </w:rPr>
      </w:pPr>
      <w:r w:rsidRPr="00B75E0B">
        <w:rPr>
          <w:szCs w:val="22"/>
        </w:rPr>
        <w:t>Obsahuje paracetamol, liečivo proti bolesti a horúčke, ktoré odstraňuje bolesti v hrdle, bolesti hlavy, svalov aj kĺbov a znižuje horúčku. Ďalej fenylefrín</w:t>
      </w:r>
      <w:r w:rsidR="00BE6FE7">
        <w:rPr>
          <w:szCs w:val="22"/>
        </w:rPr>
        <w:t>iumchlorid</w:t>
      </w:r>
      <w:r w:rsidRPr="00B75E0B">
        <w:rPr>
          <w:szCs w:val="22"/>
        </w:rPr>
        <w:t>, ktorý uvoľňuje upchatý nos aj prínosné dutiny</w:t>
      </w:r>
      <w:r w:rsidR="00B070D3">
        <w:rPr>
          <w:szCs w:val="22"/>
        </w:rPr>
        <w:t xml:space="preserve"> a monohydrát terp</w:t>
      </w:r>
      <w:r w:rsidR="00C47EC6">
        <w:rPr>
          <w:szCs w:val="22"/>
        </w:rPr>
        <w:t>í</w:t>
      </w:r>
      <w:r w:rsidR="00B070D3">
        <w:rPr>
          <w:szCs w:val="22"/>
        </w:rPr>
        <w:t>nu, ktorý je používaný ako expektorans pri produktívnom kašli</w:t>
      </w:r>
      <w:r w:rsidR="00213DFF">
        <w:rPr>
          <w:szCs w:val="22"/>
        </w:rPr>
        <w:t>.</w:t>
      </w:r>
      <w:r w:rsidRPr="00B75E0B">
        <w:rPr>
          <w:szCs w:val="22"/>
        </w:rPr>
        <w:t xml:space="preserve"> C</w:t>
      </w:r>
      <w:r w:rsidRPr="00B70FE8">
        <w:rPr>
          <w:caps/>
          <w:szCs w:val="22"/>
        </w:rPr>
        <w:t>oldrex</w:t>
      </w:r>
      <w:r w:rsidRPr="00B75E0B">
        <w:rPr>
          <w:szCs w:val="22"/>
        </w:rPr>
        <w:t xml:space="preserve"> T</w:t>
      </w:r>
      <w:r w:rsidRPr="00B70FE8">
        <w:rPr>
          <w:caps/>
          <w:szCs w:val="22"/>
        </w:rPr>
        <w:t>ablety</w:t>
      </w:r>
      <w:r w:rsidRPr="00B75E0B">
        <w:rPr>
          <w:szCs w:val="22"/>
        </w:rPr>
        <w:t xml:space="preserve"> tiež obsahuje vitamín C, ktor</w:t>
      </w:r>
      <w:r w:rsidR="00213DFF">
        <w:rPr>
          <w:szCs w:val="22"/>
        </w:rPr>
        <w:t>ého hladiny</w:t>
      </w:r>
      <w:r w:rsidRPr="00B75E0B">
        <w:rPr>
          <w:szCs w:val="22"/>
        </w:rPr>
        <w:t xml:space="preserve"> pri chrípke a prechladnutí </w:t>
      </w:r>
      <w:r w:rsidR="00213DFF">
        <w:rPr>
          <w:szCs w:val="22"/>
        </w:rPr>
        <w:t>môžu byť nízke.</w:t>
      </w:r>
      <w:r w:rsidRPr="00B75E0B">
        <w:rPr>
          <w:szCs w:val="22"/>
        </w:rPr>
        <w:t xml:space="preserve"> 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  <w:r w:rsidRPr="00B75E0B">
        <w:rPr>
          <w:szCs w:val="22"/>
        </w:rPr>
        <w:t>C</w:t>
      </w:r>
      <w:r w:rsidRPr="00B70FE8">
        <w:rPr>
          <w:caps/>
          <w:szCs w:val="22"/>
        </w:rPr>
        <w:t>oldrex</w:t>
      </w:r>
      <w:r w:rsidRPr="00B75E0B">
        <w:rPr>
          <w:szCs w:val="22"/>
        </w:rPr>
        <w:t xml:space="preserve"> T</w:t>
      </w:r>
      <w:r w:rsidRPr="00B70FE8">
        <w:rPr>
          <w:caps/>
          <w:szCs w:val="22"/>
        </w:rPr>
        <w:t>ablety</w:t>
      </w:r>
      <w:r w:rsidRPr="00B75E0B">
        <w:rPr>
          <w:szCs w:val="22"/>
        </w:rPr>
        <w:t xml:space="preserve"> sú vhodné pre dospelých a </w:t>
      </w:r>
      <w:r w:rsidR="00BE6FE7">
        <w:rPr>
          <w:szCs w:val="22"/>
        </w:rPr>
        <w:t>dospievajúcich</w:t>
      </w:r>
      <w:r w:rsidR="00BE6FE7" w:rsidRPr="00B75E0B">
        <w:rPr>
          <w:szCs w:val="22"/>
        </w:rPr>
        <w:t xml:space="preserve"> </w:t>
      </w:r>
      <w:r w:rsidRPr="00B75E0B">
        <w:rPr>
          <w:szCs w:val="22"/>
        </w:rPr>
        <w:t xml:space="preserve">od 12 rokov. </w:t>
      </w:r>
    </w:p>
    <w:p w:rsidR="00CB56BE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4B728D" w:rsidRPr="00B75E0B" w:rsidRDefault="004B728D" w:rsidP="000D1BEE">
      <w:pPr>
        <w:numPr>
          <w:ilvl w:val="12"/>
          <w:numId w:val="0"/>
        </w:numPr>
        <w:ind w:right="-2"/>
        <w:rPr>
          <w:szCs w:val="22"/>
        </w:rPr>
      </w:pPr>
      <w:r w:rsidRPr="00B70FE8">
        <w:rPr>
          <w:szCs w:val="22"/>
        </w:rPr>
        <w:t>Ak sa do 3 dní nebudete cítiť lepšie alebo sa budete cítiť horšie, musíte sa obrátiť na lekára.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rPr>
          <w:b/>
          <w:bCs/>
          <w:szCs w:val="22"/>
        </w:rPr>
      </w:pPr>
      <w:r w:rsidRPr="00B75E0B">
        <w:rPr>
          <w:b/>
          <w:szCs w:val="22"/>
        </w:rPr>
        <w:t>2.</w:t>
      </w:r>
      <w:r w:rsidRPr="00B75E0B">
        <w:rPr>
          <w:b/>
          <w:szCs w:val="22"/>
        </w:rPr>
        <w:tab/>
        <w:t>Čo potrebujete vedieť predtým, ako užijete C</w:t>
      </w:r>
      <w:r w:rsidRPr="00B70FE8">
        <w:rPr>
          <w:b/>
          <w:caps/>
          <w:szCs w:val="22"/>
        </w:rPr>
        <w:t>oldrex</w:t>
      </w:r>
      <w:r w:rsidRPr="00B75E0B">
        <w:rPr>
          <w:b/>
          <w:szCs w:val="22"/>
        </w:rPr>
        <w:t xml:space="preserve"> T</w:t>
      </w:r>
      <w:r w:rsidRPr="00B70FE8">
        <w:rPr>
          <w:b/>
          <w:caps/>
          <w:szCs w:val="22"/>
        </w:rPr>
        <w:t>ablety</w:t>
      </w:r>
    </w:p>
    <w:p w:rsidR="00CB56BE" w:rsidRPr="00B75E0B" w:rsidRDefault="00CB56BE" w:rsidP="000D1BEE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CB56BE" w:rsidRPr="00B75E0B" w:rsidRDefault="00CB56BE" w:rsidP="000D1BEE">
      <w:pPr>
        <w:pStyle w:val="Zkladntext"/>
        <w:rPr>
          <w:bCs/>
          <w:sz w:val="22"/>
          <w:szCs w:val="22"/>
          <w:lang w:val="sk-SK"/>
        </w:rPr>
      </w:pPr>
      <w:r w:rsidRPr="00B75E0B">
        <w:rPr>
          <w:bCs/>
          <w:sz w:val="22"/>
          <w:szCs w:val="22"/>
          <w:lang w:val="sk-SK"/>
        </w:rPr>
        <w:t>Pamätajte si:</w:t>
      </w:r>
    </w:p>
    <w:p w:rsidR="00CB56BE" w:rsidRPr="00B75E0B" w:rsidRDefault="00CB56BE" w:rsidP="000D1BEE">
      <w:pPr>
        <w:numPr>
          <w:ilvl w:val="0"/>
          <w:numId w:val="1"/>
        </w:numPr>
        <w:rPr>
          <w:szCs w:val="22"/>
        </w:rPr>
      </w:pPr>
      <w:r w:rsidRPr="00B75E0B">
        <w:rPr>
          <w:szCs w:val="22"/>
        </w:rPr>
        <w:t>C</w:t>
      </w:r>
      <w:r w:rsidRPr="00B70FE8">
        <w:rPr>
          <w:caps/>
          <w:szCs w:val="22"/>
        </w:rPr>
        <w:t>oldrex</w:t>
      </w:r>
      <w:r w:rsidRPr="00B75E0B">
        <w:rPr>
          <w:szCs w:val="22"/>
        </w:rPr>
        <w:t xml:space="preserve"> T</w:t>
      </w:r>
      <w:r w:rsidRPr="00B70FE8">
        <w:rPr>
          <w:caps/>
          <w:szCs w:val="22"/>
        </w:rPr>
        <w:t>ablety</w:t>
      </w:r>
      <w:r w:rsidRPr="00B75E0B">
        <w:rPr>
          <w:szCs w:val="22"/>
        </w:rPr>
        <w:t xml:space="preserve"> obsahuje paracetamol. Neužívajte tento liek s akýmkoľvek ďalším liekom obsahujúcim paracetamol.</w:t>
      </w:r>
    </w:p>
    <w:p w:rsidR="00CB56BE" w:rsidRPr="00B75E0B" w:rsidRDefault="00CB56BE" w:rsidP="000D1BEE">
      <w:pPr>
        <w:numPr>
          <w:ilvl w:val="0"/>
          <w:numId w:val="1"/>
        </w:numPr>
        <w:rPr>
          <w:szCs w:val="22"/>
        </w:rPr>
      </w:pPr>
      <w:r w:rsidRPr="00B75E0B">
        <w:rPr>
          <w:szCs w:val="22"/>
        </w:rPr>
        <w:t>Neužívajte tento liek bez odporúčania lekára, ak máte problémy s pitím alkoholu a/alebo máte ochorenie</w:t>
      </w:r>
      <w:r w:rsidR="00213DFF">
        <w:rPr>
          <w:szCs w:val="22"/>
        </w:rPr>
        <w:t xml:space="preserve"> pečene</w:t>
      </w:r>
      <w:r w:rsidRPr="00B75E0B">
        <w:rPr>
          <w:szCs w:val="22"/>
        </w:rPr>
        <w:t>.</w:t>
      </w:r>
    </w:p>
    <w:p w:rsidR="00CB56BE" w:rsidRPr="00B75E0B" w:rsidRDefault="00CB56BE" w:rsidP="000D1BEE">
      <w:pPr>
        <w:numPr>
          <w:ilvl w:val="0"/>
          <w:numId w:val="1"/>
        </w:numPr>
        <w:rPr>
          <w:szCs w:val="22"/>
        </w:rPr>
      </w:pPr>
      <w:r w:rsidRPr="00B75E0B">
        <w:rPr>
          <w:szCs w:val="22"/>
        </w:rPr>
        <w:t>C</w:t>
      </w:r>
      <w:r w:rsidRPr="00B70FE8">
        <w:rPr>
          <w:caps/>
          <w:szCs w:val="22"/>
        </w:rPr>
        <w:t>oldrex</w:t>
      </w:r>
      <w:r w:rsidRPr="00B75E0B">
        <w:rPr>
          <w:szCs w:val="22"/>
        </w:rPr>
        <w:t xml:space="preserve"> T</w:t>
      </w:r>
      <w:r w:rsidRPr="00B70FE8">
        <w:rPr>
          <w:caps/>
          <w:szCs w:val="22"/>
        </w:rPr>
        <w:t>ablety</w:t>
      </w:r>
      <w:r w:rsidRPr="00B75E0B">
        <w:rPr>
          <w:szCs w:val="22"/>
        </w:rPr>
        <w:t xml:space="preserve"> obsahuje aj dekongest</w:t>
      </w:r>
      <w:r w:rsidR="00213DFF">
        <w:rPr>
          <w:szCs w:val="22"/>
        </w:rPr>
        <w:t>ívum</w:t>
      </w:r>
      <w:r w:rsidR="00476DA4" w:rsidRPr="00B75E0B">
        <w:rPr>
          <w:szCs w:val="22"/>
        </w:rPr>
        <w:t xml:space="preserve"> (liek na uvoľnenie upchatého nosa)</w:t>
      </w:r>
      <w:r w:rsidRPr="00B75E0B">
        <w:rPr>
          <w:szCs w:val="22"/>
        </w:rPr>
        <w:t>. Neužívajte tento liek s ďalšími liekmi, ktoré sa užívajú na zmiernenie chrípky, prechladnutia alebo opuchu nosovej sliznice (upchatého nosa).</w:t>
      </w:r>
    </w:p>
    <w:p w:rsidR="00CB56BE" w:rsidRPr="00B75E0B" w:rsidRDefault="00CB56BE" w:rsidP="000D1BEE">
      <w:pPr>
        <w:numPr>
          <w:ilvl w:val="12"/>
          <w:numId w:val="0"/>
        </w:numPr>
        <w:outlineLvl w:val="0"/>
        <w:rPr>
          <w:b/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outlineLvl w:val="0"/>
        <w:rPr>
          <w:b/>
          <w:szCs w:val="22"/>
        </w:rPr>
      </w:pPr>
      <w:r w:rsidRPr="00B75E0B">
        <w:rPr>
          <w:b/>
          <w:szCs w:val="22"/>
        </w:rPr>
        <w:t>Neužívajte C</w:t>
      </w:r>
      <w:r w:rsidRPr="00B70FE8">
        <w:rPr>
          <w:b/>
          <w:caps/>
          <w:szCs w:val="22"/>
        </w:rPr>
        <w:t>oldrex</w:t>
      </w:r>
      <w:r w:rsidRPr="00B75E0B">
        <w:rPr>
          <w:b/>
          <w:szCs w:val="22"/>
        </w:rPr>
        <w:t xml:space="preserve"> T</w:t>
      </w:r>
      <w:r w:rsidRPr="00B70FE8">
        <w:rPr>
          <w:b/>
          <w:caps/>
          <w:szCs w:val="22"/>
        </w:rPr>
        <w:t>ablety</w:t>
      </w:r>
    </w:p>
    <w:p w:rsidR="00CB56BE" w:rsidRPr="00B75E0B" w:rsidRDefault="00CB56BE" w:rsidP="000D1BEE">
      <w:pPr>
        <w:numPr>
          <w:ilvl w:val="12"/>
          <w:numId w:val="0"/>
        </w:numPr>
        <w:outlineLvl w:val="0"/>
        <w:rPr>
          <w:szCs w:val="22"/>
        </w:rPr>
      </w:pPr>
    </w:p>
    <w:p w:rsidR="00CB56BE" w:rsidRPr="00B75E0B" w:rsidRDefault="00CB56BE" w:rsidP="000D1BEE">
      <w:pPr>
        <w:numPr>
          <w:ilvl w:val="0"/>
          <w:numId w:val="1"/>
        </w:numPr>
        <w:rPr>
          <w:szCs w:val="22"/>
        </w:rPr>
      </w:pPr>
      <w:r w:rsidRPr="00B75E0B">
        <w:rPr>
          <w:szCs w:val="22"/>
        </w:rPr>
        <w:t>Ak ste alergický na paracetamol, fenylefríniumchlorid, kofeín, monohydrát terpínu, kyselinu askorbovú alebo na ktorúkoľvek z ďalších zložiek tohto lieku (uvedených v časti 6).</w:t>
      </w:r>
    </w:p>
    <w:p w:rsidR="00CB56BE" w:rsidRPr="00B75E0B" w:rsidRDefault="00CB56BE" w:rsidP="000D1BEE">
      <w:pPr>
        <w:numPr>
          <w:ilvl w:val="0"/>
          <w:numId w:val="1"/>
        </w:numPr>
        <w:rPr>
          <w:szCs w:val="22"/>
        </w:rPr>
      </w:pPr>
      <w:r w:rsidRPr="00B75E0B">
        <w:rPr>
          <w:szCs w:val="22"/>
        </w:rPr>
        <w:t>Ak máte niektorý z týchto zdravotných problémov:</w:t>
      </w:r>
    </w:p>
    <w:p w:rsidR="00CB56BE" w:rsidRPr="00B75E0B" w:rsidRDefault="00CB56BE" w:rsidP="000D1BEE">
      <w:pPr>
        <w:ind w:left="360" w:firstLine="0"/>
        <w:rPr>
          <w:szCs w:val="22"/>
        </w:rPr>
      </w:pPr>
      <w:r w:rsidRPr="00B75E0B">
        <w:rPr>
          <w:szCs w:val="22"/>
        </w:rPr>
        <w:t>vysoký krvný tlak, glaukóm (zelený zákal), závažné ochorenie pečene vrátane akútnej žltačky, závažnú hemolytickú anémiu (málokrvnosť z rozpadu červených krviniek), užívate alebo ste užívali počas posledných dvoch týždňov lieky známe ako inhibítory monoaminooxidázy (lieky proti depresii).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75E0B">
        <w:rPr>
          <w:b/>
          <w:szCs w:val="22"/>
        </w:rPr>
        <w:t>Upozornenia a opatrenia</w:t>
      </w:r>
    </w:p>
    <w:p w:rsidR="00CB56BE" w:rsidRPr="00B75E0B" w:rsidRDefault="004B728D" w:rsidP="000D1BE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70FE8">
        <w:rPr>
          <w:szCs w:val="22"/>
        </w:rPr>
        <w:t>Predtým, ako začnete užívať C</w:t>
      </w:r>
      <w:r w:rsidRPr="00755249">
        <w:rPr>
          <w:caps/>
          <w:szCs w:val="22"/>
        </w:rPr>
        <w:t>oldrex</w:t>
      </w:r>
      <w:r w:rsidRPr="00B70FE8">
        <w:rPr>
          <w:szCs w:val="22"/>
        </w:rPr>
        <w:t xml:space="preserve"> T</w:t>
      </w:r>
      <w:r w:rsidRPr="00755249">
        <w:rPr>
          <w:caps/>
          <w:szCs w:val="22"/>
        </w:rPr>
        <w:t>ablety</w:t>
      </w:r>
      <w:r w:rsidRPr="00B70FE8">
        <w:rPr>
          <w:szCs w:val="22"/>
        </w:rPr>
        <w:t>, obráťte sa na svojho lekára alebo lekárnika.</w:t>
      </w:r>
    </w:p>
    <w:p w:rsidR="004B728D" w:rsidRPr="00B75E0B" w:rsidRDefault="004B728D" w:rsidP="000D1BEE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7E22A0" w:rsidRPr="00B70FE8" w:rsidRDefault="00CB56BE" w:rsidP="000D1BEE">
      <w:pPr>
        <w:numPr>
          <w:ilvl w:val="0"/>
          <w:numId w:val="1"/>
        </w:numPr>
        <w:rPr>
          <w:b/>
          <w:szCs w:val="22"/>
        </w:rPr>
      </w:pPr>
      <w:r w:rsidRPr="00B75E0B">
        <w:rPr>
          <w:szCs w:val="22"/>
        </w:rPr>
        <w:t>Pred užitím lieku C</w:t>
      </w:r>
      <w:r w:rsidRPr="00B70FE8">
        <w:rPr>
          <w:caps/>
          <w:szCs w:val="22"/>
        </w:rPr>
        <w:t>oldrex</w:t>
      </w:r>
      <w:r w:rsidRPr="00B75E0B">
        <w:rPr>
          <w:szCs w:val="22"/>
        </w:rPr>
        <w:t xml:space="preserve"> T</w:t>
      </w:r>
      <w:r w:rsidRPr="00B70FE8">
        <w:rPr>
          <w:caps/>
          <w:szCs w:val="22"/>
        </w:rPr>
        <w:t>ablety</w:t>
      </w:r>
      <w:r w:rsidRPr="00B75E0B">
        <w:rPr>
          <w:szCs w:val="22"/>
        </w:rPr>
        <w:t xml:space="preserve"> sa poraďte s</w:t>
      </w:r>
      <w:r w:rsidR="007E22A0">
        <w:rPr>
          <w:szCs w:val="22"/>
        </w:rPr>
        <w:t> </w:t>
      </w:r>
      <w:r w:rsidRPr="00B75E0B">
        <w:rPr>
          <w:szCs w:val="22"/>
        </w:rPr>
        <w:t>lekárom</w:t>
      </w:r>
      <w:r w:rsidR="007E22A0">
        <w:rPr>
          <w:szCs w:val="22"/>
        </w:rPr>
        <w:t>:</w:t>
      </w:r>
    </w:p>
    <w:p w:rsidR="00CB56BE" w:rsidRPr="00B75E0B" w:rsidRDefault="00CB56BE" w:rsidP="000D1BEE">
      <w:pPr>
        <w:numPr>
          <w:ilvl w:val="0"/>
          <w:numId w:val="1"/>
        </w:numPr>
        <w:rPr>
          <w:b/>
          <w:szCs w:val="22"/>
        </w:rPr>
      </w:pPr>
      <w:r w:rsidRPr="00B75E0B">
        <w:rPr>
          <w:szCs w:val="22"/>
        </w:rPr>
        <w:t xml:space="preserve"> ak máte niektorý z týchto zdravotných problémov: </w:t>
      </w:r>
    </w:p>
    <w:p w:rsidR="007E22A0" w:rsidRDefault="00CB56BE" w:rsidP="007E22A0">
      <w:pPr>
        <w:ind w:left="360" w:firstLine="0"/>
        <w:rPr>
          <w:spacing w:val="-3"/>
          <w:szCs w:val="22"/>
        </w:rPr>
      </w:pPr>
      <w:r w:rsidRPr="00B75E0B">
        <w:rPr>
          <w:spacing w:val="-3"/>
          <w:szCs w:val="22"/>
        </w:rPr>
        <w:t>ochorenie srdca, cukrovku, po</w:t>
      </w:r>
      <w:r w:rsidR="007E22A0">
        <w:rPr>
          <w:spacing w:val="-3"/>
          <w:szCs w:val="22"/>
        </w:rPr>
        <w:t>ruchu funkcie</w:t>
      </w:r>
      <w:r w:rsidRPr="00B75E0B">
        <w:rPr>
          <w:spacing w:val="-3"/>
          <w:szCs w:val="22"/>
        </w:rPr>
        <w:t xml:space="preserve"> obličiek</w:t>
      </w:r>
      <w:r w:rsidR="007E22A0">
        <w:rPr>
          <w:spacing w:val="-3"/>
          <w:szCs w:val="22"/>
        </w:rPr>
        <w:t xml:space="preserve"> alebo pečene</w:t>
      </w:r>
      <w:r w:rsidRPr="00B75E0B">
        <w:rPr>
          <w:spacing w:val="-3"/>
          <w:szCs w:val="22"/>
        </w:rPr>
        <w:t>, ochorenie štítnej žľazy, zväčšenú prostatu, prieduškovú astmu, nedostatok glukózo-6-fosfát dehydrogenázy, ochorenie postihujúce mozgové cievy</w:t>
      </w:r>
      <w:r w:rsidR="007E22A0">
        <w:rPr>
          <w:spacing w:val="-3"/>
          <w:szCs w:val="22"/>
        </w:rPr>
        <w:t>.</w:t>
      </w:r>
    </w:p>
    <w:p w:rsidR="00CB56BE" w:rsidRPr="00B75E0B" w:rsidRDefault="007E22A0" w:rsidP="007E22A0">
      <w:pPr>
        <w:numPr>
          <w:ilvl w:val="0"/>
          <w:numId w:val="1"/>
        </w:numPr>
        <w:rPr>
          <w:spacing w:val="-3"/>
          <w:szCs w:val="22"/>
        </w:rPr>
      </w:pPr>
      <w:r>
        <w:rPr>
          <w:spacing w:val="-3"/>
          <w:szCs w:val="22"/>
        </w:rPr>
        <w:t xml:space="preserve">ak </w:t>
      </w:r>
      <w:r w:rsidR="00CB56BE" w:rsidRPr="00B75E0B">
        <w:rPr>
          <w:spacing w:val="-3"/>
          <w:szCs w:val="22"/>
        </w:rPr>
        <w:t>súbežne užívate</w:t>
      </w:r>
      <w:r w:rsidR="00755249">
        <w:rPr>
          <w:spacing w:val="-3"/>
          <w:szCs w:val="22"/>
        </w:rPr>
        <w:t xml:space="preserve"> </w:t>
      </w:r>
      <w:r>
        <w:rPr>
          <w:spacing w:val="-3"/>
          <w:szCs w:val="22"/>
        </w:rPr>
        <w:t>lieky:</w:t>
      </w:r>
      <w:r w:rsidR="00CB56BE" w:rsidRPr="00B75E0B">
        <w:rPr>
          <w:spacing w:val="-3"/>
          <w:szCs w:val="22"/>
        </w:rPr>
        <w:t xml:space="preserve"> tricyklické antidepresíva (lieky proti depresii) alebo betablokátory (lieky na zníženie krvného tlaku a spomalenie srdcovej činnosti).</w:t>
      </w:r>
    </w:p>
    <w:p w:rsidR="00CB56BE" w:rsidRPr="00B75E0B" w:rsidRDefault="00CB56BE" w:rsidP="000D1BEE">
      <w:pPr>
        <w:numPr>
          <w:ilvl w:val="12"/>
          <w:numId w:val="0"/>
        </w:numPr>
        <w:ind w:left="567" w:hanging="567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  <w:r w:rsidRPr="00B75E0B">
        <w:rPr>
          <w:b/>
          <w:szCs w:val="22"/>
        </w:rPr>
        <w:t>Iné lieky a C</w:t>
      </w:r>
      <w:r w:rsidRPr="00B70FE8">
        <w:rPr>
          <w:b/>
          <w:caps/>
          <w:szCs w:val="22"/>
        </w:rPr>
        <w:t>oldrex</w:t>
      </w:r>
      <w:r w:rsidRPr="00B75E0B">
        <w:rPr>
          <w:b/>
          <w:szCs w:val="22"/>
        </w:rPr>
        <w:t xml:space="preserve"> T</w:t>
      </w:r>
      <w:r w:rsidRPr="00B70FE8">
        <w:rPr>
          <w:b/>
          <w:caps/>
          <w:szCs w:val="22"/>
        </w:rPr>
        <w:t>ablety</w:t>
      </w:r>
    </w:p>
    <w:p w:rsidR="00CB56BE" w:rsidRPr="00B75E0B" w:rsidRDefault="00CB56BE" w:rsidP="000D1BEE">
      <w:pPr>
        <w:ind w:left="0" w:firstLine="0"/>
        <w:rPr>
          <w:szCs w:val="22"/>
        </w:rPr>
      </w:pPr>
    </w:p>
    <w:p w:rsidR="00476DA4" w:rsidRPr="00B75E0B" w:rsidRDefault="00476DA4" w:rsidP="000D1BEE">
      <w:pPr>
        <w:ind w:left="0" w:firstLine="0"/>
        <w:rPr>
          <w:szCs w:val="22"/>
        </w:rPr>
      </w:pPr>
      <w:r w:rsidRPr="00B70FE8">
        <w:rPr>
          <w:szCs w:val="22"/>
        </w:rPr>
        <w:t>Ak teraz užívate alebo ste v</w:t>
      </w:r>
      <w:r w:rsidRPr="007E22A0">
        <w:rPr>
          <w:szCs w:val="22"/>
        </w:rPr>
        <w:t> </w:t>
      </w:r>
      <w:r w:rsidRPr="00B70FE8">
        <w:rPr>
          <w:szCs w:val="22"/>
        </w:rPr>
        <w:t>poslednom čase užívali, či práve budete užívať ďalšie lieky, povedzte to svojmu lekárovi alebo lekárnikovi.</w:t>
      </w:r>
    </w:p>
    <w:p w:rsidR="00CB56BE" w:rsidRPr="00B75E0B" w:rsidRDefault="00CB56BE" w:rsidP="000D1BEE">
      <w:pPr>
        <w:ind w:left="0" w:firstLine="0"/>
        <w:rPr>
          <w:szCs w:val="22"/>
        </w:rPr>
      </w:pPr>
      <w:r w:rsidRPr="00B75E0B">
        <w:rPr>
          <w:szCs w:val="22"/>
        </w:rPr>
        <w:t>Účinky lieku C</w:t>
      </w:r>
      <w:r w:rsidRPr="00B70FE8">
        <w:rPr>
          <w:caps/>
          <w:szCs w:val="22"/>
        </w:rPr>
        <w:t>oldrex</w:t>
      </w:r>
      <w:r w:rsidRPr="00B75E0B">
        <w:rPr>
          <w:szCs w:val="22"/>
        </w:rPr>
        <w:t xml:space="preserve"> T</w:t>
      </w:r>
      <w:r w:rsidRPr="00B70FE8">
        <w:rPr>
          <w:caps/>
          <w:szCs w:val="22"/>
        </w:rPr>
        <w:t>ablety</w:t>
      </w:r>
      <w:r w:rsidRPr="00B75E0B">
        <w:rPr>
          <w:b/>
          <w:szCs w:val="22"/>
        </w:rPr>
        <w:t xml:space="preserve"> </w:t>
      </w:r>
      <w:r w:rsidRPr="00B75E0B">
        <w:rPr>
          <w:szCs w:val="22"/>
        </w:rPr>
        <w:t xml:space="preserve">a účinky iných súbežne užívaných liekov sa môžu navzájom ovplyvňovať. </w:t>
      </w:r>
    </w:p>
    <w:p w:rsidR="00CB56BE" w:rsidRPr="00B75E0B" w:rsidRDefault="00CB56BE" w:rsidP="000D1BEE">
      <w:pPr>
        <w:ind w:left="0" w:firstLine="0"/>
        <w:rPr>
          <w:szCs w:val="22"/>
        </w:rPr>
      </w:pPr>
    </w:p>
    <w:p w:rsidR="00CB56BE" w:rsidRPr="00B75E0B" w:rsidRDefault="00CB56BE" w:rsidP="000D1BEE">
      <w:pPr>
        <w:ind w:left="0" w:firstLine="0"/>
        <w:rPr>
          <w:b/>
          <w:spacing w:val="-3"/>
          <w:szCs w:val="22"/>
        </w:rPr>
      </w:pPr>
      <w:r w:rsidRPr="00B75E0B">
        <w:rPr>
          <w:szCs w:val="22"/>
        </w:rPr>
        <w:t xml:space="preserve">Ak </w:t>
      </w:r>
      <w:r w:rsidRPr="00B75E0B">
        <w:rPr>
          <w:spacing w:val="-3"/>
          <w:szCs w:val="22"/>
        </w:rPr>
        <w:t xml:space="preserve">užívate </w:t>
      </w:r>
      <w:r w:rsidRPr="00B75E0B">
        <w:rPr>
          <w:szCs w:val="22"/>
        </w:rPr>
        <w:t>C</w:t>
      </w:r>
      <w:r w:rsidRPr="00B70FE8">
        <w:rPr>
          <w:caps/>
          <w:szCs w:val="22"/>
        </w:rPr>
        <w:t>oldrex</w:t>
      </w:r>
      <w:r w:rsidRPr="00B75E0B">
        <w:rPr>
          <w:szCs w:val="22"/>
        </w:rPr>
        <w:t xml:space="preserve"> T</w:t>
      </w:r>
      <w:r w:rsidRPr="00B70FE8">
        <w:rPr>
          <w:caps/>
          <w:szCs w:val="22"/>
        </w:rPr>
        <w:t>ablety</w:t>
      </w:r>
      <w:r w:rsidRPr="00B75E0B">
        <w:rPr>
          <w:spacing w:val="-3"/>
          <w:szCs w:val="22"/>
        </w:rPr>
        <w:t xml:space="preserve">, </w:t>
      </w:r>
      <w:r w:rsidRPr="00B75E0B">
        <w:rPr>
          <w:b/>
          <w:spacing w:val="-3"/>
          <w:szCs w:val="22"/>
        </w:rPr>
        <w:t>neužívajte súbežne iné lieky na chrípku a prechladnutie alebo lieky odstraňujúce zdurenie nosovej sliznice, najmä iné lieky obsahujúce paracetamol.</w:t>
      </w:r>
    </w:p>
    <w:p w:rsidR="007E22A0" w:rsidRDefault="00CB56BE" w:rsidP="000D1BEE">
      <w:pPr>
        <w:ind w:left="0" w:firstLine="0"/>
        <w:rPr>
          <w:spacing w:val="-3"/>
          <w:szCs w:val="22"/>
        </w:rPr>
      </w:pPr>
      <w:r w:rsidRPr="00B75E0B">
        <w:rPr>
          <w:spacing w:val="-3"/>
          <w:szCs w:val="22"/>
        </w:rPr>
        <w:t xml:space="preserve">Užívanie </w:t>
      </w:r>
      <w:r w:rsidRPr="00B75E0B">
        <w:rPr>
          <w:szCs w:val="22"/>
        </w:rPr>
        <w:t>C</w:t>
      </w:r>
      <w:r w:rsidRPr="00B70FE8">
        <w:rPr>
          <w:caps/>
          <w:szCs w:val="22"/>
        </w:rPr>
        <w:t>oldrexu</w:t>
      </w:r>
      <w:r w:rsidRPr="00B75E0B">
        <w:rPr>
          <w:szCs w:val="22"/>
        </w:rPr>
        <w:t xml:space="preserve"> T</w:t>
      </w:r>
      <w:r w:rsidRPr="00B70FE8">
        <w:rPr>
          <w:caps/>
          <w:szCs w:val="22"/>
        </w:rPr>
        <w:t>ablety</w:t>
      </w:r>
      <w:r w:rsidRPr="00B75E0B">
        <w:rPr>
          <w:b/>
          <w:szCs w:val="22"/>
        </w:rPr>
        <w:t xml:space="preserve"> </w:t>
      </w:r>
      <w:r w:rsidRPr="00B75E0B">
        <w:rPr>
          <w:spacing w:val="-3"/>
          <w:szCs w:val="22"/>
        </w:rPr>
        <w:t>s akýmikoľvek sú</w:t>
      </w:r>
      <w:r w:rsidR="007E22A0">
        <w:rPr>
          <w:spacing w:val="-3"/>
          <w:szCs w:val="22"/>
        </w:rPr>
        <w:t>časne</w:t>
      </w:r>
      <w:r w:rsidRPr="00B75E0B">
        <w:rPr>
          <w:spacing w:val="-3"/>
          <w:szCs w:val="22"/>
        </w:rPr>
        <w:t xml:space="preserve"> užívanými liekmi je možné len po porade s lekárom, pretože riziko postihnutia pečene pôsobením paracetamolu je vyššie pri súbežnom užívaní iných liekov, ktoré môžu spôsobovať poškodenie pečene</w:t>
      </w:r>
      <w:r w:rsidRPr="00B75E0B" w:rsidDel="00D6658D">
        <w:rPr>
          <w:spacing w:val="-3"/>
          <w:szCs w:val="22"/>
        </w:rPr>
        <w:t xml:space="preserve"> </w:t>
      </w:r>
      <w:r w:rsidRPr="00B75E0B">
        <w:rPr>
          <w:spacing w:val="-3"/>
          <w:szCs w:val="22"/>
        </w:rPr>
        <w:t>alebo liekov indukujúcich pečeňové mikrozomálne enzýmy. </w:t>
      </w:r>
    </w:p>
    <w:p w:rsidR="00CB56BE" w:rsidRPr="00B75E0B" w:rsidRDefault="007E22A0" w:rsidP="000D1BEE">
      <w:pPr>
        <w:ind w:left="0" w:firstLine="0"/>
        <w:rPr>
          <w:spacing w:val="-3"/>
          <w:szCs w:val="22"/>
        </w:rPr>
      </w:pPr>
      <w:r>
        <w:rPr>
          <w:spacing w:val="-3"/>
          <w:szCs w:val="22"/>
        </w:rPr>
        <w:t>J</w:t>
      </w:r>
      <w:r w:rsidR="00CB56BE" w:rsidRPr="00B75E0B">
        <w:rPr>
          <w:spacing w:val="-3"/>
          <w:szCs w:val="22"/>
        </w:rPr>
        <w:t>e nutná porada s lekárom pri súbežnom užívaní warfarínu</w:t>
      </w:r>
      <w:r>
        <w:rPr>
          <w:spacing w:val="-3"/>
          <w:szCs w:val="22"/>
        </w:rPr>
        <w:t xml:space="preserve"> alebo iných liekov na riedenie krvi</w:t>
      </w:r>
      <w:r w:rsidR="00CB56BE" w:rsidRPr="00B75E0B">
        <w:rPr>
          <w:spacing w:val="-3"/>
          <w:szCs w:val="22"/>
        </w:rPr>
        <w:t>, vzhľadom na možné riziko zvýšen</w:t>
      </w:r>
      <w:r w:rsidR="001D47FA">
        <w:rPr>
          <w:spacing w:val="-3"/>
          <w:szCs w:val="22"/>
        </w:rPr>
        <w:t>ého</w:t>
      </w:r>
      <w:r w:rsidR="00CB56BE" w:rsidRPr="00B75E0B">
        <w:rPr>
          <w:spacing w:val="-3"/>
          <w:szCs w:val="22"/>
        </w:rPr>
        <w:t xml:space="preserve"> krvácania.</w:t>
      </w:r>
    </w:p>
    <w:p w:rsidR="00CB56BE" w:rsidRPr="00B75E0B" w:rsidRDefault="00CB56BE" w:rsidP="000D1BEE">
      <w:pPr>
        <w:ind w:left="0" w:firstLine="0"/>
        <w:rPr>
          <w:spacing w:val="-3"/>
          <w:szCs w:val="22"/>
        </w:rPr>
      </w:pPr>
    </w:p>
    <w:p w:rsidR="00CB56BE" w:rsidRPr="00B75E0B" w:rsidRDefault="00CB56BE" w:rsidP="000D1BEE">
      <w:pPr>
        <w:ind w:left="0" w:firstLine="0"/>
        <w:rPr>
          <w:spacing w:val="-3"/>
          <w:szCs w:val="22"/>
        </w:rPr>
      </w:pPr>
      <w:r w:rsidRPr="00B75E0B">
        <w:rPr>
          <w:spacing w:val="-3"/>
          <w:szCs w:val="22"/>
        </w:rPr>
        <w:t>Súbežné dlhodobé užívanie paracetamolu a kyseliny acetylsalicylovej alebo ďalších nesteroidných protizápalových liekov (NSA</w:t>
      </w:r>
      <w:r w:rsidR="001D47FA">
        <w:rPr>
          <w:spacing w:val="-3"/>
          <w:szCs w:val="22"/>
        </w:rPr>
        <w:t>ID</w:t>
      </w:r>
      <w:r w:rsidRPr="00B75E0B">
        <w:rPr>
          <w:spacing w:val="-3"/>
          <w:szCs w:val="22"/>
        </w:rPr>
        <w:t>) môže viesť k poškodeniu obličiek.</w:t>
      </w:r>
    </w:p>
    <w:p w:rsidR="00CB56BE" w:rsidRPr="00B75E0B" w:rsidRDefault="00CB56BE" w:rsidP="000D1BEE">
      <w:pPr>
        <w:ind w:left="0" w:firstLine="0"/>
        <w:rPr>
          <w:spacing w:val="-3"/>
          <w:szCs w:val="22"/>
        </w:rPr>
      </w:pPr>
      <w:r w:rsidRPr="00B75E0B">
        <w:rPr>
          <w:spacing w:val="-3"/>
          <w:szCs w:val="22"/>
        </w:rPr>
        <w:t xml:space="preserve">Poraďte sa s lekárom alebo lekárnikom, ak užívate metoklopramid alebo domperidón pri nevoľnosti a vracaní alebo </w:t>
      </w:r>
      <w:r w:rsidR="001D47FA">
        <w:rPr>
          <w:spacing w:val="-3"/>
          <w:szCs w:val="22"/>
        </w:rPr>
        <w:t>k</w:t>
      </w:r>
      <w:r w:rsidRPr="00B75E0B">
        <w:rPr>
          <w:spacing w:val="-3"/>
          <w:szCs w:val="22"/>
        </w:rPr>
        <w:t>olestyramín na zníženie hladiny cholesterolu.</w:t>
      </w:r>
    </w:p>
    <w:p w:rsidR="00CB56BE" w:rsidRPr="00B75E0B" w:rsidRDefault="00CB56BE" w:rsidP="000D1BEE">
      <w:pPr>
        <w:ind w:left="0" w:firstLine="0"/>
        <w:rPr>
          <w:spacing w:val="-3"/>
          <w:szCs w:val="22"/>
        </w:rPr>
      </w:pPr>
    </w:p>
    <w:p w:rsidR="00CB56BE" w:rsidRPr="00B75E0B" w:rsidRDefault="00CB56BE" w:rsidP="000D1BEE">
      <w:pPr>
        <w:ind w:left="0" w:firstLine="0"/>
        <w:rPr>
          <w:spacing w:val="-3"/>
          <w:szCs w:val="22"/>
        </w:rPr>
      </w:pPr>
      <w:r w:rsidRPr="00B75E0B">
        <w:rPr>
          <w:spacing w:val="-3"/>
          <w:szCs w:val="22"/>
        </w:rPr>
        <w:t>Fenylefrín</w:t>
      </w:r>
      <w:r w:rsidR="001D47FA">
        <w:rPr>
          <w:spacing w:val="-3"/>
          <w:szCs w:val="22"/>
        </w:rPr>
        <w:t>iumchlorid</w:t>
      </w:r>
      <w:r w:rsidRPr="00B75E0B">
        <w:rPr>
          <w:spacing w:val="-3"/>
          <w:szCs w:val="22"/>
        </w:rPr>
        <w:t>, nachádzajúci sa v lieku, môže pri kombinácii s niektorými liekmi proti depresii</w:t>
      </w:r>
      <w:r w:rsidR="001D47FA">
        <w:rPr>
          <w:spacing w:val="-3"/>
          <w:szCs w:val="22"/>
        </w:rPr>
        <w:t xml:space="preserve"> (inhibítory monoaminooxidázy alebo tricyklické antidepresíva napr. amitriptylín)</w:t>
      </w:r>
      <w:r w:rsidRPr="00B75E0B">
        <w:rPr>
          <w:spacing w:val="-3"/>
          <w:szCs w:val="22"/>
        </w:rPr>
        <w:t xml:space="preserve"> spôsobiť zvýšen</w:t>
      </w:r>
      <w:r w:rsidR="001D47FA">
        <w:rPr>
          <w:spacing w:val="-3"/>
          <w:szCs w:val="22"/>
        </w:rPr>
        <w:t>é</w:t>
      </w:r>
      <w:r w:rsidRPr="00B75E0B">
        <w:rPr>
          <w:spacing w:val="-3"/>
          <w:szCs w:val="22"/>
        </w:rPr>
        <w:t xml:space="preserve"> </w:t>
      </w:r>
      <w:r w:rsidR="001D47FA">
        <w:rPr>
          <w:spacing w:val="-3"/>
          <w:szCs w:val="22"/>
        </w:rPr>
        <w:t xml:space="preserve">riziko srdcovocievnych nežiaducich účinkov. </w:t>
      </w:r>
    </w:p>
    <w:p w:rsidR="00CB56BE" w:rsidRDefault="00CB56BE" w:rsidP="000D1BEE">
      <w:pPr>
        <w:ind w:left="0" w:firstLine="0"/>
        <w:rPr>
          <w:spacing w:val="-3"/>
          <w:szCs w:val="22"/>
        </w:rPr>
      </w:pPr>
      <w:r w:rsidRPr="00B75E0B">
        <w:rPr>
          <w:spacing w:val="-3"/>
          <w:szCs w:val="22"/>
        </w:rPr>
        <w:t>Rovnako súbežné podávanie s betablokátormi (lieky na zníženie krvného tlaku a spomalenie srdcovej  činnosti)</w:t>
      </w:r>
      <w:r w:rsidR="001D47FA">
        <w:rPr>
          <w:spacing w:val="-3"/>
          <w:szCs w:val="22"/>
        </w:rPr>
        <w:t xml:space="preserve"> alebo inými liekmi na zníženie tlaku (napr. metyldopa, reserpín, guanetidín, debrisochín)</w:t>
      </w:r>
      <w:r w:rsidRPr="00B75E0B">
        <w:rPr>
          <w:spacing w:val="-3"/>
          <w:szCs w:val="22"/>
        </w:rPr>
        <w:t xml:space="preserve"> môže znížením účinku týchto liekov viesť k zvýšeniu krvného tlaku.</w:t>
      </w:r>
    </w:p>
    <w:p w:rsidR="001D47FA" w:rsidRPr="00B75E0B" w:rsidRDefault="001D47FA" w:rsidP="000D1BEE">
      <w:pPr>
        <w:ind w:left="0" w:firstLine="0"/>
        <w:rPr>
          <w:spacing w:val="-3"/>
          <w:szCs w:val="22"/>
        </w:rPr>
      </w:pPr>
      <w:r>
        <w:rPr>
          <w:spacing w:val="-3"/>
          <w:szCs w:val="22"/>
        </w:rPr>
        <w:t>S</w:t>
      </w:r>
      <w:r w:rsidR="00755249">
        <w:rPr>
          <w:spacing w:val="-3"/>
          <w:szCs w:val="22"/>
        </w:rPr>
        <w:t>úbežné</w:t>
      </w:r>
      <w:r>
        <w:rPr>
          <w:spacing w:val="-3"/>
          <w:szCs w:val="22"/>
        </w:rPr>
        <w:t xml:space="preserve"> podávanie fenylef</w:t>
      </w:r>
      <w:r w:rsidR="00755249">
        <w:rPr>
          <w:spacing w:val="-3"/>
          <w:szCs w:val="22"/>
        </w:rPr>
        <w:t>r</w:t>
      </w:r>
      <w:r>
        <w:rPr>
          <w:spacing w:val="-3"/>
          <w:szCs w:val="22"/>
        </w:rPr>
        <w:t>íniumchloridu a digoxínu (liek na úpravu srdcovej činnosti) mô</w:t>
      </w:r>
      <w:r w:rsidR="00755249">
        <w:rPr>
          <w:spacing w:val="-3"/>
          <w:szCs w:val="22"/>
        </w:rPr>
        <w:t>ž</w:t>
      </w:r>
      <w:r>
        <w:rPr>
          <w:spacing w:val="-3"/>
          <w:szCs w:val="22"/>
        </w:rPr>
        <w:t xml:space="preserve">e zvyšovať riziko nepravidelnej srdcovej činnosti. 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  <w:r w:rsidRPr="00B75E0B">
        <w:rPr>
          <w:b/>
          <w:szCs w:val="22"/>
        </w:rPr>
        <w:t>C</w:t>
      </w:r>
      <w:r w:rsidRPr="00B70FE8">
        <w:rPr>
          <w:b/>
          <w:caps/>
          <w:szCs w:val="22"/>
        </w:rPr>
        <w:t>oldrex</w:t>
      </w:r>
      <w:r w:rsidRPr="00B75E0B">
        <w:rPr>
          <w:b/>
          <w:szCs w:val="22"/>
        </w:rPr>
        <w:t xml:space="preserve"> T</w:t>
      </w:r>
      <w:r w:rsidRPr="00B70FE8">
        <w:rPr>
          <w:b/>
          <w:caps/>
          <w:szCs w:val="22"/>
        </w:rPr>
        <w:t>ablety</w:t>
      </w:r>
      <w:r w:rsidRPr="00B75E0B">
        <w:rPr>
          <w:b/>
          <w:szCs w:val="22"/>
        </w:rPr>
        <w:t xml:space="preserve"> a</w:t>
      </w:r>
      <w:r w:rsidR="00F02451" w:rsidRPr="00B75E0B">
        <w:rPr>
          <w:b/>
          <w:szCs w:val="22"/>
        </w:rPr>
        <w:t> </w:t>
      </w:r>
      <w:r w:rsidRPr="00B75E0B">
        <w:rPr>
          <w:b/>
          <w:szCs w:val="22"/>
        </w:rPr>
        <w:t>jedlo</w:t>
      </w:r>
      <w:r w:rsidR="00F02451" w:rsidRPr="00B75E0B">
        <w:rPr>
          <w:b/>
          <w:szCs w:val="22"/>
        </w:rPr>
        <w:t>, </w:t>
      </w:r>
      <w:r w:rsidRPr="00B75E0B">
        <w:rPr>
          <w:b/>
          <w:szCs w:val="22"/>
        </w:rPr>
        <w:t>nápoje</w:t>
      </w:r>
      <w:r w:rsidR="00F02451" w:rsidRPr="00B75E0B">
        <w:rPr>
          <w:b/>
          <w:szCs w:val="22"/>
        </w:rPr>
        <w:t xml:space="preserve"> a alkohol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B75E0B">
        <w:rPr>
          <w:szCs w:val="22"/>
        </w:rPr>
        <w:lastRenderedPageBreak/>
        <w:t xml:space="preserve">Liek sa môže podávať nezávisle od jedla. Počas liečby sa nesmie konzumovať alkohol. Dlhodobá konzumácia alkoholu významne zvyšuje riziko poškodenia pečene. </w:t>
      </w:r>
      <w:r w:rsidRPr="00B75E0B">
        <w:rPr>
          <w:spacing w:val="-3"/>
          <w:szCs w:val="22"/>
        </w:rPr>
        <w:t>Vyvarujte sa požívaniu nadmerného množstva kávy alebo čaju spolu s týmito tabletami. Môžu spôsobiť pocit napätia a podráždenosť.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75E0B">
        <w:rPr>
          <w:b/>
          <w:szCs w:val="22"/>
        </w:rPr>
        <w:t>Tehotenstvo</w:t>
      </w:r>
      <w:r w:rsidR="00C771D7">
        <w:rPr>
          <w:b/>
          <w:szCs w:val="22"/>
        </w:rPr>
        <w:t>, </w:t>
      </w:r>
      <w:r w:rsidRPr="00B75E0B">
        <w:rPr>
          <w:b/>
          <w:szCs w:val="22"/>
        </w:rPr>
        <w:t>dojčenie</w:t>
      </w:r>
      <w:r w:rsidR="00C771D7">
        <w:rPr>
          <w:b/>
          <w:szCs w:val="22"/>
        </w:rPr>
        <w:t xml:space="preserve"> a plodnosť</w:t>
      </w:r>
    </w:p>
    <w:p w:rsidR="00CB56BE" w:rsidRPr="00B75E0B" w:rsidRDefault="00CB56BE" w:rsidP="000D1BEE">
      <w:pPr>
        <w:numPr>
          <w:ilvl w:val="12"/>
          <w:numId w:val="0"/>
        </w:numPr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rPr>
          <w:szCs w:val="22"/>
        </w:rPr>
      </w:pPr>
      <w:r w:rsidRPr="00B75E0B">
        <w:rPr>
          <w:szCs w:val="22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:rsidR="00CB56BE" w:rsidRPr="00B75E0B" w:rsidRDefault="00CB56BE" w:rsidP="000D1BEE">
      <w:pPr>
        <w:numPr>
          <w:ilvl w:val="12"/>
          <w:numId w:val="0"/>
        </w:numPr>
        <w:rPr>
          <w:szCs w:val="22"/>
        </w:rPr>
      </w:pPr>
      <w:r w:rsidRPr="00B75E0B">
        <w:rPr>
          <w:szCs w:val="22"/>
        </w:rPr>
        <w:t>Liek nie je vhodné užívať počas tehotenstva a dojčenia.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75E0B">
        <w:rPr>
          <w:b/>
          <w:szCs w:val="22"/>
        </w:rPr>
        <w:t>Vedenie vozidiel a obsluha strojov</w:t>
      </w:r>
    </w:p>
    <w:p w:rsidR="00CB56BE" w:rsidRPr="00B75E0B" w:rsidRDefault="00CB56BE" w:rsidP="000D1BEE">
      <w:pPr>
        <w:numPr>
          <w:ilvl w:val="12"/>
          <w:numId w:val="0"/>
        </w:numPr>
        <w:ind w:right="-29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9"/>
        <w:rPr>
          <w:szCs w:val="22"/>
        </w:rPr>
      </w:pPr>
      <w:r w:rsidRPr="00B75E0B">
        <w:rPr>
          <w:szCs w:val="22"/>
        </w:rPr>
        <w:t xml:space="preserve">Liek neovplyvňuje pozornosť a schopnosť sústredenia sa pri </w:t>
      </w:r>
      <w:r w:rsidR="00C771D7">
        <w:rPr>
          <w:szCs w:val="22"/>
        </w:rPr>
        <w:t>obsluhe strojov</w:t>
      </w:r>
      <w:r w:rsidRPr="00B75E0B">
        <w:rPr>
          <w:szCs w:val="22"/>
        </w:rPr>
        <w:t xml:space="preserve"> a vedení vozidiel.</w:t>
      </w:r>
    </w:p>
    <w:p w:rsidR="00CB56BE" w:rsidRDefault="00CB56BE" w:rsidP="000D1BEE">
      <w:pPr>
        <w:numPr>
          <w:ilvl w:val="12"/>
          <w:numId w:val="0"/>
        </w:numPr>
        <w:ind w:right="-29"/>
        <w:rPr>
          <w:szCs w:val="22"/>
        </w:rPr>
      </w:pPr>
    </w:p>
    <w:p w:rsidR="00C771D7" w:rsidRPr="00B70FE8" w:rsidRDefault="00C771D7" w:rsidP="000D1BEE">
      <w:pPr>
        <w:numPr>
          <w:ilvl w:val="12"/>
          <w:numId w:val="0"/>
        </w:numPr>
        <w:ind w:right="-29"/>
        <w:rPr>
          <w:b/>
          <w:szCs w:val="22"/>
        </w:rPr>
      </w:pPr>
      <w:r>
        <w:rPr>
          <w:b/>
          <w:szCs w:val="22"/>
        </w:rPr>
        <w:t>COLDREX TABLETY obsahuje farbivo žlť oranžová</w:t>
      </w:r>
    </w:p>
    <w:p w:rsidR="00CB56BE" w:rsidRPr="00B75E0B" w:rsidRDefault="00CB56BE" w:rsidP="000D1BEE">
      <w:pPr>
        <w:rPr>
          <w:spacing w:val="-3"/>
          <w:szCs w:val="22"/>
        </w:rPr>
      </w:pPr>
      <w:r w:rsidRPr="00B75E0B">
        <w:rPr>
          <w:szCs w:val="22"/>
        </w:rPr>
        <w:t xml:space="preserve">Tento </w:t>
      </w:r>
      <w:r w:rsidRPr="00B75E0B">
        <w:rPr>
          <w:spacing w:val="-3"/>
          <w:szCs w:val="22"/>
        </w:rPr>
        <w:t xml:space="preserve">liek obsahuje farbivo  žlť </w:t>
      </w:r>
      <w:r w:rsidR="00C771D7">
        <w:rPr>
          <w:spacing w:val="-3"/>
          <w:szCs w:val="22"/>
        </w:rPr>
        <w:t>oranžová</w:t>
      </w:r>
      <w:r w:rsidRPr="00B75E0B">
        <w:rPr>
          <w:spacing w:val="-3"/>
          <w:szCs w:val="22"/>
        </w:rPr>
        <w:t>(E110), ktoré môže vyvolať alergické reakcie.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ind w:right="-29"/>
        <w:rPr>
          <w:szCs w:val="22"/>
        </w:rPr>
      </w:pPr>
      <w:r w:rsidRPr="00B75E0B">
        <w:rPr>
          <w:b/>
          <w:szCs w:val="22"/>
        </w:rPr>
        <w:t>3.</w:t>
      </w:r>
      <w:r w:rsidRPr="00B75E0B">
        <w:rPr>
          <w:b/>
          <w:szCs w:val="22"/>
        </w:rPr>
        <w:tab/>
        <w:t>Ako užívať C</w:t>
      </w:r>
      <w:r w:rsidRPr="00B70FE8">
        <w:rPr>
          <w:b/>
          <w:caps/>
          <w:szCs w:val="22"/>
        </w:rPr>
        <w:t>oldrex</w:t>
      </w:r>
      <w:r w:rsidRPr="00B75E0B">
        <w:rPr>
          <w:b/>
          <w:szCs w:val="22"/>
        </w:rPr>
        <w:t xml:space="preserve"> T</w:t>
      </w:r>
      <w:r w:rsidRPr="00B70FE8">
        <w:rPr>
          <w:b/>
          <w:caps/>
          <w:szCs w:val="22"/>
        </w:rPr>
        <w:t>ablety</w:t>
      </w:r>
    </w:p>
    <w:p w:rsidR="00CB56BE" w:rsidRPr="00B75E0B" w:rsidRDefault="00CB56BE" w:rsidP="000D1BEE">
      <w:pPr>
        <w:rPr>
          <w:szCs w:val="22"/>
        </w:rPr>
      </w:pPr>
    </w:p>
    <w:p w:rsidR="00CB56BE" w:rsidRPr="00B75E0B" w:rsidRDefault="00CE3F68" w:rsidP="000D1BEE">
      <w:pPr>
        <w:ind w:left="0" w:firstLine="0"/>
        <w:rPr>
          <w:spacing w:val="-3"/>
          <w:szCs w:val="22"/>
        </w:rPr>
      </w:pPr>
      <w:r w:rsidRPr="00B70FE8">
        <w:rPr>
          <w:spacing w:val="-3"/>
          <w:szCs w:val="22"/>
        </w:rPr>
        <w:t>Vždy užívajte tento liek presne tak, ako je to uvedené v</w:t>
      </w:r>
      <w:r w:rsidRPr="005D6872">
        <w:rPr>
          <w:spacing w:val="-3"/>
          <w:szCs w:val="22"/>
        </w:rPr>
        <w:t> </w:t>
      </w:r>
      <w:r w:rsidRPr="00B70FE8">
        <w:rPr>
          <w:spacing w:val="-3"/>
          <w:szCs w:val="22"/>
        </w:rPr>
        <w:t>tejto písomnej informácii alebo ako vám povedal váš lekár alebo lekárnik</w:t>
      </w:r>
      <w:r w:rsidRPr="00B70FE8">
        <w:rPr>
          <w:i/>
          <w:spacing w:val="-3"/>
          <w:szCs w:val="22"/>
        </w:rPr>
        <w:t xml:space="preserve">. </w:t>
      </w:r>
      <w:r w:rsidRPr="00B70FE8">
        <w:rPr>
          <w:spacing w:val="-3"/>
          <w:szCs w:val="22"/>
        </w:rPr>
        <w:t>Ak si nie ste niečím istý, overte si to u</w:t>
      </w:r>
      <w:r w:rsidRPr="005D6872">
        <w:rPr>
          <w:spacing w:val="-3"/>
          <w:szCs w:val="22"/>
        </w:rPr>
        <w:t> </w:t>
      </w:r>
      <w:r w:rsidRPr="00B70FE8">
        <w:rPr>
          <w:spacing w:val="-3"/>
          <w:szCs w:val="22"/>
        </w:rPr>
        <w:t>svojho lekára alebo lekárnika</w:t>
      </w:r>
      <w:r w:rsidR="00CB56BE" w:rsidRPr="00B70FE8">
        <w:rPr>
          <w:spacing w:val="-3"/>
          <w:szCs w:val="22"/>
        </w:rPr>
        <w:t>.</w:t>
      </w:r>
    </w:p>
    <w:p w:rsidR="00CB56BE" w:rsidRPr="00B75E0B" w:rsidRDefault="00CB56BE" w:rsidP="000D1BEE">
      <w:pPr>
        <w:ind w:left="0" w:firstLine="0"/>
        <w:rPr>
          <w:szCs w:val="22"/>
        </w:rPr>
      </w:pPr>
    </w:p>
    <w:p w:rsidR="00CB56BE" w:rsidRPr="00B75E0B" w:rsidRDefault="00CB56BE" w:rsidP="000D1BEE">
      <w:pPr>
        <w:ind w:left="0" w:firstLine="0"/>
        <w:rPr>
          <w:b/>
          <w:bCs/>
          <w:szCs w:val="22"/>
        </w:rPr>
      </w:pPr>
      <w:r w:rsidRPr="00B75E0B">
        <w:rPr>
          <w:szCs w:val="22"/>
        </w:rPr>
        <w:t xml:space="preserve">Pokiaľ lekár neurčí inak, užívajú dospelí a </w:t>
      </w:r>
      <w:r w:rsidR="005D6872">
        <w:rPr>
          <w:szCs w:val="22"/>
        </w:rPr>
        <w:t>dospievajúci</w:t>
      </w:r>
      <w:r w:rsidRPr="00B75E0B">
        <w:rPr>
          <w:szCs w:val="22"/>
        </w:rPr>
        <w:t xml:space="preserve"> od 15 rokov: 1 až 2 tablety 1 až 4-krát denne. Odstup medzi jednotlivými dávkami je najmenej 4 hodiny. </w:t>
      </w:r>
      <w:r w:rsidRPr="00B75E0B">
        <w:rPr>
          <w:b/>
          <w:bCs/>
          <w:szCs w:val="22"/>
        </w:rPr>
        <w:t>Neužívajte viac ako 8 tabliet za 24</w:t>
      </w:r>
      <w:r w:rsidR="004F757F" w:rsidRPr="00B75E0B">
        <w:rPr>
          <w:b/>
          <w:bCs/>
          <w:szCs w:val="22"/>
        </w:rPr>
        <w:t> </w:t>
      </w:r>
      <w:r w:rsidRPr="00B75E0B">
        <w:rPr>
          <w:b/>
          <w:bCs/>
          <w:szCs w:val="22"/>
        </w:rPr>
        <w:t xml:space="preserve">hodín. </w:t>
      </w:r>
      <w:r w:rsidRPr="00B75E0B">
        <w:rPr>
          <w:bCs/>
          <w:szCs w:val="22"/>
        </w:rPr>
        <w:t>Jedna</w:t>
      </w:r>
      <w:r w:rsidRPr="00B75E0B">
        <w:rPr>
          <w:spacing w:val="-3"/>
          <w:szCs w:val="22"/>
        </w:rPr>
        <w:t xml:space="preserve"> tableta je vhodná pre osoby s telesnou hmotnosťou 34 - </w:t>
      </w:r>
      <w:smartTag w:uri="urn:schemas-microsoft-com:office:smarttags" w:element="metricconverter">
        <w:smartTagPr>
          <w:attr w:name="ProductID" w:val="60 kg"/>
        </w:smartTagPr>
        <w:r w:rsidRPr="00B75E0B">
          <w:rPr>
            <w:spacing w:val="-3"/>
            <w:szCs w:val="22"/>
          </w:rPr>
          <w:t>60 kg</w:t>
        </w:r>
      </w:smartTag>
      <w:r w:rsidRPr="00B75E0B">
        <w:rPr>
          <w:spacing w:val="-3"/>
          <w:szCs w:val="22"/>
        </w:rPr>
        <w:t xml:space="preserve">, dve tablety pre osoby s telesnou hmotnosťou nad </w:t>
      </w:r>
      <w:smartTag w:uri="urn:schemas-microsoft-com:office:smarttags" w:element="metricconverter">
        <w:smartTagPr>
          <w:attr w:name="ProductID" w:val="60 kg"/>
        </w:smartTagPr>
        <w:r w:rsidRPr="00B75E0B">
          <w:rPr>
            <w:spacing w:val="-3"/>
            <w:szCs w:val="22"/>
          </w:rPr>
          <w:t>60 kg</w:t>
        </w:r>
      </w:smartTag>
      <w:r w:rsidRPr="00B75E0B">
        <w:rPr>
          <w:spacing w:val="-3"/>
          <w:szCs w:val="22"/>
        </w:rPr>
        <w:t>.</w:t>
      </w:r>
    </w:p>
    <w:p w:rsidR="005D6872" w:rsidRDefault="005D6872" w:rsidP="000D1BEE">
      <w:pPr>
        <w:ind w:left="0" w:firstLine="0"/>
        <w:rPr>
          <w:b/>
          <w:bCs/>
          <w:szCs w:val="22"/>
        </w:rPr>
      </w:pPr>
      <w:r>
        <w:rPr>
          <w:szCs w:val="22"/>
        </w:rPr>
        <w:t>Dospievajúcim</w:t>
      </w:r>
      <w:r w:rsidR="00CB56BE" w:rsidRPr="00B75E0B">
        <w:rPr>
          <w:szCs w:val="22"/>
        </w:rPr>
        <w:t xml:space="preserve"> od 12 do 15 rokov sa podáva 1 tableta </w:t>
      </w:r>
      <w:r w:rsidR="00CB56BE" w:rsidRPr="00B75E0B">
        <w:rPr>
          <w:spacing w:val="-3"/>
          <w:szCs w:val="22"/>
        </w:rPr>
        <w:t>v časovom odstupe najmenej 4-6 hodín</w:t>
      </w:r>
      <w:r w:rsidR="00CB56BE" w:rsidRPr="00B75E0B">
        <w:rPr>
          <w:szCs w:val="22"/>
        </w:rPr>
        <w:t xml:space="preserve">. </w:t>
      </w:r>
      <w:r w:rsidR="00CB56BE" w:rsidRPr="00B75E0B">
        <w:rPr>
          <w:b/>
          <w:bCs/>
          <w:szCs w:val="22"/>
        </w:rPr>
        <w:t xml:space="preserve">Nepodávajte viac ako 6 tabliet za 24 hodín. Neprekračujte odporúčané dávkovanie. </w:t>
      </w:r>
    </w:p>
    <w:p w:rsidR="005D6872" w:rsidRDefault="005D6872" w:rsidP="000D1BEE">
      <w:pPr>
        <w:ind w:left="0" w:firstLine="0"/>
        <w:rPr>
          <w:b/>
          <w:bCs/>
          <w:szCs w:val="22"/>
        </w:rPr>
      </w:pPr>
    </w:p>
    <w:p w:rsidR="00CB56BE" w:rsidRPr="00B75E0B" w:rsidRDefault="00CB56BE" w:rsidP="000D1BEE">
      <w:pPr>
        <w:ind w:left="0" w:firstLine="0"/>
        <w:rPr>
          <w:szCs w:val="22"/>
        </w:rPr>
      </w:pPr>
      <w:r w:rsidRPr="00B75E0B">
        <w:rPr>
          <w:szCs w:val="22"/>
        </w:rPr>
        <w:t>Tablety zapite tekutinou.</w:t>
      </w:r>
    </w:p>
    <w:p w:rsidR="005D6872" w:rsidRDefault="005D6872" w:rsidP="000D1BEE">
      <w:pPr>
        <w:ind w:left="0" w:firstLine="0"/>
        <w:rPr>
          <w:szCs w:val="22"/>
        </w:rPr>
      </w:pPr>
    </w:p>
    <w:p w:rsidR="00CB56BE" w:rsidRPr="00B75E0B" w:rsidRDefault="00CB56BE" w:rsidP="000D1BEE">
      <w:pPr>
        <w:ind w:left="0" w:firstLine="0"/>
        <w:rPr>
          <w:szCs w:val="22"/>
        </w:rPr>
      </w:pPr>
      <w:r w:rsidRPr="00B75E0B">
        <w:rPr>
          <w:szCs w:val="22"/>
        </w:rPr>
        <w:t>Užívanie vyšších než odporúčaných dávok môže viesť k riziku závažného poškodenia alebo zlyhania funkcie pečene. Ak príznaky ochorenia pretrvávajú viac ako 3 dni alebo sú sprevádzané vysokou horúčkou, vyhľadajte lekára. Bez porady s lekárom tento liek užívajte najviac 7 dní.</w:t>
      </w:r>
    </w:p>
    <w:p w:rsidR="00CB56BE" w:rsidRPr="00B75E0B" w:rsidRDefault="00CB56BE" w:rsidP="000D1BEE">
      <w:pPr>
        <w:ind w:left="0" w:firstLine="0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75E0B">
        <w:rPr>
          <w:b/>
          <w:szCs w:val="22"/>
        </w:rPr>
        <w:t>Ak užijete viac C</w:t>
      </w:r>
      <w:r w:rsidRPr="00B70FE8">
        <w:rPr>
          <w:b/>
          <w:caps/>
          <w:szCs w:val="22"/>
        </w:rPr>
        <w:t>oldrexu</w:t>
      </w:r>
      <w:r w:rsidRPr="00B75E0B">
        <w:rPr>
          <w:b/>
          <w:szCs w:val="22"/>
        </w:rPr>
        <w:t xml:space="preserve"> T</w:t>
      </w:r>
      <w:r w:rsidRPr="00B70FE8">
        <w:rPr>
          <w:b/>
          <w:caps/>
          <w:szCs w:val="22"/>
        </w:rPr>
        <w:t>ablety</w:t>
      </w:r>
      <w:r w:rsidRPr="00B75E0B">
        <w:rPr>
          <w:b/>
          <w:szCs w:val="22"/>
        </w:rPr>
        <w:t>, ako máte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  <w:r w:rsidRPr="00B75E0B">
        <w:rPr>
          <w:szCs w:val="22"/>
        </w:rPr>
        <w:t>V prípade predávkovania alebo náhodného požitia lieku dieťaťom ihneď vyhľadajte svojho lekára alebo najbližšie zdravotnícke zariadenie a povedzte mu presné množstvo lieku, ktoré ste užili. Ukážte im použité balenie a túto písomnú informáciu. Predávkovanie paracetamolom môže spôsobiť vážne poškodenie až zlyhanie funkcie pečene. V prípade predávkovania je nevyhnutná okamžitá lekárska pomoc, aj keď nie sú prítomné žiadne príznaky predávkovania.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75E0B">
        <w:rPr>
          <w:b/>
          <w:szCs w:val="22"/>
        </w:rPr>
        <w:t>Ak zabudnete užiť C</w:t>
      </w:r>
      <w:r w:rsidRPr="00B70FE8">
        <w:rPr>
          <w:b/>
          <w:caps/>
          <w:szCs w:val="22"/>
        </w:rPr>
        <w:t>oldrex</w:t>
      </w:r>
      <w:r w:rsidRPr="00B75E0B">
        <w:rPr>
          <w:b/>
          <w:szCs w:val="22"/>
        </w:rPr>
        <w:t xml:space="preserve"> T</w:t>
      </w:r>
      <w:r w:rsidRPr="00B70FE8">
        <w:rPr>
          <w:b/>
          <w:caps/>
          <w:szCs w:val="22"/>
        </w:rPr>
        <w:t>ablety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  <w:r w:rsidRPr="00B75E0B">
        <w:rPr>
          <w:szCs w:val="22"/>
        </w:rPr>
        <w:t>Neužívajte dvojnásobnú dávku, aby ste nahradili vynechanú dávku. Užite zvyčajnú dávku hneď ako si spomeniete. Medzi dvoma dávkami zachovávajte minimálny časový odstup 4 hodiny.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Default="00F02451" w:rsidP="000D1BEE">
      <w:pPr>
        <w:numPr>
          <w:ilvl w:val="12"/>
          <w:numId w:val="0"/>
        </w:numPr>
        <w:ind w:right="-2"/>
        <w:rPr>
          <w:szCs w:val="22"/>
        </w:rPr>
      </w:pPr>
      <w:r w:rsidRPr="00B75E0B">
        <w:rPr>
          <w:szCs w:val="22"/>
        </w:rPr>
        <w:t xml:space="preserve">Ak máte akékoľvek ďalšie otázky týkajúce sa používania tohto lieku, opýtajte sa svojho lekára alebo lekárnika. </w:t>
      </w:r>
    </w:p>
    <w:p w:rsidR="00625196" w:rsidRDefault="00625196" w:rsidP="000D1BEE">
      <w:pPr>
        <w:numPr>
          <w:ilvl w:val="12"/>
          <w:numId w:val="0"/>
        </w:numPr>
        <w:ind w:right="-2"/>
        <w:rPr>
          <w:szCs w:val="22"/>
        </w:rPr>
      </w:pPr>
    </w:p>
    <w:p w:rsidR="00625196" w:rsidRPr="00B75E0B" w:rsidRDefault="00625196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75E0B">
        <w:rPr>
          <w:b/>
          <w:szCs w:val="22"/>
        </w:rPr>
        <w:t>4.</w:t>
      </w:r>
      <w:r w:rsidRPr="00B75E0B">
        <w:rPr>
          <w:b/>
          <w:szCs w:val="22"/>
        </w:rPr>
        <w:tab/>
        <w:t>Možné vedľajšie účinky</w:t>
      </w:r>
    </w:p>
    <w:p w:rsidR="00CB56BE" w:rsidRPr="00B75E0B" w:rsidRDefault="00CB56BE" w:rsidP="000D1BEE">
      <w:pPr>
        <w:numPr>
          <w:ilvl w:val="12"/>
          <w:numId w:val="0"/>
        </w:numPr>
        <w:ind w:right="-29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B75E0B">
        <w:rPr>
          <w:szCs w:val="22"/>
        </w:rPr>
        <w:lastRenderedPageBreak/>
        <w:t>Tak ako všetky lieky, aj tento liek môže spôsobovať vedľajšie účinky, hoci sa neprejavia u každého.</w:t>
      </w:r>
    </w:p>
    <w:p w:rsidR="00CB56BE" w:rsidRPr="00B75E0B" w:rsidRDefault="00CB56BE" w:rsidP="000D1BEE">
      <w:pPr>
        <w:numPr>
          <w:ilvl w:val="12"/>
          <w:numId w:val="0"/>
        </w:numPr>
        <w:ind w:right="-29"/>
        <w:rPr>
          <w:szCs w:val="22"/>
        </w:rPr>
      </w:pPr>
    </w:p>
    <w:p w:rsidR="00360A6E" w:rsidRDefault="00360A6E" w:rsidP="00CE3F68">
      <w:pPr>
        <w:ind w:left="0" w:firstLine="0"/>
      </w:pPr>
    </w:p>
    <w:p w:rsidR="00CE3F68" w:rsidRPr="00B75E0B" w:rsidRDefault="00360A6E" w:rsidP="00CE3F68">
      <w:pPr>
        <w:ind w:left="0" w:firstLine="0"/>
        <w:rPr>
          <w:noProof/>
          <w:szCs w:val="22"/>
        </w:rPr>
      </w:pPr>
      <w:r>
        <w:t>Ukonč</w:t>
      </w:r>
      <w:r w:rsidR="00C47EC6">
        <w:t>i</w:t>
      </w:r>
      <w:r>
        <w:t>te liečbu týmto prípravkom a okamžite vyhľadajte lekára:</w:t>
      </w:r>
      <w:r>
        <w:br/>
        <w:t xml:space="preserve">- ak sa u </w:t>
      </w:r>
      <w:r w:rsidR="00C47EC6">
        <w:t>v</w:t>
      </w:r>
      <w:r>
        <w:t>ás objaví alergická reakcia, ako je kožná vyrážka alebo pichnutie, niekedy spojené s problémami s dýchaním alebo o</w:t>
      </w:r>
      <w:r w:rsidR="00C47EC6">
        <w:t>puchom</w:t>
      </w:r>
      <w:r>
        <w:t xml:space="preserve"> jazyka, alebo tváre</w:t>
      </w:r>
      <w:r>
        <w:br/>
        <w:t xml:space="preserve">- ak sa u </w:t>
      </w:r>
      <w:r w:rsidR="00C47EC6">
        <w:t>v</w:t>
      </w:r>
      <w:r>
        <w:t>ás objaví kožná vyrážka alebo olupovanie kože alebo vredy v ústach</w:t>
      </w:r>
      <w:r>
        <w:br/>
        <w:t>- ak ste v minulosti mali problémy s dýchaním po použití kyseliny acetylsalicylovej alebo inými nesteroidnými proti</w:t>
      </w:r>
      <w:r w:rsidR="00C47EC6">
        <w:t>zápalovými</w:t>
      </w:r>
      <w:r>
        <w:t xml:space="preserve"> liečivami a rovnaké príznaky sa objavili po použití tohto prípravku</w:t>
      </w:r>
      <w:r>
        <w:br/>
        <w:t xml:space="preserve">- </w:t>
      </w:r>
      <w:r w:rsidR="00C47EC6">
        <w:t>ak</w:t>
      </w:r>
      <w:r>
        <w:t xml:space="preserve"> sa u </w:t>
      </w:r>
      <w:r w:rsidR="00C47EC6">
        <w:t>v</w:t>
      </w:r>
      <w:r>
        <w:t xml:space="preserve">ás vyskytne nevysvetliteľná </w:t>
      </w:r>
      <w:r w:rsidR="00820BB3">
        <w:t>bolesť</w:t>
      </w:r>
      <w:r>
        <w:t xml:space="preserve"> brucha</w:t>
      </w:r>
      <w:r>
        <w:br/>
        <w:t>Tieto nežiadúce účinky sú zriedkavé (</w:t>
      </w:r>
      <w:r w:rsidR="00C47EC6">
        <w:t>môžu postihovať menej ako 1 z 1000 osôb</w:t>
      </w:r>
      <w:r>
        <w:t>).</w:t>
      </w:r>
      <w:r>
        <w:br/>
      </w:r>
      <w:r>
        <w:br/>
      </w:r>
      <w:r w:rsidR="00820BB3">
        <w:rPr>
          <w:noProof/>
          <w:szCs w:val="22"/>
        </w:rPr>
        <w:t>S frekvenciou v</w:t>
      </w:r>
      <w:r w:rsidR="00CE3F68" w:rsidRPr="00B70FE8">
        <w:rPr>
          <w:noProof/>
          <w:szCs w:val="22"/>
        </w:rPr>
        <w:t>eľmi zriedkavé</w:t>
      </w:r>
      <w:r w:rsidR="00820BB3">
        <w:rPr>
          <w:noProof/>
          <w:szCs w:val="22"/>
        </w:rPr>
        <w:t xml:space="preserve"> ( môžu postihovať menej ako 1 z 10000 osôb) sa vyskytli</w:t>
      </w:r>
      <w:r w:rsidR="00CE3F68" w:rsidRPr="00B70FE8">
        <w:rPr>
          <w:noProof/>
          <w:szCs w:val="22"/>
        </w:rPr>
        <w:t xml:space="preserve"> prípady závažných kožných reakcií</w:t>
      </w:r>
      <w:r w:rsidR="00A56A7D">
        <w:rPr>
          <w:snapToGrid w:val="0"/>
          <w:spacing w:val="-3"/>
          <w:szCs w:val="22"/>
          <w:lang w:eastAsia="en-US"/>
        </w:rPr>
        <w:t>.</w:t>
      </w:r>
    </w:p>
    <w:p w:rsidR="00CE3F68" w:rsidRDefault="00CE3F68" w:rsidP="00CE3F68">
      <w:pPr>
        <w:ind w:left="0" w:firstLine="0"/>
        <w:rPr>
          <w:szCs w:val="22"/>
        </w:rPr>
      </w:pPr>
    </w:p>
    <w:p w:rsidR="00820BB3" w:rsidRDefault="00360A6E" w:rsidP="00CE3F68">
      <w:pPr>
        <w:ind w:left="0" w:firstLine="0"/>
      </w:pPr>
      <w:r>
        <w:t>Ďalšie nežiaduce účinky</w:t>
      </w:r>
      <w:r w:rsidR="00820BB3">
        <w:t xml:space="preserve"> spojené s paracetamolom</w:t>
      </w:r>
      <w:r>
        <w:t xml:space="preserve">, ktoré sa môžu objaviť počas liečby týmto prípravkom, </w:t>
      </w:r>
      <w:r w:rsidR="00820BB3">
        <w:t xml:space="preserve">sa vyskytujú zriedkavo (môžu postihovať menej ako 1 z 1000 osôb) </w:t>
      </w:r>
      <w:r>
        <w:t>sú</w:t>
      </w:r>
      <w:r w:rsidR="00820BB3">
        <w:t>:</w:t>
      </w:r>
      <w:r>
        <w:t xml:space="preserve"> </w:t>
      </w:r>
    </w:p>
    <w:p w:rsidR="00820BB3" w:rsidRPr="00820BB3" w:rsidRDefault="00820BB3" w:rsidP="00BB1D80">
      <w:pPr>
        <w:numPr>
          <w:ilvl w:val="0"/>
          <w:numId w:val="2"/>
        </w:numPr>
        <w:rPr>
          <w:szCs w:val="22"/>
        </w:rPr>
      </w:pPr>
      <w:r>
        <w:t>poruchy krvi</w:t>
      </w:r>
    </w:p>
    <w:p w:rsidR="00820BB3" w:rsidRPr="00820BB3" w:rsidRDefault="00820BB3" w:rsidP="00BB1D80">
      <w:pPr>
        <w:numPr>
          <w:ilvl w:val="0"/>
          <w:numId w:val="2"/>
        </w:numPr>
        <w:rPr>
          <w:szCs w:val="22"/>
        </w:rPr>
      </w:pPr>
      <w:r>
        <w:t>depresia, zmätenosť, halucinácie</w:t>
      </w:r>
    </w:p>
    <w:p w:rsidR="00820BB3" w:rsidRDefault="00820BB3" w:rsidP="00BB1D80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tras, bolesť hlavy, poruchy videnia</w:t>
      </w:r>
    </w:p>
    <w:p w:rsidR="00820BB3" w:rsidRDefault="00820BB3" w:rsidP="00BB1D80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krvácanie v tráviacom systéme, hnačka, pocit na vracanie, vracanie, bolesť brucha</w:t>
      </w:r>
    </w:p>
    <w:p w:rsidR="00820BB3" w:rsidRDefault="00820BB3" w:rsidP="00BB1D80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zlyhanie pečene, porucha</w:t>
      </w:r>
      <w:r w:rsidRPr="00820BB3">
        <w:rPr>
          <w:szCs w:val="22"/>
        </w:rPr>
        <w:t xml:space="preserve"> funkcie pečene, žltačka</w:t>
      </w:r>
    </w:p>
    <w:p w:rsidR="00820BB3" w:rsidRPr="00820BB3" w:rsidRDefault="00820BB3" w:rsidP="00BB1D80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závrat, horúčka</w:t>
      </w:r>
      <w:r w:rsidR="004838A3">
        <w:rPr>
          <w:szCs w:val="22"/>
        </w:rPr>
        <w:t>, potenie</w:t>
      </w:r>
    </w:p>
    <w:p w:rsidR="00360A6E" w:rsidRDefault="00360A6E" w:rsidP="00CE3F68">
      <w:pPr>
        <w:ind w:left="0" w:firstLine="0"/>
        <w:rPr>
          <w:szCs w:val="22"/>
        </w:rPr>
      </w:pPr>
    </w:p>
    <w:p w:rsidR="00567AD7" w:rsidRPr="001934DF" w:rsidRDefault="00567AD7" w:rsidP="00567AD7">
      <w:pPr>
        <w:numPr>
          <w:ilvl w:val="12"/>
          <w:numId w:val="0"/>
        </w:numPr>
        <w:ind w:right="-2"/>
        <w:rPr>
          <w:noProof/>
          <w:szCs w:val="22"/>
        </w:rPr>
      </w:pPr>
      <w:r w:rsidRPr="001934DF">
        <w:rPr>
          <w:noProof/>
          <w:szCs w:val="22"/>
        </w:rPr>
        <w:t xml:space="preserve">Vedľajšie účinky spojené s fenylefrínom - </w:t>
      </w:r>
      <w:r w:rsidRPr="001934DF">
        <w:rPr>
          <w:b/>
          <w:i/>
          <w:noProof/>
          <w:szCs w:val="22"/>
        </w:rPr>
        <w:t xml:space="preserve">neznáme </w:t>
      </w:r>
      <w:r w:rsidRPr="001934DF">
        <w:rPr>
          <w:noProof/>
          <w:szCs w:val="22"/>
        </w:rPr>
        <w:t>(častosť sa nedá odhadnúť z dostupných údajov)</w:t>
      </w:r>
    </w:p>
    <w:p w:rsidR="00567AD7" w:rsidRPr="001934DF" w:rsidRDefault="00567AD7" w:rsidP="00567AD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1934DF">
        <w:rPr>
          <w:noProof/>
          <w:szCs w:val="22"/>
        </w:rPr>
        <w:t>nervozita, bolesť hlavy, závrat, nespavosť a palpitácie (búšenie srdca), zrýchlená srdcová činnosť, zvýšenie krvného tlaku</w:t>
      </w:r>
    </w:p>
    <w:p w:rsidR="00567AD7" w:rsidRPr="001934DF" w:rsidRDefault="00567AD7" w:rsidP="00567AD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1934DF">
        <w:rPr>
          <w:noProof/>
          <w:szCs w:val="22"/>
        </w:rPr>
        <w:t>hnačka, vracanie,</w:t>
      </w:r>
    </w:p>
    <w:p w:rsidR="00567AD7" w:rsidRPr="001934DF" w:rsidRDefault="00567AD7" w:rsidP="00567AD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1934DF">
        <w:rPr>
          <w:noProof/>
          <w:szCs w:val="22"/>
        </w:rPr>
        <w:t>poruchy videnia,</w:t>
      </w:r>
    </w:p>
    <w:p w:rsidR="00567AD7" w:rsidRPr="001934DF" w:rsidRDefault="00567AD7" w:rsidP="00567AD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1934DF">
        <w:rPr>
          <w:noProof/>
          <w:szCs w:val="22"/>
        </w:rPr>
        <w:t>alergické reakcie (kožné vyrážky, žihľavka),</w:t>
      </w:r>
    </w:p>
    <w:p w:rsidR="00567AD7" w:rsidRPr="001934DF" w:rsidRDefault="00567AD7" w:rsidP="00567AD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1934DF">
        <w:rPr>
          <w:noProof/>
          <w:szCs w:val="22"/>
        </w:rPr>
        <w:t xml:space="preserve">sťažené alebo bolestivé močenie. </w:t>
      </w:r>
    </w:p>
    <w:p w:rsidR="00567AD7" w:rsidRPr="00B75E0B" w:rsidRDefault="00567AD7" w:rsidP="00CE3F68">
      <w:pPr>
        <w:ind w:left="0" w:firstLine="0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B75E0B">
        <w:rPr>
          <w:b/>
          <w:noProof/>
          <w:szCs w:val="22"/>
        </w:rPr>
        <w:t>Hlásenie vedľajších účinkov</w:t>
      </w:r>
    </w:p>
    <w:p w:rsidR="00CB56BE" w:rsidRPr="00B75E0B" w:rsidRDefault="00CB56BE" w:rsidP="000D1BEE">
      <w:pPr>
        <w:autoSpaceDE w:val="0"/>
        <w:autoSpaceDN w:val="0"/>
        <w:adjustRightInd w:val="0"/>
        <w:ind w:left="0" w:firstLine="0"/>
        <w:rPr>
          <w:szCs w:val="22"/>
        </w:rPr>
      </w:pPr>
      <w:r w:rsidRPr="00B75E0B">
        <w:rPr>
          <w:noProof/>
          <w:szCs w:val="22"/>
        </w:rPr>
        <w:t>Ak sa u vás vyskytne akýkoľvek vedľajší účinok, obráťte sa na lekára alebo lekárnika.</w:t>
      </w:r>
      <w:r w:rsidRPr="00B75E0B">
        <w:rPr>
          <w:szCs w:val="22"/>
        </w:rPr>
        <w:t xml:space="preserve"> </w:t>
      </w:r>
      <w:r w:rsidRPr="00B75E0B">
        <w:rPr>
          <w:noProof/>
          <w:szCs w:val="22"/>
        </w:rPr>
        <w:t>To sa týka aj akýchkoľvek vedľajších účinkov, ktoré nie sú uvedené v tejto písomnej informácii .</w:t>
      </w:r>
      <w:r w:rsidRPr="00B75E0B">
        <w:rPr>
          <w:szCs w:val="22"/>
        </w:rPr>
        <w:t xml:space="preserve"> </w:t>
      </w:r>
      <w:r w:rsidRPr="00B75E0B">
        <w:rPr>
          <w:noProof/>
          <w:szCs w:val="22"/>
        </w:rPr>
        <w:t xml:space="preserve">Vedľajšie účinky môžete hlásiť aj priamo </w:t>
      </w:r>
      <w:r w:rsidR="00F02451" w:rsidRPr="00B75E0B">
        <w:rPr>
          <w:noProof/>
          <w:szCs w:val="22"/>
        </w:rPr>
        <w:t>na</w:t>
      </w:r>
      <w:r w:rsidRPr="00B75E0B">
        <w:rPr>
          <w:noProof/>
          <w:szCs w:val="22"/>
        </w:rPr>
        <w:t xml:space="preserve"> </w:t>
      </w:r>
      <w:r w:rsidRPr="00B75E0B">
        <w:rPr>
          <w:noProof/>
          <w:szCs w:val="22"/>
          <w:highlight w:val="lightGray"/>
        </w:rPr>
        <w:t xml:space="preserve">národné </w:t>
      </w:r>
      <w:r w:rsidR="00F02451" w:rsidRPr="00B70FE8">
        <w:rPr>
          <w:noProof/>
          <w:szCs w:val="22"/>
          <w:highlight w:val="lightGray"/>
        </w:rPr>
        <w:t>centrum</w:t>
      </w:r>
      <w:r w:rsidRPr="00B70FE8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B75E0B">
          <w:rPr>
            <w:rStyle w:val="Hypertextovprepojenie"/>
            <w:noProof/>
            <w:szCs w:val="22"/>
            <w:highlight w:val="lightGray"/>
          </w:rPr>
          <w:t>P</w:t>
        </w:r>
        <w:r w:rsidRPr="00B75E0B">
          <w:rPr>
            <w:rStyle w:val="Hypertextovprepojenie"/>
            <w:szCs w:val="22"/>
            <w:highlight w:val="lightGray"/>
          </w:rPr>
          <w:t>rílohe V</w:t>
        </w:r>
      </w:hyperlink>
      <w:r w:rsidRPr="00B75E0B">
        <w:rPr>
          <w:noProof/>
          <w:szCs w:val="22"/>
        </w:rPr>
        <w:t>.</w:t>
      </w:r>
      <w:r w:rsidRPr="00B75E0B">
        <w:rPr>
          <w:szCs w:val="22"/>
        </w:rPr>
        <w:t xml:space="preserve"> </w:t>
      </w:r>
      <w:r w:rsidRPr="00B75E0B">
        <w:rPr>
          <w:noProof/>
          <w:szCs w:val="22"/>
        </w:rPr>
        <w:t>Hlásením vedľajších účinkov môžete prispieť k získaniu ďalších informácií o bezpečnosti tohto lieku.</w:t>
      </w:r>
    </w:p>
    <w:p w:rsidR="00CB56BE" w:rsidRPr="00B75E0B" w:rsidRDefault="00CB56BE" w:rsidP="000D1BEE">
      <w:pPr>
        <w:ind w:left="0" w:firstLine="0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rPr>
          <w:b/>
          <w:bCs/>
          <w:szCs w:val="22"/>
        </w:rPr>
      </w:pPr>
      <w:r w:rsidRPr="00B75E0B">
        <w:rPr>
          <w:b/>
          <w:szCs w:val="22"/>
        </w:rPr>
        <w:t>5.</w:t>
      </w:r>
      <w:r w:rsidRPr="00B75E0B">
        <w:rPr>
          <w:b/>
          <w:szCs w:val="22"/>
        </w:rPr>
        <w:tab/>
        <w:t>Ako uchovávať C</w:t>
      </w:r>
      <w:r w:rsidRPr="00B70FE8">
        <w:rPr>
          <w:b/>
          <w:caps/>
          <w:szCs w:val="22"/>
        </w:rPr>
        <w:t>oldrex</w:t>
      </w:r>
      <w:r w:rsidRPr="00B75E0B">
        <w:rPr>
          <w:b/>
          <w:szCs w:val="22"/>
        </w:rPr>
        <w:t xml:space="preserve"> T</w:t>
      </w:r>
      <w:r w:rsidRPr="00B70FE8">
        <w:rPr>
          <w:b/>
          <w:caps/>
          <w:szCs w:val="22"/>
        </w:rPr>
        <w:t>ablety</w:t>
      </w:r>
    </w:p>
    <w:p w:rsidR="00CB56BE" w:rsidRPr="00B75E0B" w:rsidRDefault="00CB56BE" w:rsidP="000D1BE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  <w:r w:rsidRPr="00B75E0B">
        <w:rPr>
          <w:szCs w:val="22"/>
        </w:rPr>
        <w:t xml:space="preserve">Uchovávajte pri teplote do 25 °C </w:t>
      </w:r>
      <w:r w:rsidRPr="00B75E0B">
        <w:rPr>
          <w:spacing w:val="-3"/>
          <w:szCs w:val="22"/>
        </w:rPr>
        <w:t>v pôvodnom vnútornom obale na ochranu pred vlhkosťou.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  <w:r w:rsidRPr="00B75E0B">
        <w:rPr>
          <w:szCs w:val="22"/>
        </w:rPr>
        <w:t>Tento liek uchovávajte mimo dohľadu a dosahu detí.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  <w:r w:rsidRPr="00B75E0B">
        <w:rPr>
          <w:szCs w:val="22"/>
        </w:rPr>
        <w:t>Nepoužívajte tento liek po dátume exspirácie, ktorý je uvedený na škatuľke. Dátum exspirácie sa vzťahuje na posledný deň v danom mesiaci.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  <w:r w:rsidRPr="00B75E0B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B75E0B">
        <w:rPr>
          <w:b/>
          <w:szCs w:val="22"/>
        </w:rPr>
        <w:t>6.</w:t>
      </w:r>
      <w:r w:rsidRPr="00B75E0B">
        <w:rPr>
          <w:b/>
          <w:szCs w:val="22"/>
        </w:rPr>
        <w:tab/>
        <w:t>Obsah balenia a ďalšie informácie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b/>
          <w:szCs w:val="22"/>
        </w:rPr>
      </w:pPr>
      <w:r w:rsidRPr="00B75E0B">
        <w:rPr>
          <w:b/>
          <w:szCs w:val="22"/>
        </w:rPr>
        <w:t>Čo C</w:t>
      </w:r>
      <w:r w:rsidRPr="00B70FE8">
        <w:rPr>
          <w:b/>
          <w:caps/>
          <w:szCs w:val="22"/>
        </w:rPr>
        <w:t>oldrex</w:t>
      </w:r>
      <w:r w:rsidRPr="00B75E0B">
        <w:rPr>
          <w:b/>
          <w:szCs w:val="22"/>
        </w:rPr>
        <w:t xml:space="preserve"> T</w:t>
      </w:r>
      <w:r w:rsidRPr="00B70FE8">
        <w:rPr>
          <w:b/>
          <w:caps/>
          <w:szCs w:val="22"/>
        </w:rPr>
        <w:t>ablety</w:t>
      </w:r>
      <w:r w:rsidRPr="00B75E0B">
        <w:rPr>
          <w:b/>
          <w:szCs w:val="22"/>
        </w:rPr>
        <w:t xml:space="preserve"> obsahuje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  <w:r w:rsidRPr="00B75E0B">
        <w:rPr>
          <w:szCs w:val="22"/>
        </w:rPr>
        <w:t>Liečivá sú paracetamol 500 mg, fenylefríniumchlorid 5 mg, kofeín 25 mg, monohydrát terpínu 20 mg, kyselina askorbová obalená etylcelulózou 38 mg, čo zodpovedá kyseline askorbovej (vitamín C) 30 mg v 1 tablete.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  <w:r w:rsidRPr="00B75E0B">
        <w:rPr>
          <w:szCs w:val="22"/>
        </w:rPr>
        <w:t xml:space="preserve">Ďalšie zložky sú </w:t>
      </w:r>
      <w:r w:rsidRPr="00B75E0B">
        <w:rPr>
          <w:bCs/>
          <w:szCs w:val="22"/>
        </w:rPr>
        <w:t>kukuričný škrob, rozpustný škrob, mastenec, kyselina ste</w:t>
      </w:r>
      <w:r w:rsidR="00755249">
        <w:rPr>
          <w:bCs/>
          <w:szCs w:val="22"/>
        </w:rPr>
        <w:t>a</w:t>
      </w:r>
      <w:r w:rsidRPr="00B75E0B">
        <w:rPr>
          <w:bCs/>
          <w:szCs w:val="22"/>
        </w:rPr>
        <w:t xml:space="preserve">rová, povidón, </w:t>
      </w:r>
      <w:r w:rsidR="00DE7410" w:rsidRPr="00B75E0B">
        <w:rPr>
          <w:bCs/>
          <w:szCs w:val="22"/>
        </w:rPr>
        <w:t>sorbitan draselný</w:t>
      </w:r>
      <w:r w:rsidRPr="00B75E0B">
        <w:rPr>
          <w:bCs/>
          <w:szCs w:val="22"/>
        </w:rPr>
        <w:t xml:space="preserve">, </w:t>
      </w:r>
      <w:r w:rsidR="00DE7410" w:rsidRPr="00B75E0B">
        <w:rPr>
          <w:bCs/>
          <w:szCs w:val="22"/>
        </w:rPr>
        <w:t>laurylsíran sodný</w:t>
      </w:r>
      <w:r w:rsidRPr="00B75E0B">
        <w:rPr>
          <w:bCs/>
          <w:szCs w:val="22"/>
        </w:rPr>
        <w:t>, oranžová žlť (E110).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b/>
          <w:szCs w:val="22"/>
        </w:rPr>
      </w:pPr>
      <w:r w:rsidRPr="00B75E0B">
        <w:rPr>
          <w:b/>
          <w:szCs w:val="22"/>
        </w:rPr>
        <w:t>Ako vyzerá C</w:t>
      </w:r>
      <w:r w:rsidRPr="00B70FE8">
        <w:rPr>
          <w:b/>
          <w:caps/>
          <w:szCs w:val="22"/>
        </w:rPr>
        <w:t>oldrex</w:t>
      </w:r>
      <w:r w:rsidRPr="00B75E0B">
        <w:rPr>
          <w:b/>
          <w:szCs w:val="22"/>
        </w:rPr>
        <w:t xml:space="preserve"> T</w:t>
      </w:r>
      <w:r w:rsidRPr="00B70FE8">
        <w:rPr>
          <w:b/>
          <w:caps/>
          <w:szCs w:val="22"/>
        </w:rPr>
        <w:t>ablety</w:t>
      </w:r>
      <w:r w:rsidRPr="00B75E0B">
        <w:rPr>
          <w:b/>
          <w:szCs w:val="22"/>
        </w:rPr>
        <w:t xml:space="preserve"> a obsah balenia</w:t>
      </w:r>
    </w:p>
    <w:p w:rsidR="00CB56BE" w:rsidRPr="00B75E0B" w:rsidRDefault="00CB56BE" w:rsidP="000D1BEE">
      <w:pPr>
        <w:tabs>
          <w:tab w:val="left" w:pos="0"/>
        </w:tabs>
        <w:ind w:left="0" w:firstLine="0"/>
        <w:rPr>
          <w:szCs w:val="22"/>
        </w:rPr>
      </w:pPr>
    </w:p>
    <w:p w:rsidR="00CB56BE" w:rsidRPr="00B75E0B" w:rsidRDefault="00CB56BE" w:rsidP="000D1BEE">
      <w:pPr>
        <w:tabs>
          <w:tab w:val="left" w:pos="0"/>
        </w:tabs>
        <w:ind w:left="0" w:firstLine="0"/>
        <w:rPr>
          <w:szCs w:val="22"/>
        </w:rPr>
      </w:pPr>
      <w:r w:rsidRPr="00B75E0B">
        <w:rPr>
          <w:szCs w:val="22"/>
        </w:rPr>
        <w:t>C</w:t>
      </w:r>
      <w:r w:rsidRPr="00755249">
        <w:rPr>
          <w:caps/>
          <w:szCs w:val="22"/>
        </w:rPr>
        <w:t>oldrex</w:t>
      </w:r>
      <w:r w:rsidRPr="00B75E0B">
        <w:rPr>
          <w:szCs w:val="22"/>
        </w:rPr>
        <w:t xml:space="preserve"> T</w:t>
      </w:r>
      <w:r w:rsidRPr="00755249">
        <w:rPr>
          <w:caps/>
          <w:szCs w:val="22"/>
        </w:rPr>
        <w:t>ablety</w:t>
      </w:r>
      <w:r w:rsidRPr="00B75E0B">
        <w:rPr>
          <w:szCs w:val="22"/>
        </w:rPr>
        <w:t xml:space="preserve"> sú vypuklé oválne tablety, jedna strana oranžová s vyrazeným nápisom COLDREX, druhá strana biela.</w:t>
      </w:r>
    </w:p>
    <w:p w:rsidR="00CB56BE" w:rsidRPr="00B75E0B" w:rsidRDefault="00CB56BE" w:rsidP="000D1BEE">
      <w:pPr>
        <w:tabs>
          <w:tab w:val="left" w:pos="0"/>
        </w:tabs>
        <w:ind w:left="0" w:firstLine="0"/>
        <w:rPr>
          <w:szCs w:val="22"/>
        </w:rPr>
      </w:pPr>
      <w:r w:rsidRPr="00B75E0B">
        <w:rPr>
          <w:szCs w:val="22"/>
        </w:rPr>
        <w:t>Veľkosť balenia: 12 alebo 24 tabliet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rPr>
          <w:b/>
          <w:szCs w:val="22"/>
        </w:rPr>
      </w:pPr>
      <w:r w:rsidRPr="00B75E0B">
        <w:rPr>
          <w:b/>
          <w:szCs w:val="22"/>
        </w:rPr>
        <w:t>Držiteľ rozhodnutia o registrácii a výrobca</w:t>
      </w:r>
    </w:p>
    <w:p w:rsidR="00CB56BE" w:rsidRPr="00B75E0B" w:rsidRDefault="00CB56BE" w:rsidP="000D1BEE">
      <w:pPr>
        <w:ind w:left="0" w:firstLine="0"/>
        <w:rPr>
          <w:szCs w:val="22"/>
        </w:rPr>
      </w:pPr>
    </w:p>
    <w:p w:rsidR="004F757F" w:rsidRPr="00B75E0B" w:rsidRDefault="004F757F" w:rsidP="004F757F">
      <w:pPr>
        <w:ind w:left="0" w:firstLine="0"/>
        <w:rPr>
          <w:szCs w:val="22"/>
          <w:u w:val="single"/>
        </w:rPr>
      </w:pPr>
      <w:r w:rsidRPr="00B75E0B">
        <w:rPr>
          <w:szCs w:val="22"/>
          <w:u w:val="single"/>
        </w:rPr>
        <w:t>Držiteľ</w:t>
      </w:r>
      <w:bookmarkStart w:id="0" w:name="_GoBack"/>
      <w:bookmarkEnd w:id="0"/>
      <w:r w:rsidRPr="00B75E0B">
        <w:rPr>
          <w:szCs w:val="22"/>
          <w:u w:val="single"/>
        </w:rPr>
        <w:t xml:space="preserve"> rozhodnutia o registrácii</w:t>
      </w:r>
    </w:p>
    <w:p w:rsidR="00CB56BE" w:rsidRPr="00B75E0B" w:rsidRDefault="004F757F" w:rsidP="0098147E">
      <w:pPr>
        <w:rPr>
          <w:bCs/>
          <w:szCs w:val="22"/>
        </w:rPr>
      </w:pPr>
      <w:r w:rsidRPr="00B75E0B">
        <w:rPr>
          <w:bCs/>
          <w:szCs w:val="22"/>
        </w:rPr>
        <w:t xml:space="preserve">OMEGA PHARMA </w:t>
      </w:r>
      <w:r w:rsidR="00CB56BE" w:rsidRPr="00B75E0B">
        <w:rPr>
          <w:bCs/>
          <w:szCs w:val="22"/>
        </w:rPr>
        <w:t xml:space="preserve">a.s., </w:t>
      </w:r>
      <w:r w:rsidR="00575789" w:rsidRPr="0066381D">
        <w:rPr>
          <w:bCs/>
          <w:spacing w:val="-3"/>
        </w:rPr>
        <w:t>Vídeňská 188/119d</w:t>
      </w:r>
      <w:r w:rsidR="00575789">
        <w:rPr>
          <w:bCs/>
          <w:spacing w:val="-3"/>
        </w:rPr>
        <w:t xml:space="preserve">, </w:t>
      </w:r>
      <w:r w:rsidR="00575789" w:rsidRPr="0066381D">
        <w:rPr>
          <w:bCs/>
          <w:spacing w:val="-3"/>
        </w:rPr>
        <w:t>619 00 Brno – Dolní Heršpice</w:t>
      </w:r>
      <w:r w:rsidR="00CB56BE" w:rsidRPr="00B75E0B">
        <w:rPr>
          <w:bCs/>
          <w:szCs w:val="22"/>
        </w:rPr>
        <w:t>, Česká republika</w:t>
      </w:r>
    </w:p>
    <w:p w:rsidR="00CB56BE" w:rsidRPr="00B75E0B" w:rsidRDefault="00CB56BE" w:rsidP="000D1BEE">
      <w:pPr>
        <w:rPr>
          <w:szCs w:val="22"/>
        </w:rPr>
      </w:pPr>
    </w:p>
    <w:p w:rsidR="00CB56BE" w:rsidRPr="00B75E0B" w:rsidRDefault="00CB56BE" w:rsidP="000D1BEE">
      <w:pPr>
        <w:rPr>
          <w:szCs w:val="22"/>
          <w:u w:val="single"/>
        </w:rPr>
      </w:pPr>
      <w:r w:rsidRPr="00B75E0B">
        <w:rPr>
          <w:szCs w:val="22"/>
          <w:u w:val="single"/>
        </w:rPr>
        <w:t>Výrobca</w:t>
      </w:r>
    </w:p>
    <w:p w:rsidR="00CB56BE" w:rsidRPr="005B7201" w:rsidRDefault="005B7201" w:rsidP="000D1BEE">
      <w:pPr>
        <w:numPr>
          <w:ilvl w:val="12"/>
          <w:numId w:val="0"/>
        </w:numPr>
        <w:ind w:right="-2"/>
        <w:rPr>
          <w:szCs w:val="22"/>
        </w:rPr>
      </w:pPr>
      <w:r w:rsidRPr="005B7201">
        <w:rPr>
          <w:szCs w:val="22"/>
        </w:rPr>
        <w:t xml:space="preserve">Wrafton Laboratories Limited, Exeter Road, Wrafton, Braunton, EX33 2DL, </w:t>
      </w:r>
      <w:r>
        <w:rPr>
          <w:szCs w:val="22"/>
        </w:rPr>
        <w:t>S</w:t>
      </w:r>
      <w:r w:rsidRPr="005B7201">
        <w:rPr>
          <w:szCs w:val="22"/>
        </w:rPr>
        <w:t xml:space="preserve">pojené </w:t>
      </w:r>
      <w:r>
        <w:rPr>
          <w:szCs w:val="22"/>
        </w:rPr>
        <w:t>K</w:t>
      </w:r>
      <w:r w:rsidRPr="005B7201">
        <w:rPr>
          <w:szCs w:val="22"/>
        </w:rPr>
        <w:t xml:space="preserve">ráľovstvo </w:t>
      </w:r>
    </w:p>
    <w:p w:rsidR="00CB56BE" w:rsidRPr="00B75E0B" w:rsidRDefault="00CB56BE" w:rsidP="000D1BE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CB56BE" w:rsidRPr="00B75E0B" w:rsidRDefault="00CB56BE" w:rsidP="000D1BE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75E0B">
        <w:rPr>
          <w:b/>
          <w:szCs w:val="22"/>
        </w:rPr>
        <w:t>Táto písomná informácia bola naposledy aktualizovaná v </w:t>
      </w:r>
      <w:r w:rsidR="00F55167">
        <w:rPr>
          <w:b/>
          <w:szCs w:val="22"/>
        </w:rPr>
        <w:t>júli</w:t>
      </w:r>
      <w:r w:rsidR="005B7201">
        <w:rPr>
          <w:b/>
          <w:szCs w:val="22"/>
        </w:rPr>
        <w:t xml:space="preserve"> </w:t>
      </w:r>
      <w:r w:rsidR="00575789">
        <w:rPr>
          <w:b/>
          <w:szCs w:val="22"/>
        </w:rPr>
        <w:t>2018</w:t>
      </w:r>
      <w:r w:rsidRPr="00B75E0B">
        <w:rPr>
          <w:b/>
          <w:szCs w:val="22"/>
        </w:rPr>
        <w:t>.</w:t>
      </w:r>
    </w:p>
    <w:p w:rsidR="00CB56BE" w:rsidRPr="00B75E0B" w:rsidRDefault="00CB56BE">
      <w:pPr>
        <w:rPr>
          <w:szCs w:val="22"/>
        </w:rPr>
      </w:pPr>
    </w:p>
    <w:sectPr w:rsidR="00CB56BE" w:rsidRPr="00B75E0B" w:rsidSect="00B70FE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D09" w:rsidRDefault="00E10D09">
      <w:r>
        <w:separator/>
      </w:r>
    </w:p>
  </w:endnote>
  <w:endnote w:type="continuationSeparator" w:id="0">
    <w:p w:rsidR="00E10D09" w:rsidRDefault="00E1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FB" w:rsidRPr="004F757F" w:rsidRDefault="002013FB">
    <w:pPr>
      <w:pStyle w:val="Pta"/>
      <w:jc w:val="center"/>
      <w:rPr>
        <w:sz w:val="18"/>
        <w:szCs w:val="18"/>
      </w:rPr>
    </w:pPr>
    <w:r w:rsidRPr="004F757F">
      <w:rPr>
        <w:sz w:val="18"/>
        <w:szCs w:val="18"/>
      </w:rPr>
      <w:fldChar w:fldCharType="begin"/>
    </w:r>
    <w:r w:rsidRPr="004F757F">
      <w:rPr>
        <w:sz w:val="18"/>
        <w:szCs w:val="18"/>
      </w:rPr>
      <w:instrText xml:space="preserve"> PAGE   \* MERGEFORMAT </w:instrText>
    </w:r>
    <w:r w:rsidRPr="004F757F">
      <w:rPr>
        <w:sz w:val="18"/>
        <w:szCs w:val="18"/>
      </w:rPr>
      <w:fldChar w:fldCharType="separate"/>
    </w:r>
    <w:r w:rsidR="005C7524">
      <w:rPr>
        <w:noProof/>
        <w:sz w:val="18"/>
        <w:szCs w:val="18"/>
      </w:rPr>
      <w:t>5</w:t>
    </w:r>
    <w:r w:rsidRPr="004F757F">
      <w:rPr>
        <w:sz w:val="18"/>
        <w:szCs w:val="18"/>
      </w:rPr>
      <w:fldChar w:fldCharType="end"/>
    </w:r>
  </w:p>
  <w:p w:rsidR="002013FB" w:rsidRDefault="002013F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D09" w:rsidRDefault="00E10D09">
      <w:r>
        <w:separator/>
      </w:r>
    </w:p>
  </w:footnote>
  <w:footnote w:type="continuationSeparator" w:id="0">
    <w:p w:rsidR="00E10D09" w:rsidRDefault="00E10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FB" w:rsidRPr="006E1EB7" w:rsidRDefault="00F55167" w:rsidP="00B75E0B">
    <w:pPr>
      <w:pStyle w:val="Hlavika"/>
      <w:rPr>
        <w:sz w:val="18"/>
        <w:szCs w:val="18"/>
      </w:rPr>
    </w:pPr>
    <w:r>
      <w:rPr>
        <w:sz w:val="18"/>
        <w:szCs w:val="18"/>
        <w:lang w:val="sk-SK"/>
      </w:rPr>
      <w:t>Príloha č. 1 k notifikácii o zmene, ev. č.: 2018/03563-Z1A, 2015/02500-Z1A</w:t>
    </w:r>
  </w:p>
  <w:p w:rsidR="002013FB" w:rsidRDefault="002013F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A47990"/>
    <w:multiLevelType w:val="hybridMultilevel"/>
    <w:tmpl w:val="B3BEE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EE"/>
    <w:rsid w:val="0000153E"/>
    <w:rsid w:val="0008327B"/>
    <w:rsid w:val="000B3A1A"/>
    <w:rsid w:val="000D1BEE"/>
    <w:rsid w:val="000D537E"/>
    <w:rsid w:val="000E4882"/>
    <w:rsid w:val="001611EA"/>
    <w:rsid w:val="0016300D"/>
    <w:rsid w:val="00164942"/>
    <w:rsid w:val="00191C15"/>
    <w:rsid w:val="001C6EBD"/>
    <w:rsid w:val="001D47FA"/>
    <w:rsid w:val="002013FB"/>
    <w:rsid w:val="002105E6"/>
    <w:rsid w:val="00213DFF"/>
    <w:rsid w:val="002A0576"/>
    <w:rsid w:val="002A4774"/>
    <w:rsid w:val="002B44EF"/>
    <w:rsid w:val="00360A6E"/>
    <w:rsid w:val="00376001"/>
    <w:rsid w:val="003C30DF"/>
    <w:rsid w:val="003C73FF"/>
    <w:rsid w:val="003D7C50"/>
    <w:rsid w:val="004023DC"/>
    <w:rsid w:val="004102AC"/>
    <w:rsid w:val="004133F5"/>
    <w:rsid w:val="0042222C"/>
    <w:rsid w:val="00474D9B"/>
    <w:rsid w:val="00476DA4"/>
    <w:rsid w:val="004838A3"/>
    <w:rsid w:val="004B728D"/>
    <w:rsid w:val="004F5071"/>
    <w:rsid w:val="004F757F"/>
    <w:rsid w:val="0052690F"/>
    <w:rsid w:val="0055361E"/>
    <w:rsid w:val="00567AD7"/>
    <w:rsid w:val="00573905"/>
    <w:rsid w:val="00575789"/>
    <w:rsid w:val="005B7201"/>
    <w:rsid w:val="005C5F8C"/>
    <w:rsid w:val="005C7524"/>
    <w:rsid w:val="005D6872"/>
    <w:rsid w:val="00616DB2"/>
    <w:rsid w:val="00625196"/>
    <w:rsid w:val="0066381D"/>
    <w:rsid w:val="006A47F6"/>
    <w:rsid w:val="006C6288"/>
    <w:rsid w:val="006C6C52"/>
    <w:rsid w:val="006E1EB7"/>
    <w:rsid w:val="007178FC"/>
    <w:rsid w:val="00750CF5"/>
    <w:rsid w:val="00755249"/>
    <w:rsid w:val="007A33CF"/>
    <w:rsid w:val="007B5188"/>
    <w:rsid w:val="007E22A0"/>
    <w:rsid w:val="00815ED7"/>
    <w:rsid w:val="00820BB3"/>
    <w:rsid w:val="008B45F8"/>
    <w:rsid w:val="008E6436"/>
    <w:rsid w:val="00930714"/>
    <w:rsid w:val="00970E61"/>
    <w:rsid w:val="0098147E"/>
    <w:rsid w:val="00981883"/>
    <w:rsid w:val="009E10E0"/>
    <w:rsid w:val="009F6B47"/>
    <w:rsid w:val="00A02392"/>
    <w:rsid w:val="00A4418C"/>
    <w:rsid w:val="00A56A7D"/>
    <w:rsid w:val="00A975C6"/>
    <w:rsid w:val="00AD73A2"/>
    <w:rsid w:val="00B070D3"/>
    <w:rsid w:val="00B3372A"/>
    <w:rsid w:val="00B47AE9"/>
    <w:rsid w:val="00B70FE8"/>
    <w:rsid w:val="00B75E0B"/>
    <w:rsid w:val="00B878A2"/>
    <w:rsid w:val="00BB1D80"/>
    <w:rsid w:val="00BB4D95"/>
    <w:rsid w:val="00BC7B62"/>
    <w:rsid w:val="00BE26DB"/>
    <w:rsid w:val="00BE6FE7"/>
    <w:rsid w:val="00C00D2F"/>
    <w:rsid w:val="00C166AF"/>
    <w:rsid w:val="00C17B60"/>
    <w:rsid w:val="00C47EC6"/>
    <w:rsid w:val="00C613F1"/>
    <w:rsid w:val="00C76EC7"/>
    <w:rsid w:val="00C771D7"/>
    <w:rsid w:val="00C9000C"/>
    <w:rsid w:val="00CB56BE"/>
    <w:rsid w:val="00CE3F68"/>
    <w:rsid w:val="00CF30AA"/>
    <w:rsid w:val="00D6658D"/>
    <w:rsid w:val="00D95156"/>
    <w:rsid w:val="00DE6204"/>
    <w:rsid w:val="00DE7410"/>
    <w:rsid w:val="00E10D09"/>
    <w:rsid w:val="00E55426"/>
    <w:rsid w:val="00EC01A8"/>
    <w:rsid w:val="00EE09CF"/>
    <w:rsid w:val="00F02451"/>
    <w:rsid w:val="00F10B65"/>
    <w:rsid w:val="00F433A9"/>
    <w:rsid w:val="00F55167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9D1B8-7586-41B4-9FC2-C3D9388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1BEE"/>
    <w:pPr>
      <w:ind w:left="567" w:hanging="567"/>
    </w:pPr>
    <w:rPr>
      <w:rFonts w:ascii="Times New Roman" w:hAnsi="Times New Roman"/>
      <w:sz w:val="22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0D1BEE"/>
    <w:rPr>
      <w:rFonts w:cs="Times New Roman"/>
      <w:color w:val="0000FF"/>
      <w:u w:val="single"/>
    </w:rPr>
  </w:style>
  <w:style w:type="paragraph" w:customStyle="1" w:styleId="Text">
    <w:name w:val="Text"/>
    <w:basedOn w:val="Normlny"/>
    <w:uiPriority w:val="99"/>
    <w:rsid w:val="000D1BEE"/>
    <w:pPr>
      <w:spacing w:after="240" w:line="312" w:lineRule="atLeast"/>
      <w:ind w:left="0" w:firstLine="0"/>
    </w:pPr>
    <w:rPr>
      <w:sz w:val="24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0D1BEE"/>
    <w:pPr>
      <w:ind w:left="0" w:firstLine="0"/>
    </w:pPr>
    <w:rPr>
      <w:sz w:val="24"/>
      <w:lang w:val="en-GB" w:eastAsia="cs-CZ"/>
    </w:rPr>
  </w:style>
  <w:style w:type="character" w:customStyle="1" w:styleId="ZkladntextChar">
    <w:name w:val="Základný text Char"/>
    <w:link w:val="Zkladntext"/>
    <w:uiPriority w:val="99"/>
    <w:locked/>
    <w:rsid w:val="000D1BEE"/>
    <w:rPr>
      <w:rFonts w:ascii="Times New Roman" w:hAnsi="Times New Roman" w:cs="Times New Roman"/>
      <w:sz w:val="24"/>
      <w:szCs w:val="24"/>
      <w:lang w:val="en-GB" w:eastAsia="cs-CZ"/>
    </w:rPr>
  </w:style>
  <w:style w:type="paragraph" w:styleId="Pta">
    <w:name w:val="footer"/>
    <w:basedOn w:val="Normlny"/>
    <w:link w:val="PtaChar"/>
    <w:uiPriority w:val="99"/>
    <w:rsid w:val="000D1BEE"/>
    <w:pPr>
      <w:tabs>
        <w:tab w:val="center" w:pos="4536"/>
        <w:tab w:val="right" w:pos="9072"/>
      </w:tabs>
    </w:pPr>
    <w:rPr>
      <w:sz w:val="24"/>
      <w:lang w:val="x-none"/>
    </w:rPr>
  </w:style>
  <w:style w:type="character" w:customStyle="1" w:styleId="PtaChar">
    <w:name w:val="Päta Char"/>
    <w:link w:val="Pta"/>
    <w:uiPriority w:val="99"/>
    <w:locked/>
    <w:rsid w:val="000D1BEE"/>
    <w:rPr>
      <w:rFonts w:ascii="Times New Roman" w:hAnsi="Times New Roman" w:cs="Times New Roman"/>
      <w:sz w:val="24"/>
      <w:szCs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0D1BEE"/>
    <w:pPr>
      <w:tabs>
        <w:tab w:val="center" w:pos="4536"/>
        <w:tab w:val="right" w:pos="9072"/>
      </w:tabs>
    </w:pPr>
    <w:rPr>
      <w:sz w:val="24"/>
      <w:lang w:val="x-none"/>
    </w:rPr>
  </w:style>
  <w:style w:type="character" w:customStyle="1" w:styleId="HlavikaChar">
    <w:name w:val="Hlavička Char"/>
    <w:link w:val="Hlavika"/>
    <w:uiPriority w:val="99"/>
    <w:locked/>
    <w:rsid w:val="000D1BEE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757F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  <w:lang w:val="sk-SK" w:eastAsia="sk-SK"/>
    </w:rPr>
  </w:style>
  <w:style w:type="character" w:styleId="Odkaznakomentr">
    <w:name w:val="annotation reference"/>
    <w:uiPriority w:val="99"/>
    <w:semiHidden/>
    <w:unhideWhenUsed/>
    <w:rsid w:val="00BE6FE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E6FE7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locked/>
    <w:rsid w:val="00BE6FE7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6FE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E6FE7"/>
    <w:rPr>
      <w:rFonts w:ascii="Times New Roman" w:hAnsi="Times New Roman" w:cs="Times New Roman"/>
      <w:b/>
      <w:bCs/>
      <w:sz w:val="20"/>
      <w:szCs w:val="20"/>
    </w:rPr>
  </w:style>
  <w:style w:type="character" w:customStyle="1" w:styleId="shorttext">
    <w:name w:val="short_text"/>
    <w:rsid w:val="00F10B65"/>
  </w:style>
  <w:style w:type="paragraph" w:styleId="Zarkazkladnhotextu2">
    <w:name w:val="Body Text Indent 2"/>
    <w:basedOn w:val="Normlny"/>
    <w:link w:val="Zarkazkladnhotextu2Char"/>
    <w:uiPriority w:val="99"/>
    <w:rsid w:val="00B070D3"/>
    <w:pPr>
      <w:spacing w:after="120" w:line="480" w:lineRule="auto"/>
      <w:ind w:left="283"/>
    </w:pPr>
    <w:rPr>
      <w:sz w:val="24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B070D3"/>
    <w:rPr>
      <w:rFonts w:ascii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23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1761</Words>
  <Characters>10040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GlaxoSmithKline</Company>
  <LinksUpToDate>false</LinksUpToDate>
  <CharactersWithSpaces>11778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subject/>
  <dc:creator>kkk75302</dc:creator>
  <cp:keywords/>
  <dc:description/>
  <cp:lastModifiedBy>Dočolomanská, Petra</cp:lastModifiedBy>
  <cp:revision>2</cp:revision>
  <dcterms:created xsi:type="dcterms:W3CDTF">2018-07-12T12:42:00Z</dcterms:created>
  <dcterms:modified xsi:type="dcterms:W3CDTF">2018-07-12T12:42:00Z</dcterms:modified>
</cp:coreProperties>
</file>