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D68D4" w14:textId="77777777" w:rsidR="00E70510" w:rsidRPr="00933F22" w:rsidRDefault="00ED2053" w:rsidP="00933F22">
      <w:pPr>
        <w:pStyle w:val="Nzov"/>
        <w:rPr>
          <w:rFonts w:ascii="Times New Roman" w:hAnsi="Times New Roman"/>
          <w:bCs/>
          <w:sz w:val="22"/>
          <w:szCs w:val="22"/>
        </w:rPr>
      </w:pPr>
      <w:r w:rsidRPr="00933F22">
        <w:rPr>
          <w:rFonts w:ascii="Times New Roman" w:hAnsi="Times New Roman"/>
          <w:bCs/>
          <w:sz w:val="22"/>
          <w:szCs w:val="22"/>
        </w:rPr>
        <w:t xml:space="preserve">Písomná informácia pre </w:t>
      </w:r>
      <w:r w:rsidR="00933F22" w:rsidRPr="00933F22">
        <w:rPr>
          <w:rFonts w:ascii="Times New Roman" w:hAnsi="Times New Roman"/>
          <w:sz w:val="22"/>
          <w:szCs w:val="22"/>
        </w:rPr>
        <w:t>používateľ</w:t>
      </w:r>
      <w:r w:rsidR="00894736">
        <w:rPr>
          <w:rFonts w:ascii="Times New Roman" w:hAnsi="Times New Roman"/>
          <w:sz w:val="22"/>
          <w:szCs w:val="22"/>
        </w:rPr>
        <w:t>a</w:t>
      </w:r>
    </w:p>
    <w:p w14:paraId="199B8CD9" w14:textId="77777777" w:rsidR="00E70510" w:rsidRPr="00933F22" w:rsidRDefault="00E70510" w:rsidP="00ED2053">
      <w:pPr>
        <w:pStyle w:val="Nzov"/>
        <w:rPr>
          <w:rFonts w:ascii="Times New Roman" w:hAnsi="Times New Roman"/>
          <w:sz w:val="22"/>
          <w:szCs w:val="22"/>
        </w:rPr>
      </w:pPr>
    </w:p>
    <w:p w14:paraId="7F770FA9" w14:textId="77777777" w:rsidR="00E70510" w:rsidRDefault="00E70510" w:rsidP="00ED2053">
      <w:pPr>
        <w:pStyle w:val="Nzov"/>
        <w:rPr>
          <w:rFonts w:ascii="Times New Roman" w:hAnsi="Times New Roman"/>
          <w:b w:val="0"/>
          <w:sz w:val="22"/>
          <w:szCs w:val="22"/>
        </w:rPr>
      </w:pPr>
      <w:r w:rsidRPr="00ED2053">
        <w:rPr>
          <w:rFonts w:ascii="(Asiatische Schriftart verwende" w:hAnsi="(Asiatische Schriftart verwende"/>
          <w:bCs/>
          <w:sz w:val="22"/>
          <w:szCs w:val="22"/>
        </w:rPr>
        <w:t>Petnidan</w:t>
      </w:r>
      <w:r w:rsidR="00ED2053" w:rsidRPr="00ED2053">
        <w:rPr>
          <w:rFonts w:ascii="(Asiatische Schriftart verwende" w:hAnsi="(Asiatische Schriftart verwende"/>
          <w:bCs/>
          <w:sz w:val="22"/>
          <w:szCs w:val="22"/>
        </w:rPr>
        <w:t xml:space="preserve">, 250 mg </w:t>
      </w:r>
      <w:r w:rsidRPr="00ED4670">
        <w:rPr>
          <w:rFonts w:ascii="Times New Roman" w:hAnsi="Times New Roman"/>
          <w:b w:val="0"/>
          <w:sz w:val="22"/>
          <w:szCs w:val="22"/>
        </w:rPr>
        <w:t>kapsuly</w:t>
      </w:r>
    </w:p>
    <w:p w14:paraId="0BC1EBE3" w14:textId="77777777" w:rsidR="00597A61" w:rsidRPr="00ED4670" w:rsidRDefault="00597A61" w:rsidP="00ED2053">
      <w:pPr>
        <w:pStyle w:val="Nzov"/>
        <w:rPr>
          <w:rFonts w:ascii="Times New Roman" w:hAnsi="Times New Roman"/>
          <w:b w:val="0"/>
          <w:sz w:val="22"/>
          <w:szCs w:val="22"/>
        </w:rPr>
      </w:pPr>
    </w:p>
    <w:p w14:paraId="15A0B464" w14:textId="77777777" w:rsidR="00ED4670" w:rsidRDefault="008221AE" w:rsidP="00ED2053">
      <w:pPr>
        <w:pStyle w:val="Nzov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e</w:t>
      </w:r>
      <w:r w:rsidR="00ED4670" w:rsidRPr="00ED4670">
        <w:rPr>
          <w:rFonts w:ascii="Times New Roman" w:hAnsi="Times New Roman"/>
          <w:b w:val="0"/>
          <w:bCs/>
          <w:sz w:val="22"/>
          <w:szCs w:val="22"/>
        </w:rPr>
        <w:t>tosuximid</w:t>
      </w:r>
    </w:p>
    <w:p w14:paraId="51352CAE" w14:textId="77777777" w:rsidR="00ED4670" w:rsidRPr="00ED4670" w:rsidRDefault="00ED4670" w:rsidP="00ED2053">
      <w:pPr>
        <w:pStyle w:val="Nzov"/>
        <w:rPr>
          <w:rFonts w:ascii="Times New Roman" w:hAnsi="Times New Roman"/>
          <w:b w:val="0"/>
          <w:bCs/>
          <w:sz w:val="22"/>
          <w:szCs w:val="22"/>
        </w:rPr>
      </w:pPr>
    </w:p>
    <w:p w14:paraId="7FFFEC91" w14:textId="77777777" w:rsidR="00E70510" w:rsidRDefault="00E70510" w:rsidP="00E70510">
      <w:pPr>
        <w:jc w:val="both"/>
        <w:rPr>
          <w:sz w:val="22"/>
          <w:szCs w:val="22"/>
          <w:lang w:val="sk-SK"/>
        </w:rPr>
      </w:pPr>
    </w:p>
    <w:p w14:paraId="18238352" w14:textId="77777777" w:rsidR="000C657D" w:rsidRPr="000D27F8" w:rsidRDefault="000C657D" w:rsidP="000C657D">
      <w:pPr>
        <w:ind w:right="-2"/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0D27F8">
        <w:rPr>
          <w:sz w:val="22"/>
          <w:szCs w:val="22"/>
          <w:lang w:val="sk-SK"/>
        </w:rPr>
        <w:t xml:space="preserve"> </w:t>
      </w:r>
      <w:r w:rsidRPr="000D27F8">
        <w:rPr>
          <w:b/>
          <w:sz w:val="22"/>
          <w:szCs w:val="22"/>
          <w:lang w:val="sk-SK"/>
        </w:rPr>
        <w:t>tento liek, pretože obsahuje pre vás dôležité informácie.</w:t>
      </w:r>
    </w:p>
    <w:p w14:paraId="25719205" w14:textId="77777777" w:rsidR="000C657D" w:rsidRPr="000D27F8" w:rsidRDefault="000C657D" w:rsidP="00AB63D2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0FB8A42" w14:textId="77777777" w:rsidR="000C657D" w:rsidRPr="000D27F8" w:rsidRDefault="000C657D" w:rsidP="00AB63D2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Ak máte akékoľvek ďalšie otázky, obráťte sa na svojho lekára,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lekárnika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alebo zdravotnú sestru.</w:t>
      </w:r>
    </w:p>
    <w:p w14:paraId="1CF3C18C" w14:textId="77777777" w:rsidR="000C657D" w:rsidRPr="000D27F8" w:rsidRDefault="000C657D" w:rsidP="00AB63D2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Tento liek bol predpísaný iba vám. Nedávajte ho nikomu inému. Môže mu uškodiť, dokonca aj vtedy, ak má rovnaké príznaky ochorenia ako vy.</w:t>
      </w:r>
    </w:p>
    <w:p w14:paraId="4E54DAD8" w14:textId="77777777" w:rsidR="000C657D" w:rsidRPr="000D27F8" w:rsidRDefault="000C657D" w:rsidP="00AB63D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Ak sa u vás vyskytne akýkoľvek vedľajší účinok, obráťte sa na svojho lekára,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lekárnika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alebo zdravotnú sestru. To sa týka aj akýchkoľvek vedľajších účinkov, ktoré nie sú uvedené v tejto písomnej informácii pre používateľ</w:t>
      </w:r>
      <w:r w:rsidR="00894736">
        <w:rPr>
          <w:sz w:val="22"/>
          <w:szCs w:val="22"/>
          <w:lang w:val="sk-SK"/>
        </w:rPr>
        <w:t>a</w:t>
      </w:r>
      <w:r w:rsidRPr="000D27F8">
        <w:rPr>
          <w:sz w:val="22"/>
          <w:szCs w:val="22"/>
          <w:lang w:val="sk-SK"/>
        </w:rPr>
        <w:t>.</w:t>
      </w:r>
      <w:r w:rsidR="00894736">
        <w:rPr>
          <w:sz w:val="22"/>
          <w:szCs w:val="22"/>
          <w:lang w:val="sk-SK"/>
        </w:rPr>
        <w:t xml:space="preserve"> </w:t>
      </w:r>
      <w:r w:rsidR="00074C55">
        <w:rPr>
          <w:sz w:val="22"/>
          <w:szCs w:val="22"/>
          <w:lang w:val="sk-SK"/>
        </w:rPr>
        <w:t>Pozri časť 4.</w:t>
      </w:r>
    </w:p>
    <w:p w14:paraId="285C7925" w14:textId="77777777" w:rsidR="00E36E4F" w:rsidRDefault="00E36E4F" w:rsidP="00E70510">
      <w:pPr>
        <w:jc w:val="both"/>
        <w:rPr>
          <w:sz w:val="22"/>
          <w:szCs w:val="22"/>
          <w:lang w:val="sk-SK"/>
        </w:rPr>
      </w:pPr>
    </w:p>
    <w:p w14:paraId="7EA050C3" w14:textId="77777777" w:rsidR="000C657D" w:rsidRDefault="000C657D" w:rsidP="00E70510">
      <w:pPr>
        <w:jc w:val="both"/>
        <w:rPr>
          <w:sz w:val="22"/>
          <w:szCs w:val="22"/>
          <w:lang w:val="sk-SK"/>
        </w:rPr>
      </w:pPr>
    </w:p>
    <w:p w14:paraId="67473E40" w14:textId="77777777" w:rsidR="000C657D" w:rsidRPr="000D27F8" w:rsidRDefault="000C657D" w:rsidP="000C657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>V tejto písomnej informácii pre používateľ</w:t>
      </w:r>
      <w:r w:rsidR="00894736">
        <w:rPr>
          <w:b/>
          <w:sz w:val="22"/>
          <w:szCs w:val="22"/>
          <w:lang w:val="sk-SK"/>
        </w:rPr>
        <w:t>a</w:t>
      </w:r>
      <w:r w:rsidRPr="000D27F8">
        <w:rPr>
          <w:b/>
          <w:sz w:val="22"/>
          <w:szCs w:val="22"/>
          <w:lang w:val="sk-SK"/>
        </w:rPr>
        <w:t xml:space="preserve"> sa dozviete</w:t>
      </w:r>
      <w:r w:rsidRPr="000D27F8">
        <w:rPr>
          <w:sz w:val="22"/>
          <w:szCs w:val="22"/>
          <w:lang w:val="sk-SK"/>
        </w:rPr>
        <w:t xml:space="preserve">: </w:t>
      </w:r>
    </w:p>
    <w:p w14:paraId="332C0F5E" w14:textId="77777777" w:rsidR="000C657D" w:rsidRPr="000D27F8" w:rsidRDefault="000C657D" w:rsidP="00AB63D2">
      <w:pPr>
        <w:tabs>
          <w:tab w:val="left" w:pos="540"/>
        </w:tabs>
        <w:ind w:right="-29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1.</w:t>
      </w:r>
      <w:r w:rsidRPr="000D27F8">
        <w:rPr>
          <w:sz w:val="22"/>
          <w:szCs w:val="22"/>
          <w:lang w:val="sk-SK"/>
        </w:rPr>
        <w:tab/>
        <w:t xml:space="preserve">Čo je </w:t>
      </w:r>
      <w:r w:rsidR="006F4312">
        <w:rPr>
          <w:sz w:val="22"/>
          <w:szCs w:val="22"/>
          <w:lang w:val="sk-SK"/>
        </w:rPr>
        <w:t>Petnidan</w:t>
      </w:r>
      <w:r w:rsidRPr="000D27F8">
        <w:rPr>
          <w:sz w:val="22"/>
          <w:szCs w:val="22"/>
          <w:lang w:val="sk-SK"/>
        </w:rPr>
        <w:t xml:space="preserve"> a na čo sa používa</w:t>
      </w:r>
    </w:p>
    <w:p w14:paraId="3C565520" w14:textId="77777777" w:rsidR="000C657D" w:rsidRPr="000D27F8" w:rsidRDefault="000C657D" w:rsidP="00AB63D2">
      <w:pPr>
        <w:tabs>
          <w:tab w:val="left" w:pos="540"/>
        </w:tabs>
        <w:ind w:right="-29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2.</w:t>
      </w:r>
      <w:r w:rsidRPr="000D27F8">
        <w:rPr>
          <w:sz w:val="22"/>
          <w:szCs w:val="22"/>
          <w:lang w:val="sk-SK"/>
        </w:rPr>
        <w:tab/>
        <w:t xml:space="preserve">Čo potrebujete vedieť </w:t>
      </w:r>
      <w:r w:rsidR="00894736">
        <w:rPr>
          <w:sz w:val="22"/>
          <w:szCs w:val="22"/>
          <w:lang w:val="sk-SK"/>
        </w:rPr>
        <w:t>predtým</w:t>
      </w:r>
      <w:r w:rsidRPr="000D27F8">
        <w:rPr>
          <w:sz w:val="22"/>
          <w:szCs w:val="22"/>
          <w:lang w:val="sk-SK"/>
        </w:rPr>
        <w:t>, ako užijete</w:t>
      </w:r>
      <w:r w:rsidR="006F4312">
        <w:rPr>
          <w:sz w:val="22"/>
          <w:szCs w:val="22"/>
          <w:lang w:val="sk-SK"/>
        </w:rPr>
        <w:t xml:space="preserve"> Petnidan</w:t>
      </w:r>
    </w:p>
    <w:p w14:paraId="570C8D82" w14:textId="77777777" w:rsidR="000C657D" w:rsidRPr="000D27F8" w:rsidRDefault="000C657D" w:rsidP="00D977C1">
      <w:pPr>
        <w:tabs>
          <w:tab w:val="left" w:pos="540"/>
          <w:tab w:val="right" w:pos="9433"/>
        </w:tabs>
        <w:ind w:right="-29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3.</w:t>
      </w:r>
      <w:r w:rsidRPr="000D27F8">
        <w:rPr>
          <w:sz w:val="22"/>
          <w:szCs w:val="22"/>
          <w:lang w:val="sk-SK"/>
        </w:rPr>
        <w:tab/>
        <w:t xml:space="preserve">Ako užívať </w:t>
      </w:r>
      <w:r w:rsidR="006F4312">
        <w:rPr>
          <w:sz w:val="22"/>
          <w:szCs w:val="22"/>
          <w:lang w:val="sk-SK"/>
        </w:rPr>
        <w:t>Petnidan</w:t>
      </w:r>
    </w:p>
    <w:p w14:paraId="179D88C0" w14:textId="77777777" w:rsidR="000C657D" w:rsidRPr="000D27F8" w:rsidRDefault="000C657D" w:rsidP="00AB63D2">
      <w:pPr>
        <w:tabs>
          <w:tab w:val="left" w:pos="540"/>
        </w:tabs>
        <w:ind w:right="-29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4.</w:t>
      </w:r>
      <w:r w:rsidRPr="000D27F8">
        <w:rPr>
          <w:sz w:val="22"/>
          <w:szCs w:val="22"/>
          <w:lang w:val="sk-SK"/>
        </w:rPr>
        <w:tab/>
        <w:t>Možné vedľajšie účinky</w:t>
      </w:r>
    </w:p>
    <w:p w14:paraId="1193DD08" w14:textId="77777777" w:rsidR="000C657D" w:rsidRPr="000D27F8" w:rsidRDefault="000C657D" w:rsidP="00AB63D2">
      <w:pPr>
        <w:tabs>
          <w:tab w:val="left" w:pos="540"/>
        </w:tabs>
        <w:ind w:right="-29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5.</w:t>
      </w:r>
      <w:r w:rsidRPr="000D27F8">
        <w:rPr>
          <w:sz w:val="22"/>
          <w:szCs w:val="22"/>
          <w:lang w:val="sk-SK"/>
        </w:rPr>
        <w:tab/>
        <w:t xml:space="preserve">Ako uchovávať </w:t>
      </w:r>
      <w:r w:rsidR="006F4312">
        <w:rPr>
          <w:sz w:val="22"/>
          <w:szCs w:val="22"/>
          <w:lang w:val="sk-SK"/>
        </w:rPr>
        <w:t>Petnidan</w:t>
      </w:r>
    </w:p>
    <w:p w14:paraId="709346FB" w14:textId="77777777" w:rsidR="000C657D" w:rsidRPr="000D27F8" w:rsidRDefault="000C657D" w:rsidP="00AB63D2">
      <w:pPr>
        <w:tabs>
          <w:tab w:val="left" w:pos="540"/>
        </w:tabs>
        <w:ind w:right="-29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6.</w:t>
      </w:r>
      <w:r w:rsidRPr="000D27F8">
        <w:rPr>
          <w:sz w:val="22"/>
          <w:szCs w:val="22"/>
          <w:lang w:val="sk-SK"/>
        </w:rPr>
        <w:tab/>
        <w:t>Obsah balenia a ďalšie informácie</w:t>
      </w:r>
    </w:p>
    <w:p w14:paraId="5D170B89" w14:textId="77777777" w:rsidR="000C657D" w:rsidRDefault="000C657D" w:rsidP="00E70510">
      <w:pPr>
        <w:jc w:val="both"/>
        <w:rPr>
          <w:sz w:val="22"/>
          <w:szCs w:val="22"/>
          <w:lang w:val="sk-SK"/>
        </w:rPr>
      </w:pPr>
    </w:p>
    <w:p w14:paraId="58226674" w14:textId="77777777" w:rsidR="00E36E4F" w:rsidRDefault="00E36E4F" w:rsidP="00074C55">
      <w:pPr>
        <w:rPr>
          <w:sz w:val="22"/>
          <w:szCs w:val="22"/>
          <w:lang w:val="sk-SK"/>
        </w:rPr>
      </w:pPr>
    </w:p>
    <w:p w14:paraId="3AC14842" w14:textId="77777777" w:rsidR="00D84BD0" w:rsidRPr="00D84BD0" w:rsidRDefault="00D84BD0" w:rsidP="00074C55">
      <w:pPr>
        <w:tabs>
          <w:tab w:val="left" w:pos="540"/>
        </w:tabs>
        <w:ind w:right="-29"/>
        <w:rPr>
          <w:b/>
          <w:bCs/>
          <w:sz w:val="22"/>
          <w:szCs w:val="22"/>
          <w:lang w:val="sk-SK"/>
        </w:rPr>
      </w:pPr>
      <w:r w:rsidRPr="00D84BD0">
        <w:rPr>
          <w:b/>
          <w:bCs/>
          <w:sz w:val="22"/>
          <w:szCs w:val="22"/>
          <w:lang w:val="sk-SK"/>
        </w:rPr>
        <w:t>1.</w:t>
      </w:r>
      <w:r w:rsidRPr="00D84BD0">
        <w:rPr>
          <w:b/>
          <w:bCs/>
          <w:sz w:val="22"/>
          <w:szCs w:val="22"/>
          <w:lang w:val="sk-SK"/>
        </w:rPr>
        <w:tab/>
        <w:t>Čo je Petnidan a na čo sa používa</w:t>
      </w:r>
    </w:p>
    <w:p w14:paraId="23FDD6D5" w14:textId="77777777" w:rsidR="00AB63D2" w:rsidRDefault="00AB63D2" w:rsidP="00074C55">
      <w:pPr>
        <w:rPr>
          <w:sz w:val="22"/>
          <w:szCs w:val="22"/>
          <w:lang w:val="sk-SK"/>
        </w:rPr>
      </w:pPr>
    </w:p>
    <w:p w14:paraId="5C276E76" w14:textId="77777777" w:rsidR="00AB63D2" w:rsidRDefault="00D84BD0" w:rsidP="00074C55">
      <w:p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Etosuximid, liečivo v lieku Petnidan, patrí do skupiny liekov nazývaných antiepileptiká, ktoré sa používajú na kontrolu epileptických záchvatov.</w:t>
      </w:r>
    </w:p>
    <w:p w14:paraId="6FC590D6" w14:textId="77777777" w:rsidR="00D84BD0" w:rsidRDefault="00D84BD0" w:rsidP="00074C55">
      <w:pPr>
        <w:rPr>
          <w:sz w:val="22"/>
          <w:szCs w:val="22"/>
          <w:lang w:val="sk-SK"/>
        </w:rPr>
      </w:pPr>
    </w:p>
    <w:p w14:paraId="09525822" w14:textId="77777777" w:rsidR="00D84BD0" w:rsidRPr="00ED2053" w:rsidRDefault="00D84BD0" w:rsidP="00074C5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Petnidan sa používa na liečbu nasled</w:t>
      </w:r>
      <w:r w:rsidR="008221AE">
        <w:rPr>
          <w:sz w:val="22"/>
          <w:szCs w:val="22"/>
          <w:lang w:val="sk-SK"/>
        </w:rPr>
        <w:t xml:space="preserve">ovných </w:t>
      </w:r>
      <w:r>
        <w:rPr>
          <w:sz w:val="22"/>
          <w:szCs w:val="22"/>
          <w:lang w:val="sk-SK"/>
        </w:rPr>
        <w:t>stavov:</w:t>
      </w:r>
    </w:p>
    <w:p w14:paraId="370BC387" w14:textId="77777777" w:rsidR="00E70510" w:rsidRPr="00ED2053" w:rsidRDefault="00E70510" w:rsidP="00074C55">
      <w:pPr>
        <w:numPr>
          <w:ilvl w:val="0"/>
          <w:numId w:val="7"/>
        </w:numPr>
        <w:ind w:left="567" w:hanging="567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pyknoleptické absencie, tiež komplexné a atypické absencie</w:t>
      </w:r>
      <w:r w:rsidR="00F87875" w:rsidRPr="00ED2053">
        <w:rPr>
          <w:sz w:val="22"/>
          <w:szCs w:val="22"/>
          <w:lang w:val="sk-SK"/>
        </w:rPr>
        <w:t xml:space="preserve"> (epileptické záchvaty charakterizované chvíľkovými stratami vedomia).</w:t>
      </w:r>
    </w:p>
    <w:p w14:paraId="5958EE34" w14:textId="77777777" w:rsidR="00314DDA" w:rsidRPr="00ED2053" w:rsidRDefault="00E70510" w:rsidP="00074C55">
      <w:pPr>
        <w:ind w:left="567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 xml:space="preserve">Upozornenie: </w:t>
      </w:r>
      <w:r w:rsidR="005D6C47" w:rsidRPr="00ED2053">
        <w:rPr>
          <w:sz w:val="22"/>
          <w:szCs w:val="22"/>
          <w:lang w:val="sk-SK"/>
        </w:rPr>
        <w:t>Na predchádzanie</w:t>
      </w:r>
      <w:r w:rsidRPr="00ED2053">
        <w:rPr>
          <w:sz w:val="22"/>
          <w:szCs w:val="22"/>
          <w:lang w:val="sk-SK"/>
        </w:rPr>
        <w:t xml:space="preserve"> generalizovaných záchvatov, ktoré sa často vyskytujú pri komplexných a atypických  </w:t>
      </w:r>
      <w:r w:rsidR="002D432D" w:rsidRPr="00ED2053">
        <w:rPr>
          <w:sz w:val="22"/>
          <w:szCs w:val="22"/>
          <w:lang w:val="sk-SK"/>
        </w:rPr>
        <w:t xml:space="preserve">absenciách, </w:t>
      </w:r>
      <w:r w:rsidRPr="00ED2053">
        <w:rPr>
          <w:sz w:val="22"/>
          <w:szCs w:val="22"/>
          <w:lang w:val="sk-SK"/>
        </w:rPr>
        <w:t xml:space="preserve">sa etosuximid môže kombinovať s antikonvulzívami </w:t>
      </w:r>
      <w:r w:rsidR="00F87875" w:rsidRPr="00ED2053">
        <w:rPr>
          <w:sz w:val="22"/>
          <w:szCs w:val="22"/>
          <w:lang w:val="sk-SK"/>
        </w:rPr>
        <w:t xml:space="preserve">(liekmi na liečenie epileptických záchvatov), </w:t>
      </w:r>
      <w:r w:rsidRPr="00ED2053">
        <w:rPr>
          <w:sz w:val="22"/>
          <w:szCs w:val="22"/>
          <w:lang w:val="sk-SK"/>
        </w:rPr>
        <w:t xml:space="preserve">účinnými </w:t>
      </w:r>
      <w:r w:rsidR="005D6C47" w:rsidRPr="00ED2053">
        <w:rPr>
          <w:sz w:val="22"/>
          <w:szCs w:val="22"/>
          <w:lang w:val="sk-SK"/>
        </w:rPr>
        <w:t xml:space="preserve">pri tomto </w:t>
      </w:r>
      <w:r w:rsidRPr="00ED2053">
        <w:rPr>
          <w:sz w:val="22"/>
          <w:szCs w:val="22"/>
          <w:lang w:val="sk-SK"/>
        </w:rPr>
        <w:t>typ</w:t>
      </w:r>
      <w:r w:rsidR="005D6C47" w:rsidRPr="00ED2053">
        <w:rPr>
          <w:sz w:val="22"/>
          <w:szCs w:val="22"/>
          <w:lang w:val="sk-SK"/>
        </w:rPr>
        <w:t>e</w:t>
      </w:r>
      <w:r w:rsidRPr="00ED2053">
        <w:rPr>
          <w:sz w:val="22"/>
          <w:szCs w:val="22"/>
          <w:lang w:val="sk-SK"/>
        </w:rPr>
        <w:t xml:space="preserve"> záchvatov (napr. primidón, fenobarbital). Len </w:t>
      </w:r>
      <w:r w:rsidR="005D6C47" w:rsidRPr="00ED2053">
        <w:rPr>
          <w:sz w:val="22"/>
          <w:szCs w:val="22"/>
          <w:lang w:val="sk-SK"/>
        </w:rPr>
        <w:t xml:space="preserve">pri </w:t>
      </w:r>
      <w:r w:rsidRPr="00ED2053">
        <w:rPr>
          <w:sz w:val="22"/>
          <w:szCs w:val="22"/>
          <w:lang w:val="sk-SK"/>
        </w:rPr>
        <w:t>epilepsi</w:t>
      </w:r>
      <w:r w:rsidR="005D6C47" w:rsidRPr="00ED2053">
        <w:rPr>
          <w:sz w:val="22"/>
          <w:szCs w:val="22"/>
          <w:lang w:val="sk-SK"/>
        </w:rPr>
        <w:t>ách</w:t>
      </w:r>
      <w:r w:rsidRPr="00ED2053">
        <w:rPr>
          <w:sz w:val="22"/>
          <w:szCs w:val="22"/>
          <w:lang w:val="sk-SK"/>
        </w:rPr>
        <w:t xml:space="preserve"> </w:t>
      </w:r>
      <w:r w:rsidR="009115B1" w:rsidRPr="00ED2053">
        <w:rPr>
          <w:sz w:val="22"/>
          <w:szCs w:val="22"/>
          <w:lang w:val="sk-SK"/>
        </w:rPr>
        <w:t xml:space="preserve">v </w:t>
      </w:r>
      <w:r w:rsidRPr="00ED2053">
        <w:rPr>
          <w:sz w:val="22"/>
          <w:szCs w:val="22"/>
          <w:lang w:val="sk-SK"/>
        </w:rPr>
        <w:t>detsk</w:t>
      </w:r>
      <w:r w:rsidR="009115B1" w:rsidRPr="00ED2053">
        <w:rPr>
          <w:sz w:val="22"/>
          <w:szCs w:val="22"/>
          <w:lang w:val="sk-SK"/>
        </w:rPr>
        <w:t>om</w:t>
      </w:r>
      <w:r w:rsidRPr="00ED2053">
        <w:rPr>
          <w:sz w:val="22"/>
          <w:szCs w:val="22"/>
          <w:lang w:val="sk-SK"/>
        </w:rPr>
        <w:t xml:space="preserve"> veku s  pyknoleptickými absenciami je možné upustiť od dodatočn</w:t>
      </w:r>
      <w:r w:rsidR="002D432D" w:rsidRPr="00ED2053">
        <w:rPr>
          <w:sz w:val="22"/>
          <w:szCs w:val="22"/>
          <w:lang w:val="sk-SK"/>
        </w:rPr>
        <w:t xml:space="preserve">ého cieleného predchádzania </w:t>
      </w:r>
      <w:r w:rsidRPr="00ED2053">
        <w:rPr>
          <w:sz w:val="22"/>
          <w:szCs w:val="22"/>
          <w:lang w:val="sk-SK"/>
        </w:rPr>
        <w:t xml:space="preserve">záchvatov </w:t>
      </w:r>
      <w:r w:rsidR="0090258E" w:rsidRPr="00ED2053">
        <w:rPr>
          <w:sz w:val="22"/>
          <w:szCs w:val="22"/>
          <w:lang w:val="sk-SK"/>
        </w:rPr>
        <w:t xml:space="preserve">typu </w:t>
      </w:r>
      <w:r w:rsidRPr="00ED2053">
        <w:rPr>
          <w:sz w:val="22"/>
          <w:szCs w:val="22"/>
          <w:lang w:val="sk-SK"/>
        </w:rPr>
        <w:t>grand mal</w:t>
      </w:r>
      <w:r w:rsidR="00840F95" w:rsidRPr="00ED2053">
        <w:rPr>
          <w:sz w:val="22"/>
          <w:szCs w:val="22"/>
          <w:lang w:val="sk-SK"/>
        </w:rPr>
        <w:t xml:space="preserve"> </w:t>
      </w:r>
      <w:r w:rsidR="0090258E" w:rsidRPr="00ED2053">
        <w:rPr>
          <w:sz w:val="22"/>
          <w:szCs w:val="22"/>
          <w:lang w:val="sk-SK"/>
        </w:rPr>
        <w:t>(veľký záchvat)</w:t>
      </w:r>
      <w:r w:rsidR="00840F95" w:rsidRPr="00ED2053">
        <w:rPr>
          <w:sz w:val="22"/>
          <w:szCs w:val="22"/>
          <w:lang w:val="sk-SK"/>
        </w:rPr>
        <w:t xml:space="preserve">. </w:t>
      </w:r>
      <w:r w:rsidR="0014540F">
        <w:rPr>
          <w:sz w:val="22"/>
          <w:szCs w:val="22"/>
          <w:lang w:val="sk-SK"/>
        </w:rPr>
        <w:t>(</w:t>
      </w:r>
      <w:r w:rsidR="00840F95" w:rsidRPr="00ED2053">
        <w:rPr>
          <w:sz w:val="22"/>
          <w:szCs w:val="22"/>
          <w:lang w:val="sk-SK"/>
        </w:rPr>
        <w:t xml:space="preserve">Z obavy </w:t>
      </w:r>
      <w:r w:rsidR="007C7C9B" w:rsidRPr="00ED2053">
        <w:rPr>
          <w:sz w:val="22"/>
          <w:szCs w:val="22"/>
          <w:lang w:val="sk-SK"/>
        </w:rPr>
        <w:t>možného</w:t>
      </w:r>
      <w:r w:rsidR="00CF4177" w:rsidRPr="00ED2053">
        <w:rPr>
          <w:sz w:val="22"/>
          <w:szCs w:val="22"/>
          <w:lang w:val="sk-SK"/>
        </w:rPr>
        <w:t xml:space="preserve"> </w:t>
      </w:r>
      <w:r w:rsidR="00840F95" w:rsidRPr="00ED2053">
        <w:rPr>
          <w:sz w:val="22"/>
          <w:szCs w:val="22"/>
          <w:lang w:val="sk-SK"/>
        </w:rPr>
        <w:t xml:space="preserve">vzniku veľkého záchvatu po epileptickom záchvate sa </w:t>
      </w:r>
      <w:r w:rsidR="00314DDA" w:rsidRPr="00ED2053">
        <w:rPr>
          <w:sz w:val="22"/>
          <w:szCs w:val="22"/>
          <w:lang w:val="sk-SK"/>
        </w:rPr>
        <w:t xml:space="preserve"> dáva preventívna liečba</w:t>
      </w:r>
      <w:r w:rsidR="0014540F">
        <w:rPr>
          <w:sz w:val="22"/>
          <w:szCs w:val="22"/>
          <w:lang w:val="sk-SK"/>
        </w:rPr>
        <w:t>.)</w:t>
      </w:r>
    </w:p>
    <w:p w14:paraId="43B72AC4" w14:textId="77777777" w:rsidR="00E70510" w:rsidRPr="00ED2053" w:rsidRDefault="00E70510" w:rsidP="00074C55">
      <w:pPr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myoklonicko-astatický petit mal</w:t>
      </w:r>
      <w:r w:rsidR="0090258E" w:rsidRPr="00ED2053">
        <w:rPr>
          <w:sz w:val="22"/>
          <w:szCs w:val="22"/>
          <w:lang w:val="sk-SK"/>
        </w:rPr>
        <w:t xml:space="preserve"> ( zvláštna forma malého záchvatu)</w:t>
      </w:r>
      <w:r w:rsidRPr="00ED2053">
        <w:rPr>
          <w:sz w:val="22"/>
          <w:szCs w:val="22"/>
          <w:lang w:val="sk-SK"/>
        </w:rPr>
        <w:t>,</w:t>
      </w:r>
    </w:p>
    <w:p w14:paraId="64F06DEE" w14:textId="77777777" w:rsidR="00E70510" w:rsidRPr="00ED2053" w:rsidRDefault="00E70510" w:rsidP="00074C55">
      <w:pPr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myoklonické záchvaty mladistvých (impulzívny petit mal</w:t>
      </w:r>
      <w:r w:rsidR="00F87875" w:rsidRPr="00ED2053">
        <w:rPr>
          <w:sz w:val="22"/>
          <w:szCs w:val="22"/>
          <w:lang w:val="sk-SK"/>
        </w:rPr>
        <w:t xml:space="preserve"> = impulzívny malý záchvat)</w:t>
      </w:r>
      <w:r w:rsidRPr="00ED2053">
        <w:rPr>
          <w:sz w:val="22"/>
          <w:szCs w:val="22"/>
          <w:lang w:val="sk-SK"/>
        </w:rPr>
        <w:t>.</w:t>
      </w:r>
    </w:p>
    <w:p w14:paraId="76B61D4C" w14:textId="77777777" w:rsidR="00F87875" w:rsidRDefault="00F87875" w:rsidP="00074C55">
      <w:pPr>
        <w:rPr>
          <w:sz w:val="22"/>
          <w:szCs w:val="22"/>
          <w:lang w:val="sk-SK"/>
        </w:rPr>
      </w:pPr>
    </w:p>
    <w:p w14:paraId="438EE4A5" w14:textId="77777777" w:rsidR="0014540F" w:rsidRPr="00ED2053" w:rsidRDefault="0014540F" w:rsidP="00E70510">
      <w:pPr>
        <w:rPr>
          <w:sz w:val="22"/>
          <w:szCs w:val="22"/>
          <w:lang w:val="sk-SK"/>
        </w:rPr>
      </w:pPr>
    </w:p>
    <w:p w14:paraId="5BE66754" w14:textId="77777777" w:rsidR="0014540F" w:rsidRPr="0014540F" w:rsidRDefault="0014540F" w:rsidP="0014540F">
      <w:pPr>
        <w:tabs>
          <w:tab w:val="left" w:pos="540"/>
        </w:tabs>
        <w:ind w:right="-29"/>
        <w:rPr>
          <w:b/>
          <w:bCs/>
          <w:sz w:val="22"/>
          <w:szCs w:val="22"/>
          <w:lang w:val="sk-SK"/>
        </w:rPr>
      </w:pPr>
      <w:r w:rsidRPr="0014540F">
        <w:rPr>
          <w:b/>
          <w:bCs/>
          <w:sz w:val="22"/>
          <w:szCs w:val="22"/>
          <w:lang w:val="sk-SK"/>
        </w:rPr>
        <w:t>2.</w:t>
      </w:r>
      <w:r w:rsidRPr="0014540F">
        <w:rPr>
          <w:b/>
          <w:bCs/>
          <w:sz w:val="22"/>
          <w:szCs w:val="22"/>
          <w:lang w:val="sk-SK"/>
        </w:rPr>
        <w:tab/>
        <w:t xml:space="preserve">Čo potrebujete vedieť </w:t>
      </w:r>
      <w:r w:rsidR="00CC3E94">
        <w:rPr>
          <w:b/>
          <w:bCs/>
          <w:sz w:val="22"/>
          <w:szCs w:val="22"/>
          <w:lang w:val="sk-SK"/>
        </w:rPr>
        <w:t>predtým</w:t>
      </w:r>
      <w:r w:rsidRPr="0014540F">
        <w:rPr>
          <w:b/>
          <w:bCs/>
          <w:sz w:val="22"/>
          <w:szCs w:val="22"/>
          <w:lang w:val="sk-SK"/>
        </w:rPr>
        <w:t>, ako užijete Petnidan</w:t>
      </w:r>
    </w:p>
    <w:p w14:paraId="3116F61B" w14:textId="77777777" w:rsidR="0014540F" w:rsidRPr="0014540F" w:rsidRDefault="0014540F" w:rsidP="00E70510">
      <w:pPr>
        <w:rPr>
          <w:bCs/>
          <w:sz w:val="22"/>
          <w:szCs w:val="22"/>
          <w:lang w:val="sk-SK"/>
        </w:rPr>
      </w:pPr>
    </w:p>
    <w:p w14:paraId="58EC358F" w14:textId="77777777" w:rsidR="0014540F" w:rsidRDefault="0014540F" w:rsidP="0014540F">
      <w:pPr>
        <w:numPr>
          <w:ilvl w:val="12"/>
          <w:numId w:val="0"/>
        </w:numPr>
        <w:outlineLvl w:val="0"/>
        <w:rPr>
          <w:bCs/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 xml:space="preserve">Neužívajte </w:t>
      </w:r>
      <w:r>
        <w:rPr>
          <w:b/>
          <w:sz w:val="22"/>
          <w:szCs w:val="22"/>
          <w:lang w:val="sk-SK"/>
        </w:rPr>
        <w:t>Petnidan</w:t>
      </w:r>
    </w:p>
    <w:p w14:paraId="78CFA149" w14:textId="77777777" w:rsidR="0014540F" w:rsidRPr="0014540F" w:rsidRDefault="0014540F" w:rsidP="0014540F">
      <w:pPr>
        <w:numPr>
          <w:ilvl w:val="12"/>
          <w:numId w:val="0"/>
        </w:numPr>
        <w:outlineLvl w:val="0"/>
        <w:rPr>
          <w:bCs/>
          <w:sz w:val="22"/>
          <w:szCs w:val="22"/>
          <w:lang w:val="sk-SK"/>
        </w:rPr>
      </w:pPr>
    </w:p>
    <w:p w14:paraId="506B74C4" w14:textId="77777777" w:rsidR="0014540F" w:rsidRPr="000D27F8" w:rsidRDefault="0014540F" w:rsidP="0014540F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 xml:space="preserve">ak ste alergický na </w:t>
      </w:r>
      <w:r w:rsidRPr="00ED2053">
        <w:rPr>
          <w:sz w:val="22"/>
          <w:szCs w:val="22"/>
          <w:lang w:val="sk-SK"/>
        </w:rPr>
        <w:t>etosuximid</w:t>
      </w:r>
      <w:r>
        <w:rPr>
          <w:sz w:val="22"/>
          <w:szCs w:val="22"/>
          <w:lang w:val="sk-SK"/>
        </w:rPr>
        <w:t xml:space="preserve">, iné sukcinimidy </w:t>
      </w:r>
      <w:r w:rsidRPr="000D27F8">
        <w:rPr>
          <w:sz w:val="22"/>
          <w:szCs w:val="22"/>
          <w:lang w:val="sk-SK"/>
        </w:rPr>
        <w:t>alebo na ktorúkoľvek z ďalších zložiek tohto lieku (uvedených v časti 6).</w:t>
      </w:r>
    </w:p>
    <w:p w14:paraId="456B57CC" w14:textId="77777777" w:rsidR="0014540F" w:rsidRDefault="0014540F" w:rsidP="00E70510">
      <w:pPr>
        <w:rPr>
          <w:bCs/>
          <w:sz w:val="22"/>
          <w:szCs w:val="22"/>
          <w:lang w:val="sk-SK"/>
        </w:rPr>
      </w:pPr>
    </w:p>
    <w:p w14:paraId="421409B9" w14:textId="77777777" w:rsidR="00096DB3" w:rsidRPr="000D27F8" w:rsidRDefault="00096DB3" w:rsidP="00096DB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lastRenderedPageBreak/>
        <w:t>Upozornenia a opatrenia</w:t>
      </w:r>
    </w:p>
    <w:p w14:paraId="15C5C52B" w14:textId="77777777" w:rsidR="008221AE" w:rsidRPr="008221AE" w:rsidRDefault="008221AE" w:rsidP="008221AE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8221AE">
        <w:rPr>
          <w:noProof/>
          <w:sz w:val="22"/>
          <w:szCs w:val="22"/>
          <w:lang w:val="sk-SK"/>
        </w:rPr>
        <w:t xml:space="preserve">Predtým, ako začnete užívať </w:t>
      </w:r>
      <w:r w:rsidRPr="008221AE">
        <w:rPr>
          <w:sz w:val="22"/>
          <w:szCs w:val="22"/>
          <w:lang w:val="sk-SK"/>
        </w:rPr>
        <w:t>Petnidan</w:t>
      </w:r>
      <w:r w:rsidRPr="008221AE">
        <w:rPr>
          <w:noProof/>
          <w:sz w:val="22"/>
          <w:szCs w:val="22"/>
          <w:lang w:val="sk-SK"/>
        </w:rPr>
        <w:t>, obráťte sa na svojho lekára, lekárnika alebo zdravotnú sestru.</w:t>
      </w:r>
    </w:p>
    <w:p w14:paraId="5F29B69F" w14:textId="77777777" w:rsidR="0014540F" w:rsidRDefault="0014540F" w:rsidP="00E70510">
      <w:pPr>
        <w:rPr>
          <w:bCs/>
          <w:sz w:val="22"/>
          <w:szCs w:val="22"/>
          <w:lang w:val="sk-SK"/>
        </w:rPr>
      </w:pPr>
    </w:p>
    <w:p w14:paraId="5E4FCDD9" w14:textId="77777777" w:rsidR="00096DB3" w:rsidRPr="00763427" w:rsidRDefault="00096DB3" w:rsidP="00096DB3">
      <w:pPr>
        <w:numPr>
          <w:ilvl w:val="0"/>
          <w:numId w:val="10"/>
        </w:numPr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ak máte alebo ste mali psychiatrické ochorenie, pretože v takom prípade ste vystavený zvýšenému riziku psychických nežiaducich účinkov (paranoid</w:t>
      </w:r>
      <w:r>
        <w:rPr>
          <w:sz w:val="22"/>
          <w:szCs w:val="22"/>
          <w:lang w:val="sk-SK"/>
        </w:rPr>
        <w:t>no-</w:t>
      </w:r>
      <w:r w:rsidRPr="00763427">
        <w:rPr>
          <w:sz w:val="22"/>
          <w:szCs w:val="22"/>
          <w:lang w:val="sk-SK"/>
        </w:rPr>
        <w:t>halucinatórne príznaky, úzkostné stavy, nepokoj, ktorý môže byť spojený so stavmi charakterizovanými ako neúčelná agresivita)</w:t>
      </w:r>
      <w:r>
        <w:rPr>
          <w:sz w:val="22"/>
          <w:szCs w:val="22"/>
          <w:lang w:val="sk-SK"/>
        </w:rPr>
        <w:t xml:space="preserve"> </w:t>
      </w:r>
      <w:r w:rsidRPr="00096DB3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t>p</w:t>
      </w:r>
      <w:r w:rsidRPr="00096DB3">
        <w:rPr>
          <w:sz w:val="22"/>
          <w:szCs w:val="22"/>
          <w:lang w:val="sk-SK"/>
        </w:rPr>
        <w:t>ozri časť 4 "Možné vedľajšie účinky")</w:t>
      </w:r>
    </w:p>
    <w:p w14:paraId="3698E0BD" w14:textId="77777777" w:rsidR="00096DB3" w:rsidRPr="00763427" w:rsidRDefault="00096DB3" w:rsidP="00096DB3">
      <w:pPr>
        <w:rPr>
          <w:snapToGrid w:val="0"/>
          <w:sz w:val="22"/>
          <w:szCs w:val="22"/>
          <w:lang w:val="sk-SK"/>
        </w:rPr>
      </w:pPr>
    </w:p>
    <w:p w14:paraId="21F28383" w14:textId="77777777" w:rsidR="00096DB3" w:rsidRPr="00763427" w:rsidRDefault="00096DB3" w:rsidP="00096DB3">
      <w:pPr>
        <w:rPr>
          <w:snapToGrid w:val="0"/>
          <w:sz w:val="22"/>
          <w:szCs w:val="22"/>
          <w:lang w:val="sk-SK"/>
        </w:rPr>
      </w:pPr>
      <w:r w:rsidRPr="00763427">
        <w:rPr>
          <w:snapToGrid w:val="0"/>
          <w:sz w:val="22"/>
          <w:szCs w:val="22"/>
          <w:lang w:val="sk-SK"/>
        </w:rPr>
        <w:t>Petnidan môže tiež spôsobovať</w:t>
      </w:r>
      <w:r>
        <w:rPr>
          <w:snapToGrid w:val="0"/>
          <w:sz w:val="22"/>
          <w:szCs w:val="22"/>
          <w:lang w:val="sk-SK"/>
        </w:rPr>
        <w:t xml:space="preserve"> </w:t>
      </w:r>
      <w:r w:rsidRPr="00096DB3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t>p</w:t>
      </w:r>
      <w:r w:rsidRPr="00096DB3">
        <w:rPr>
          <w:sz w:val="22"/>
          <w:szCs w:val="22"/>
          <w:lang w:val="sk-SK"/>
        </w:rPr>
        <w:t>ozri časť 4 "Možné vedľajšie účinky")</w:t>
      </w:r>
    </w:p>
    <w:p w14:paraId="6FABEBB0" w14:textId="77777777" w:rsidR="00096DB3" w:rsidRPr="00763427" w:rsidRDefault="00096DB3" w:rsidP="00D23E8A">
      <w:pPr>
        <w:numPr>
          <w:ilvl w:val="0"/>
          <w:numId w:val="10"/>
        </w:num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nekontrolované pohyby (dyskinéza)</w:t>
      </w:r>
      <w:r>
        <w:rPr>
          <w:sz w:val="22"/>
          <w:szCs w:val="22"/>
          <w:lang w:val="sk-SK"/>
        </w:rPr>
        <w:t xml:space="preserve">. </w:t>
      </w:r>
      <w:r w:rsidRPr="00ED2053">
        <w:rPr>
          <w:sz w:val="22"/>
          <w:szCs w:val="22"/>
          <w:lang w:val="sk-SK"/>
        </w:rPr>
        <w:t xml:space="preserve">Pri výskyte </w:t>
      </w:r>
      <w:r>
        <w:rPr>
          <w:sz w:val="22"/>
          <w:szCs w:val="22"/>
          <w:lang w:val="sk-SK"/>
        </w:rPr>
        <w:t xml:space="preserve">týchto </w:t>
      </w:r>
      <w:r w:rsidRPr="00ED2053">
        <w:rPr>
          <w:sz w:val="22"/>
          <w:szCs w:val="22"/>
          <w:lang w:val="sk-SK"/>
        </w:rPr>
        <w:t>pohybov je nevyhnutné vysadenie etosuximidu; prípadne je okrem toho možné intravenózne (vnútrožilové) podanie difenhydramínu.</w:t>
      </w:r>
    </w:p>
    <w:p w14:paraId="317DBA7F" w14:textId="77777777" w:rsidR="00096DB3" w:rsidRDefault="00096DB3" w:rsidP="00627A69">
      <w:pPr>
        <w:numPr>
          <w:ilvl w:val="0"/>
          <w:numId w:val="10"/>
        </w:num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príznaky ako horúčka, bolesti hrdla alebo krvácanie (indikujúce možné poškodenie kostnej drene). Na zachytenie možného poškodenia kostnej drene sa odporúčajú pravidelné kontroly krvného obrazu najmä v počiatočnej fáze, ako aj počas dlhodobej liečby (zo začiatku jedenkrát mesačne, po 1 roku liečby každých 6 mesiacov).</w:t>
      </w:r>
      <w:r w:rsidR="00D23E8A">
        <w:rPr>
          <w:sz w:val="22"/>
          <w:szCs w:val="22"/>
          <w:lang w:val="sk-SK"/>
        </w:rPr>
        <w:t xml:space="preserve"> </w:t>
      </w:r>
      <w:r w:rsidR="00D23E8A" w:rsidRPr="00ED2053">
        <w:rPr>
          <w:sz w:val="22"/>
          <w:szCs w:val="22"/>
          <w:lang w:val="sk-SK"/>
        </w:rPr>
        <w:t>Pri poklese celkového počtu bielych krviniek pod 3500/mm</w:t>
      </w:r>
      <w:r w:rsidR="00D23E8A" w:rsidRPr="00D23E8A">
        <w:rPr>
          <w:rFonts w:ascii="(Asiatische Schriftart verwende" w:hAnsi="(Asiatische Schriftart verwende"/>
          <w:sz w:val="22"/>
          <w:szCs w:val="22"/>
          <w:vertAlign w:val="superscript"/>
          <w:lang w:val="sk-SK"/>
        </w:rPr>
        <w:t>3</w:t>
      </w:r>
      <w:r w:rsidR="00D23E8A" w:rsidRPr="00ED2053">
        <w:rPr>
          <w:position w:val="6"/>
          <w:sz w:val="22"/>
          <w:szCs w:val="22"/>
          <w:lang w:val="sk-SK"/>
        </w:rPr>
        <w:t xml:space="preserve"> </w:t>
      </w:r>
      <w:r w:rsidR="00D23E8A" w:rsidRPr="00ED2053">
        <w:rPr>
          <w:sz w:val="22"/>
          <w:szCs w:val="22"/>
          <w:lang w:val="sk-SK"/>
        </w:rPr>
        <w:t>alebo pri podiele granulocytov (biele krvinky so zrniečkami) menšom ako 25%, sa odporúča zníženie dávky alebo vysadenie liečby.</w:t>
      </w:r>
    </w:p>
    <w:p w14:paraId="3F6861D8" w14:textId="77777777" w:rsidR="00256119" w:rsidRPr="00763427" w:rsidRDefault="00256119" w:rsidP="00256119">
      <w:pPr>
        <w:numPr>
          <w:ilvl w:val="0"/>
          <w:numId w:val="10"/>
        </w:num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 xml:space="preserve">U pacientov predovšetkým s psychiatrickým ochorením v anamnéze (v predchorobí), sa môžu vyskytnúť psychické </w:t>
      </w:r>
      <w:r w:rsidR="008221AE">
        <w:rPr>
          <w:sz w:val="22"/>
          <w:szCs w:val="22"/>
          <w:lang w:val="sk-SK"/>
        </w:rPr>
        <w:t>vedľajšie</w:t>
      </w:r>
      <w:r w:rsidRPr="00ED2053">
        <w:rPr>
          <w:sz w:val="22"/>
          <w:szCs w:val="22"/>
          <w:lang w:val="sk-SK"/>
        </w:rPr>
        <w:t xml:space="preserve"> účinky (paranoidno-halucinatórne príznaky, stavy zvýšeného napätia a strachu, ktoré môžu byť v spojení so stavmi, charakterizovanými ako neúčelná agresivita). </w:t>
      </w:r>
      <w:r w:rsidR="008221AE">
        <w:rPr>
          <w:sz w:val="22"/>
          <w:szCs w:val="22"/>
          <w:lang w:val="sk-SK"/>
        </w:rPr>
        <w:t xml:space="preserve">V </w:t>
      </w:r>
      <w:r w:rsidRPr="00ED2053">
        <w:rPr>
          <w:sz w:val="22"/>
          <w:szCs w:val="22"/>
          <w:lang w:val="sk-SK"/>
        </w:rPr>
        <w:t>tejto skupin</w:t>
      </w:r>
      <w:r w:rsidR="008221AE">
        <w:rPr>
          <w:sz w:val="22"/>
          <w:szCs w:val="22"/>
          <w:lang w:val="sk-SK"/>
        </w:rPr>
        <w:t>e</w:t>
      </w:r>
      <w:r w:rsidRPr="00ED2053">
        <w:rPr>
          <w:sz w:val="22"/>
          <w:szCs w:val="22"/>
          <w:lang w:val="sk-SK"/>
        </w:rPr>
        <w:t xml:space="preserve"> pacientov je potrebná pri nasadzovaní etosuximidu mimoriadna opatrnosť.</w:t>
      </w:r>
    </w:p>
    <w:p w14:paraId="227E6ECB" w14:textId="77777777" w:rsidR="00096DB3" w:rsidRPr="00763427" w:rsidRDefault="00096DB3" w:rsidP="00627A69">
      <w:pPr>
        <w:numPr>
          <w:ilvl w:val="0"/>
          <w:numId w:val="10"/>
        </w:num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 xml:space="preserve">ďalšie </w:t>
      </w:r>
      <w:r w:rsidR="008221AE">
        <w:rPr>
          <w:sz w:val="22"/>
          <w:szCs w:val="22"/>
          <w:lang w:val="sk-SK"/>
        </w:rPr>
        <w:t>vedľajšie</w:t>
      </w:r>
      <w:r w:rsidRPr="00763427">
        <w:rPr>
          <w:sz w:val="22"/>
          <w:szCs w:val="22"/>
          <w:lang w:val="sk-SK"/>
        </w:rPr>
        <w:t xml:space="preserve"> účinky nezávislé od dávky, napríklad alergické kožné reakcie alebo lupus erythematodes (systémové choroby spojiva). </w:t>
      </w:r>
      <w:r w:rsidR="00570E3B" w:rsidRPr="00ED2053">
        <w:rPr>
          <w:sz w:val="22"/>
          <w:szCs w:val="22"/>
          <w:lang w:val="sk-SK"/>
        </w:rPr>
        <w:t>Pri výskyte nežiaducich, od dávky nezávislých, účinkov sa odporúča vysadenie lieku Petnidan</w:t>
      </w:r>
      <w:r w:rsidR="00570E3B">
        <w:rPr>
          <w:sz w:val="22"/>
          <w:szCs w:val="22"/>
          <w:lang w:val="sk-SK"/>
        </w:rPr>
        <w:t xml:space="preserve">. </w:t>
      </w:r>
      <w:r w:rsidR="00570E3B" w:rsidRPr="00ED2053">
        <w:rPr>
          <w:sz w:val="22"/>
          <w:szCs w:val="22"/>
          <w:lang w:val="sk-SK"/>
        </w:rPr>
        <w:t>Pri opakovanom nasadení lieku je potrebné počítať s ich opätovným výskytom.</w:t>
      </w:r>
    </w:p>
    <w:p w14:paraId="676D149F" w14:textId="77777777" w:rsidR="00096DB3" w:rsidRPr="00763427" w:rsidRDefault="00096DB3" w:rsidP="00096DB3">
      <w:pPr>
        <w:rPr>
          <w:snapToGrid w:val="0"/>
          <w:sz w:val="22"/>
          <w:szCs w:val="22"/>
          <w:lang w:val="sk-SK"/>
        </w:rPr>
      </w:pPr>
    </w:p>
    <w:p w14:paraId="5EBCFE69" w14:textId="77777777" w:rsidR="00096DB3" w:rsidRPr="00763427" w:rsidRDefault="00096DB3" w:rsidP="00B128E6">
      <w:p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 xml:space="preserve">Ak sa na </w:t>
      </w:r>
      <w:r w:rsidR="00B128E6">
        <w:rPr>
          <w:sz w:val="22"/>
          <w:szCs w:val="22"/>
          <w:lang w:val="sk-SK"/>
        </w:rPr>
        <w:t>v</w:t>
      </w:r>
      <w:r w:rsidRPr="00763427">
        <w:rPr>
          <w:sz w:val="22"/>
          <w:szCs w:val="22"/>
          <w:lang w:val="sk-SK"/>
        </w:rPr>
        <w:t>ás vzťahuje ktorékoľvek z vyššie uvedeného, porozprávajte sa so svojím lekárom alebo lekárnikom.</w:t>
      </w:r>
    </w:p>
    <w:p w14:paraId="1378FC81" w14:textId="77777777" w:rsidR="00096DB3" w:rsidRPr="00763427" w:rsidRDefault="00096DB3" w:rsidP="00096DB3">
      <w:pPr>
        <w:rPr>
          <w:sz w:val="22"/>
          <w:szCs w:val="22"/>
          <w:lang w:val="sk-SK"/>
        </w:rPr>
      </w:pPr>
    </w:p>
    <w:p w14:paraId="237BAC18" w14:textId="77777777" w:rsidR="0014540F" w:rsidRDefault="00DB6C22" w:rsidP="00DB6C22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 xml:space="preserve">Pravdepodobnosť výskytu </w:t>
      </w:r>
      <w:r w:rsidR="008221AE">
        <w:rPr>
          <w:sz w:val="22"/>
          <w:szCs w:val="22"/>
          <w:lang w:val="sk-SK"/>
        </w:rPr>
        <w:t>vedľajších</w:t>
      </w:r>
      <w:r w:rsidRPr="00ED2053">
        <w:rPr>
          <w:sz w:val="22"/>
          <w:szCs w:val="22"/>
          <w:lang w:val="sk-SK"/>
        </w:rPr>
        <w:t xml:space="preserve"> účinkov závislých od dávky sa dá znížiť opatrným dávkovaním (liečbu začať nízkymi dávkami, dávkovanie zvyšovať pomaly) a užívaním lieku počas jedla alebo po jedle.</w:t>
      </w:r>
    </w:p>
    <w:p w14:paraId="5A85D648" w14:textId="77777777" w:rsidR="00DB6C22" w:rsidRDefault="00DB6C22" w:rsidP="00DB6C22">
      <w:pPr>
        <w:rPr>
          <w:sz w:val="22"/>
          <w:szCs w:val="22"/>
          <w:lang w:val="sk-SK"/>
        </w:rPr>
      </w:pPr>
    </w:p>
    <w:p w14:paraId="5B7A5F85" w14:textId="77777777" w:rsidR="00DB6C22" w:rsidRDefault="00DB6C22" w:rsidP="00DB6C22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Prechod z iného antiepileptika na Petnidan</w:t>
      </w:r>
      <w:r w:rsidRPr="00ED2053">
        <w:rPr>
          <w:position w:val="6"/>
          <w:sz w:val="22"/>
          <w:szCs w:val="22"/>
          <w:lang w:val="sk-SK"/>
        </w:rPr>
        <w:t xml:space="preserve"> </w:t>
      </w:r>
      <w:r w:rsidRPr="00ED2053">
        <w:rPr>
          <w:sz w:val="22"/>
          <w:szCs w:val="22"/>
          <w:lang w:val="sk-SK"/>
        </w:rPr>
        <w:t xml:space="preserve">má byť postupný, podobne postupné má byť aj ukončenie liečby </w:t>
      </w:r>
      <w:r>
        <w:rPr>
          <w:sz w:val="22"/>
          <w:szCs w:val="22"/>
          <w:lang w:val="sk-SK"/>
        </w:rPr>
        <w:t xml:space="preserve">liekom </w:t>
      </w:r>
      <w:r w:rsidRPr="00ED2053">
        <w:rPr>
          <w:sz w:val="22"/>
          <w:szCs w:val="22"/>
          <w:lang w:val="sk-SK"/>
        </w:rPr>
        <w:t>Petnidan</w:t>
      </w:r>
      <w:r>
        <w:rPr>
          <w:sz w:val="22"/>
          <w:szCs w:val="22"/>
          <w:lang w:val="sk-SK"/>
        </w:rPr>
        <w:t>.</w:t>
      </w:r>
    </w:p>
    <w:p w14:paraId="00AF6995" w14:textId="77777777" w:rsidR="009F35EA" w:rsidRDefault="009F35EA" w:rsidP="00DB6C22">
      <w:pPr>
        <w:rPr>
          <w:sz w:val="22"/>
          <w:szCs w:val="22"/>
          <w:lang w:val="sk-SK"/>
        </w:rPr>
      </w:pPr>
    </w:p>
    <w:p w14:paraId="64721AB2" w14:textId="77777777" w:rsidR="009F35EA" w:rsidRDefault="009F35EA" w:rsidP="00DB6C22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U malého počtu pacientov liečených antiepileptikami akým je etosuximid sa vyskytli myšlienky na samopoškodenie alebo samovraždu. Ak sa kedykoľvek u vás vyskytnú takéto myšlienky, okamžite kontaktujte svojho lekára.</w:t>
      </w:r>
    </w:p>
    <w:p w14:paraId="087706E5" w14:textId="77777777" w:rsidR="00DB6C22" w:rsidRDefault="00DB6C22" w:rsidP="00E70510">
      <w:pPr>
        <w:rPr>
          <w:bCs/>
          <w:sz w:val="22"/>
          <w:szCs w:val="22"/>
          <w:lang w:val="sk-SK"/>
        </w:rPr>
      </w:pPr>
    </w:p>
    <w:p w14:paraId="5950312B" w14:textId="77777777" w:rsidR="003E10BF" w:rsidRPr="000D27F8" w:rsidRDefault="003E10BF" w:rsidP="003E10B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 xml:space="preserve">Iné lieky a </w:t>
      </w:r>
      <w:r>
        <w:rPr>
          <w:b/>
          <w:sz w:val="22"/>
          <w:szCs w:val="22"/>
          <w:lang w:val="sk-SK"/>
        </w:rPr>
        <w:t>Petnidan</w:t>
      </w:r>
    </w:p>
    <w:p w14:paraId="747B1E60" w14:textId="77777777" w:rsidR="003E10BF" w:rsidRPr="000D27F8" w:rsidRDefault="003E10BF" w:rsidP="003E10B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 xml:space="preserve">Ak </w:t>
      </w:r>
      <w:r w:rsidR="008221AE">
        <w:rPr>
          <w:sz w:val="22"/>
          <w:szCs w:val="22"/>
          <w:lang w:val="sk-SK"/>
        </w:rPr>
        <w:t xml:space="preserve">teraz </w:t>
      </w:r>
      <w:r w:rsidRPr="000D27F8">
        <w:rPr>
          <w:sz w:val="22"/>
          <w:szCs w:val="22"/>
          <w:lang w:val="sk-SK"/>
        </w:rPr>
        <w:t xml:space="preserve">užívate, alebo ste v poslednom čase užívali, </w:t>
      </w:r>
      <w:r w:rsidR="008221AE" w:rsidRPr="008221AE">
        <w:rPr>
          <w:noProof/>
          <w:sz w:val="22"/>
          <w:szCs w:val="22"/>
          <w:lang w:val="sk-SK"/>
        </w:rPr>
        <w:t>či práve</w:t>
      </w:r>
      <w:r w:rsidRPr="000D27F8">
        <w:rPr>
          <w:sz w:val="22"/>
          <w:szCs w:val="22"/>
          <w:lang w:val="sk-SK"/>
        </w:rPr>
        <w:t xml:space="preserve"> budete užívať</w:t>
      </w:r>
      <w:r w:rsidRPr="000D27F8">
        <w:rPr>
          <w:b/>
          <w:i/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ďalšie lieky, povedzte to svojmu lekárovi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alebo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lekárnikovi.</w:t>
      </w:r>
    </w:p>
    <w:p w14:paraId="32494E53" w14:textId="77777777" w:rsidR="00096DB3" w:rsidRDefault="00096DB3" w:rsidP="00334D81">
      <w:pPr>
        <w:rPr>
          <w:bCs/>
          <w:sz w:val="22"/>
          <w:szCs w:val="22"/>
          <w:lang w:val="sk-SK"/>
        </w:rPr>
      </w:pPr>
    </w:p>
    <w:p w14:paraId="414E8CF6" w14:textId="77777777" w:rsidR="00E70510" w:rsidRPr="00ED2053" w:rsidRDefault="00E70510" w:rsidP="00334D8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 w:eastAsia="sk-SK"/>
        </w:rPr>
        <w:t>Účinky lieku sa môžu navzájom ovplyvňovať s účinkami iných súbežne užívaných liekov.</w:t>
      </w:r>
    </w:p>
    <w:p w14:paraId="7D8285CA" w14:textId="77777777" w:rsidR="00E70510" w:rsidRPr="00ED2053" w:rsidRDefault="00E70510" w:rsidP="00334D81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Je nevyhnutné vyhýbať sa súčasnému užívaniu etosuximidu</w:t>
      </w:r>
      <w:r w:rsidR="002622B3" w:rsidRPr="00ED2053">
        <w:rPr>
          <w:sz w:val="22"/>
          <w:szCs w:val="22"/>
          <w:lang w:val="sk-SK"/>
        </w:rPr>
        <w:t xml:space="preserve"> </w:t>
      </w:r>
      <w:r w:rsidR="00A213A5" w:rsidRPr="00ED2053">
        <w:rPr>
          <w:sz w:val="22"/>
          <w:szCs w:val="22"/>
          <w:lang w:val="sk-SK"/>
        </w:rPr>
        <w:t>(účinná látka lieku)</w:t>
      </w:r>
      <w:r w:rsidRPr="00ED2053">
        <w:rPr>
          <w:sz w:val="22"/>
          <w:szCs w:val="22"/>
          <w:lang w:val="sk-SK"/>
        </w:rPr>
        <w:t xml:space="preserve"> a liekov pôsobiacich na centrálny nervový systém,</w:t>
      </w:r>
      <w:r w:rsidR="002D432D" w:rsidRPr="00ED2053">
        <w:rPr>
          <w:sz w:val="22"/>
          <w:szCs w:val="22"/>
          <w:lang w:val="sk-SK"/>
        </w:rPr>
        <w:t xml:space="preserve"> </w:t>
      </w:r>
      <w:r w:rsidRPr="00ED2053">
        <w:rPr>
          <w:sz w:val="22"/>
          <w:szCs w:val="22"/>
          <w:lang w:val="sk-SK"/>
        </w:rPr>
        <w:t xml:space="preserve">alkoholu alebo  </w:t>
      </w:r>
      <w:r w:rsidR="00A213A5" w:rsidRPr="00ED2053">
        <w:rPr>
          <w:sz w:val="22"/>
          <w:szCs w:val="22"/>
          <w:lang w:val="sk-SK"/>
        </w:rPr>
        <w:t xml:space="preserve">liekov a </w:t>
      </w:r>
      <w:r w:rsidR="008221AE" w:rsidRPr="00ED2053">
        <w:rPr>
          <w:sz w:val="22"/>
          <w:szCs w:val="22"/>
          <w:lang w:val="sk-SK"/>
        </w:rPr>
        <w:t>liečiv</w:t>
      </w:r>
      <w:r w:rsidRPr="00ED2053">
        <w:rPr>
          <w:sz w:val="22"/>
          <w:szCs w:val="22"/>
          <w:lang w:val="sk-SK"/>
        </w:rPr>
        <w:t xml:space="preserve">, ktoré môžu vyvolať kŕče. </w:t>
      </w:r>
    </w:p>
    <w:p w14:paraId="1353A114" w14:textId="77777777" w:rsidR="00E70510" w:rsidRPr="00ED2053" w:rsidRDefault="00E70510" w:rsidP="00334D81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 xml:space="preserve">Etosuximid spravidla mení </w:t>
      </w:r>
      <w:r w:rsidR="002D432D" w:rsidRPr="00ED2053">
        <w:rPr>
          <w:sz w:val="22"/>
          <w:szCs w:val="22"/>
          <w:lang w:val="sk-SK"/>
        </w:rPr>
        <w:t xml:space="preserve">koncentráciu v krvi </w:t>
      </w:r>
      <w:r w:rsidRPr="00ED2053">
        <w:rPr>
          <w:sz w:val="22"/>
          <w:szCs w:val="22"/>
          <w:lang w:val="sk-SK"/>
        </w:rPr>
        <w:t>iných  antiepileptík ako primidónu, fenobarbitalu a fenytoínu.  Ojedinele sa však opisovalo aj zvýšenie</w:t>
      </w:r>
      <w:r w:rsidR="002D432D" w:rsidRPr="00ED2053">
        <w:rPr>
          <w:sz w:val="22"/>
          <w:szCs w:val="22"/>
          <w:lang w:val="sk-SK"/>
        </w:rPr>
        <w:t xml:space="preserve"> koncentrácie </w:t>
      </w:r>
      <w:r w:rsidR="002559F6" w:rsidRPr="00ED2053">
        <w:rPr>
          <w:sz w:val="22"/>
          <w:szCs w:val="22"/>
          <w:lang w:val="sk-SK"/>
        </w:rPr>
        <w:t xml:space="preserve">fenytoínu </w:t>
      </w:r>
      <w:r w:rsidR="002D432D" w:rsidRPr="00ED2053">
        <w:rPr>
          <w:sz w:val="22"/>
          <w:szCs w:val="22"/>
          <w:lang w:val="sk-SK"/>
        </w:rPr>
        <w:t>v krvi</w:t>
      </w:r>
      <w:r w:rsidRPr="00ED2053">
        <w:rPr>
          <w:sz w:val="22"/>
          <w:szCs w:val="22"/>
          <w:lang w:val="sk-SK"/>
        </w:rPr>
        <w:t xml:space="preserve"> pri súčasnom podávaní etosuximidu.</w:t>
      </w:r>
      <w:r w:rsidR="00ED4059" w:rsidRPr="00ED2053">
        <w:rPr>
          <w:sz w:val="22"/>
          <w:szCs w:val="22"/>
          <w:lang w:val="sk-SK"/>
        </w:rPr>
        <w:t xml:space="preserve"> </w:t>
      </w:r>
      <w:r w:rsidRPr="00ED2053">
        <w:rPr>
          <w:sz w:val="22"/>
          <w:szCs w:val="22"/>
          <w:lang w:val="sk-SK"/>
        </w:rPr>
        <w:t>Pri súčasnom podávaní karb</w:t>
      </w:r>
      <w:r w:rsidR="00AC36D6" w:rsidRPr="00ED2053">
        <w:rPr>
          <w:sz w:val="22"/>
          <w:szCs w:val="22"/>
          <w:lang w:val="sk-SK"/>
        </w:rPr>
        <w:t>amazepínu sa zv</w:t>
      </w:r>
      <w:r w:rsidR="002D432D" w:rsidRPr="00ED2053">
        <w:rPr>
          <w:sz w:val="22"/>
          <w:szCs w:val="22"/>
          <w:lang w:val="sk-SK"/>
        </w:rPr>
        <w:t>ý</w:t>
      </w:r>
      <w:r w:rsidR="00AC36D6" w:rsidRPr="00ED2053">
        <w:rPr>
          <w:sz w:val="22"/>
          <w:szCs w:val="22"/>
          <w:lang w:val="sk-SK"/>
        </w:rPr>
        <w:t>š</w:t>
      </w:r>
      <w:r w:rsidR="002D432D" w:rsidRPr="00ED2053">
        <w:rPr>
          <w:sz w:val="22"/>
          <w:szCs w:val="22"/>
          <w:lang w:val="sk-SK"/>
        </w:rPr>
        <w:t>i vylučovanie</w:t>
      </w:r>
      <w:r w:rsidRPr="00ED2053">
        <w:rPr>
          <w:sz w:val="22"/>
          <w:szCs w:val="22"/>
          <w:lang w:val="sk-SK"/>
        </w:rPr>
        <w:t xml:space="preserve"> </w:t>
      </w:r>
      <w:r w:rsidR="00D411E4" w:rsidRPr="00ED2053">
        <w:rPr>
          <w:sz w:val="22"/>
          <w:szCs w:val="22"/>
          <w:lang w:val="sk-SK"/>
        </w:rPr>
        <w:t xml:space="preserve">etosuximidu. </w:t>
      </w:r>
      <w:r w:rsidRPr="00ED2053">
        <w:rPr>
          <w:sz w:val="22"/>
          <w:szCs w:val="22"/>
          <w:lang w:val="sk-SK"/>
        </w:rPr>
        <w:t>Kyselina valproová môže tiež u väčšiny  pacientov zvýšiť</w:t>
      </w:r>
      <w:r w:rsidR="00D411E4" w:rsidRPr="00ED2053">
        <w:rPr>
          <w:sz w:val="22"/>
          <w:szCs w:val="22"/>
          <w:lang w:val="sk-SK"/>
        </w:rPr>
        <w:t xml:space="preserve"> koncentráciu v krvi</w:t>
      </w:r>
      <w:r w:rsidRPr="00ED2053">
        <w:rPr>
          <w:sz w:val="22"/>
          <w:szCs w:val="22"/>
          <w:lang w:val="sk-SK"/>
        </w:rPr>
        <w:t xml:space="preserve"> etosuximidu.</w:t>
      </w:r>
      <w:r w:rsidR="006F2928" w:rsidRPr="00ED2053">
        <w:rPr>
          <w:sz w:val="22"/>
          <w:szCs w:val="22"/>
          <w:lang w:val="sk-SK"/>
        </w:rPr>
        <w:t xml:space="preserve"> </w:t>
      </w:r>
    </w:p>
    <w:p w14:paraId="0A573823" w14:textId="77777777" w:rsidR="00E70510" w:rsidRDefault="00E70510" w:rsidP="00334D81">
      <w:pPr>
        <w:rPr>
          <w:sz w:val="22"/>
          <w:szCs w:val="22"/>
          <w:lang w:val="sk-SK"/>
        </w:rPr>
      </w:pPr>
    </w:p>
    <w:p w14:paraId="4F114F36" w14:textId="77777777" w:rsidR="005F0C69" w:rsidRDefault="005F0C69" w:rsidP="00334D81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Petnidan </w:t>
      </w:r>
      <w:r w:rsidRPr="000D27F8">
        <w:rPr>
          <w:b/>
          <w:sz w:val="22"/>
          <w:szCs w:val="22"/>
          <w:lang w:val="sk-SK"/>
        </w:rPr>
        <w:t>a alkohol</w:t>
      </w:r>
    </w:p>
    <w:p w14:paraId="6618A2CE" w14:textId="77777777" w:rsidR="005F0C69" w:rsidRDefault="005F0C69" w:rsidP="00334D81">
      <w:pPr>
        <w:rPr>
          <w:sz w:val="22"/>
          <w:szCs w:val="22"/>
          <w:lang w:val="sk-SK"/>
        </w:rPr>
      </w:pPr>
    </w:p>
    <w:p w14:paraId="5A2AB105" w14:textId="77777777" w:rsidR="005F0C69" w:rsidRPr="00B955B1" w:rsidRDefault="00B955B1" w:rsidP="00334D81">
      <w:pPr>
        <w:rPr>
          <w:i/>
          <w:iCs/>
          <w:sz w:val="22"/>
          <w:szCs w:val="22"/>
          <w:lang w:val="sk-SK"/>
        </w:rPr>
      </w:pPr>
      <w:r w:rsidRPr="00B955B1">
        <w:rPr>
          <w:rStyle w:val="st"/>
          <w:sz w:val="22"/>
          <w:szCs w:val="22"/>
          <w:lang w:val="sk-SK"/>
        </w:rPr>
        <w:t xml:space="preserve">Má </w:t>
      </w:r>
      <w:r w:rsidRPr="00B955B1">
        <w:rPr>
          <w:rStyle w:val="Zvraznenie"/>
          <w:i w:val="0"/>
          <w:iCs w:val="0"/>
          <w:sz w:val="22"/>
          <w:szCs w:val="22"/>
          <w:lang w:val="sk-SK"/>
        </w:rPr>
        <w:t>sa vyhnúť súčasnému užívaniu alkoholu</w:t>
      </w:r>
      <w:r w:rsidRPr="00B955B1">
        <w:rPr>
          <w:i/>
          <w:iCs/>
          <w:sz w:val="22"/>
          <w:szCs w:val="22"/>
          <w:lang w:val="sk-SK"/>
        </w:rPr>
        <w:t>.</w:t>
      </w:r>
    </w:p>
    <w:p w14:paraId="32D5F425" w14:textId="77777777" w:rsidR="005F0C69" w:rsidRDefault="005F0C69" w:rsidP="00334D81">
      <w:pPr>
        <w:rPr>
          <w:sz w:val="22"/>
          <w:szCs w:val="22"/>
          <w:lang w:val="sk-SK"/>
        </w:rPr>
      </w:pPr>
    </w:p>
    <w:p w14:paraId="5503F56C" w14:textId="77777777" w:rsidR="00B955B1" w:rsidRDefault="0023259B" w:rsidP="0023259B">
      <w:pPr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>Tehotenstvo a</w:t>
      </w:r>
      <w:r>
        <w:rPr>
          <w:b/>
          <w:sz w:val="22"/>
          <w:szCs w:val="22"/>
          <w:lang w:val="sk-SK"/>
        </w:rPr>
        <w:t xml:space="preserve"> </w:t>
      </w:r>
      <w:r w:rsidRPr="000D27F8">
        <w:rPr>
          <w:b/>
          <w:sz w:val="22"/>
          <w:szCs w:val="22"/>
          <w:lang w:val="sk-SK"/>
        </w:rPr>
        <w:t>dojčenie</w:t>
      </w:r>
    </w:p>
    <w:p w14:paraId="13EB231A" w14:textId="77777777" w:rsidR="00B955B1" w:rsidRDefault="00B955B1" w:rsidP="00E70510">
      <w:pPr>
        <w:rPr>
          <w:sz w:val="22"/>
          <w:szCs w:val="22"/>
          <w:lang w:val="sk-SK"/>
        </w:rPr>
      </w:pPr>
    </w:p>
    <w:p w14:paraId="3EAE6161" w14:textId="77777777" w:rsidR="009C7B28" w:rsidRPr="009C7B28" w:rsidRDefault="009C7B28" w:rsidP="009C7B28">
      <w:pPr>
        <w:rPr>
          <w:i/>
          <w:iCs/>
          <w:sz w:val="22"/>
          <w:szCs w:val="22"/>
          <w:lang w:val="sk-SK"/>
        </w:rPr>
      </w:pPr>
      <w:r w:rsidRPr="009C7B28">
        <w:rPr>
          <w:i/>
          <w:iCs/>
          <w:sz w:val="22"/>
          <w:szCs w:val="22"/>
          <w:lang w:val="sk-SK"/>
        </w:rPr>
        <w:t>Tehotenstvo</w:t>
      </w:r>
    </w:p>
    <w:p w14:paraId="42DAA446" w14:textId="77777777" w:rsidR="009C7B28" w:rsidRDefault="009C7B28" w:rsidP="00037FB8">
      <w:pPr>
        <w:rPr>
          <w:sz w:val="22"/>
          <w:szCs w:val="22"/>
          <w:lang w:val="sk-SK"/>
        </w:rPr>
      </w:pPr>
    </w:p>
    <w:p w14:paraId="58DCE9B2" w14:textId="77777777" w:rsidR="009C7B28" w:rsidRPr="00ED2053" w:rsidRDefault="009C7B28" w:rsidP="00037FB8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Ženy, ktoré počas užívania lieku Petnidan otehotnejú, plánujú otehotnieť, alebo ženy, u ktorých nemožno otehotnenie vylúčiť, a tiež aj tehotné ženy sa majú bezpodmienečne poradiť so svojím lekárom.</w:t>
      </w:r>
    </w:p>
    <w:p w14:paraId="2DFE2A75" w14:textId="77777777" w:rsidR="009C7B28" w:rsidRPr="00ED2053" w:rsidRDefault="009C7B28" w:rsidP="00037FB8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Predovšetkým medzi 20. až 40. dňom tehotnosti sa má liečba prehodnotiť, dávkovanie sa má prispôsobiť zmenenej situácii a udržiavať pokiaľ možno na čo najnižšej úrovni.</w:t>
      </w:r>
    </w:p>
    <w:p w14:paraId="0AAF8759" w14:textId="77777777" w:rsidR="009C7B28" w:rsidRPr="00ED2053" w:rsidRDefault="009C7B28" w:rsidP="00037FB8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V tomto období sa etosuximid nemá kombinovať s inými antiepileptikami alebo inými liekmi. Pri podávaní tohto lieku v období tehotenstva sa odporúča v poslednom mesiaci súčasné užívanie vitamínu K</w:t>
      </w:r>
      <w:r w:rsidRPr="009C7B28">
        <w:rPr>
          <w:rFonts w:ascii="(Asiatische Schriftart verwende" w:hAnsi="(Asiatische Schriftart verwende"/>
          <w:sz w:val="22"/>
          <w:szCs w:val="22"/>
          <w:vertAlign w:val="subscript"/>
          <w:lang w:val="sk-SK"/>
        </w:rPr>
        <w:t xml:space="preserve">1 </w:t>
      </w:r>
      <w:r w:rsidRPr="00ED2053">
        <w:rPr>
          <w:sz w:val="22"/>
          <w:szCs w:val="22"/>
          <w:lang w:val="sk-SK"/>
        </w:rPr>
        <w:t>(podávanie vitamínu K</w:t>
      </w:r>
      <w:r w:rsidRPr="009C7B28">
        <w:rPr>
          <w:rFonts w:ascii="(Asiatische Schriftart verwende" w:hAnsi="(Asiatische Schriftart verwende"/>
          <w:sz w:val="22"/>
          <w:szCs w:val="22"/>
          <w:vertAlign w:val="subscript"/>
          <w:lang w:val="sk-SK"/>
        </w:rPr>
        <w:t>1</w:t>
      </w:r>
      <w:r w:rsidRPr="00ED2053">
        <w:rPr>
          <w:sz w:val="22"/>
          <w:szCs w:val="22"/>
          <w:lang w:val="sk-SK"/>
        </w:rPr>
        <w:t xml:space="preserve"> vo forme kapsú</w:t>
      </w:r>
      <w:r>
        <w:rPr>
          <w:sz w:val="22"/>
          <w:szCs w:val="22"/>
          <w:lang w:val="sk-SK"/>
        </w:rPr>
        <w:t>l</w:t>
      </w:r>
      <w:r w:rsidRPr="00ED2053">
        <w:rPr>
          <w:sz w:val="22"/>
          <w:szCs w:val="22"/>
          <w:lang w:val="sk-SK"/>
        </w:rPr>
        <w:t xml:space="preserve"> alebo kvapiek).</w:t>
      </w:r>
    </w:p>
    <w:p w14:paraId="0AE827B1" w14:textId="77777777" w:rsidR="009C7B28" w:rsidRDefault="009C7B28" w:rsidP="00037FB8">
      <w:pPr>
        <w:rPr>
          <w:sz w:val="22"/>
          <w:szCs w:val="22"/>
          <w:lang w:val="sk-SK"/>
        </w:rPr>
      </w:pPr>
    </w:p>
    <w:p w14:paraId="07477A49" w14:textId="77777777" w:rsidR="009C7B28" w:rsidRPr="009C7B28" w:rsidRDefault="009C7B28" w:rsidP="00037FB8">
      <w:pPr>
        <w:rPr>
          <w:i/>
          <w:iCs/>
          <w:sz w:val="22"/>
          <w:szCs w:val="22"/>
          <w:lang w:val="sk-SK"/>
        </w:rPr>
      </w:pPr>
      <w:r w:rsidRPr="009C7B28">
        <w:rPr>
          <w:i/>
          <w:iCs/>
          <w:sz w:val="22"/>
          <w:szCs w:val="22"/>
          <w:lang w:val="sk-SK"/>
        </w:rPr>
        <w:t>Dojčenie</w:t>
      </w:r>
    </w:p>
    <w:p w14:paraId="5C2AF2D9" w14:textId="77777777" w:rsidR="009C7B28" w:rsidRDefault="009C7B28" w:rsidP="00037FB8">
      <w:pPr>
        <w:rPr>
          <w:sz w:val="22"/>
          <w:szCs w:val="22"/>
          <w:lang w:val="sk-SK"/>
        </w:rPr>
      </w:pPr>
    </w:p>
    <w:p w14:paraId="76B34EBD" w14:textId="77777777" w:rsidR="009C7B28" w:rsidRPr="00ED2053" w:rsidRDefault="009C7B28" w:rsidP="00037FB8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Etosuximid prechádza placentou a vylučuje sa aj do materského mlieka. Je na zvážení ošetrujúceho lekára, či riziko nežiaducich účinkov pre dojča, neprevyšuje prospešnosť podávania lieku matke.</w:t>
      </w:r>
    </w:p>
    <w:p w14:paraId="57E095AE" w14:textId="77777777" w:rsidR="009C7B28" w:rsidRDefault="009C7B28" w:rsidP="009C7B28">
      <w:pPr>
        <w:rPr>
          <w:sz w:val="22"/>
          <w:szCs w:val="22"/>
          <w:lang w:val="sk-SK"/>
        </w:rPr>
      </w:pPr>
    </w:p>
    <w:p w14:paraId="5DDB1923" w14:textId="77777777" w:rsidR="00ED642A" w:rsidRPr="000D27F8" w:rsidRDefault="00ED642A" w:rsidP="00ED642A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>Vedenie vozidiel a obsluha strojov</w:t>
      </w:r>
    </w:p>
    <w:p w14:paraId="39604741" w14:textId="77777777" w:rsidR="009C7B28" w:rsidRDefault="009C7B28" w:rsidP="00BF070A">
      <w:pPr>
        <w:rPr>
          <w:sz w:val="22"/>
          <w:szCs w:val="22"/>
          <w:lang w:val="sk-SK"/>
        </w:rPr>
      </w:pPr>
    </w:p>
    <w:p w14:paraId="3D9A65E6" w14:textId="77777777" w:rsidR="005E4658" w:rsidRPr="00ED2053" w:rsidRDefault="005E4658" w:rsidP="00BF070A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 xml:space="preserve">Aj pri </w:t>
      </w:r>
      <w:r>
        <w:rPr>
          <w:sz w:val="22"/>
          <w:szCs w:val="22"/>
          <w:lang w:val="sk-SK"/>
        </w:rPr>
        <w:t>správ</w:t>
      </w:r>
      <w:r w:rsidRPr="00ED2053">
        <w:rPr>
          <w:sz w:val="22"/>
          <w:szCs w:val="22"/>
          <w:lang w:val="sk-SK"/>
        </w:rPr>
        <w:t xml:space="preserve">nom užívaní môže liek </w:t>
      </w:r>
      <w:r>
        <w:rPr>
          <w:sz w:val="22"/>
          <w:szCs w:val="22"/>
          <w:lang w:val="sk-SK"/>
        </w:rPr>
        <w:t xml:space="preserve">Petnidan </w:t>
      </w:r>
      <w:r w:rsidRPr="00ED2053">
        <w:rPr>
          <w:sz w:val="22"/>
          <w:szCs w:val="22"/>
          <w:lang w:val="sk-SK"/>
        </w:rPr>
        <w:t>nepriaznivo ovplyvniť činnosť vyžadujúcu zvýšenú pozornosť, motorickú koordináciu a rýchle rozhodovanie. Platí to vo zvýšenej miere pri spolupôsobení alkoholu.</w:t>
      </w:r>
    </w:p>
    <w:p w14:paraId="37EE84EC" w14:textId="00BF614F" w:rsidR="009C7B28" w:rsidRDefault="005E4658" w:rsidP="009C7B28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Preto sa má upustiť od vedenia vozidiel, obsluhy strojov alebo od iných nebezpečných činností, prinajmenšom počas fázy nastavovania liečby. V každom jednotlivom prípade však rozhoduje ošetrujúci lekár, pri zohľadnení individuálnych reakcií a príslušného dávkovania.</w:t>
      </w:r>
    </w:p>
    <w:p w14:paraId="048E88CB" w14:textId="77777777" w:rsidR="00F270F5" w:rsidRPr="00C76140" w:rsidRDefault="00F270F5" w:rsidP="00F270F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76140">
        <w:rPr>
          <w:sz w:val="22"/>
          <w:szCs w:val="22"/>
          <w:lang w:val="sk-SK"/>
        </w:rPr>
        <w:t>Tento liek obsahuje 6 mg sorbitol</w:t>
      </w:r>
      <w:r>
        <w:rPr>
          <w:sz w:val="22"/>
          <w:szCs w:val="22"/>
        </w:rPr>
        <w:t xml:space="preserve">u v jednej kapsule, čo zodpovedá </w:t>
      </w:r>
      <w:r w:rsidRPr="00C76140">
        <w:rPr>
          <w:sz w:val="22"/>
          <w:szCs w:val="22"/>
          <w:lang w:val="sk-SK"/>
        </w:rPr>
        <w:t>6 mg/250 mg etosuximid</w:t>
      </w:r>
      <w:r>
        <w:rPr>
          <w:sz w:val="22"/>
          <w:szCs w:val="22"/>
        </w:rPr>
        <w:t>u</w:t>
      </w:r>
      <w:r w:rsidRPr="00C76140">
        <w:rPr>
          <w:sz w:val="22"/>
          <w:szCs w:val="22"/>
          <w:lang w:val="sk-SK"/>
        </w:rPr>
        <w:t>.</w:t>
      </w:r>
    </w:p>
    <w:p w14:paraId="6B22759D" w14:textId="77777777" w:rsidR="005E4658" w:rsidRDefault="005E4658" w:rsidP="009C7B28">
      <w:pPr>
        <w:rPr>
          <w:sz w:val="22"/>
          <w:szCs w:val="22"/>
          <w:lang w:val="sk-SK"/>
        </w:rPr>
      </w:pPr>
    </w:p>
    <w:p w14:paraId="546E3131" w14:textId="77777777" w:rsidR="005E4658" w:rsidRPr="00597A61" w:rsidRDefault="005E4658" w:rsidP="009C7B28">
      <w:pPr>
        <w:rPr>
          <w:sz w:val="22"/>
          <w:lang w:val="sk-SK"/>
        </w:rPr>
      </w:pPr>
    </w:p>
    <w:p w14:paraId="22620E60" w14:textId="77777777" w:rsidR="009C7B28" w:rsidRPr="005E4658" w:rsidRDefault="005E4658" w:rsidP="00E866FA">
      <w:pPr>
        <w:rPr>
          <w:b/>
          <w:bCs/>
          <w:sz w:val="22"/>
          <w:szCs w:val="22"/>
          <w:lang w:val="sk-SK"/>
        </w:rPr>
      </w:pPr>
      <w:r w:rsidRPr="005E4658">
        <w:rPr>
          <w:b/>
          <w:bCs/>
          <w:sz w:val="22"/>
          <w:szCs w:val="22"/>
          <w:lang w:val="sk-SK"/>
        </w:rPr>
        <w:t>3.</w:t>
      </w:r>
      <w:r w:rsidRPr="005E4658">
        <w:rPr>
          <w:b/>
          <w:bCs/>
          <w:sz w:val="22"/>
          <w:szCs w:val="22"/>
          <w:lang w:val="sk-SK"/>
        </w:rPr>
        <w:tab/>
        <w:t>Ako užívať Petnidan</w:t>
      </w:r>
    </w:p>
    <w:p w14:paraId="26CE5018" w14:textId="77777777" w:rsidR="005E4658" w:rsidRDefault="005E4658" w:rsidP="00E866FA">
      <w:pPr>
        <w:rPr>
          <w:sz w:val="22"/>
          <w:szCs w:val="22"/>
          <w:lang w:val="sk-SK"/>
        </w:rPr>
      </w:pPr>
    </w:p>
    <w:p w14:paraId="53E36CAE" w14:textId="77777777" w:rsidR="005E4658" w:rsidRDefault="005E4658" w:rsidP="00E866FA">
      <w:pPr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Vždy užívajte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tento liek presne tak, ako vám povedal</w:t>
      </w:r>
      <w:r w:rsidR="008221AE"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váš lekár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alebo lekárnik</w:t>
      </w:r>
      <w:r w:rsidRPr="000D27F8">
        <w:rPr>
          <w:b/>
          <w:i/>
          <w:sz w:val="22"/>
          <w:szCs w:val="22"/>
          <w:lang w:val="sk-SK"/>
        </w:rPr>
        <w:t xml:space="preserve">. </w:t>
      </w:r>
      <w:r w:rsidRPr="000D27F8">
        <w:rPr>
          <w:sz w:val="22"/>
          <w:szCs w:val="22"/>
          <w:lang w:val="sk-SK"/>
        </w:rPr>
        <w:t>Ak si nie ste niečím istý, overte si to u svojho lekára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alebo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lekárnika</w:t>
      </w:r>
      <w:r>
        <w:rPr>
          <w:sz w:val="22"/>
          <w:szCs w:val="22"/>
          <w:lang w:val="sk-SK"/>
        </w:rPr>
        <w:t>.</w:t>
      </w:r>
    </w:p>
    <w:p w14:paraId="56CD1F62" w14:textId="77777777" w:rsidR="005E4658" w:rsidRDefault="005E4658" w:rsidP="00E866FA">
      <w:pPr>
        <w:rPr>
          <w:sz w:val="22"/>
          <w:szCs w:val="22"/>
          <w:lang w:val="sk-SK"/>
        </w:rPr>
      </w:pPr>
    </w:p>
    <w:p w14:paraId="1639DA15" w14:textId="77777777" w:rsidR="00E70510" w:rsidRPr="00ED2053" w:rsidRDefault="00E70510" w:rsidP="00E866FA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Zvyčajné dávky sú nasledovné:</w:t>
      </w:r>
    </w:p>
    <w:p w14:paraId="4470052F" w14:textId="77777777" w:rsidR="00E70510" w:rsidRPr="00ED2053" w:rsidRDefault="00E70510" w:rsidP="00E866FA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Liečba sa začína nízkymi dávkami s ich pomalým zvyšovaním.</w:t>
      </w:r>
    </w:p>
    <w:p w14:paraId="1883C6B3" w14:textId="77777777" w:rsidR="00E70510" w:rsidRPr="00ED2053" w:rsidRDefault="00E70510" w:rsidP="00E866FA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U detí i dospelých liečba  začína celkovou dennou dávkou 5-10 mg/kg telesnej hmotnosti.</w:t>
      </w:r>
    </w:p>
    <w:p w14:paraId="126A86B7" w14:textId="77777777" w:rsidR="00E70510" w:rsidRPr="00ED2053" w:rsidRDefault="00E70510" w:rsidP="00E866FA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S odstupom 4 až 7 dní (pri zoh</w:t>
      </w:r>
      <w:r w:rsidR="006F2928" w:rsidRPr="00ED2053">
        <w:rPr>
          <w:sz w:val="22"/>
          <w:szCs w:val="22"/>
          <w:lang w:val="sk-SK"/>
        </w:rPr>
        <w:t>ľadnení dosiahnutia stavu vyrovnanej</w:t>
      </w:r>
      <w:r w:rsidRPr="00ED2053">
        <w:rPr>
          <w:sz w:val="22"/>
          <w:szCs w:val="22"/>
          <w:lang w:val="sk-SK"/>
        </w:rPr>
        <w:t xml:space="preserve"> koncentrácie: 8-10 dní) sa môže celková denná  dávka zvýšiť o 5 mg/kg telesnej hmotnosti. Ako udržiavacia denná dávka je vo všeobecnosti dostatočná u detí 20 mg/kg telesnej hmotnosti a pre dospelých 15 mg/kg telesnej hmotnosti. Celková denná dávka by nemala prekročiť u detí 40 mg/kg telesnej hmotnosti a u dospelých 30 mg/kg telesnej hmotnosti.</w:t>
      </w:r>
    </w:p>
    <w:p w14:paraId="1BBECB1D" w14:textId="77777777" w:rsidR="00E70510" w:rsidRPr="00ED2053" w:rsidRDefault="00E70510" w:rsidP="00E866FA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Pokiaľ lekár neurčí inak, platí nasledovné odporúčanie pre dávkovanie:</w:t>
      </w:r>
    </w:p>
    <w:p w14:paraId="0182C698" w14:textId="77777777" w:rsidR="00E70510" w:rsidRPr="00ED2053" w:rsidRDefault="00E70510" w:rsidP="00E70510">
      <w:pPr>
        <w:rPr>
          <w:sz w:val="22"/>
          <w:szCs w:val="22"/>
          <w:lang w:val="sk-SK"/>
        </w:rPr>
      </w:pPr>
    </w:p>
    <w:p w14:paraId="11096B65" w14:textId="77777777" w:rsidR="00E70510" w:rsidRPr="00ED2053" w:rsidRDefault="009A7040" w:rsidP="00E70510">
      <w:pPr>
        <w:ind w:left="709" w:hanging="709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br w:type="page"/>
      </w:r>
      <w:r w:rsidR="00E70510" w:rsidRPr="00ED2053">
        <w:rPr>
          <w:b/>
          <w:sz w:val="22"/>
          <w:szCs w:val="22"/>
          <w:lang w:val="sk-SK"/>
        </w:rPr>
        <w:lastRenderedPageBreak/>
        <w:t xml:space="preserve">                                                    Celková denná dávka (kapsuly)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1985"/>
        <w:gridCol w:w="2089"/>
        <w:gridCol w:w="39"/>
        <w:gridCol w:w="8"/>
      </w:tblGrid>
      <w:tr w:rsidR="009A7040" w:rsidRPr="00ED2053" w14:paraId="2E0835DB" w14:textId="77777777">
        <w:trPr>
          <w:gridAfter w:val="1"/>
          <w:wAfter w:w="8" w:type="dxa"/>
          <w:cantSplit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3169C1AF" w14:textId="77777777" w:rsidR="009A7040" w:rsidRPr="00ED2053" w:rsidRDefault="009A7040" w:rsidP="00447F04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1381A32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2051DA87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Časový plán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2D8D" w14:textId="77777777" w:rsidR="009A7040" w:rsidRPr="00ED2053" w:rsidRDefault="009A7040" w:rsidP="00447FAD">
            <w:pPr>
              <w:jc w:val="center"/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Deti</w:t>
            </w:r>
            <w:r w:rsidR="00447FAD">
              <w:rPr>
                <w:sz w:val="22"/>
                <w:szCs w:val="22"/>
                <w:lang w:val="sk-SK"/>
              </w:rPr>
              <w:t>*</w:t>
            </w:r>
          </w:p>
          <w:p w14:paraId="4F95897C" w14:textId="77777777" w:rsidR="009A7040" w:rsidRPr="00ED2053" w:rsidRDefault="009A7040" w:rsidP="00447F04">
            <w:pPr>
              <w:jc w:val="center"/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6 - 9 rokov</w:t>
            </w:r>
          </w:p>
          <w:p w14:paraId="36C83F47" w14:textId="77777777" w:rsidR="009A7040" w:rsidRPr="00ED2053" w:rsidRDefault="009A7040" w:rsidP="00447F04">
            <w:pPr>
              <w:jc w:val="center"/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ráno / večer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0497B" w14:textId="77777777" w:rsidR="009A7040" w:rsidRPr="00ED2053" w:rsidRDefault="009A7040" w:rsidP="00447F04">
            <w:pPr>
              <w:jc w:val="center"/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Deti od 9 rokov  dospelí</w:t>
            </w:r>
          </w:p>
          <w:p w14:paraId="467FC07C" w14:textId="77777777" w:rsidR="009A7040" w:rsidRPr="00ED2053" w:rsidRDefault="009A7040" w:rsidP="00447F04">
            <w:pPr>
              <w:jc w:val="center"/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ráno / večer</w:t>
            </w:r>
          </w:p>
        </w:tc>
      </w:tr>
      <w:tr w:rsidR="009A7040" w:rsidRPr="00ED2053" w14:paraId="6E97FDDB" w14:textId="77777777">
        <w:trPr>
          <w:gridAfter w:val="2"/>
          <w:wAfter w:w="47" w:type="dxa"/>
          <w:cantSplit/>
        </w:trPr>
        <w:tc>
          <w:tcPr>
            <w:tcW w:w="2126" w:type="dxa"/>
            <w:tcBorders>
              <w:top w:val="single" w:sz="6" w:space="0" w:color="auto"/>
            </w:tcBorders>
          </w:tcPr>
          <w:p w14:paraId="0C06E01D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Priemerná iniciálna dávka</w:t>
            </w:r>
          </w:p>
          <w:p w14:paraId="7ED06BEF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1CC9A0E5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1.- 3.deň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14:paraId="7E2E2869" w14:textId="77777777" w:rsidR="009A7040" w:rsidRPr="00ED2053" w:rsidRDefault="009A7040" w:rsidP="00447F04">
            <w:pPr>
              <w:tabs>
                <w:tab w:val="right" w:pos="47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4BD13F54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357744AB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</w:p>
          <w:p w14:paraId="3B923514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    1  </w:t>
            </w:r>
            <w:r>
              <w:rPr>
                <w:sz w:val="22"/>
                <w:szCs w:val="22"/>
                <w:lang w:val="sk-SK"/>
              </w:rPr>
              <w:t xml:space="preserve">    </w:t>
            </w:r>
            <w:r w:rsidRPr="00ED2053">
              <w:rPr>
                <w:sz w:val="22"/>
                <w:szCs w:val="22"/>
                <w:lang w:val="sk-SK"/>
              </w:rPr>
              <w:t xml:space="preserve">   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</w:tcBorders>
          </w:tcPr>
          <w:p w14:paraId="730B1BC0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0C348CA4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570414AB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</w:p>
          <w:p w14:paraId="5299BA96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     1     </w:t>
            </w:r>
            <w:r>
              <w:rPr>
                <w:sz w:val="22"/>
                <w:szCs w:val="22"/>
                <w:lang w:val="sk-SK"/>
              </w:rPr>
              <w:t xml:space="preserve">  </w:t>
            </w:r>
            <w:r w:rsidRPr="00ED2053">
              <w:rPr>
                <w:sz w:val="22"/>
                <w:szCs w:val="22"/>
                <w:lang w:val="sk-SK"/>
              </w:rPr>
              <w:t xml:space="preserve">  1</w:t>
            </w:r>
          </w:p>
        </w:tc>
      </w:tr>
      <w:tr w:rsidR="009A7040" w:rsidRPr="00ED2053" w14:paraId="2534673C" w14:textId="77777777">
        <w:trPr>
          <w:gridAfter w:val="2"/>
          <w:wAfter w:w="47" w:type="dxa"/>
          <w:cantSplit/>
        </w:trPr>
        <w:tc>
          <w:tcPr>
            <w:tcW w:w="2126" w:type="dxa"/>
          </w:tcPr>
          <w:p w14:paraId="57F2B3F1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14EE0849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4.- 7.deň</w:t>
            </w:r>
          </w:p>
        </w:tc>
        <w:tc>
          <w:tcPr>
            <w:tcW w:w="1985" w:type="dxa"/>
          </w:tcPr>
          <w:p w14:paraId="0AC082EF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</w:t>
            </w:r>
          </w:p>
          <w:p w14:paraId="166BB6F6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    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1  </w:t>
            </w:r>
            <w:r>
              <w:rPr>
                <w:sz w:val="22"/>
                <w:szCs w:val="22"/>
                <w:lang w:val="sk-SK"/>
              </w:rPr>
              <w:t xml:space="preserve">  </w:t>
            </w:r>
            <w:r w:rsidRPr="00ED2053">
              <w:rPr>
                <w:sz w:val="22"/>
                <w:szCs w:val="22"/>
                <w:lang w:val="sk-SK"/>
              </w:rPr>
              <w:t xml:space="preserve">   1-2</w:t>
            </w:r>
          </w:p>
        </w:tc>
        <w:tc>
          <w:tcPr>
            <w:tcW w:w="2089" w:type="dxa"/>
            <w:tcBorders>
              <w:left w:val="single" w:sz="6" w:space="0" w:color="auto"/>
            </w:tcBorders>
          </w:tcPr>
          <w:p w14:paraId="3D56AE52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416A470C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     1     </w:t>
            </w:r>
            <w:r>
              <w:rPr>
                <w:sz w:val="22"/>
                <w:szCs w:val="22"/>
                <w:lang w:val="sk-SK"/>
              </w:rPr>
              <w:t xml:space="preserve">  </w:t>
            </w:r>
            <w:r w:rsidRPr="00ED2053">
              <w:rPr>
                <w:sz w:val="22"/>
                <w:szCs w:val="22"/>
                <w:lang w:val="sk-SK"/>
              </w:rPr>
              <w:t xml:space="preserve"> 2</w:t>
            </w:r>
          </w:p>
        </w:tc>
      </w:tr>
      <w:tr w:rsidR="009A7040" w:rsidRPr="00ED2053" w14:paraId="62462551" w14:textId="77777777">
        <w:trPr>
          <w:gridAfter w:val="2"/>
          <w:wAfter w:w="47" w:type="dxa"/>
          <w:cantSplit/>
        </w:trPr>
        <w:tc>
          <w:tcPr>
            <w:tcW w:w="2126" w:type="dxa"/>
          </w:tcPr>
          <w:p w14:paraId="66693466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6D0C1175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2. týždeň </w:t>
            </w:r>
          </w:p>
        </w:tc>
        <w:tc>
          <w:tcPr>
            <w:tcW w:w="1985" w:type="dxa"/>
          </w:tcPr>
          <w:p w14:paraId="03069EA2" w14:textId="77777777" w:rsidR="009A7040" w:rsidRPr="00ED2053" w:rsidRDefault="009A7040" w:rsidP="00447F04">
            <w:pPr>
              <w:tabs>
                <w:tab w:val="right" w:pos="478"/>
              </w:tabs>
              <w:rPr>
                <w:sz w:val="22"/>
                <w:szCs w:val="22"/>
                <w:lang w:val="sk-SK"/>
              </w:rPr>
            </w:pPr>
          </w:p>
          <w:p w14:paraId="30005A56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1   </w:t>
            </w:r>
            <w:r>
              <w:rPr>
                <w:sz w:val="22"/>
                <w:szCs w:val="22"/>
                <w:lang w:val="sk-SK"/>
              </w:rPr>
              <w:t xml:space="preserve">  </w:t>
            </w:r>
            <w:r w:rsidRPr="00ED2053">
              <w:rPr>
                <w:sz w:val="22"/>
                <w:szCs w:val="22"/>
                <w:lang w:val="sk-SK"/>
              </w:rPr>
              <w:t xml:space="preserve">    2</w:t>
            </w:r>
          </w:p>
        </w:tc>
        <w:tc>
          <w:tcPr>
            <w:tcW w:w="2089" w:type="dxa"/>
            <w:tcBorders>
              <w:left w:val="single" w:sz="6" w:space="0" w:color="auto"/>
            </w:tcBorders>
          </w:tcPr>
          <w:p w14:paraId="1896528A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59E93293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     2    </w:t>
            </w:r>
            <w:r>
              <w:rPr>
                <w:sz w:val="22"/>
                <w:szCs w:val="22"/>
                <w:lang w:val="sk-SK"/>
              </w:rPr>
              <w:t xml:space="preserve">  </w:t>
            </w:r>
            <w:r w:rsidRPr="00ED2053">
              <w:rPr>
                <w:sz w:val="22"/>
                <w:szCs w:val="22"/>
                <w:lang w:val="sk-SK"/>
              </w:rPr>
              <w:t xml:space="preserve">  2</w:t>
            </w:r>
          </w:p>
        </w:tc>
      </w:tr>
      <w:tr w:rsidR="009A7040" w:rsidRPr="00ED2053" w14:paraId="1D764CBC" w14:textId="77777777">
        <w:trPr>
          <w:gridAfter w:val="2"/>
          <w:wAfter w:w="47" w:type="dxa"/>
          <w:cantSplit/>
        </w:trPr>
        <w:tc>
          <w:tcPr>
            <w:tcW w:w="2126" w:type="dxa"/>
          </w:tcPr>
          <w:p w14:paraId="38126E31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361A1881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3. týždeň </w:t>
            </w:r>
          </w:p>
        </w:tc>
        <w:tc>
          <w:tcPr>
            <w:tcW w:w="1985" w:type="dxa"/>
          </w:tcPr>
          <w:p w14:paraId="222AEA60" w14:textId="77777777" w:rsidR="009A7040" w:rsidRPr="00ED2053" w:rsidRDefault="009A7040" w:rsidP="00447F04">
            <w:pPr>
              <w:tabs>
                <w:tab w:val="right" w:pos="47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636E32B9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</w:t>
            </w:r>
            <w:r w:rsidRPr="00ED2053">
              <w:rPr>
                <w:sz w:val="22"/>
                <w:szCs w:val="22"/>
                <w:lang w:val="sk-SK"/>
              </w:rPr>
              <w:t xml:space="preserve">   1-2    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 2</w:t>
            </w:r>
          </w:p>
        </w:tc>
        <w:tc>
          <w:tcPr>
            <w:tcW w:w="2089" w:type="dxa"/>
            <w:tcBorders>
              <w:left w:val="single" w:sz="6" w:space="0" w:color="auto"/>
            </w:tcBorders>
          </w:tcPr>
          <w:p w14:paraId="159CD8D9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3D37B70D" w14:textId="77777777" w:rsidR="009A7040" w:rsidRPr="00ED2053" w:rsidRDefault="009A7040" w:rsidP="008221AE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     </w:t>
            </w:r>
            <w:r w:rsidR="002D3617">
              <w:rPr>
                <w:sz w:val="22"/>
                <w:szCs w:val="22"/>
                <w:lang w:val="sk-SK"/>
              </w:rPr>
              <w:t>2</w:t>
            </w:r>
            <w:r w:rsidR="002D3617" w:rsidRPr="00ED2053">
              <w:rPr>
                <w:sz w:val="22"/>
                <w:szCs w:val="22"/>
                <w:lang w:val="sk-SK"/>
              </w:rPr>
              <w:t xml:space="preserve">     </w:t>
            </w:r>
            <w:r w:rsidR="002D3617">
              <w:rPr>
                <w:sz w:val="22"/>
                <w:szCs w:val="22"/>
                <w:lang w:val="sk-SK"/>
              </w:rPr>
              <w:t xml:space="preserve">  </w:t>
            </w:r>
            <w:r w:rsidR="002D3617" w:rsidRPr="00ED2053"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>3</w:t>
            </w:r>
          </w:p>
        </w:tc>
      </w:tr>
      <w:tr w:rsidR="009A7040" w:rsidRPr="00ED2053" w14:paraId="57F317E9" w14:textId="77777777">
        <w:trPr>
          <w:gridAfter w:val="2"/>
          <w:wAfter w:w="47" w:type="dxa"/>
          <w:cantSplit/>
        </w:trPr>
        <w:tc>
          <w:tcPr>
            <w:tcW w:w="2126" w:type="dxa"/>
          </w:tcPr>
          <w:p w14:paraId="5E6A880F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37F29765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od 4. týždňa</w:t>
            </w:r>
          </w:p>
        </w:tc>
        <w:tc>
          <w:tcPr>
            <w:tcW w:w="1985" w:type="dxa"/>
          </w:tcPr>
          <w:p w14:paraId="70A6BF67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4809B7B9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      2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 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2</w:t>
            </w:r>
          </w:p>
        </w:tc>
        <w:tc>
          <w:tcPr>
            <w:tcW w:w="2089" w:type="dxa"/>
            <w:tcBorders>
              <w:left w:val="single" w:sz="6" w:space="0" w:color="auto"/>
            </w:tcBorders>
          </w:tcPr>
          <w:p w14:paraId="37D9FDDD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ab/>
            </w:r>
          </w:p>
          <w:p w14:paraId="40ECCFF7" w14:textId="77777777" w:rsidR="009A7040" w:rsidRPr="00ED2053" w:rsidRDefault="009A7040" w:rsidP="00447F04">
            <w:pPr>
              <w:tabs>
                <w:tab w:val="right" w:pos="498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     3      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 3</w:t>
            </w:r>
          </w:p>
        </w:tc>
      </w:tr>
      <w:tr w:rsidR="009A7040" w:rsidRPr="00ED2053" w14:paraId="518E62A1" w14:textId="77777777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126" w:type="dxa"/>
            <w:tcBorders>
              <w:bottom w:val="single" w:sz="6" w:space="0" w:color="auto"/>
            </w:tcBorders>
          </w:tcPr>
          <w:p w14:paraId="23E9360A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  <w:p w14:paraId="44CAE2CB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Priemerná</w:t>
            </w:r>
          </w:p>
          <w:p w14:paraId="366B5253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udržiavacia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D2053">
              <w:rPr>
                <w:sz w:val="22"/>
                <w:szCs w:val="22"/>
                <w:lang w:val="sk-SK"/>
              </w:rPr>
              <w:t xml:space="preserve">dávka 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</w:tcPr>
          <w:p w14:paraId="4E42060E" w14:textId="77777777" w:rsidR="009A7040" w:rsidRPr="00ED2053" w:rsidRDefault="009A7040" w:rsidP="00447F04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55EF2100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>2  - 4 kapsuly</w:t>
            </w:r>
          </w:p>
          <w:p w14:paraId="51D1D5A4" w14:textId="77777777" w:rsidR="009A7040" w:rsidRPr="00ED2053" w:rsidRDefault="009A7040" w:rsidP="00447F0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3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9FDC9D8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</w:p>
          <w:p w14:paraId="1835586F" w14:textId="77777777" w:rsidR="009A7040" w:rsidRPr="00ED2053" w:rsidRDefault="009A7040" w:rsidP="00447F04">
            <w:pPr>
              <w:tabs>
                <w:tab w:val="right" w:pos="491"/>
              </w:tabs>
              <w:rPr>
                <w:sz w:val="22"/>
                <w:szCs w:val="22"/>
                <w:lang w:val="sk-SK"/>
              </w:rPr>
            </w:pPr>
            <w:r w:rsidRPr="00ED2053">
              <w:rPr>
                <w:sz w:val="22"/>
                <w:szCs w:val="22"/>
                <w:lang w:val="sk-SK"/>
              </w:rPr>
              <w:t xml:space="preserve">         4  -  8 kapsúl</w:t>
            </w:r>
          </w:p>
        </w:tc>
      </w:tr>
    </w:tbl>
    <w:p w14:paraId="5E6A9F31" w14:textId="77777777" w:rsidR="00E70510" w:rsidRPr="00ED2053" w:rsidRDefault="00E70510" w:rsidP="00E70510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 xml:space="preserve">            </w:t>
      </w:r>
    </w:p>
    <w:p w14:paraId="3B69F970" w14:textId="77777777" w:rsidR="00E70510" w:rsidRPr="00ED2053" w:rsidRDefault="00447FAD" w:rsidP="00447FAD">
      <w:pPr>
        <w:ind w:left="708"/>
        <w:rPr>
          <w:sz w:val="22"/>
          <w:szCs w:val="22"/>
          <w:lang w:val="sk-SK"/>
        </w:rPr>
      </w:pPr>
      <w:r>
        <w:rPr>
          <w:lang w:val="sk-SK"/>
        </w:rPr>
        <w:t xml:space="preserve">* </w:t>
      </w:r>
      <w:r w:rsidR="001F2B43" w:rsidRPr="007E5C4A">
        <w:rPr>
          <w:lang w:val="sk-SK"/>
        </w:rPr>
        <w:t>Dojčatá a malé deti by sa mali liečiť vhodnými liekovými formami etosuximidu.</w:t>
      </w:r>
    </w:p>
    <w:p w14:paraId="6B9300F9" w14:textId="77777777" w:rsidR="00E70510" w:rsidRPr="00ED2053" w:rsidRDefault="00E70510" w:rsidP="002559F6">
      <w:pPr>
        <w:ind w:left="708"/>
        <w:rPr>
          <w:sz w:val="22"/>
          <w:szCs w:val="22"/>
          <w:lang w:val="sk-SK"/>
        </w:rPr>
      </w:pPr>
    </w:p>
    <w:p w14:paraId="01992EA5" w14:textId="77777777" w:rsidR="00E70510" w:rsidRPr="00ED2053" w:rsidRDefault="00E70510" w:rsidP="00E70510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Podľa frekvencie záchvatov alebo znášanlivosti sa možno odchýliť od uvedenej schémy a počiatočnú dávku je možné zvýšiť resp. čas liečenia skrátiť alebo predĺžiť.</w:t>
      </w:r>
    </w:p>
    <w:p w14:paraId="6C9F2FDA" w14:textId="77777777" w:rsidR="00D411E4" w:rsidRPr="00ED2053" w:rsidRDefault="00D411E4" w:rsidP="00E70510">
      <w:pPr>
        <w:jc w:val="both"/>
        <w:rPr>
          <w:b/>
          <w:sz w:val="22"/>
          <w:szCs w:val="22"/>
          <w:lang w:val="sk-SK"/>
        </w:rPr>
      </w:pPr>
    </w:p>
    <w:p w14:paraId="31FBBC14" w14:textId="77777777" w:rsidR="00E70510" w:rsidRPr="001F2B43" w:rsidRDefault="00E70510" w:rsidP="008E14A0">
      <w:pPr>
        <w:rPr>
          <w:bCs/>
          <w:i/>
          <w:iCs/>
          <w:sz w:val="22"/>
          <w:szCs w:val="22"/>
          <w:lang w:val="sk-SK"/>
        </w:rPr>
      </w:pPr>
      <w:r w:rsidRPr="001F2B43">
        <w:rPr>
          <w:bCs/>
          <w:i/>
          <w:iCs/>
          <w:sz w:val="22"/>
          <w:szCs w:val="22"/>
          <w:lang w:val="sk-SK"/>
        </w:rPr>
        <w:t>Spôsob užívania</w:t>
      </w:r>
    </w:p>
    <w:p w14:paraId="216B1047" w14:textId="77777777" w:rsidR="00E70510" w:rsidRPr="00ED2053" w:rsidRDefault="00E70510" w:rsidP="008E14A0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Petnidan</w:t>
      </w:r>
      <w:r w:rsidRPr="00ED2053">
        <w:rPr>
          <w:position w:val="6"/>
          <w:sz w:val="22"/>
          <w:szCs w:val="22"/>
          <w:lang w:val="sk-SK"/>
        </w:rPr>
        <w:t xml:space="preserve"> </w:t>
      </w:r>
      <w:r w:rsidR="006F2928" w:rsidRPr="00ED2053">
        <w:rPr>
          <w:sz w:val="22"/>
          <w:szCs w:val="22"/>
          <w:lang w:val="sk-SK"/>
        </w:rPr>
        <w:t xml:space="preserve">sa môže </w:t>
      </w:r>
      <w:r w:rsidRPr="00ED2053">
        <w:rPr>
          <w:sz w:val="22"/>
          <w:szCs w:val="22"/>
          <w:lang w:val="sk-SK"/>
        </w:rPr>
        <w:t>podávať v jednej dennej dávke alebo sa môže rozdeliť na 2-3 jednotlivé dávky, užívať sa môže počas jedla alebo po jedle.</w:t>
      </w:r>
    </w:p>
    <w:p w14:paraId="235C326F" w14:textId="77777777" w:rsidR="001F2B43" w:rsidRDefault="001F2B43" w:rsidP="00035499">
      <w:pPr>
        <w:jc w:val="both"/>
        <w:rPr>
          <w:sz w:val="22"/>
          <w:szCs w:val="22"/>
          <w:lang w:val="sk-SK"/>
        </w:rPr>
      </w:pPr>
    </w:p>
    <w:p w14:paraId="2307A079" w14:textId="77777777" w:rsidR="001F2B43" w:rsidRDefault="001F2B43" w:rsidP="008E14A0">
      <w:pPr>
        <w:rPr>
          <w:sz w:val="22"/>
          <w:szCs w:val="22"/>
          <w:lang w:val="sk-SK"/>
        </w:rPr>
      </w:pPr>
      <w:r>
        <w:rPr>
          <w:bCs/>
          <w:i/>
          <w:iCs/>
          <w:sz w:val="22"/>
          <w:szCs w:val="22"/>
          <w:lang w:val="sk-SK"/>
        </w:rPr>
        <w:t>D</w:t>
      </w:r>
      <w:r w:rsidRPr="001F2B43">
        <w:rPr>
          <w:bCs/>
          <w:i/>
          <w:iCs/>
          <w:sz w:val="22"/>
          <w:szCs w:val="22"/>
          <w:lang w:val="sk-SK"/>
        </w:rPr>
        <w:t>ĺžka užívania</w:t>
      </w:r>
    </w:p>
    <w:p w14:paraId="76A3F4C1" w14:textId="77777777" w:rsidR="00E70510" w:rsidRDefault="00E70510" w:rsidP="008E14A0">
      <w:pPr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Antiepileptická liečba je v podstate liečbou dlhodobou. O nastavení, dĺžke liečby a vysadení etosuximidu má rozhodovať odborný lekár (neurológ, neuropediater).</w:t>
      </w:r>
    </w:p>
    <w:p w14:paraId="0AF1962A" w14:textId="77777777" w:rsidR="00077CCE" w:rsidRDefault="00077CCE" w:rsidP="008E14A0">
      <w:pPr>
        <w:rPr>
          <w:sz w:val="22"/>
          <w:szCs w:val="22"/>
          <w:lang w:val="sk-SK"/>
        </w:rPr>
      </w:pPr>
    </w:p>
    <w:p w14:paraId="711A7B15" w14:textId="77777777" w:rsidR="00E7439B" w:rsidRPr="00763427" w:rsidRDefault="00E7439B" w:rsidP="008E14A0">
      <w:pPr>
        <w:rPr>
          <w:b/>
          <w:bCs/>
          <w:sz w:val="22"/>
          <w:szCs w:val="22"/>
          <w:lang w:val="sk-SK"/>
        </w:rPr>
      </w:pPr>
      <w:r w:rsidRPr="00763427">
        <w:rPr>
          <w:b/>
          <w:bCs/>
          <w:sz w:val="22"/>
          <w:szCs w:val="22"/>
          <w:lang w:val="sk-SK"/>
        </w:rPr>
        <w:t xml:space="preserve">Ak užijete viac </w:t>
      </w:r>
      <w:r w:rsidR="00D40835">
        <w:rPr>
          <w:b/>
          <w:bCs/>
          <w:sz w:val="22"/>
          <w:szCs w:val="22"/>
          <w:lang w:val="sk-SK"/>
        </w:rPr>
        <w:t xml:space="preserve">lieku </w:t>
      </w:r>
      <w:r w:rsidRPr="00763427">
        <w:rPr>
          <w:b/>
          <w:bCs/>
          <w:sz w:val="22"/>
          <w:szCs w:val="22"/>
          <w:lang w:val="sk-SK"/>
        </w:rPr>
        <w:t>Petnidan</w:t>
      </w:r>
      <w:r w:rsidR="008221AE">
        <w:rPr>
          <w:b/>
          <w:bCs/>
          <w:sz w:val="22"/>
          <w:szCs w:val="22"/>
          <w:lang w:val="sk-SK"/>
        </w:rPr>
        <w:t>,</w:t>
      </w:r>
      <w:r w:rsidRPr="00763427">
        <w:rPr>
          <w:b/>
          <w:bCs/>
          <w:sz w:val="22"/>
          <w:szCs w:val="22"/>
          <w:lang w:val="sk-SK"/>
        </w:rPr>
        <w:t xml:space="preserve"> ako máte</w:t>
      </w:r>
    </w:p>
    <w:p w14:paraId="1FF0CCD1" w14:textId="77777777" w:rsidR="00E7439B" w:rsidRPr="00763427" w:rsidRDefault="00E7439B" w:rsidP="008E14A0">
      <w:pPr>
        <w:rPr>
          <w:bCs/>
          <w:sz w:val="22"/>
          <w:szCs w:val="22"/>
          <w:lang w:val="sk-SK"/>
        </w:rPr>
      </w:pPr>
    </w:p>
    <w:p w14:paraId="73EE2EE3" w14:textId="77777777" w:rsidR="00E7439B" w:rsidRPr="00763427" w:rsidRDefault="00E7439B" w:rsidP="008E14A0">
      <w:p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 xml:space="preserve">Ak náhodou užijete dvojnásobnú dávku </w:t>
      </w:r>
      <w:r w:rsidR="00D40835">
        <w:rPr>
          <w:sz w:val="22"/>
          <w:szCs w:val="22"/>
          <w:lang w:val="sk-SK"/>
        </w:rPr>
        <w:t xml:space="preserve">lieku </w:t>
      </w:r>
      <w:r w:rsidRPr="00763427">
        <w:rPr>
          <w:sz w:val="22"/>
          <w:szCs w:val="22"/>
          <w:lang w:val="sk-SK"/>
        </w:rPr>
        <w:t xml:space="preserve">Petnidan, nebude to mať účinok na ďalšie užívanie, t.j. mali by ste pokračovať v užívaní </w:t>
      </w:r>
      <w:r w:rsidR="00D40835">
        <w:rPr>
          <w:sz w:val="22"/>
          <w:szCs w:val="22"/>
          <w:lang w:val="sk-SK"/>
        </w:rPr>
        <w:t xml:space="preserve">lieku </w:t>
      </w:r>
      <w:r w:rsidRPr="00763427">
        <w:rPr>
          <w:sz w:val="22"/>
          <w:szCs w:val="22"/>
          <w:lang w:val="sk-SK"/>
        </w:rPr>
        <w:t xml:space="preserve">Petnidan ako </w:t>
      </w:r>
      <w:r w:rsidR="00D40835">
        <w:rPr>
          <w:sz w:val="22"/>
          <w:szCs w:val="22"/>
          <w:lang w:val="sk-SK"/>
        </w:rPr>
        <w:t>v</w:t>
      </w:r>
      <w:r w:rsidRPr="00763427">
        <w:rPr>
          <w:sz w:val="22"/>
          <w:szCs w:val="22"/>
          <w:lang w:val="sk-SK"/>
        </w:rPr>
        <w:t>ám predpísal lekár.</w:t>
      </w:r>
    </w:p>
    <w:p w14:paraId="1389A6D0" w14:textId="77777777" w:rsidR="00E7439B" w:rsidRPr="00763427" w:rsidRDefault="00E7439B" w:rsidP="008E14A0">
      <w:p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 xml:space="preserve">Ak užijete podstatne väčšiu dávku ako je </w:t>
      </w:r>
      <w:r w:rsidR="00D40835">
        <w:rPr>
          <w:sz w:val="22"/>
          <w:szCs w:val="22"/>
          <w:lang w:val="sk-SK"/>
        </w:rPr>
        <w:t>v</w:t>
      </w:r>
      <w:r w:rsidRPr="00763427">
        <w:rPr>
          <w:sz w:val="22"/>
          <w:szCs w:val="22"/>
          <w:lang w:val="sk-SK"/>
        </w:rPr>
        <w:t>aša normálna dávka, môžete zažiť niektoré z príznakov uvedených v časti o nežiaducich účinkoch vo výraznejšej forme, napríklad únavu, letargiu, depresívnu náladu, podráždenosť alebo nepokoj. Ak sa u </w:t>
      </w:r>
      <w:r w:rsidR="00D40835">
        <w:rPr>
          <w:sz w:val="22"/>
          <w:szCs w:val="22"/>
          <w:lang w:val="sk-SK"/>
        </w:rPr>
        <w:t>v</w:t>
      </w:r>
      <w:r w:rsidRPr="00763427">
        <w:rPr>
          <w:sz w:val="22"/>
          <w:szCs w:val="22"/>
          <w:lang w:val="sk-SK"/>
        </w:rPr>
        <w:t>ás vyskytnú niektoré z týchto príznakov, vyhľadajte, prosím, najbližšieho lekára a ak je to možné, vezmite si so sebou svoj liek a túto písomnú informáciu pre používateľ</w:t>
      </w:r>
      <w:r w:rsidR="00E50560">
        <w:rPr>
          <w:sz w:val="22"/>
          <w:szCs w:val="22"/>
          <w:lang w:val="sk-SK"/>
        </w:rPr>
        <w:t>a</w:t>
      </w:r>
      <w:r w:rsidRPr="00763427">
        <w:rPr>
          <w:sz w:val="22"/>
          <w:szCs w:val="22"/>
          <w:lang w:val="sk-SK"/>
        </w:rPr>
        <w:t>!</w:t>
      </w:r>
    </w:p>
    <w:p w14:paraId="22D14611" w14:textId="77777777" w:rsidR="00E7439B" w:rsidRPr="00763427" w:rsidRDefault="00E7439B" w:rsidP="008E14A0">
      <w:pPr>
        <w:rPr>
          <w:sz w:val="22"/>
          <w:szCs w:val="22"/>
          <w:lang w:val="sk-SK"/>
        </w:rPr>
      </w:pPr>
    </w:p>
    <w:p w14:paraId="5179BF1C" w14:textId="77777777" w:rsidR="00E7439B" w:rsidRPr="00763427" w:rsidRDefault="00E7439B" w:rsidP="008E14A0">
      <w:pPr>
        <w:rPr>
          <w:b/>
          <w:bCs/>
          <w:sz w:val="22"/>
          <w:szCs w:val="22"/>
          <w:lang w:val="sk-SK"/>
        </w:rPr>
      </w:pPr>
      <w:r w:rsidRPr="00763427">
        <w:rPr>
          <w:b/>
          <w:bCs/>
          <w:sz w:val="22"/>
          <w:szCs w:val="22"/>
          <w:lang w:val="sk-SK"/>
        </w:rPr>
        <w:t>Ak zabudnete užiť Petnidan</w:t>
      </w:r>
    </w:p>
    <w:p w14:paraId="46A57335" w14:textId="77777777" w:rsidR="00E7439B" w:rsidRPr="00763427" w:rsidRDefault="00E7439B" w:rsidP="008E14A0">
      <w:pPr>
        <w:rPr>
          <w:bCs/>
          <w:sz w:val="22"/>
          <w:szCs w:val="22"/>
          <w:lang w:val="sk-SK"/>
        </w:rPr>
      </w:pPr>
    </w:p>
    <w:p w14:paraId="54419085" w14:textId="77777777" w:rsidR="00E7439B" w:rsidRPr="00763427" w:rsidRDefault="00E7439B" w:rsidP="008E14A0">
      <w:pPr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 xml:space="preserve">Ak zabudnete užiť jednu dávku, jednoducho pokračujte v užívaní </w:t>
      </w:r>
      <w:r w:rsidR="00CD0817">
        <w:rPr>
          <w:sz w:val="22"/>
          <w:szCs w:val="22"/>
          <w:lang w:val="sk-SK"/>
        </w:rPr>
        <w:t>v</w:t>
      </w:r>
      <w:r w:rsidRPr="00763427">
        <w:rPr>
          <w:sz w:val="22"/>
          <w:szCs w:val="22"/>
          <w:lang w:val="sk-SK"/>
        </w:rPr>
        <w:t>ášho lieku podľa predpisu. Neužívajte dvojnásobnú dávku, aby ste nahradili vynechanú dávku. Majte, prosím, na pamäti, že Petnidan môže pôsobiť bezpečne a účinne len ak ho užívate pravidelne.</w:t>
      </w:r>
    </w:p>
    <w:p w14:paraId="7252171B" w14:textId="77777777" w:rsidR="00E7439B" w:rsidRPr="00763427" w:rsidRDefault="00E7439B" w:rsidP="008E14A0">
      <w:pPr>
        <w:rPr>
          <w:bCs/>
          <w:sz w:val="22"/>
          <w:szCs w:val="22"/>
          <w:lang w:val="sk-SK"/>
        </w:rPr>
      </w:pPr>
    </w:p>
    <w:p w14:paraId="524D4A03" w14:textId="77777777" w:rsidR="00E7439B" w:rsidRPr="00763427" w:rsidRDefault="00E7439B" w:rsidP="00597A61">
      <w:pPr>
        <w:keepNext/>
        <w:rPr>
          <w:b/>
          <w:sz w:val="22"/>
          <w:szCs w:val="22"/>
          <w:lang w:val="sk-SK"/>
        </w:rPr>
      </w:pPr>
      <w:r w:rsidRPr="00763427">
        <w:rPr>
          <w:b/>
          <w:sz w:val="22"/>
          <w:szCs w:val="22"/>
          <w:lang w:val="sk-SK"/>
        </w:rPr>
        <w:lastRenderedPageBreak/>
        <w:t>Ak prestanete užívať Petnidan</w:t>
      </w:r>
    </w:p>
    <w:p w14:paraId="7A1D41CF" w14:textId="77777777" w:rsidR="00E7439B" w:rsidRPr="00763427" w:rsidRDefault="00E7439B" w:rsidP="00597A61">
      <w:pPr>
        <w:keepNext/>
        <w:jc w:val="both"/>
        <w:rPr>
          <w:sz w:val="22"/>
          <w:szCs w:val="22"/>
          <w:lang w:val="sk-SK"/>
        </w:rPr>
      </w:pPr>
    </w:p>
    <w:p w14:paraId="4F72918B" w14:textId="77777777" w:rsidR="00E7439B" w:rsidRPr="00763427" w:rsidRDefault="00E7439B" w:rsidP="00597A61">
      <w:pPr>
        <w:keepNext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 xml:space="preserve">Nikdy nemeňte dávku bez toho, aby ste sa o tom poradili s lekárom. Nevysadzujte liečbu bez toho, aby ste sa o tom najprv porozprávali s Vaším lekárom. Inak ohrozujete úspech liečby a môžu sa </w:t>
      </w:r>
      <w:r w:rsidR="00627A69">
        <w:rPr>
          <w:sz w:val="22"/>
          <w:szCs w:val="22"/>
          <w:lang w:val="sk-SK"/>
        </w:rPr>
        <w:t>v</w:t>
      </w:r>
      <w:r w:rsidRPr="00763427">
        <w:rPr>
          <w:sz w:val="22"/>
          <w:szCs w:val="22"/>
          <w:lang w:val="sk-SK"/>
        </w:rPr>
        <w:t>ám vrátiť záchvaty.</w:t>
      </w:r>
    </w:p>
    <w:p w14:paraId="7946582F" w14:textId="77777777" w:rsidR="00077CCE" w:rsidRDefault="00077CCE" w:rsidP="0004549A">
      <w:pPr>
        <w:rPr>
          <w:sz w:val="22"/>
          <w:szCs w:val="22"/>
          <w:lang w:val="sk-SK"/>
        </w:rPr>
      </w:pPr>
    </w:p>
    <w:p w14:paraId="1AB20959" w14:textId="77777777" w:rsidR="00CD0817" w:rsidRDefault="00CD0817" w:rsidP="0004549A">
      <w:pPr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Ak máte</w:t>
      </w:r>
      <w:r w:rsidR="008221AE">
        <w:rPr>
          <w:sz w:val="22"/>
          <w:szCs w:val="22"/>
          <w:lang w:val="sk-SK"/>
        </w:rPr>
        <w:t xml:space="preserve"> akékoľvek</w:t>
      </w:r>
      <w:r w:rsidRPr="000D27F8">
        <w:rPr>
          <w:sz w:val="22"/>
          <w:szCs w:val="22"/>
          <w:lang w:val="sk-SK"/>
        </w:rPr>
        <w:t xml:space="preserve"> ďalšie otázky týkajúce sa použitia tohto lieku, opýtajte sa svojho lekára,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lekárnika</w:t>
      </w:r>
      <w:r>
        <w:rPr>
          <w:sz w:val="22"/>
          <w:szCs w:val="22"/>
          <w:lang w:val="sk-SK"/>
        </w:rPr>
        <w:t xml:space="preserve"> </w:t>
      </w:r>
      <w:r w:rsidRPr="000D27F8">
        <w:rPr>
          <w:sz w:val="22"/>
          <w:szCs w:val="22"/>
          <w:lang w:val="sk-SK"/>
        </w:rPr>
        <w:t>alebo zdravotnej sestry</w:t>
      </w:r>
      <w:r>
        <w:rPr>
          <w:sz w:val="22"/>
          <w:szCs w:val="22"/>
          <w:lang w:val="sk-SK"/>
        </w:rPr>
        <w:t>.</w:t>
      </w:r>
    </w:p>
    <w:p w14:paraId="3B1D61FD" w14:textId="77777777" w:rsidR="00077CCE" w:rsidRDefault="00077CCE" w:rsidP="0004549A">
      <w:pPr>
        <w:rPr>
          <w:sz w:val="22"/>
          <w:szCs w:val="22"/>
          <w:lang w:val="sk-SK"/>
        </w:rPr>
      </w:pPr>
    </w:p>
    <w:p w14:paraId="71450BC3" w14:textId="77777777" w:rsidR="00613AD7" w:rsidRDefault="00613AD7" w:rsidP="0004549A">
      <w:pPr>
        <w:rPr>
          <w:sz w:val="22"/>
          <w:szCs w:val="22"/>
          <w:lang w:val="sk-SK"/>
        </w:rPr>
      </w:pPr>
    </w:p>
    <w:p w14:paraId="00E1246A" w14:textId="77777777" w:rsidR="00613AD7" w:rsidRPr="000D27F8" w:rsidRDefault="00613AD7" w:rsidP="0004549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0D27F8">
        <w:rPr>
          <w:b/>
          <w:sz w:val="22"/>
          <w:szCs w:val="22"/>
          <w:lang w:val="sk-SK"/>
        </w:rPr>
        <w:t>4.</w:t>
      </w:r>
      <w:r w:rsidRPr="000D27F8">
        <w:rPr>
          <w:b/>
          <w:sz w:val="22"/>
          <w:szCs w:val="22"/>
          <w:lang w:val="sk-SK"/>
        </w:rPr>
        <w:tab/>
        <w:t>Možné vedľajšie účinky</w:t>
      </w:r>
    </w:p>
    <w:p w14:paraId="583EB1A0" w14:textId="77777777" w:rsidR="00613AD7" w:rsidRPr="000D27F8" w:rsidRDefault="00613AD7" w:rsidP="0004549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8312D07" w14:textId="77777777" w:rsidR="00613AD7" w:rsidRPr="000D27F8" w:rsidRDefault="00613AD7" w:rsidP="0004549A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0D27F8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11994C0C" w14:textId="77777777" w:rsidR="00613AD7" w:rsidRDefault="00613AD7" w:rsidP="0004549A">
      <w:pPr>
        <w:rPr>
          <w:sz w:val="22"/>
          <w:szCs w:val="22"/>
          <w:lang w:val="sk-SK"/>
        </w:rPr>
      </w:pPr>
    </w:p>
    <w:p w14:paraId="41072E6B" w14:textId="77777777" w:rsidR="00974EBD" w:rsidRPr="00763427" w:rsidRDefault="00974EBD" w:rsidP="0004549A">
      <w:pPr>
        <w:rPr>
          <w:sz w:val="22"/>
          <w:szCs w:val="22"/>
          <w:lang w:val="sk-SK"/>
        </w:rPr>
      </w:pPr>
      <w:r w:rsidRPr="00763427">
        <w:rPr>
          <w:b/>
          <w:sz w:val="22"/>
          <w:szCs w:val="22"/>
          <w:lang w:val="sk-SK"/>
        </w:rPr>
        <w:t xml:space="preserve">Časté </w:t>
      </w:r>
      <w:r w:rsidRPr="00763427">
        <w:rPr>
          <w:sz w:val="22"/>
          <w:szCs w:val="22"/>
          <w:lang w:val="sk-SK"/>
        </w:rPr>
        <w:t>(môžu sa prejaviť najviac u 1 z 10 pacientov)</w:t>
      </w:r>
      <w:r w:rsidRPr="00763427">
        <w:rPr>
          <w:b/>
          <w:sz w:val="22"/>
          <w:szCs w:val="22"/>
          <w:lang w:val="sk-SK"/>
        </w:rPr>
        <w:t xml:space="preserve"> až veľmi časté </w:t>
      </w:r>
      <w:r w:rsidRPr="00763427">
        <w:rPr>
          <w:sz w:val="22"/>
          <w:szCs w:val="22"/>
          <w:lang w:val="sk-SK"/>
        </w:rPr>
        <w:t xml:space="preserve">(môžu sa prejaviť u viac ako 1 z 10 pacientov) </w:t>
      </w:r>
      <w:r w:rsidRPr="00763427">
        <w:rPr>
          <w:b/>
          <w:sz w:val="22"/>
          <w:szCs w:val="22"/>
          <w:lang w:val="sk-SK"/>
        </w:rPr>
        <w:t>vedľajšie účinky</w:t>
      </w:r>
    </w:p>
    <w:p w14:paraId="4B8C9257" w14:textId="77777777" w:rsidR="00974EBD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čkanie</w:t>
      </w:r>
    </w:p>
    <w:p w14:paraId="6AD6FAC8" w14:textId="77777777" w:rsidR="00144CD0" w:rsidRDefault="00144CD0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nevoľnosť</w:t>
      </w:r>
      <w:r>
        <w:rPr>
          <w:sz w:val="22"/>
          <w:szCs w:val="22"/>
          <w:lang w:val="sk-SK"/>
        </w:rPr>
        <w:t>,</w:t>
      </w:r>
      <w:r w:rsidRPr="00ED2053">
        <w:rPr>
          <w:sz w:val="22"/>
          <w:szCs w:val="22"/>
          <w:lang w:val="sk-SK"/>
        </w:rPr>
        <w:t xml:space="preserve"> vracanie</w:t>
      </w:r>
    </w:p>
    <w:p w14:paraId="545FA911" w14:textId="77777777" w:rsidR="00144CD0" w:rsidRPr="00763427" w:rsidRDefault="00144CD0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D2053">
        <w:rPr>
          <w:sz w:val="22"/>
          <w:szCs w:val="22"/>
          <w:lang w:val="sk-SK"/>
        </w:rPr>
        <w:t>bolesti brucha</w:t>
      </w:r>
    </w:p>
    <w:p w14:paraId="74E5C5EB" w14:textId="77777777" w:rsidR="00974EBD" w:rsidRPr="00763427" w:rsidRDefault="00974EBD" w:rsidP="0004549A">
      <w:pPr>
        <w:rPr>
          <w:b/>
          <w:sz w:val="22"/>
          <w:szCs w:val="22"/>
          <w:lang w:val="sk-SK"/>
        </w:rPr>
      </w:pPr>
    </w:p>
    <w:p w14:paraId="2DE6B2EC" w14:textId="77777777" w:rsidR="00974EBD" w:rsidRPr="00763427" w:rsidRDefault="00974EBD" w:rsidP="0004549A">
      <w:pPr>
        <w:rPr>
          <w:b/>
          <w:sz w:val="22"/>
          <w:szCs w:val="22"/>
          <w:lang w:val="sk-SK"/>
        </w:rPr>
      </w:pPr>
      <w:r w:rsidRPr="00763427">
        <w:rPr>
          <w:b/>
          <w:sz w:val="22"/>
          <w:szCs w:val="22"/>
          <w:lang w:val="sk-SK"/>
        </w:rPr>
        <w:t xml:space="preserve">Menej časté </w:t>
      </w:r>
      <w:r w:rsidR="008221AE" w:rsidRPr="00763427">
        <w:rPr>
          <w:b/>
          <w:sz w:val="22"/>
          <w:szCs w:val="22"/>
          <w:lang w:val="sk-SK"/>
        </w:rPr>
        <w:t xml:space="preserve">vedľajšie </w:t>
      </w:r>
      <w:r w:rsidRPr="00763427">
        <w:rPr>
          <w:b/>
          <w:sz w:val="22"/>
          <w:szCs w:val="22"/>
          <w:lang w:val="sk-SK"/>
        </w:rPr>
        <w:t>účinky</w:t>
      </w:r>
      <w:r w:rsidRPr="00763427">
        <w:rPr>
          <w:sz w:val="22"/>
          <w:szCs w:val="22"/>
          <w:lang w:val="sk-SK"/>
        </w:rPr>
        <w:t xml:space="preserve"> (môžu sa prejaviť najviac u 1 zo 100 pacientov)</w:t>
      </w:r>
    </w:p>
    <w:p w14:paraId="066AC674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abstinenčné príznaky z vysadenia liečby</w:t>
      </w:r>
    </w:p>
    <w:p w14:paraId="494C04E4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letargia (</w:t>
      </w:r>
      <w:r w:rsidR="00126EEE">
        <w:rPr>
          <w:sz w:val="22"/>
          <w:szCs w:val="22"/>
          <w:lang w:val="sk-SK"/>
        </w:rPr>
        <w:t>ľahostajnosť</w:t>
      </w:r>
      <w:r w:rsidRPr="00763427">
        <w:rPr>
          <w:sz w:val="22"/>
          <w:szCs w:val="22"/>
          <w:lang w:val="sk-SK"/>
        </w:rPr>
        <w:t>)</w:t>
      </w:r>
    </w:p>
    <w:p w14:paraId="046473E0" w14:textId="77777777" w:rsidR="00974EBD" w:rsidRPr="00763427" w:rsidRDefault="00974EBD" w:rsidP="0004549A">
      <w:pPr>
        <w:rPr>
          <w:b/>
          <w:sz w:val="22"/>
          <w:szCs w:val="22"/>
          <w:lang w:val="sk-SK"/>
        </w:rPr>
      </w:pPr>
    </w:p>
    <w:p w14:paraId="1CBE1213" w14:textId="77777777" w:rsidR="00974EBD" w:rsidRPr="00763427" w:rsidRDefault="00974EBD" w:rsidP="0004549A">
      <w:pPr>
        <w:rPr>
          <w:sz w:val="22"/>
          <w:szCs w:val="22"/>
          <w:lang w:val="sk-SK"/>
        </w:rPr>
      </w:pPr>
      <w:r w:rsidRPr="00763427">
        <w:rPr>
          <w:b/>
          <w:sz w:val="22"/>
          <w:szCs w:val="22"/>
          <w:lang w:val="sk-SK"/>
        </w:rPr>
        <w:t xml:space="preserve">Zriedkavé </w:t>
      </w:r>
      <w:r w:rsidR="008221AE" w:rsidRPr="00763427">
        <w:rPr>
          <w:b/>
          <w:sz w:val="22"/>
          <w:szCs w:val="22"/>
          <w:lang w:val="sk-SK"/>
        </w:rPr>
        <w:t xml:space="preserve">vedľajšie </w:t>
      </w:r>
      <w:r w:rsidRPr="00763427">
        <w:rPr>
          <w:b/>
          <w:sz w:val="22"/>
          <w:szCs w:val="22"/>
          <w:lang w:val="sk-SK"/>
        </w:rPr>
        <w:t>účinky</w:t>
      </w:r>
      <w:r w:rsidRPr="00763427">
        <w:rPr>
          <w:sz w:val="22"/>
          <w:szCs w:val="22"/>
          <w:lang w:val="sk-SK"/>
        </w:rPr>
        <w:t xml:space="preserve"> (môžu sa prejaviť najviac u 1z 1 000 pacientov)</w:t>
      </w:r>
    </w:p>
    <w:p w14:paraId="42C81122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nízky počet bielych krviniek (leukopénia)</w:t>
      </w:r>
    </w:p>
    <w:p w14:paraId="104621F7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vážny nedostatok určitých bielych krviniek (agranulocytóza)</w:t>
      </w:r>
    </w:p>
    <w:p w14:paraId="6D91C7AF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strata chuti do jedla, úbytok hmotnosti</w:t>
      </w:r>
    </w:p>
    <w:p w14:paraId="0CA6854E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poruchy spánku</w:t>
      </w:r>
    </w:p>
    <w:p w14:paraId="6B54B70F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úzkosť</w:t>
      </w:r>
    </w:p>
    <w:p w14:paraId="2BFF9D5B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výrazné bolesti hlavy</w:t>
      </w:r>
    </w:p>
    <w:p w14:paraId="08447CE9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zhoršená koordinácia pohybov (ataxia)</w:t>
      </w:r>
    </w:p>
    <w:p w14:paraId="4678A9BF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hnačka, zápcha</w:t>
      </w:r>
    </w:p>
    <w:p w14:paraId="1E14D995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lupus erythemato</w:t>
      </w:r>
      <w:r>
        <w:rPr>
          <w:sz w:val="22"/>
          <w:szCs w:val="22"/>
          <w:lang w:val="sk-SK"/>
        </w:rPr>
        <w:t>de</w:t>
      </w:r>
      <w:r w:rsidRPr="00763427">
        <w:rPr>
          <w:sz w:val="22"/>
          <w:szCs w:val="22"/>
          <w:lang w:val="sk-SK"/>
        </w:rPr>
        <w:t>s (ochorenie imunitného systému spôsobujúce bolesti kĺbov, vyrážky a horúčku) s rozličným stupňom prejavov</w:t>
      </w:r>
    </w:p>
    <w:p w14:paraId="20EBF0C3" w14:textId="77777777" w:rsidR="00974EBD" w:rsidRPr="00763427" w:rsidRDefault="00974EBD" w:rsidP="0004549A">
      <w:pPr>
        <w:rPr>
          <w:b/>
          <w:sz w:val="22"/>
          <w:szCs w:val="22"/>
          <w:lang w:val="sk-SK"/>
        </w:rPr>
      </w:pPr>
    </w:p>
    <w:p w14:paraId="16803532" w14:textId="77777777" w:rsidR="00974EBD" w:rsidRPr="00763427" w:rsidRDefault="00974EBD" w:rsidP="0004549A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Veľmi z</w:t>
      </w:r>
      <w:r w:rsidRPr="00763427">
        <w:rPr>
          <w:b/>
          <w:sz w:val="22"/>
          <w:szCs w:val="22"/>
          <w:lang w:val="sk-SK"/>
        </w:rPr>
        <w:t xml:space="preserve">riedkavé </w:t>
      </w:r>
      <w:r w:rsidR="008221AE" w:rsidRPr="00763427">
        <w:rPr>
          <w:b/>
          <w:sz w:val="22"/>
          <w:szCs w:val="22"/>
          <w:lang w:val="sk-SK"/>
        </w:rPr>
        <w:t xml:space="preserve">vedľajšie </w:t>
      </w:r>
      <w:r w:rsidRPr="00763427">
        <w:rPr>
          <w:b/>
          <w:sz w:val="22"/>
          <w:szCs w:val="22"/>
          <w:lang w:val="sk-SK"/>
        </w:rPr>
        <w:t>účinky</w:t>
      </w:r>
      <w:r w:rsidRPr="00763427">
        <w:rPr>
          <w:sz w:val="22"/>
          <w:szCs w:val="22"/>
          <w:lang w:val="sk-SK"/>
        </w:rPr>
        <w:t xml:space="preserve"> (môžu sa prejaviť najviac u 1 z 10 000 pacientov)</w:t>
      </w:r>
    </w:p>
    <w:p w14:paraId="4F857629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paranoid</w:t>
      </w:r>
      <w:r>
        <w:rPr>
          <w:sz w:val="22"/>
          <w:szCs w:val="22"/>
          <w:lang w:val="sk-SK"/>
        </w:rPr>
        <w:t>no-</w:t>
      </w:r>
      <w:r w:rsidRPr="00763427">
        <w:rPr>
          <w:sz w:val="22"/>
          <w:szCs w:val="22"/>
          <w:lang w:val="sk-SK"/>
        </w:rPr>
        <w:t>halucinatórny jav (nezmyselné podozrenia spolu s vnímaním vecí, ktoré tam v skutočnosti nie sú), ktorý sa rozvinie v priebehu dní alebo týždňov</w:t>
      </w:r>
    </w:p>
    <w:p w14:paraId="4E12E92C" w14:textId="77777777" w:rsidR="00974EBD" w:rsidRPr="00763427" w:rsidRDefault="00974EBD" w:rsidP="0004549A">
      <w:pPr>
        <w:rPr>
          <w:b/>
          <w:sz w:val="22"/>
          <w:szCs w:val="22"/>
          <w:lang w:val="sk-SK"/>
        </w:rPr>
      </w:pPr>
    </w:p>
    <w:p w14:paraId="46881480" w14:textId="77777777" w:rsidR="00974EBD" w:rsidRPr="00763427" w:rsidRDefault="00974EBD" w:rsidP="0004549A">
      <w:pPr>
        <w:rPr>
          <w:sz w:val="22"/>
          <w:szCs w:val="22"/>
          <w:lang w:val="sk-SK"/>
        </w:rPr>
      </w:pPr>
      <w:r w:rsidRPr="00763427">
        <w:rPr>
          <w:b/>
          <w:sz w:val="22"/>
          <w:szCs w:val="22"/>
          <w:lang w:val="sk-SK"/>
        </w:rPr>
        <w:t>Vedľajšie účinky neznámej frekvencie</w:t>
      </w:r>
      <w:r w:rsidRPr="00763427">
        <w:rPr>
          <w:sz w:val="22"/>
          <w:szCs w:val="22"/>
          <w:lang w:val="sk-SK"/>
        </w:rPr>
        <w:t xml:space="preserve"> (frekvenciu nie je možné určiť z dostupných údajov) </w:t>
      </w:r>
    </w:p>
    <w:p w14:paraId="6D875255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pokles počtu všetkých krviniek (aplastická anémia, pancytopénia)</w:t>
      </w:r>
    </w:p>
    <w:p w14:paraId="7B6E6CEE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nízky počet určitého typu bielych krviniek (eozinofília)</w:t>
      </w:r>
    </w:p>
    <w:p w14:paraId="5655CF6F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dyskinéza (nekontrolované pohyby), ktorá sa rozvinie v priebehu prvých 12 hodín liečby, ktorá však ustúpi po vysadení etosuximidu alebo podaní difenhydramínu</w:t>
      </w:r>
    </w:p>
    <w:p w14:paraId="3503C199" w14:textId="77777777" w:rsidR="00974EBD" w:rsidRPr="00763427" w:rsidRDefault="00974EBD" w:rsidP="0004549A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763427">
        <w:rPr>
          <w:sz w:val="22"/>
          <w:szCs w:val="22"/>
          <w:lang w:val="sk-SK"/>
        </w:rPr>
        <w:t>alergické kožné reakcie, napríklad vyrážka (exantém), alebo ťažšie generalizované formy (zasahujúce celý povrch tela) ako Stevens</w:t>
      </w:r>
      <w:r w:rsidR="008221AE">
        <w:rPr>
          <w:sz w:val="22"/>
          <w:szCs w:val="22"/>
          <w:lang w:val="sk-SK"/>
        </w:rPr>
        <w:t>ov</w:t>
      </w:r>
      <w:r w:rsidRPr="00763427">
        <w:rPr>
          <w:sz w:val="22"/>
          <w:szCs w:val="22"/>
          <w:lang w:val="sk-SK"/>
        </w:rPr>
        <w:t>-Johnsonov syndróm (ťažká reakcia s tvorbou pľuzgierov na koži a slizniciach)</w:t>
      </w:r>
    </w:p>
    <w:p w14:paraId="6C26D01D" w14:textId="77777777" w:rsidR="00613AD7" w:rsidRDefault="00613AD7" w:rsidP="0004549A">
      <w:pPr>
        <w:rPr>
          <w:sz w:val="22"/>
          <w:szCs w:val="22"/>
          <w:lang w:val="sk-SK"/>
        </w:rPr>
      </w:pPr>
    </w:p>
    <w:p w14:paraId="280AD7F5" w14:textId="77777777" w:rsidR="00613AD7" w:rsidRDefault="00613AD7" w:rsidP="0004549A">
      <w:pPr>
        <w:rPr>
          <w:sz w:val="22"/>
          <w:szCs w:val="22"/>
          <w:lang w:val="sk-SK"/>
        </w:rPr>
      </w:pPr>
    </w:p>
    <w:p w14:paraId="430B8960" w14:textId="77777777" w:rsidR="003F3B11" w:rsidRPr="007E0D2E" w:rsidRDefault="003F3B11" w:rsidP="00597A61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7E0D2E">
        <w:rPr>
          <w:b/>
          <w:noProof/>
          <w:sz w:val="22"/>
          <w:szCs w:val="22"/>
        </w:rPr>
        <w:lastRenderedPageBreak/>
        <w:t>Hlásenie vedľajších účinkov</w:t>
      </w:r>
    </w:p>
    <w:p w14:paraId="2CA20AA2" w14:textId="29832541" w:rsidR="003F3B11" w:rsidRPr="007E0D2E" w:rsidRDefault="003F3B11" w:rsidP="00597A61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E0D2E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7631BF">
        <w:rPr>
          <w:noProof/>
          <w:sz w:val="22"/>
          <w:szCs w:val="22"/>
        </w:rPr>
        <w:t xml:space="preserve">na </w:t>
      </w:r>
      <w:r w:rsidRPr="007E0D2E">
        <w:rPr>
          <w:noProof/>
          <w:sz w:val="22"/>
          <w:szCs w:val="22"/>
          <w:highlight w:val="lightGray"/>
        </w:rPr>
        <w:t>národné</w:t>
      </w:r>
      <w:r w:rsidR="007631BF">
        <w:rPr>
          <w:noProof/>
          <w:sz w:val="22"/>
          <w:szCs w:val="22"/>
          <w:highlight w:val="lightGray"/>
        </w:rPr>
        <w:t xml:space="preserve"> centrum </w:t>
      </w:r>
      <w:r w:rsidRPr="007E0D2E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7E0D2E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7E0D2E">
          <w:rPr>
            <w:rStyle w:val="Hypertextovprepojenie"/>
            <w:sz w:val="22"/>
            <w:szCs w:val="22"/>
            <w:highlight w:val="lightGray"/>
          </w:rPr>
          <w:t>rílohe V</w:t>
        </w:r>
      </w:hyperlink>
      <w:r w:rsidRPr="007E0D2E">
        <w:rPr>
          <w:noProof/>
          <w:sz w:val="22"/>
          <w:szCs w:val="22"/>
        </w:rPr>
        <w:t>.</w:t>
      </w:r>
      <w:r w:rsidRPr="007E0D2E">
        <w:rPr>
          <w:sz w:val="22"/>
          <w:szCs w:val="22"/>
        </w:rPr>
        <w:t xml:space="preserve"> </w:t>
      </w:r>
      <w:r w:rsidRPr="007E0D2E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5F7EABC3" w14:textId="77777777" w:rsidR="003F3B11" w:rsidRDefault="003F3B11" w:rsidP="0004549A">
      <w:pPr>
        <w:rPr>
          <w:sz w:val="22"/>
          <w:szCs w:val="22"/>
          <w:lang w:val="sk-SK"/>
        </w:rPr>
      </w:pPr>
    </w:p>
    <w:p w14:paraId="1990398D" w14:textId="77777777" w:rsidR="00B14ED7" w:rsidRDefault="00B14ED7" w:rsidP="00035499">
      <w:pPr>
        <w:jc w:val="both"/>
        <w:rPr>
          <w:sz w:val="22"/>
          <w:szCs w:val="22"/>
          <w:lang w:val="sk-SK"/>
        </w:rPr>
      </w:pPr>
    </w:p>
    <w:p w14:paraId="4CFC844E" w14:textId="77777777" w:rsidR="00BA614C" w:rsidRPr="004612E9" w:rsidRDefault="00BA614C" w:rsidP="0046402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612E9">
        <w:rPr>
          <w:b/>
          <w:sz w:val="22"/>
          <w:szCs w:val="22"/>
          <w:lang w:val="sk-SK"/>
        </w:rPr>
        <w:t>5.</w:t>
      </w:r>
      <w:r w:rsidRPr="004612E9">
        <w:rPr>
          <w:b/>
          <w:sz w:val="22"/>
          <w:szCs w:val="22"/>
          <w:lang w:val="sk-SK"/>
        </w:rPr>
        <w:tab/>
        <w:t xml:space="preserve">Ako uchovávať </w:t>
      </w:r>
      <w:r w:rsidR="0046402D" w:rsidRPr="004612E9">
        <w:rPr>
          <w:b/>
          <w:sz w:val="22"/>
          <w:szCs w:val="22"/>
          <w:lang w:val="sk-SK"/>
        </w:rPr>
        <w:t>Petnidan</w:t>
      </w:r>
    </w:p>
    <w:p w14:paraId="0E6C7304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rFonts w:ascii="(Asiatische Schriftart verwende" w:hAnsi="(Asiatische Schriftart verwende"/>
          <w:iCs/>
          <w:sz w:val="22"/>
          <w:szCs w:val="22"/>
          <w:lang w:val="sk-SK"/>
        </w:rPr>
      </w:pPr>
    </w:p>
    <w:p w14:paraId="71850949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>Tento liek uchovávajte mimo dohľadu a dosahu detí.</w:t>
      </w:r>
    </w:p>
    <w:p w14:paraId="17C23580" w14:textId="77777777" w:rsidR="00BA614C" w:rsidRPr="004612E9" w:rsidRDefault="00BA614C" w:rsidP="0046402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>Nepoužívajte tento liek po dátume exspirácie, ktorý je uvedený na obalu.</w:t>
      </w:r>
    </w:p>
    <w:p w14:paraId="108B2C45" w14:textId="77777777" w:rsidR="00E4597E" w:rsidRPr="004612E9" w:rsidRDefault="00E4597E" w:rsidP="0046402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>Uchovávajte pri teplote neprevyšujúcej 30°C.</w:t>
      </w:r>
    </w:p>
    <w:p w14:paraId="462E1275" w14:textId="77777777" w:rsidR="00E4597E" w:rsidRPr="004612E9" w:rsidRDefault="008E2284" w:rsidP="0046402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>Liekovku udržiavajte dôkladne uzatvorenú.</w:t>
      </w:r>
    </w:p>
    <w:p w14:paraId="7086DF9A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13D13A1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F26C48F" w14:textId="77777777" w:rsidR="00BA614C" w:rsidRPr="004612E9" w:rsidRDefault="00BA614C" w:rsidP="00BA614C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4612E9">
        <w:rPr>
          <w:b/>
          <w:sz w:val="22"/>
          <w:szCs w:val="22"/>
          <w:lang w:val="sk-SK"/>
        </w:rPr>
        <w:t>6.</w:t>
      </w:r>
      <w:r w:rsidRPr="004612E9">
        <w:rPr>
          <w:b/>
          <w:sz w:val="22"/>
          <w:szCs w:val="22"/>
          <w:lang w:val="sk-SK"/>
        </w:rPr>
        <w:tab/>
        <w:t>Obsah balenia a ďalšie informácie</w:t>
      </w:r>
    </w:p>
    <w:p w14:paraId="2D4F56DA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7C3B150" w14:textId="77777777" w:rsidR="00BA614C" w:rsidRPr="004612E9" w:rsidRDefault="00BA614C" w:rsidP="008457E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612E9">
        <w:rPr>
          <w:b/>
          <w:sz w:val="22"/>
          <w:szCs w:val="22"/>
          <w:lang w:val="sk-SK"/>
        </w:rPr>
        <w:t xml:space="preserve">Čo </w:t>
      </w:r>
      <w:r w:rsidR="008457E7" w:rsidRPr="004612E9">
        <w:rPr>
          <w:b/>
          <w:sz w:val="22"/>
          <w:szCs w:val="22"/>
          <w:lang w:val="sk-SK"/>
        </w:rPr>
        <w:t>Petnidan ob</w:t>
      </w:r>
      <w:r w:rsidRPr="004612E9">
        <w:rPr>
          <w:b/>
          <w:sz w:val="22"/>
          <w:szCs w:val="22"/>
          <w:lang w:val="sk-SK"/>
        </w:rPr>
        <w:t>sahuje</w:t>
      </w:r>
    </w:p>
    <w:p w14:paraId="09763088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163080D7" w14:textId="77777777" w:rsidR="00BA614C" w:rsidRPr="004612E9" w:rsidRDefault="00BA614C" w:rsidP="00E54467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 xml:space="preserve">Liečivo je </w:t>
      </w:r>
      <w:r w:rsidR="008457E7" w:rsidRPr="004612E9">
        <w:rPr>
          <w:sz w:val="22"/>
          <w:szCs w:val="22"/>
          <w:lang w:val="sk-SK"/>
        </w:rPr>
        <w:t>etosuximid. 1 kapsula obsahuje 250 mg etosuximid</w:t>
      </w:r>
      <w:r w:rsidR="008221AE">
        <w:rPr>
          <w:sz w:val="22"/>
          <w:szCs w:val="22"/>
          <w:lang w:val="sk-SK"/>
        </w:rPr>
        <w:t>u</w:t>
      </w:r>
      <w:r w:rsidR="008457E7" w:rsidRPr="004612E9">
        <w:rPr>
          <w:sz w:val="22"/>
          <w:szCs w:val="22"/>
          <w:lang w:val="sk-SK"/>
        </w:rPr>
        <w:t>.</w:t>
      </w:r>
    </w:p>
    <w:p w14:paraId="5DCB6AC1" w14:textId="77777777" w:rsidR="00EF7955" w:rsidRPr="004612E9" w:rsidRDefault="00BA614C" w:rsidP="00EF7955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>Ďalšie zložky</w:t>
      </w:r>
      <w:r w:rsidR="008457E7" w:rsidRPr="004612E9">
        <w:rPr>
          <w:sz w:val="22"/>
          <w:szCs w:val="22"/>
          <w:lang w:val="sk-SK"/>
        </w:rPr>
        <w:t xml:space="preserve"> </w:t>
      </w:r>
      <w:r w:rsidRPr="004612E9">
        <w:rPr>
          <w:sz w:val="22"/>
          <w:szCs w:val="22"/>
          <w:lang w:val="sk-SK"/>
        </w:rPr>
        <w:t>sú</w:t>
      </w:r>
      <w:r w:rsidR="008457E7" w:rsidRPr="004612E9">
        <w:rPr>
          <w:sz w:val="22"/>
          <w:szCs w:val="22"/>
          <w:lang w:val="sk-SK"/>
        </w:rPr>
        <w:t xml:space="preserve"> </w:t>
      </w:r>
      <w:r w:rsidR="00EF7955" w:rsidRPr="004612E9">
        <w:rPr>
          <w:sz w:val="22"/>
          <w:szCs w:val="22"/>
          <w:lang w:val="sk-SK"/>
        </w:rPr>
        <w:t>makrogol 300, čistená voda</w:t>
      </w:r>
    </w:p>
    <w:p w14:paraId="5FCB6639" w14:textId="77777777" w:rsidR="00BA614C" w:rsidRPr="004612E9" w:rsidRDefault="00EF7955" w:rsidP="00354F74">
      <w:pPr>
        <w:ind w:left="567"/>
        <w:rPr>
          <w:sz w:val="22"/>
          <w:szCs w:val="22"/>
          <w:lang w:val="sk-SK"/>
        </w:rPr>
      </w:pPr>
      <w:r w:rsidRPr="004612E9">
        <w:rPr>
          <w:sz w:val="22"/>
          <w:szCs w:val="22"/>
          <w:u w:val="single"/>
          <w:lang w:val="sk-SK"/>
        </w:rPr>
        <w:t>Kapsula:</w:t>
      </w:r>
      <w:r w:rsidRPr="004612E9">
        <w:rPr>
          <w:sz w:val="22"/>
          <w:szCs w:val="22"/>
          <w:lang w:val="sk-SK"/>
        </w:rPr>
        <w:t xml:space="preserve"> želatína, glycerol 85%, oxid titaničitý</w:t>
      </w:r>
      <w:r w:rsidR="008221AE">
        <w:rPr>
          <w:sz w:val="22"/>
          <w:szCs w:val="22"/>
          <w:lang w:val="sk-SK"/>
        </w:rPr>
        <w:t xml:space="preserve"> (E171</w:t>
      </w:r>
      <w:r w:rsidRPr="004612E9">
        <w:rPr>
          <w:sz w:val="22"/>
          <w:szCs w:val="22"/>
          <w:lang w:val="sk-SK"/>
        </w:rPr>
        <w:t>), anidrisorb 85/70 {anidrisorb 85/70 zloženie: manitol, sorbitan, sorbitol, vyššie polyoly}</w:t>
      </w:r>
      <w:r w:rsidR="00354F74" w:rsidRPr="004612E9">
        <w:rPr>
          <w:sz w:val="22"/>
          <w:szCs w:val="22"/>
          <w:lang w:val="sk-SK"/>
        </w:rPr>
        <w:t>,</w:t>
      </w:r>
      <w:r w:rsidRPr="004612E9">
        <w:rPr>
          <w:sz w:val="22"/>
          <w:szCs w:val="22"/>
          <w:lang w:val="sk-SK"/>
        </w:rPr>
        <w:t xml:space="preserve"> žltý oxid železitý</w:t>
      </w:r>
      <w:r w:rsidR="008221AE">
        <w:rPr>
          <w:sz w:val="22"/>
          <w:szCs w:val="22"/>
          <w:lang w:val="sk-SK"/>
        </w:rPr>
        <w:t xml:space="preserve"> (E172</w:t>
      </w:r>
      <w:r w:rsidRPr="004612E9">
        <w:rPr>
          <w:sz w:val="22"/>
          <w:szCs w:val="22"/>
          <w:lang w:val="sk-SK"/>
        </w:rPr>
        <w:t>)</w:t>
      </w:r>
    </w:p>
    <w:p w14:paraId="191D7911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ABA4B48" w14:textId="77777777" w:rsidR="00BA614C" w:rsidRPr="004612E9" w:rsidRDefault="00BA614C" w:rsidP="00354F7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612E9">
        <w:rPr>
          <w:b/>
          <w:sz w:val="22"/>
          <w:szCs w:val="22"/>
          <w:lang w:val="sk-SK"/>
        </w:rPr>
        <w:t xml:space="preserve">Ako vyzerá </w:t>
      </w:r>
      <w:r w:rsidR="00354F74" w:rsidRPr="004612E9">
        <w:rPr>
          <w:b/>
          <w:sz w:val="22"/>
          <w:szCs w:val="22"/>
          <w:lang w:val="sk-SK"/>
        </w:rPr>
        <w:t>Petnidan</w:t>
      </w:r>
      <w:r w:rsidRPr="004612E9">
        <w:rPr>
          <w:b/>
          <w:sz w:val="22"/>
          <w:szCs w:val="22"/>
          <w:lang w:val="sk-SK"/>
        </w:rPr>
        <w:t xml:space="preserve"> a obsah balenia</w:t>
      </w:r>
    </w:p>
    <w:p w14:paraId="77E6D548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D9119F9" w14:textId="1676D078" w:rsidR="00354F74" w:rsidRPr="004612E9" w:rsidRDefault="004612E9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 xml:space="preserve">Petnidan kapsuly sú želatínové kapsuly vajcovitého tvaru, </w:t>
      </w:r>
      <w:r w:rsidR="00F270F5">
        <w:rPr>
          <w:sz w:val="22"/>
          <w:szCs w:val="22"/>
          <w:lang w:val="sk-SK"/>
        </w:rPr>
        <w:t>zlatožltej</w:t>
      </w:r>
      <w:r w:rsidR="00F270F5" w:rsidRPr="004612E9">
        <w:rPr>
          <w:sz w:val="22"/>
          <w:szCs w:val="22"/>
          <w:lang w:val="sk-SK"/>
        </w:rPr>
        <w:t xml:space="preserve"> </w:t>
      </w:r>
      <w:r w:rsidRPr="004612E9">
        <w:rPr>
          <w:sz w:val="22"/>
          <w:szCs w:val="22"/>
          <w:lang w:val="sk-SK"/>
        </w:rPr>
        <w:t>farby, nepriesvitné</w:t>
      </w:r>
      <w:r>
        <w:rPr>
          <w:sz w:val="22"/>
          <w:szCs w:val="22"/>
          <w:lang w:val="sk-SK"/>
        </w:rPr>
        <w:t>.</w:t>
      </w:r>
    </w:p>
    <w:p w14:paraId="729E582B" w14:textId="77777777" w:rsidR="004612E9" w:rsidRPr="004612E9" w:rsidRDefault="004612E9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FA96D6C" w14:textId="77777777" w:rsidR="004612E9" w:rsidRPr="004612E9" w:rsidRDefault="004612E9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2E9">
        <w:rPr>
          <w:sz w:val="22"/>
          <w:szCs w:val="22"/>
          <w:lang w:val="sk-SK"/>
        </w:rPr>
        <w:t>Balenie: 50, 100 kapsúl</w:t>
      </w:r>
    </w:p>
    <w:p w14:paraId="61D78F31" w14:textId="77777777" w:rsidR="004612E9" w:rsidRPr="004612E9" w:rsidRDefault="004612E9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59D252B" w14:textId="77777777" w:rsidR="004612E9" w:rsidRPr="004612E9" w:rsidRDefault="004612E9" w:rsidP="00BA614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8A79859" w14:textId="77777777" w:rsidR="00BA614C" w:rsidRPr="004612E9" w:rsidRDefault="00BA614C" w:rsidP="00BA614C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612E9">
        <w:rPr>
          <w:b/>
          <w:sz w:val="22"/>
          <w:szCs w:val="22"/>
          <w:lang w:val="sk-SK"/>
        </w:rPr>
        <w:t>Držiteľ rozhodnutia o registrácii a výrobca</w:t>
      </w:r>
    </w:p>
    <w:p w14:paraId="708C4ADF" w14:textId="77777777" w:rsidR="00B14ED7" w:rsidRDefault="00B14ED7" w:rsidP="00035499">
      <w:pPr>
        <w:jc w:val="both"/>
        <w:rPr>
          <w:sz w:val="22"/>
          <w:szCs w:val="22"/>
          <w:lang w:val="sk-SK"/>
        </w:rPr>
      </w:pPr>
    </w:p>
    <w:p w14:paraId="51214439" w14:textId="77777777" w:rsidR="004612E9" w:rsidRPr="00FD306D" w:rsidRDefault="004612E9" w:rsidP="004612E9">
      <w:pPr>
        <w:tabs>
          <w:tab w:val="left" w:pos="567"/>
        </w:tabs>
        <w:jc w:val="both"/>
        <w:rPr>
          <w:b/>
          <w:sz w:val="22"/>
          <w:szCs w:val="22"/>
        </w:rPr>
      </w:pPr>
      <w:r w:rsidRPr="00FD306D">
        <w:rPr>
          <w:sz w:val="22"/>
          <w:szCs w:val="22"/>
        </w:rPr>
        <w:t>DESITIN Arzneimittel GmbH</w:t>
      </w:r>
    </w:p>
    <w:p w14:paraId="04431840" w14:textId="77777777" w:rsidR="004612E9" w:rsidRPr="00FD306D" w:rsidRDefault="004612E9" w:rsidP="004612E9">
      <w:pPr>
        <w:tabs>
          <w:tab w:val="left" w:pos="567"/>
        </w:tabs>
        <w:jc w:val="both"/>
        <w:rPr>
          <w:sz w:val="22"/>
          <w:szCs w:val="22"/>
        </w:rPr>
      </w:pPr>
      <w:r w:rsidRPr="00FD306D">
        <w:rPr>
          <w:sz w:val="22"/>
          <w:szCs w:val="22"/>
        </w:rPr>
        <w:t>Weg beim Jäger 214</w:t>
      </w:r>
    </w:p>
    <w:p w14:paraId="1D06050D" w14:textId="77777777" w:rsidR="004612E9" w:rsidRPr="00FD306D" w:rsidRDefault="004612E9" w:rsidP="004612E9">
      <w:pPr>
        <w:tabs>
          <w:tab w:val="left" w:pos="567"/>
        </w:tabs>
        <w:jc w:val="both"/>
        <w:rPr>
          <w:sz w:val="22"/>
          <w:szCs w:val="22"/>
        </w:rPr>
      </w:pPr>
      <w:r w:rsidRPr="00FD306D">
        <w:rPr>
          <w:sz w:val="22"/>
          <w:szCs w:val="22"/>
        </w:rPr>
        <w:t>D-22335 Hamburg</w:t>
      </w:r>
    </w:p>
    <w:p w14:paraId="0AFC873D" w14:textId="1069CBCC" w:rsidR="004612E9" w:rsidRPr="004612E9" w:rsidRDefault="004612E9" w:rsidP="004612E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14:paraId="14DCD587" w14:textId="77777777" w:rsidR="004612E9" w:rsidRPr="004612E9" w:rsidRDefault="004612E9" w:rsidP="00035499">
      <w:pPr>
        <w:jc w:val="both"/>
        <w:rPr>
          <w:sz w:val="22"/>
          <w:szCs w:val="22"/>
          <w:lang w:val="sk-SK"/>
        </w:rPr>
      </w:pPr>
    </w:p>
    <w:p w14:paraId="76F84F84" w14:textId="77777777" w:rsidR="004612E9" w:rsidRPr="004612E9" w:rsidRDefault="004612E9" w:rsidP="00035499">
      <w:pPr>
        <w:jc w:val="both"/>
        <w:rPr>
          <w:sz w:val="22"/>
          <w:szCs w:val="22"/>
          <w:lang w:val="sk-SK"/>
        </w:rPr>
      </w:pPr>
    </w:p>
    <w:p w14:paraId="2F0F72FD" w14:textId="1C53F0C9" w:rsidR="00E70510" w:rsidRPr="004612E9" w:rsidRDefault="00684B01" w:rsidP="00684B01">
      <w:pPr>
        <w:rPr>
          <w:lang w:val="sk-SK"/>
        </w:rPr>
      </w:pPr>
      <w:r w:rsidRPr="000D27F8">
        <w:rPr>
          <w:b/>
          <w:sz w:val="22"/>
          <w:szCs w:val="22"/>
          <w:lang w:val="sk-SK"/>
        </w:rPr>
        <w:t>Táto p</w:t>
      </w:r>
      <w:r w:rsidR="00597A61">
        <w:rPr>
          <w:b/>
          <w:sz w:val="22"/>
          <w:szCs w:val="22"/>
          <w:lang w:val="sk-SK"/>
        </w:rPr>
        <w:t>ísomná informácia</w:t>
      </w:r>
      <w:bookmarkStart w:id="0" w:name="_GoBack"/>
      <w:bookmarkEnd w:id="0"/>
      <w:r w:rsidRPr="000D27F8">
        <w:rPr>
          <w:b/>
          <w:sz w:val="22"/>
          <w:szCs w:val="22"/>
          <w:lang w:val="sk-SK"/>
        </w:rPr>
        <w:t xml:space="preserve"> bola naposledy aktualizovaná v</w:t>
      </w:r>
      <w:r w:rsidR="007631BF">
        <w:rPr>
          <w:b/>
          <w:sz w:val="22"/>
          <w:szCs w:val="22"/>
          <w:lang w:val="sk-SK"/>
        </w:rPr>
        <w:t> 07/2018.</w:t>
      </w:r>
      <w:r w:rsidR="008221AE">
        <w:rPr>
          <w:b/>
          <w:sz w:val="22"/>
          <w:szCs w:val="22"/>
          <w:lang w:val="sk-SK"/>
        </w:rPr>
        <w:t xml:space="preserve"> </w:t>
      </w:r>
    </w:p>
    <w:sectPr w:rsidR="00E70510" w:rsidRPr="004612E9">
      <w:headerReference w:type="default" r:id="rId9"/>
      <w:footerReference w:type="even" r:id="rId10"/>
      <w:footerReference w:type="default" r:id="rId11"/>
      <w:pgSz w:w="12240" w:h="15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3AAF3" w14:textId="77777777" w:rsidR="00820173" w:rsidRDefault="00820173">
      <w:r>
        <w:separator/>
      </w:r>
    </w:p>
  </w:endnote>
  <w:endnote w:type="continuationSeparator" w:id="0">
    <w:p w14:paraId="3EF29CB0" w14:textId="77777777" w:rsidR="00820173" w:rsidRDefault="00820173">
      <w:r>
        <w:continuationSeparator/>
      </w:r>
    </w:p>
  </w:endnote>
  <w:endnote w:type="continuationNotice" w:id="1">
    <w:p w14:paraId="37A2DF50" w14:textId="77777777" w:rsidR="00820173" w:rsidRDefault="00820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B2D4C" w14:textId="77777777" w:rsidR="00BD0B84" w:rsidRDefault="00BD0B84" w:rsidP="00447F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C5B132" w14:textId="77777777" w:rsidR="00BD0B84" w:rsidRDefault="00BD0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93F36" w14:textId="77777777" w:rsidR="00BD0B84" w:rsidRDefault="00BD0B84" w:rsidP="00447F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97A61">
      <w:rPr>
        <w:rStyle w:val="slostrany"/>
        <w:noProof/>
      </w:rPr>
      <w:t>6</w:t>
    </w:r>
    <w:r>
      <w:rPr>
        <w:rStyle w:val="slostrany"/>
      </w:rPr>
      <w:fldChar w:fldCharType="end"/>
    </w:r>
  </w:p>
  <w:p w14:paraId="56CABC1A" w14:textId="77777777" w:rsidR="00BD0B84" w:rsidRDefault="00BD0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E6529" w14:textId="77777777" w:rsidR="00820173" w:rsidRDefault="00820173">
      <w:r>
        <w:separator/>
      </w:r>
    </w:p>
  </w:footnote>
  <w:footnote w:type="continuationSeparator" w:id="0">
    <w:p w14:paraId="1EF34DA3" w14:textId="77777777" w:rsidR="00820173" w:rsidRDefault="00820173">
      <w:r>
        <w:continuationSeparator/>
      </w:r>
    </w:p>
  </w:footnote>
  <w:footnote w:type="continuationNotice" w:id="1">
    <w:p w14:paraId="5AA62893" w14:textId="77777777" w:rsidR="00820173" w:rsidRDefault="008201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C296" w14:textId="05D0A05B" w:rsidR="007631BF" w:rsidRPr="00597A61" w:rsidRDefault="007631BF" w:rsidP="007631BF">
    <w:pPr>
      <w:rPr>
        <w:bCs/>
        <w:iCs/>
        <w:sz w:val="18"/>
        <w:szCs w:val="18"/>
      </w:rPr>
    </w:pPr>
    <w:r w:rsidRPr="00597A61">
      <w:rPr>
        <w:bCs/>
        <w:iCs/>
        <w:sz w:val="18"/>
        <w:szCs w:val="18"/>
      </w:rPr>
      <w:t>Príloha č.2 k notifikácii o zmene ev.č.:</w:t>
    </w:r>
    <w:r>
      <w:rPr>
        <w:bCs/>
        <w:iCs/>
        <w:sz w:val="18"/>
        <w:szCs w:val="18"/>
      </w:rPr>
      <w:t xml:space="preserve"> 2017/07043-ZIA</w:t>
    </w:r>
  </w:p>
  <w:p w14:paraId="5E0F6438" w14:textId="77777777" w:rsidR="007631BF" w:rsidRPr="00597A61" w:rsidRDefault="007631BF" w:rsidP="00597A61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BB28DF"/>
    <w:multiLevelType w:val="hybridMultilevel"/>
    <w:tmpl w:val="F83A78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22C00"/>
    <w:multiLevelType w:val="multilevel"/>
    <w:tmpl w:val="14962F44"/>
    <w:lvl w:ilvl="0">
      <w:start w:val="2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17475"/>
    <w:multiLevelType w:val="hybridMultilevel"/>
    <w:tmpl w:val="14962F44"/>
    <w:lvl w:ilvl="0" w:tplc="06F8B410">
      <w:start w:val="2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407FB"/>
    <w:multiLevelType w:val="hybridMultilevel"/>
    <w:tmpl w:val="92A06F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6B7D01"/>
    <w:multiLevelType w:val="hybridMultilevel"/>
    <w:tmpl w:val="977843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86BF9"/>
    <w:multiLevelType w:val="hybridMultilevel"/>
    <w:tmpl w:val="9ACAAA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34B97"/>
    <w:multiLevelType w:val="singleLevel"/>
    <w:tmpl w:val="3474BE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C2A0CF5"/>
    <w:multiLevelType w:val="hybridMultilevel"/>
    <w:tmpl w:val="92622A10"/>
    <w:lvl w:ilvl="0" w:tplc="209AFC3E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9DC6C02"/>
    <w:multiLevelType w:val="hybridMultilevel"/>
    <w:tmpl w:val="C6903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pharm regpharm">
    <w15:presenceInfo w15:providerId="Windows Live" w15:userId="12cfec8eae737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510"/>
    <w:rsid w:val="00001EFB"/>
    <w:rsid w:val="00035499"/>
    <w:rsid w:val="00037FB8"/>
    <w:rsid w:val="0004549A"/>
    <w:rsid w:val="00074C55"/>
    <w:rsid w:val="00077CCE"/>
    <w:rsid w:val="00096DB3"/>
    <w:rsid w:val="000B2FAF"/>
    <w:rsid w:val="000C657D"/>
    <w:rsid w:val="00104ACF"/>
    <w:rsid w:val="00126EEE"/>
    <w:rsid w:val="00144CD0"/>
    <w:rsid w:val="0014540F"/>
    <w:rsid w:val="00195E3C"/>
    <w:rsid w:val="001F2B43"/>
    <w:rsid w:val="001F4BD1"/>
    <w:rsid w:val="0023259B"/>
    <w:rsid w:val="002559F6"/>
    <w:rsid w:val="00256119"/>
    <w:rsid w:val="002622B3"/>
    <w:rsid w:val="002A722B"/>
    <w:rsid w:val="002D3617"/>
    <w:rsid w:val="002D432D"/>
    <w:rsid w:val="002F1098"/>
    <w:rsid w:val="00314DDA"/>
    <w:rsid w:val="00334D81"/>
    <w:rsid w:val="0035143F"/>
    <w:rsid w:val="00354F74"/>
    <w:rsid w:val="00355B33"/>
    <w:rsid w:val="003575B7"/>
    <w:rsid w:val="00357973"/>
    <w:rsid w:val="0037022A"/>
    <w:rsid w:val="003A225A"/>
    <w:rsid w:val="003A5A2C"/>
    <w:rsid w:val="003B1B4A"/>
    <w:rsid w:val="003E10BF"/>
    <w:rsid w:val="003F3B11"/>
    <w:rsid w:val="00411CD3"/>
    <w:rsid w:val="00424C65"/>
    <w:rsid w:val="00447F04"/>
    <w:rsid w:val="00447FAD"/>
    <w:rsid w:val="004612E9"/>
    <w:rsid w:val="0046402D"/>
    <w:rsid w:val="00472703"/>
    <w:rsid w:val="004A2770"/>
    <w:rsid w:val="004A50D7"/>
    <w:rsid w:val="004A7F50"/>
    <w:rsid w:val="00552322"/>
    <w:rsid w:val="0056506B"/>
    <w:rsid w:val="00570E3B"/>
    <w:rsid w:val="0059321D"/>
    <w:rsid w:val="005972CB"/>
    <w:rsid w:val="00597A61"/>
    <w:rsid w:val="005A20A6"/>
    <w:rsid w:val="005D6C47"/>
    <w:rsid w:val="005E4658"/>
    <w:rsid w:val="005F0C69"/>
    <w:rsid w:val="005F4713"/>
    <w:rsid w:val="00602641"/>
    <w:rsid w:val="00604D4D"/>
    <w:rsid w:val="00613AD7"/>
    <w:rsid w:val="0062668F"/>
    <w:rsid w:val="00627A69"/>
    <w:rsid w:val="00631583"/>
    <w:rsid w:val="00666590"/>
    <w:rsid w:val="0066679D"/>
    <w:rsid w:val="00684B01"/>
    <w:rsid w:val="006A1BA4"/>
    <w:rsid w:val="006B775C"/>
    <w:rsid w:val="006C0252"/>
    <w:rsid w:val="006F0B19"/>
    <w:rsid w:val="006F2928"/>
    <w:rsid w:val="006F3700"/>
    <w:rsid w:val="006F4312"/>
    <w:rsid w:val="007631BF"/>
    <w:rsid w:val="00764901"/>
    <w:rsid w:val="007B3E96"/>
    <w:rsid w:val="007C78D5"/>
    <w:rsid w:val="007C7C9B"/>
    <w:rsid w:val="00820173"/>
    <w:rsid w:val="008221AE"/>
    <w:rsid w:val="00823471"/>
    <w:rsid w:val="008325FB"/>
    <w:rsid w:val="00840F95"/>
    <w:rsid w:val="008457E7"/>
    <w:rsid w:val="00857514"/>
    <w:rsid w:val="00860D0F"/>
    <w:rsid w:val="00862A1F"/>
    <w:rsid w:val="0087578B"/>
    <w:rsid w:val="00893769"/>
    <w:rsid w:val="00894736"/>
    <w:rsid w:val="008A2EA8"/>
    <w:rsid w:val="008D78AC"/>
    <w:rsid w:val="008E14A0"/>
    <w:rsid w:val="008E2284"/>
    <w:rsid w:val="009013B1"/>
    <w:rsid w:val="0090258E"/>
    <w:rsid w:val="009115B1"/>
    <w:rsid w:val="00933F22"/>
    <w:rsid w:val="00934566"/>
    <w:rsid w:val="00974EBD"/>
    <w:rsid w:val="00976F06"/>
    <w:rsid w:val="0099560B"/>
    <w:rsid w:val="009A7040"/>
    <w:rsid w:val="009C7B28"/>
    <w:rsid w:val="009F1F6F"/>
    <w:rsid w:val="009F35EA"/>
    <w:rsid w:val="00A008E8"/>
    <w:rsid w:val="00A04236"/>
    <w:rsid w:val="00A04499"/>
    <w:rsid w:val="00A13CC6"/>
    <w:rsid w:val="00A213A5"/>
    <w:rsid w:val="00A607FD"/>
    <w:rsid w:val="00A70853"/>
    <w:rsid w:val="00A97DC8"/>
    <w:rsid w:val="00AA6A00"/>
    <w:rsid w:val="00AB63D2"/>
    <w:rsid w:val="00AC36D6"/>
    <w:rsid w:val="00B128E6"/>
    <w:rsid w:val="00B13CBF"/>
    <w:rsid w:val="00B14ED7"/>
    <w:rsid w:val="00B42444"/>
    <w:rsid w:val="00B771E2"/>
    <w:rsid w:val="00B9487A"/>
    <w:rsid w:val="00B955B1"/>
    <w:rsid w:val="00BA614C"/>
    <w:rsid w:val="00BC2CEB"/>
    <w:rsid w:val="00BD0B84"/>
    <w:rsid w:val="00BE3BBD"/>
    <w:rsid w:val="00BF070A"/>
    <w:rsid w:val="00C50F25"/>
    <w:rsid w:val="00CC3E94"/>
    <w:rsid w:val="00CC7417"/>
    <w:rsid w:val="00CD0817"/>
    <w:rsid w:val="00CE2C69"/>
    <w:rsid w:val="00CF4177"/>
    <w:rsid w:val="00CF7875"/>
    <w:rsid w:val="00D23E8A"/>
    <w:rsid w:val="00D40835"/>
    <w:rsid w:val="00D411E4"/>
    <w:rsid w:val="00D84BD0"/>
    <w:rsid w:val="00D90EBC"/>
    <w:rsid w:val="00D977C1"/>
    <w:rsid w:val="00DB6C22"/>
    <w:rsid w:val="00DD5CF4"/>
    <w:rsid w:val="00E34C09"/>
    <w:rsid w:val="00E36E4F"/>
    <w:rsid w:val="00E44241"/>
    <w:rsid w:val="00E4597E"/>
    <w:rsid w:val="00E50560"/>
    <w:rsid w:val="00E54467"/>
    <w:rsid w:val="00E70510"/>
    <w:rsid w:val="00E7324B"/>
    <w:rsid w:val="00E7439B"/>
    <w:rsid w:val="00E753B1"/>
    <w:rsid w:val="00E866FA"/>
    <w:rsid w:val="00ED2053"/>
    <w:rsid w:val="00ED4059"/>
    <w:rsid w:val="00ED4670"/>
    <w:rsid w:val="00ED642A"/>
    <w:rsid w:val="00EF759A"/>
    <w:rsid w:val="00EF7955"/>
    <w:rsid w:val="00F270F5"/>
    <w:rsid w:val="00F87875"/>
    <w:rsid w:val="00F91901"/>
    <w:rsid w:val="00FB764A"/>
    <w:rsid w:val="00FE6B7B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5E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510"/>
    <w:rPr>
      <w:lang w:val="hu-HU" w:eastAsia="de-DE"/>
    </w:rPr>
  </w:style>
  <w:style w:type="paragraph" w:styleId="Nadpis1">
    <w:name w:val="heading 1"/>
    <w:basedOn w:val="Normlny"/>
    <w:next w:val="Normlny"/>
    <w:qFormat/>
    <w:rsid w:val="00E70510"/>
    <w:pPr>
      <w:keepNext/>
      <w:spacing w:before="120"/>
      <w:outlineLvl w:val="0"/>
    </w:pPr>
    <w:rPr>
      <w:rFonts w:ascii="Arial" w:hAnsi="Arial"/>
      <w:b/>
      <w:caps/>
      <w:lang w:val="sk-SK"/>
    </w:rPr>
  </w:style>
  <w:style w:type="paragraph" w:styleId="Nadpis3">
    <w:name w:val="heading 3"/>
    <w:basedOn w:val="Normlny"/>
    <w:next w:val="Normlny"/>
    <w:qFormat/>
    <w:rsid w:val="00E70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70510"/>
    <w:pPr>
      <w:jc w:val="center"/>
    </w:pPr>
    <w:rPr>
      <w:rFonts w:ascii="Arial" w:hAnsi="Arial"/>
      <w:b/>
      <w:sz w:val="24"/>
      <w:lang w:val="sk-SK"/>
    </w:rPr>
  </w:style>
  <w:style w:type="paragraph" w:styleId="Zkladntext">
    <w:name w:val="Body Text"/>
    <w:basedOn w:val="Normlny"/>
    <w:rsid w:val="00E70510"/>
    <w:pPr>
      <w:jc w:val="both"/>
    </w:pPr>
    <w:rPr>
      <w:rFonts w:ascii="Arial" w:hAnsi="Arial"/>
      <w:sz w:val="24"/>
      <w:lang w:eastAsia="sk-SK"/>
    </w:rPr>
  </w:style>
  <w:style w:type="paragraph" w:styleId="Pta">
    <w:name w:val="footer"/>
    <w:basedOn w:val="Normlny"/>
    <w:rsid w:val="00E7051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0510"/>
  </w:style>
  <w:style w:type="paragraph" w:styleId="Textbubliny">
    <w:name w:val="Balloon Text"/>
    <w:basedOn w:val="Normlny"/>
    <w:semiHidden/>
    <w:rsid w:val="00976F06"/>
    <w:rPr>
      <w:rFonts w:ascii="Tahoma" w:hAnsi="Tahoma" w:cs="Tahoma"/>
      <w:sz w:val="16"/>
      <w:szCs w:val="16"/>
    </w:rPr>
  </w:style>
  <w:style w:type="character" w:customStyle="1" w:styleId="st">
    <w:name w:val="st"/>
    <w:basedOn w:val="Predvolenpsmoodseku"/>
    <w:rsid w:val="00B955B1"/>
  </w:style>
  <w:style w:type="character" w:styleId="Zvraznenie">
    <w:name w:val="Emphasis"/>
    <w:qFormat/>
    <w:rsid w:val="00B955B1"/>
    <w:rPr>
      <w:i/>
      <w:iCs/>
    </w:rPr>
  </w:style>
  <w:style w:type="character" w:styleId="Odkaznakomentr">
    <w:name w:val="annotation reference"/>
    <w:uiPriority w:val="99"/>
    <w:semiHidden/>
    <w:unhideWhenUsed/>
    <w:rsid w:val="003579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7973"/>
  </w:style>
  <w:style w:type="character" w:customStyle="1" w:styleId="TextkomentraChar">
    <w:name w:val="Text komentára Char"/>
    <w:link w:val="Textkomentra"/>
    <w:uiPriority w:val="99"/>
    <w:semiHidden/>
    <w:rsid w:val="00357973"/>
    <w:rPr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797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57973"/>
    <w:rPr>
      <w:b/>
      <w:bCs/>
      <w:lang w:val="hu-HU"/>
    </w:rPr>
  </w:style>
  <w:style w:type="paragraph" w:styleId="Revzia">
    <w:name w:val="Revision"/>
    <w:hidden/>
    <w:uiPriority w:val="99"/>
    <w:semiHidden/>
    <w:rsid w:val="00357973"/>
    <w:rPr>
      <w:lang w:val="hu-HU" w:eastAsia="de-DE"/>
    </w:rPr>
  </w:style>
  <w:style w:type="character" w:styleId="Hypertextovprepojenie">
    <w:name w:val="Hyperlink"/>
    <w:rsid w:val="003F3B11"/>
    <w:rPr>
      <w:color w:val="0000FF"/>
      <w:u w:val="single"/>
    </w:rPr>
  </w:style>
  <w:style w:type="paragraph" w:customStyle="1" w:styleId="Revzia1">
    <w:name w:val="Revízia1"/>
    <w:hidden/>
    <w:uiPriority w:val="99"/>
    <w:semiHidden/>
    <w:rsid w:val="007631BF"/>
    <w:rPr>
      <w:lang w:val="hu-HU" w:eastAsia="de-DE"/>
    </w:rPr>
  </w:style>
  <w:style w:type="paragraph" w:styleId="Hlavika">
    <w:name w:val="header"/>
    <w:basedOn w:val="Normlny"/>
    <w:link w:val="HlavikaChar"/>
    <w:uiPriority w:val="99"/>
    <w:unhideWhenUsed/>
    <w:rsid w:val="007631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31BF"/>
    <w:rPr>
      <w:lang w:val="hu-HU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510"/>
    <w:rPr>
      <w:lang w:val="hu-HU" w:eastAsia="de-DE"/>
    </w:rPr>
  </w:style>
  <w:style w:type="paragraph" w:styleId="Nadpis1">
    <w:name w:val="heading 1"/>
    <w:basedOn w:val="Normlny"/>
    <w:next w:val="Normlny"/>
    <w:qFormat/>
    <w:rsid w:val="00E70510"/>
    <w:pPr>
      <w:keepNext/>
      <w:spacing w:before="120"/>
      <w:outlineLvl w:val="0"/>
    </w:pPr>
    <w:rPr>
      <w:rFonts w:ascii="Arial" w:hAnsi="Arial"/>
      <w:b/>
      <w:caps/>
      <w:lang w:val="sk-SK"/>
    </w:rPr>
  </w:style>
  <w:style w:type="paragraph" w:styleId="Nadpis3">
    <w:name w:val="heading 3"/>
    <w:basedOn w:val="Normlny"/>
    <w:next w:val="Normlny"/>
    <w:qFormat/>
    <w:rsid w:val="00E70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70510"/>
    <w:pPr>
      <w:jc w:val="center"/>
    </w:pPr>
    <w:rPr>
      <w:rFonts w:ascii="Arial" w:hAnsi="Arial"/>
      <w:b/>
      <w:sz w:val="24"/>
      <w:lang w:val="sk-SK"/>
    </w:rPr>
  </w:style>
  <w:style w:type="paragraph" w:styleId="Zkladntext">
    <w:name w:val="Body Text"/>
    <w:basedOn w:val="Normlny"/>
    <w:rsid w:val="00E70510"/>
    <w:pPr>
      <w:jc w:val="both"/>
    </w:pPr>
    <w:rPr>
      <w:rFonts w:ascii="Arial" w:hAnsi="Arial"/>
      <w:sz w:val="24"/>
      <w:lang w:eastAsia="sk-SK"/>
    </w:rPr>
  </w:style>
  <w:style w:type="paragraph" w:styleId="Pta">
    <w:name w:val="footer"/>
    <w:basedOn w:val="Normlny"/>
    <w:rsid w:val="00E7051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0510"/>
  </w:style>
  <w:style w:type="paragraph" w:styleId="Textbubliny">
    <w:name w:val="Balloon Text"/>
    <w:basedOn w:val="Normlny"/>
    <w:semiHidden/>
    <w:rsid w:val="00976F06"/>
    <w:rPr>
      <w:rFonts w:ascii="Tahoma" w:hAnsi="Tahoma" w:cs="Tahoma"/>
      <w:sz w:val="16"/>
      <w:szCs w:val="16"/>
    </w:rPr>
  </w:style>
  <w:style w:type="character" w:customStyle="1" w:styleId="st">
    <w:name w:val="st"/>
    <w:basedOn w:val="Predvolenpsmoodseku"/>
    <w:rsid w:val="00B955B1"/>
  </w:style>
  <w:style w:type="character" w:styleId="Zvraznenie">
    <w:name w:val="Emphasis"/>
    <w:qFormat/>
    <w:rsid w:val="00B955B1"/>
    <w:rPr>
      <w:i/>
      <w:iCs/>
    </w:rPr>
  </w:style>
  <w:style w:type="character" w:styleId="Odkaznakomentr">
    <w:name w:val="annotation reference"/>
    <w:uiPriority w:val="99"/>
    <w:semiHidden/>
    <w:unhideWhenUsed/>
    <w:rsid w:val="003579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7973"/>
  </w:style>
  <w:style w:type="character" w:customStyle="1" w:styleId="TextkomentraChar">
    <w:name w:val="Text komentára Char"/>
    <w:link w:val="Textkomentra"/>
    <w:uiPriority w:val="99"/>
    <w:semiHidden/>
    <w:rsid w:val="00357973"/>
    <w:rPr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797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57973"/>
    <w:rPr>
      <w:b/>
      <w:bCs/>
      <w:lang w:val="hu-HU"/>
    </w:rPr>
  </w:style>
  <w:style w:type="paragraph" w:styleId="Revzia">
    <w:name w:val="Revision"/>
    <w:hidden/>
    <w:uiPriority w:val="99"/>
    <w:semiHidden/>
    <w:rsid w:val="00357973"/>
    <w:rPr>
      <w:lang w:val="hu-HU" w:eastAsia="de-DE"/>
    </w:rPr>
  </w:style>
  <w:style w:type="character" w:styleId="Hypertextovprepojenie">
    <w:name w:val="Hyperlink"/>
    <w:rsid w:val="003F3B11"/>
    <w:rPr>
      <w:color w:val="0000FF"/>
      <w:u w:val="single"/>
    </w:rPr>
  </w:style>
  <w:style w:type="paragraph" w:customStyle="1" w:styleId="Revzia1">
    <w:name w:val="Revízia1"/>
    <w:hidden/>
    <w:uiPriority w:val="99"/>
    <w:semiHidden/>
    <w:rsid w:val="007631BF"/>
    <w:rPr>
      <w:lang w:val="hu-HU" w:eastAsia="de-DE"/>
    </w:rPr>
  </w:style>
  <w:style w:type="paragraph" w:styleId="Hlavika">
    <w:name w:val="header"/>
    <w:basedOn w:val="Normlny"/>
    <w:link w:val="HlavikaChar"/>
    <w:uiPriority w:val="99"/>
    <w:unhideWhenUsed/>
    <w:rsid w:val="007631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31BF"/>
    <w:rPr>
      <w:lang w:val="hu-H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DESITIN Arzneimittel GmbH</Company>
  <LinksUpToDate>false</LinksUpToDate>
  <CharactersWithSpaces>13536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desitin</dc:creator>
  <cp:lastModifiedBy>Natalia </cp:lastModifiedBy>
  <cp:revision>2</cp:revision>
  <cp:lastPrinted>2008-03-13T20:17:00Z</cp:lastPrinted>
  <dcterms:created xsi:type="dcterms:W3CDTF">2018-07-20T08:18:00Z</dcterms:created>
  <dcterms:modified xsi:type="dcterms:W3CDTF">2018-07-20T08:18:00Z</dcterms:modified>
</cp:coreProperties>
</file>