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AE" w:rsidRPr="00D31CCF" w:rsidRDefault="00A621AE" w:rsidP="00D31CCF">
      <w:pPr>
        <w:pStyle w:val="Title"/>
        <w:jc w:val="left"/>
      </w:pPr>
    </w:p>
    <w:p w:rsidR="00A621AE" w:rsidRPr="00D31CCF" w:rsidRDefault="00A621AE" w:rsidP="00D31CCF">
      <w:pPr>
        <w:pStyle w:val="Title"/>
      </w:pPr>
      <w:r w:rsidRPr="00D31CCF">
        <w:t>Písomná informácia pre používateľku</w:t>
      </w:r>
    </w:p>
    <w:p w:rsidR="00A621AE" w:rsidRPr="00D31CCF" w:rsidRDefault="00A621AE" w:rsidP="00D31CCF">
      <w:pPr>
        <w:autoSpaceDE w:val="0"/>
        <w:autoSpaceDN w:val="0"/>
        <w:adjustRightInd w:val="0"/>
        <w:jc w:val="center"/>
        <w:rPr>
          <w:color w:val="000000"/>
          <w:sz w:val="22"/>
          <w:szCs w:val="22"/>
        </w:rPr>
      </w:pPr>
    </w:p>
    <w:p w:rsidR="00A621AE" w:rsidRPr="00D31CCF" w:rsidRDefault="00A621AE" w:rsidP="00D31CCF">
      <w:pPr>
        <w:autoSpaceDE w:val="0"/>
        <w:autoSpaceDN w:val="0"/>
        <w:adjustRightInd w:val="0"/>
        <w:jc w:val="center"/>
        <w:rPr>
          <w:b/>
          <w:color w:val="000000"/>
          <w:sz w:val="22"/>
          <w:szCs w:val="22"/>
        </w:rPr>
      </w:pPr>
      <w:r w:rsidRPr="00D31CCF">
        <w:rPr>
          <w:b/>
          <w:color w:val="000000"/>
          <w:sz w:val="22"/>
          <w:szCs w:val="22"/>
        </w:rPr>
        <w:t>Gentilion Daily</w:t>
      </w:r>
      <w:r>
        <w:rPr>
          <w:b/>
          <w:color w:val="000000"/>
          <w:sz w:val="22"/>
          <w:szCs w:val="22"/>
        </w:rPr>
        <w:t xml:space="preserve"> </w:t>
      </w:r>
      <w:r w:rsidRPr="00D31CCF">
        <w:rPr>
          <w:b/>
          <w:color w:val="000000"/>
          <w:sz w:val="22"/>
          <w:szCs w:val="22"/>
        </w:rPr>
        <w:t>0,075 mg/0,030 mg</w:t>
      </w:r>
    </w:p>
    <w:p w:rsidR="00A621AE" w:rsidRPr="00D31CCF" w:rsidRDefault="00A621AE" w:rsidP="00D31CCF">
      <w:pPr>
        <w:autoSpaceDE w:val="0"/>
        <w:autoSpaceDN w:val="0"/>
        <w:adjustRightInd w:val="0"/>
        <w:jc w:val="center"/>
        <w:rPr>
          <w:b/>
          <w:color w:val="000000"/>
          <w:sz w:val="22"/>
          <w:szCs w:val="22"/>
        </w:rPr>
      </w:pPr>
      <w:r w:rsidRPr="00D31CCF">
        <w:rPr>
          <w:color w:val="000000"/>
          <w:sz w:val="22"/>
          <w:szCs w:val="22"/>
        </w:rPr>
        <w:t xml:space="preserve">(21 aktívnych </w:t>
      </w:r>
      <w:r w:rsidR="00892DC1">
        <w:rPr>
          <w:color w:val="000000"/>
          <w:sz w:val="22"/>
          <w:szCs w:val="22"/>
        </w:rPr>
        <w:t>plus</w:t>
      </w:r>
      <w:r w:rsidRPr="00D31CCF">
        <w:rPr>
          <w:color w:val="000000"/>
          <w:sz w:val="22"/>
          <w:szCs w:val="22"/>
        </w:rPr>
        <w:t xml:space="preserve"> 7 placebo tabliet)</w:t>
      </w:r>
    </w:p>
    <w:p w:rsidR="00A621AE" w:rsidRDefault="00A621AE" w:rsidP="00D31CCF">
      <w:pPr>
        <w:autoSpaceDE w:val="0"/>
        <w:autoSpaceDN w:val="0"/>
        <w:adjustRightInd w:val="0"/>
        <w:jc w:val="center"/>
        <w:rPr>
          <w:color w:val="000000"/>
          <w:sz w:val="22"/>
          <w:szCs w:val="22"/>
        </w:rPr>
      </w:pPr>
    </w:p>
    <w:p w:rsidR="00A621AE" w:rsidRPr="00D31CCF" w:rsidRDefault="00A621AE" w:rsidP="00D31CCF">
      <w:pPr>
        <w:autoSpaceDE w:val="0"/>
        <w:autoSpaceDN w:val="0"/>
        <w:adjustRightInd w:val="0"/>
        <w:jc w:val="center"/>
        <w:rPr>
          <w:color w:val="000000"/>
          <w:sz w:val="22"/>
          <w:szCs w:val="22"/>
        </w:rPr>
      </w:pPr>
      <w:r w:rsidRPr="00D31CCF">
        <w:rPr>
          <w:color w:val="000000"/>
          <w:sz w:val="22"/>
          <w:szCs w:val="22"/>
        </w:rPr>
        <w:t>gestodén/etinylestradiol</w:t>
      </w:r>
    </w:p>
    <w:p w:rsidR="00A621AE" w:rsidRPr="00D31CCF" w:rsidRDefault="00A621AE" w:rsidP="00D31CCF">
      <w:pPr>
        <w:autoSpaceDE w:val="0"/>
        <w:autoSpaceDN w:val="0"/>
        <w:adjustRightInd w:val="0"/>
        <w:rPr>
          <w:b/>
          <w:bCs/>
          <w:color w:val="000000"/>
          <w:sz w:val="22"/>
          <w:szCs w:val="22"/>
        </w:rPr>
      </w:pPr>
    </w:p>
    <w:p w:rsidR="00A621AE" w:rsidRPr="009B6A1A" w:rsidRDefault="00A621AE" w:rsidP="00D31CCF">
      <w:pPr>
        <w:autoSpaceDE w:val="0"/>
        <w:autoSpaceDN w:val="0"/>
        <w:adjustRightInd w:val="0"/>
        <w:rPr>
          <w:color w:val="000000"/>
          <w:sz w:val="22"/>
          <w:szCs w:val="22"/>
        </w:rPr>
      </w:pPr>
      <w:r w:rsidRPr="009B6A1A">
        <w:rPr>
          <w:b/>
          <w:bCs/>
          <w:color w:val="000000"/>
          <w:sz w:val="22"/>
          <w:szCs w:val="22"/>
        </w:rPr>
        <w:t>Dôležité informácie, ktoré treba vedieť o kombinovanej hormonálnej antikoncepcii (</w:t>
      </w:r>
      <w:proofErr w:type="spellStart"/>
      <w:r w:rsidRPr="009B6A1A">
        <w:rPr>
          <w:b/>
          <w:bCs/>
          <w:color w:val="000000"/>
          <w:sz w:val="22"/>
          <w:szCs w:val="22"/>
        </w:rPr>
        <w:t>combined</w:t>
      </w:r>
      <w:proofErr w:type="spellEnd"/>
      <w:r w:rsidRPr="009B6A1A">
        <w:rPr>
          <w:b/>
          <w:bCs/>
          <w:color w:val="000000"/>
          <w:sz w:val="22"/>
          <w:szCs w:val="22"/>
        </w:rPr>
        <w:t xml:space="preserve"> </w:t>
      </w:r>
      <w:proofErr w:type="spellStart"/>
      <w:r w:rsidRPr="009B6A1A">
        <w:rPr>
          <w:b/>
          <w:bCs/>
          <w:color w:val="000000"/>
          <w:sz w:val="22"/>
          <w:szCs w:val="22"/>
        </w:rPr>
        <w:t>hormonal</w:t>
      </w:r>
      <w:proofErr w:type="spellEnd"/>
      <w:r w:rsidRPr="009B6A1A">
        <w:rPr>
          <w:b/>
          <w:bCs/>
          <w:color w:val="000000"/>
          <w:sz w:val="22"/>
          <w:szCs w:val="22"/>
        </w:rPr>
        <w:t xml:space="preserve"> </w:t>
      </w:r>
      <w:proofErr w:type="spellStart"/>
      <w:r w:rsidRPr="009B6A1A">
        <w:rPr>
          <w:b/>
          <w:bCs/>
          <w:color w:val="000000"/>
          <w:sz w:val="22"/>
          <w:szCs w:val="22"/>
        </w:rPr>
        <w:t>contraceptives</w:t>
      </w:r>
      <w:proofErr w:type="spellEnd"/>
      <w:r w:rsidRPr="009B6A1A">
        <w:rPr>
          <w:b/>
          <w:bCs/>
          <w:color w:val="000000"/>
          <w:sz w:val="22"/>
          <w:szCs w:val="22"/>
        </w:rPr>
        <w:t>, CHC):</w:t>
      </w:r>
    </w:p>
    <w:p w:rsidR="00A621AE" w:rsidRPr="003A3566" w:rsidRDefault="00A621AE" w:rsidP="00D31CCF">
      <w:pPr>
        <w:numPr>
          <w:ilvl w:val="0"/>
          <w:numId w:val="35"/>
        </w:numPr>
        <w:autoSpaceDE w:val="0"/>
        <w:autoSpaceDN w:val="0"/>
        <w:adjustRightInd w:val="0"/>
        <w:ind w:left="567" w:hanging="567"/>
        <w:rPr>
          <w:color w:val="000000"/>
          <w:sz w:val="22"/>
          <w:szCs w:val="22"/>
        </w:rPr>
      </w:pPr>
      <w:r w:rsidRPr="003A3566">
        <w:rPr>
          <w:color w:val="000000"/>
          <w:sz w:val="22"/>
          <w:szCs w:val="22"/>
        </w:rPr>
        <w:t>Ak sa používa správne, je jednou z najspoľahlivejších zvratných metód antikoncepcie.</w:t>
      </w:r>
    </w:p>
    <w:p w:rsidR="00A621AE" w:rsidRPr="003A3566" w:rsidRDefault="00A621AE" w:rsidP="00D31CCF">
      <w:pPr>
        <w:numPr>
          <w:ilvl w:val="0"/>
          <w:numId w:val="35"/>
        </w:numPr>
        <w:autoSpaceDE w:val="0"/>
        <w:autoSpaceDN w:val="0"/>
        <w:adjustRightInd w:val="0"/>
        <w:ind w:left="567" w:hanging="567"/>
        <w:rPr>
          <w:color w:val="000000"/>
          <w:sz w:val="22"/>
          <w:szCs w:val="22"/>
        </w:rPr>
      </w:pPr>
      <w:r w:rsidRPr="003A3566">
        <w:rPr>
          <w:color w:val="000000"/>
          <w:sz w:val="22"/>
          <w:szCs w:val="22"/>
        </w:rPr>
        <w:t>Mierne zvyšuje riziko vzniku krvnej zrazeniny v žilách a tepnách, najmä v prvom roku alebo pri opätovnom začatí používania kombinovanej hormonálnej antikoncepcie po prerušení trvajúcom 4 alebo viac týždňov.</w:t>
      </w:r>
    </w:p>
    <w:p w:rsidR="00A621AE" w:rsidRPr="0073058F" w:rsidRDefault="00A621AE" w:rsidP="00D31CCF">
      <w:pPr>
        <w:numPr>
          <w:ilvl w:val="0"/>
          <w:numId w:val="35"/>
        </w:numPr>
        <w:autoSpaceDE w:val="0"/>
        <w:autoSpaceDN w:val="0"/>
        <w:adjustRightInd w:val="0"/>
        <w:ind w:left="567" w:hanging="567"/>
        <w:rPr>
          <w:color w:val="000000"/>
          <w:sz w:val="22"/>
          <w:szCs w:val="22"/>
        </w:rPr>
      </w:pPr>
      <w:r w:rsidRPr="0073058F">
        <w:rPr>
          <w:color w:val="000000"/>
          <w:sz w:val="22"/>
          <w:szCs w:val="22"/>
        </w:rPr>
        <w:t>Buďte opatrná a navštívte svojho lekára, ak si myslíte, že máte príznaky krvnej zrazeniny (pozri časť 2 „Krvné zrazeniny“).</w:t>
      </w:r>
    </w:p>
    <w:p w:rsidR="00A621AE" w:rsidRPr="00EC6629" w:rsidRDefault="00A621AE" w:rsidP="00D31CCF">
      <w:pPr>
        <w:rPr>
          <w:b/>
          <w:sz w:val="22"/>
          <w:szCs w:val="22"/>
        </w:rPr>
      </w:pPr>
    </w:p>
    <w:p w:rsidR="00A621AE" w:rsidRPr="00EC6629" w:rsidRDefault="00A621AE" w:rsidP="00D31CCF">
      <w:pPr>
        <w:rPr>
          <w:b/>
          <w:sz w:val="22"/>
          <w:szCs w:val="22"/>
        </w:rPr>
      </w:pPr>
      <w:r w:rsidRPr="00EC6629">
        <w:rPr>
          <w:b/>
          <w:sz w:val="22"/>
          <w:szCs w:val="22"/>
        </w:rPr>
        <w:t>Pozorne si prečítajte celú písomnú informáciu predtým, ako začnete užívať tento liek, pretože obsahuje pre vás dôležité informácie.</w:t>
      </w:r>
    </w:p>
    <w:p w:rsidR="00A621AE" w:rsidRPr="00EC6629" w:rsidRDefault="00A621AE" w:rsidP="00D31CCF">
      <w:pPr>
        <w:ind w:left="567" w:hanging="567"/>
        <w:rPr>
          <w:sz w:val="22"/>
          <w:szCs w:val="22"/>
        </w:rPr>
      </w:pPr>
      <w:r w:rsidRPr="00EC6629">
        <w:rPr>
          <w:sz w:val="22"/>
          <w:szCs w:val="22"/>
        </w:rPr>
        <w:t>-</w:t>
      </w:r>
      <w:r w:rsidRPr="00EC6629">
        <w:rPr>
          <w:sz w:val="22"/>
          <w:szCs w:val="22"/>
        </w:rPr>
        <w:tab/>
        <w:t>Túto písomnú informáciu si uschovajte. Možno bude potrebné, aby ste si ju znovu prečítali.</w:t>
      </w:r>
    </w:p>
    <w:p w:rsidR="00A621AE" w:rsidRPr="00EC6629" w:rsidRDefault="00A621AE" w:rsidP="00D31CCF">
      <w:pPr>
        <w:ind w:left="567" w:hanging="567"/>
        <w:rPr>
          <w:sz w:val="22"/>
          <w:szCs w:val="22"/>
        </w:rPr>
      </w:pPr>
      <w:r w:rsidRPr="00EC6629">
        <w:rPr>
          <w:sz w:val="22"/>
          <w:szCs w:val="22"/>
        </w:rPr>
        <w:t>-</w:t>
      </w:r>
      <w:r w:rsidRPr="00EC6629">
        <w:rPr>
          <w:sz w:val="22"/>
          <w:szCs w:val="22"/>
        </w:rPr>
        <w:tab/>
        <w:t>Ak máte akékoľvek ďalšie otázky, obráťte sa na svojho lekára, zdravotnú sestru alebo lekárnika.</w:t>
      </w:r>
    </w:p>
    <w:p w:rsidR="00A621AE" w:rsidRPr="00EC6629" w:rsidRDefault="00A621AE" w:rsidP="00D31CCF">
      <w:pPr>
        <w:ind w:left="567" w:hanging="567"/>
        <w:rPr>
          <w:sz w:val="22"/>
          <w:szCs w:val="22"/>
        </w:rPr>
      </w:pPr>
      <w:r w:rsidRPr="00EC6629">
        <w:rPr>
          <w:sz w:val="22"/>
          <w:szCs w:val="22"/>
        </w:rPr>
        <w:t>-</w:t>
      </w:r>
      <w:r w:rsidRPr="00EC6629">
        <w:rPr>
          <w:sz w:val="22"/>
          <w:szCs w:val="22"/>
        </w:rPr>
        <w:tab/>
        <w:t>Tento liek bol predpísaný iba vám. Nedávajte ho nikomu inému. Môže mu uškodiť.</w:t>
      </w:r>
    </w:p>
    <w:p w:rsidR="00A621AE" w:rsidRPr="00EC6629" w:rsidRDefault="00A621AE" w:rsidP="00D31CCF">
      <w:pPr>
        <w:autoSpaceDE w:val="0"/>
        <w:autoSpaceDN w:val="0"/>
        <w:adjustRightInd w:val="0"/>
        <w:ind w:left="567" w:hanging="567"/>
        <w:rPr>
          <w:sz w:val="22"/>
          <w:szCs w:val="22"/>
        </w:rPr>
      </w:pPr>
      <w:r w:rsidRPr="00EC6629">
        <w:rPr>
          <w:sz w:val="22"/>
          <w:szCs w:val="22"/>
        </w:rPr>
        <w:t>-</w:t>
      </w:r>
      <w:r w:rsidRPr="00EC6629">
        <w:rPr>
          <w:sz w:val="22"/>
          <w:szCs w:val="22"/>
        </w:rPr>
        <w:tab/>
        <w:t>Ak sa u vás vyskytne akýkoľvek vedľajší účinok, obráťte sa na svojho lekára alebo lekárnika. To sa týka aj akýchkoľvek vedľajších účinkov, ktoré nie sú uvedené v tejto písomnej informácii. Pozri časť 4.</w:t>
      </w:r>
    </w:p>
    <w:p w:rsidR="00A621AE" w:rsidRPr="00D31CCF" w:rsidRDefault="00A621AE" w:rsidP="00D31CCF">
      <w:pPr>
        <w:autoSpaceDE w:val="0"/>
        <w:autoSpaceDN w:val="0"/>
        <w:adjustRightInd w:val="0"/>
        <w:rPr>
          <w:b/>
          <w:sz w:val="22"/>
          <w:szCs w:val="22"/>
        </w:rPr>
      </w:pPr>
    </w:p>
    <w:p w:rsidR="00A621AE" w:rsidRPr="00D31CCF" w:rsidRDefault="00A621AE" w:rsidP="00D31CCF">
      <w:pPr>
        <w:autoSpaceDE w:val="0"/>
        <w:autoSpaceDN w:val="0"/>
        <w:adjustRightInd w:val="0"/>
        <w:rPr>
          <w:sz w:val="22"/>
          <w:szCs w:val="22"/>
        </w:rPr>
      </w:pPr>
      <w:r w:rsidRPr="00D31CCF">
        <w:rPr>
          <w:b/>
          <w:sz w:val="22"/>
          <w:szCs w:val="22"/>
        </w:rPr>
        <w:t>V tejto písomnej informácii sa dozviete</w:t>
      </w:r>
      <w:r w:rsidRPr="00D31CCF">
        <w:rPr>
          <w:sz w:val="22"/>
          <w:szCs w:val="22"/>
        </w:rPr>
        <w:t>:</w:t>
      </w:r>
    </w:p>
    <w:p w:rsidR="00A621AE" w:rsidRPr="00D31CCF" w:rsidRDefault="00A621AE" w:rsidP="00D31CCF">
      <w:pPr>
        <w:numPr>
          <w:ilvl w:val="0"/>
          <w:numId w:val="14"/>
        </w:numPr>
        <w:tabs>
          <w:tab w:val="clear" w:pos="720"/>
        </w:tabs>
        <w:autoSpaceDE w:val="0"/>
        <w:autoSpaceDN w:val="0"/>
        <w:adjustRightInd w:val="0"/>
        <w:ind w:left="567" w:hanging="567"/>
        <w:rPr>
          <w:bCs/>
          <w:sz w:val="22"/>
          <w:szCs w:val="22"/>
        </w:rPr>
      </w:pPr>
      <w:r w:rsidRPr="00D31CCF">
        <w:rPr>
          <w:bCs/>
          <w:sz w:val="22"/>
          <w:szCs w:val="22"/>
        </w:rPr>
        <w:t xml:space="preserve">Čo je </w:t>
      </w:r>
      <w:r w:rsidRPr="00D31CCF">
        <w:rPr>
          <w:sz w:val="22"/>
          <w:szCs w:val="22"/>
        </w:rPr>
        <w:t xml:space="preserve">Gentilion Daily </w:t>
      </w:r>
      <w:r w:rsidRPr="00D31CCF">
        <w:rPr>
          <w:bCs/>
          <w:sz w:val="22"/>
          <w:szCs w:val="22"/>
        </w:rPr>
        <w:t>a na čo sa používa</w:t>
      </w:r>
    </w:p>
    <w:p w:rsidR="00A621AE" w:rsidRPr="000C3F44" w:rsidRDefault="00A621AE" w:rsidP="00D31CCF">
      <w:pPr>
        <w:numPr>
          <w:ilvl w:val="0"/>
          <w:numId w:val="14"/>
        </w:numPr>
        <w:tabs>
          <w:tab w:val="clear" w:pos="720"/>
        </w:tabs>
        <w:autoSpaceDE w:val="0"/>
        <w:autoSpaceDN w:val="0"/>
        <w:adjustRightInd w:val="0"/>
        <w:ind w:left="567" w:hanging="567"/>
        <w:rPr>
          <w:sz w:val="22"/>
          <w:szCs w:val="22"/>
        </w:rPr>
      </w:pPr>
      <w:r w:rsidRPr="00D31CCF">
        <w:rPr>
          <w:bCs/>
          <w:sz w:val="22"/>
          <w:szCs w:val="22"/>
        </w:rPr>
        <w:t xml:space="preserve">Čo potrebujete vedieť predtým, ako užijete </w:t>
      </w:r>
      <w:r w:rsidRPr="00D31CCF">
        <w:rPr>
          <w:sz w:val="22"/>
          <w:szCs w:val="22"/>
        </w:rPr>
        <w:t>Gentilion Daily</w:t>
      </w:r>
    </w:p>
    <w:p w:rsidR="00A621AE" w:rsidRPr="00D31CCF" w:rsidRDefault="00A621AE" w:rsidP="00D31CCF">
      <w:pPr>
        <w:numPr>
          <w:ilvl w:val="0"/>
          <w:numId w:val="14"/>
        </w:numPr>
        <w:tabs>
          <w:tab w:val="clear" w:pos="720"/>
        </w:tabs>
        <w:autoSpaceDE w:val="0"/>
        <w:autoSpaceDN w:val="0"/>
        <w:adjustRightInd w:val="0"/>
        <w:ind w:left="567" w:hanging="567"/>
        <w:rPr>
          <w:sz w:val="22"/>
          <w:szCs w:val="22"/>
        </w:rPr>
      </w:pPr>
      <w:r w:rsidRPr="000C3F44">
        <w:rPr>
          <w:sz w:val="22"/>
          <w:szCs w:val="22"/>
        </w:rPr>
        <w:t>Ako užívať Gentilion D</w:t>
      </w:r>
      <w:r>
        <w:rPr>
          <w:sz w:val="22"/>
          <w:szCs w:val="22"/>
        </w:rPr>
        <w:t>aily</w:t>
      </w:r>
    </w:p>
    <w:p w:rsidR="00A621AE" w:rsidRDefault="00A621AE" w:rsidP="00883334">
      <w:pPr>
        <w:numPr>
          <w:ilvl w:val="0"/>
          <w:numId w:val="14"/>
        </w:numPr>
        <w:tabs>
          <w:tab w:val="clear" w:pos="720"/>
        </w:tabs>
        <w:autoSpaceDE w:val="0"/>
        <w:autoSpaceDN w:val="0"/>
        <w:adjustRightInd w:val="0"/>
        <w:ind w:left="567" w:hanging="567"/>
        <w:rPr>
          <w:sz w:val="22"/>
          <w:szCs w:val="22"/>
        </w:rPr>
      </w:pPr>
      <w:r>
        <w:rPr>
          <w:sz w:val="22"/>
          <w:szCs w:val="22"/>
        </w:rPr>
        <w:t>Možné vedľajšie účinky</w:t>
      </w:r>
    </w:p>
    <w:p w:rsidR="00A621AE" w:rsidRDefault="00A621AE" w:rsidP="00883334">
      <w:pPr>
        <w:numPr>
          <w:ilvl w:val="0"/>
          <w:numId w:val="14"/>
        </w:numPr>
        <w:tabs>
          <w:tab w:val="clear" w:pos="720"/>
        </w:tabs>
        <w:autoSpaceDE w:val="0"/>
        <w:autoSpaceDN w:val="0"/>
        <w:adjustRightInd w:val="0"/>
        <w:ind w:left="567" w:hanging="567"/>
        <w:rPr>
          <w:sz w:val="22"/>
          <w:szCs w:val="22"/>
        </w:rPr>
      </w:pPr>
      <w:r>
        <w:rPr>
          <w:sz w:val="22"/>
          <w:szCs w:val="22"/>
        </w:rPr>
        <w:t>Ako uchovávať Gentilion Daily</w:t>
      </w:r>
    </w:p>
    <w:p w:rsidR="00A621AE" w:rsidRDefault="00A621AE" w:rsidP="00883334">
      <w:pPr>
        <w:numPr>
          <w:ilvl w:val="0"/>
          <w:numId w:val="14"/>
        </w:numPr>
        <w:tabs>
          <w:tab w:val="clear" w:pos="720"/>
        </w:tabs>
        <w:autoSpaceDE w:val="0"/>
        <w:autoSpaceDN w:val="0"/>
        <w:adjustRightInd w:val="0"/>
        <w:ind w:left="567" w:hanging="567"/>
        <w:rPr>
          <w:sz w:val="22"/>
          <w:szCs w:val="22"/>
        </w:rPr>
      </w:pPr>
      <w:r>
        <w:rPr>
          <w:sz w:val="22"/>
          <w:szCs w:val="22"/>
        </w:rPr>
        <w:t>Obsah balenia a ďalšie informácie</w:t>
      </w: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b/>
          <w:bCs/>
          <w:color w:val="000000"/>
          <w:sz w:val="22"/>
          <w:szCs w:val="22"/>
        </w:rPr>
      </w:pPr>
    </w:p>
    <w:p w:rsidR="00A621AE" w:rsidRDefault="00A621AE">
      <w:pPr>
        <w:tabs>
          <w:tab w:val="left" w:pos="567"/>
        </w:tabs>
        <w:autoSpaceDE w:val="0"/>
        <w:autoSpaceDN w:val="0"/>
        <w:adjustRightInd w:val="0"/>
        <w:rPr>
          <w:b/>
          <w:bCs/>
          <w:color w:val="000000"/>
          <w:sz w:val="22"/>
          <w:szCs w:val="22"/>
        </w:rPr>
      </w:pPr>
      <w:r>
        <w:rPr>
          <w:b/>
          <w:bCs/>
          <w:color w:val="000000"/>
          <w:sz w:val="22"/>
          <w:szCs w:val="22"/>
        </w:rPr>
        <w:t>1.</w:t>
      </w:r>
      <w:r>
        <w:rPr>
          <w:b/>
          <w:bCs/>
          <w:color w:val="000000"/>
          <w:sz w:val="22"/>
          <w:szCs w:val="22"/>
        </w:rPr>
        <w:tab/>
      </w:r>
      <w:r>
        <w:rPr>
          <w:b/>
          <w:color w:val="000000"/>
          <w:sz w:val="22"/>
          <w:szCs w:val="22"/>
        </w:rPr>
        <w:t xml:space="preserve">Čo je </w:t>
      </w:r>
      <w:r>
        <w:rPr>
          <w:b/>
          <w:sz w:val="22"/>
          <w:szCs w:val="22"/>
        </w:rPr>
        <w:t>Gentilion Daily</w:t>
      </w:r>
      <w:r>
        <w:rPr>
          <w:b/>
          <w:color w:val="000000"/>
          <w:sz w:val="22"/>
          <w:szCs w:val="22"/>
        </w:rPr>
        <w:t xml:space="preserve"> a na čo sa používa</w:t>
      </w: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color w:val="000000"/>
          <w:sz w:val="22"/>
          <w:szCs w:val="22"/>
        </w:rPr>
      </w:pPr>
      <w:r>
        <w:rPr>
          <w:sz w:val="22"/>
          <w:szCs w:val="22"/>
        </w:rPr>
        <w:t>Gentilion Daily</w:t>
      </w:r>
      <w:r>
        <w:rPr>
          <w:color w:val="000000"/>
          <w:sz w:val="22"/>
          <w:szCs w:val="22"/>
        </w:rPr>
        <w:t xml:space="preserve"> je antikoncepčná tableta a používa sa na zabránenie otehotnenia.</w:t>
      </w:r>
    </w:p>
    <w:p w:rsidR="00A621AE" w:rsidRPr="00D31CCF" w:rsidRDefault="00A621AE" w:rsidP="00D31CCF">
      <w:pPr>
        <w:autoSpaceDE w:val="0"/>
        <w:autoSpaceDN w:val="0"/>
        <w:adjustRightInd w:val="0"/>
        <w:rPr>
          <w:color w:val="000000"/>
          <w:sz w:val="22"/>
          <w:szCs w:val="22"/>
        </w:rPr>
      </w:pPr>
      <w:r>
        <w:rPr>
          <w:color w:val="000000"/>
          <w:sz w:val="22"/>
          <w:szCs w:val="22"/>
        </w:rPr>
        <w:t>Každá aktívna tableta obsahuje malé množstvo dvoch rôznych ženských hormónov, etinylestradiol a gestodén.</w:t>
      </w:r>
    </w:p>
    <w:p w:rsidR="00A621AE" w:rsidRDefault="00A621AE" w:rsidP="00D31CCF">
      <w:pPr>
        <w:autoSpaceDE w:val="0"/>
        <w:autoSpaceDN w:val="0"/>
        <w:adjustRightInd w:val="0"/>
        <w:rPr>
          <w:color w:val="000000"/>
          <w:sz w:val="22"/>
          <w:szCs w:val="22"/>
        </w:rPr>
      </w:pPr>
    </w:p>
    <w:p w:rsidR="00A621AE" w:rsidRPr="000C3F44" w:rsidRDefault="00A621AE" w:rsidP="00D31CCF">
      <w:pPr>
        <w:autoSpaceDE w:val="0"/>
        <w:autoSpaceDN w:val="0"/>
        <w:adjustRightInd w:val="0"/>
        <w:rPr>
          <w:sz w:val="22"/>
          <w:szCs w:val="22"/>
        </w:rPr>
      </w:pPr>
      <w:r w:rsidRPr="00D31CCF">
        <w:rPr>
          <w:color w:val="000000"/>
          <w:sz w:val="22"/>
          <w:szCs w:val="22"/>
        </w:rPr>
        <w:t xml:space="preserve">Antikoncepčné tablety ako napr. </w:t>
      </w:r>
      <w:r w:rsidRPr="00D31CCF">
        <w:rPr>
          <w:sz w:val="22"/>
          <w:szCs w:val="22"/>
        </w:rPr>
        <w:t>Gentilion Daily</w:t>
      </w:r>
      <w:r w:rsidRPr="00D31CCF">
        <w:rPr>
          <w:color w:val="000000"/>
          <w:sz w:val="22"/>
          <w:szCs w:val="22"/>
        </w:rPr>
        <w:t xml:space="preserve">, ktoré obsahujú dva hormóny sa nazývajú „kombinované antikoncepčné </w:t>
      </w:r>
      <w:r w:rsidRPr="000C3F44">
        <w:rPr>
          <w:color w:val="000000"/>
          <w:sz w:val="22"/>
          <w:szCs w:val="22"/>
        </w:rPr>
        <w:t xml:space="preserve">tablety“. </w:t>
      </w:r>
    </w:p>
    <w:p w:rsidR="00A621AE" w:rsidRPr="00D31CCF" w:rsidRDefault="00A621AE" w:rsidP="00D31CCF">
      <w:pPr>
        <w:autoSpaceDE w:val="0"/>
        <w:autoSpaceDN w:val="0"/>
        <w:adjustRightInd w:val="0"/>
        <w:rPr>
          <w:color w:val="000000"/>
          <w:sz w:val="22"/>
          <w:szCs w:val="22"/>
        </w:rPr>
      </w:pPr>
    </w:p>
    <w:p w:rsidR="00A621AE" w:rsidRPr="00D31CCF" w:rsidRDefault="00A621AE" w:rsidP="000C3F44">
      <w:pPr>
        <w:autoSpaceDE w:val="0"/>
        <w:autoSpaceDN w:val="0"/>
        <w:adjustRightInd w:val="0"/>
        <w:rPr>
          <w:color w:val="000000"/>
          <w:sz w:val="22"/>
          <w:szCs w:val="22"/>
        </w:rPr>
      </w:pPr>
    </w:p>
    <w:p w:rsidR="00A621AE" w:rsidRDefault="00A621AE">
      <w:pPr>
        <w:tabs>
          <w:tab w:val="left" w:pos="567"/>
        </w:tabs>
        <w:autoSpaceDE w:val="0"/>
        <w:autoSpaceDN w:val="0"/>
        <w:adjustRightInd w:val="0"/>
        <w:rPr>
          <w:b/>
          <w:color w:val="000000"/>
          <w:sz w:val="22"/>
          <w:szCs w:val="22"/>
        </w:rPr>
      </w:pPr>
      <w:r>
        <w:rPr>
          <w:b/>
          <w:color w:val="000000"/>
          <w:sz w:val="22"/>
          <w:szCs w:val="22"/>
        </w:rPr>
        <w:t>2.</w:t>
      </w:r>
      <w:r>
        <w:rPr>
          <w:b/>
          <w:color w:val="000000"/>
          <w:sz w:val="22"/>
          <w:szCs w:val="22"/>
        </w:rPr>
        <w:tab/>
        <w:t>Čo potrebujete vedieť predtým, ako užijete Gentilion Daily</w:t>
      </w: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b/>
          <w:bCs/>
          <w:color w:val="000000"/>
          <w:sz w:val="22"/>
          <w:szCs w:val="22"/>
        </w:rPr>
      </w:pPr>
      <w:r>
        <w:rPr>
          <w:b/>
          <w:bCs/>
          <w:color w:val="000000"/>
          <w:sz w:val="22"/>
          <w:szCs w:val="22"/>
        </w:rPr>
        <w:t>Všeobecné poznámky</w:t>
      </w:r>
    </w:p>
    <w:p w:rsidR="00A621AE" w:rsidRPr="00D31CCF" w:rsidRDefault="00A621AE" w:rsidP="00D31CCF">
      <w:pPr>
        <w:pStyle w:val="BodyText"/>
      </w:pPr>
      <w:r>
        <w:t>Predtým, ako začnete užívať Gentilion Daily, prečítajte si informácie o krvných zrazeninách v časti 2. Je obzvlášť dôležité prečítať si informácie o príznakoch krvnej zrazeniny - pozri časť 2 „Krvné zrazeniny“.</w:t>
      </w:r>
    </w:p>
    <w:p w:rsidR="00A621AE" w:rsidRDefault="00A621AE" w:rsidP="00D31CCF">
      <w:pPr>
        <w:pStyle w:val="BodyText"/>
      </w:pPr>
    </w:p>
    <w:p w:rsidR="00A621AE" w:rsidRPr="00D31CCF" w:rsidRDefault="00A621AE" w:rsidP="00D31CCF">
      <w:pPr>
        <w:pStyle w:val="BodyText"/>
      </w:pPr>
      <w:r w:rsidRPr="00D31CCF">
        <w:t>Predtým, ako začnete užívať Gentilion Daily, sa vás lekár opýta na priebeh vášho zdravotného stavu a zdravotného stavu vašich blízkych príbuzných. Lekár vám tiež zmeria krvný tlak a podľa vašej osobnej situácie môže vykonať aj niektoré ďalšie testy.</w:t>
      </w:r>
      <w:r w:rsidRPr="000C3F44">
        <w:t xml:space="preserve"> V tejto písomnej informácii </w:t>
      </w:r>
      <w:r>
        <w:t xml:space="preserve">sú opísané rôzne </w:t>
      </w:r>
      <w:r>
        <w:lastRenderedPageBreak/>
        <w:t>situácie, kedy musíte prestať užívať Gentilion Daily alebo v ktorých môže byť spoľahlivosť Gentilionu Daily znížená. Vtedy nesmiete mať pohlavný styk alebo musíte použiť ďalšie nehormonálne antikoncepčné opatrenia, napr. použiť prezervatív alebo inú barié</w:t>
      </w:r>
      <w:r w:rsidRPr="00D31CCF">
        <w:t>rovú antikoncepciu. Nepoužívajte metódu plodných a neplodných dní, ani teplotnú metódu. Tieto metódy nemusia byť spoľahlivé, pretože Gentilion Daily ovplyvňuje mesačné zmeny telesnej teploty a hlienu v krčku maternice.</w:t>
      </w:r>
    </w:p>
    <w:p w:rsidR="00A621AE" w:rsidRDefault="00A621AE" w:rsidP="00D31CCF">
      <w:pPr>
        <w:pStyle w:val="BodyText"/>
        <w:rPr>
          <w:b/>
          <w:bCs/>
        </w:rPr>
      </w:pPr>
    </w:p>
    <w:p w:rsidR="00A621AE" w:rsidRPr="00D31CCF" w:rsidRDefault="00A621AE" w:rsidP="000C3F44">
      <w:pPr>
        <w:pStyle w:val="BodyText"/>
        <w:rPr>
          <w:b/>
          <w:bCs/>
        </w:rPr>
      </w:pPr>
      <w:r w:rsidRPr="00D31CCF">
        <w:rPr>
          <w:b/>
          <w:bCs/>
        </w:rPr>
        <w:t>Gentilion Daily, podobne ako iná hormonálna antikoncepcia, nechráni pred infekciou HIV (AIDS) ani pred inými pohlavne prenosnými chorobami</w:t>
      </w:r>
      <w:r w:rsidRPr="00D31CCF">
        <w:t>.</w:t>
      </w:r>
    </w:p>
    <w:p w:rsidR="00A621AE" w:rsidRPr="00D31CCF" w:rsidRDefault="00A621AE" w:rsidP="000C3F44">
      <w:pPr>
        <w:autoSpaceDE w:val="0"/>
        <w:autoSpaceDN w:val="0"/>
        <w:adjustRightInd w:val="0"/>
        <w:rPr>
          <w:b/>
          <w:bCs/>
          <w:color w:val="000000"/>
          <w:sz w:val="22"/>
          <w:szCs w:val="22"/>
        </w:rPr>
      </w:pPr>
    </w:p>
    <w:p w:rsidR="00A621AE" w:rsidRPr="000C3F44" w:rsidRDefault="00A621AE" w:rsidP="000C3F44">
      <w:pPr>
        <w:autoSpaceDE w:val="0"/>
        <w:autoSpaceDN w:val="0"/>
        <w:adjustRightInd w:val="0"/>
        <w:rPr>
          <w:b/>
          <w:bCs/>
          <w:color w:val="000000"/>
          <w:sz w:val="22"/>
          <w:szCs w:val="22"/>
        </w:rPr>
      </w:pPr>
      <w:r w:rsidRPr="00D31CCF">
        <w:rPr>
          <w:b/>
          <w:bCs/>
          <w:color w:val="000000"/>
          <w:sz w:val="22"/>
          <w:szCs w:val="22"/>
        </w:rPr>
        <w:t>Neužívajte Gentilion D</w:t>
      </w:r>
      <w:r w:rsidRPr="000C3F44">
        <w:rPr>
          <w:b/>
          <w:bCs/>
          <w:color w:val="000000"/>
          <w:sz w:val="22"/>
          <w:szCs w:val="22"/>
        </w:rPr>
        <w:t>aily</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 xml:space="preserve">Gentilion Daily nemáte užívať, ak máte niektorý zo stavov uvedených nižšie. Ak máte niektorý zo stavov uvedených nižšie, musíte to povedať svojmu lekárovi. Váš lekár s vami potom prediskutuje, aká iná forma antikoncepcie by bola vhodnejšia. </w:t>
      </w:r>
    </w:p>
    <w:p w:rsidR="00A621AE" w:rsidRDefault="00A621AE">
      <w:pPr>
        <w:pStyle w:val="Default"/>
        <w:rPr>
          <w:rFonts w:ascii="Times New Roman" w:hAnsi="Times New Roman" w:cs="Times New Roman"/>
          <w:sz w:val="22"/>
          <w:szCs w:val="22"/>
        </w:rPr>
      </w:pPr>
    </w:p>
    <w:p w:rsidR="00A621AE" w:rsidRDefault="00A621AE" w:rsidP="00883334">
      <w:pPr>
        <w:pStyle w:val="Default"/>
        <w:numPr>
          <w:ilvl w:val="0"/>
          <w:numId w:val="25"/>
        </w:numPr>
        <w:ind w:left="567" w:hanging="567"/>
        <w:rPr>
          <w:rFonts w:ascii="Times New Roman" w:hAnsi="Times New Roman" w:cs="Times New Roman"/>
          <w:sz w:val="22"/>
          <w:szCs w:val="22"/>
        </w:rPr>
      </w:pPr>
      <w:r w:rsidRPr="00D31CCF">
        <w:rPr>
          <w:rFonts w:ascii="Times New Roman" w:hAnsi="Times New Roman" w:cs="Times New Roman"/>
          <w:sz w:val="22"/>
          <w:szCs w:val="22"/>
        </w:rPr>
        <w:t>ak máte (alebo ste niekedy mali) krvnú zrazeninu v krvnej cieve v nohe (trombóza hlbokých žíl (</w:t>
      </w:r>
      <w:proofErr w:type="spellStart"/>
      <w:r w:rsidRPr="00D31CCF">
        <w:rPr>
          <w:rFonts w:ascii="Times New Roman" w:hAnsi="Times New Roman" w:cs="Times New Roman"/>
          <w:sz w:val="22"/>
          <w:szCs w:val="22"/>
        </w:rPr>
        <w:t>deep</w:t>
      </w:r>
      <w:proofErr w:type="spellEnd"/>
      <w:r w:rsidRPr="00D31CCF">
        <w:rPr>
          <w:rFonts w:ascii="Times New Roman" w:hAnsi="Times New Roman" w:cs="Times New Roman"/>
          <w:sz w:val="22"/>
          <w:szCs w:val="22"/>
        </w:rPr>
        <w:t xml:space="preserve"> </w:t>
      </w:r>
      <w:proofErr w:type="spellStart"/>
      <w:r w:rsidRPr="00D31CCF">
        <w:rPr>
          <w:rFonts w:ascii="Times New Roman" w:hAnsi="Times New Roman" w:cs="Times New Roman"/>
          <w:sz w:val="22"/>
          <w:szCs w:val="22"/>
        </w:rPr>
        <w:t>vein</w:t>
      </w:r>
      <w:proofErr w:type="spellEnd"/>
      <w:r w:rsidRPr="00D31CCF">
        <w:rPr>
          <w:rFonts w:ascii="Times New Roman" w:hAnsi="Times New Roman" w:cs="Times New Roman"/>
          <w:sz w:val="22"/>
          <w:szCs w:val="22"/>
        </w:rPr>
        <w:t xml:space="preserve"> </w:t>
      </w:r>
      <w:proofErr w:type="spellStart"/>
      <w:r w:rsidRPr="00D31CCF">
        <w:rPr>
          <w:rFonts w:ascii="Times New Roman" w:hAnsi="Times New Roman" w:cs="Times New Roman"/>
          <w:sz w:val="22"/>
          <w:szCs w:val="22"/>
        </w:rPr>
        <w:t>thrombosis</w:t>
      </w:r>
      <w:proofErr w:type="spellEnd"/>
      <w:r w:rsidRPr="000C3F44">
        <w:rPr>
          <w:rFonts w:ascii="Times New Roman" w:hAnsi="Times New Roman" w:cs="Times New Roman"/>
          <w:sz w:val="22"/>
          <w:szCs w:val="22"/>
        </w:rPr>
        <w:t>, DVT),</w:t>
      </w:r>
      <w:r>
        <w:rPr>
          <w:rFonts w:ascii="Times New Roman" w:hAnsi="Times New Roman" w:cs="Times New Roman"/>
          <w:sz w:val="22"/>
          <w:szCs w:val="22"/>
        </w:rPr>
        <w:t>pľúc (pľúcna embólia (</w:t>
      </w:r>
      <w:proofErr w:type="spellStart"/>
      <w:r>
        <w:rPr>
          <w:rFonts w:ascii="Times New Roman" w:hAnsi="Times New Roman" w:cs="Times New Roman"/>
          <w:sz w:val="22"/>
          <w:szCs w:val="22"/>
        </w:rPr>
        <w:t>pulmonary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embolus</w:t>
      </w:r>
      <w:proofErr w:type="spellEnd"/>
      <w:r>
        <w:rPr>
          <w:rFonts w:ascii="Times New Roman" w:hAnsi="Times New Roman" w:cs="Times New Roman"/>
          <w:sz w:val="22"/>
          <w:szCs w:val="22"/>
        </w:rPr>
        <w:t xml:space="preserve">, PE) alebo iných orgánov, </w:t>
      </w:r>
    </w:p>
    <w:p w:rsidR="00A621AE" w:rsidRDefault="00A621AE" w:rsidP="00883334">
      <w:pPr>
        <w:pStyle w:val="Default"/>
        <w:numPr>
          <w:ilvl w:val="0"/>
          <w:numId w:val="25"/>
        </w:numPr>
        <w:ind w:left="567" w:hanging="567"/>
        <w:rPr>
          <w:rFonts w:ascii="Times New Roman" w:hAnsi="Times New Roman" w:cs="Times New Roman"/>
          <w:sz w:val="22"/>
          <w:szCs w:val="22"/>
        </w:rPr>
      </w:pPr>
      <w:r w:rsidRPr="00883334">
        <w:rPr>
          <w:rFonts w:ascii="Times New Roman" w:hAnsi="Times New Roman"/>
          <w:sz w:val="22"/>
          <w:szCs w:val="22"/>
        </w:rPr>
        <w:t xml:space="preserve">ak viete, že máte nejakú poruchu ovplyvňujúcu zrážanlivosť krvi, napríklad nedostatok </w:t>
      </w:r>
      <w:r w:rsidRPr="00D31CCF">
        <w:rPr>
          <w:rFonts w:ascii="Times New Roman" w:hAnsi="Times New Roman" w:cs="Times New Roman"/>
          <w:sz w:val="22"/>
          <w:szCs w:val="22"/>
        </w:rPr>
        <w:t xml:space="preserve">proteínu C, nedostatok proteínu S, nedostatok </w:t>
      </w:r>
      <w:proofErr w:type="spellStart"/>
      <w:r w:rsidRPr="00D31CCF">
        <w:rPr>
          <w:rFonts w:ascii="Times New Roman" w:hAnsi="Times New Roman" w:cs="Times New Roman"/>
          <w:sz w:val="22"/>
          <w:szCs w:val="22"/>
        </w:rPr>
        <w:t>antitrombínu-III</w:t>
      </w:r>
      <w:proofErr w:type="spellEnd"/>
      <w:r w:rsidRPr="00D31CCF">
        <w:rPr>
          <w:rFonts w:ascii="Times New Roman" w:hAnsi="Times New Roman" w:cs="Times New Roman"/>
          <w:sz w:val="22"/>
          <w:szCs w:val="22"/>
        </w:rPr>
        <w:t xml:space="preserve">, faktor V </w:t>
      </w:r>
      <w:proofErr w:type="spellStart"/>
      <w:r w:rsidRPr="00D31CCF">
        <w:rPr>
          <w:rFonts w:ascii="Times New Roman" w:hAnsi="Times New Roman" w:cs="Times New Roman"/>
          <w:sz w:val="22"/>
          <w:szCs w:val="22"/>
        </w:rPr>
        <w:t>Leiden</w:t>
      </w:r>
      <w:proofErr w:type="spellEnd"/>
      <w:r w:rsidRPr="00D31CCF">
        <w:rPr>
          <w:rFonts w:ascii="Times New Roman" w:hAnsi="Times New Roman" w:cs="Times New Roman"/>
          <w:sz w:val="22"/>
          <w:szCs w:val="22"/>
        </w:rPr>
        <w:t xml:space="preserve"> alebo </w:t>
      </w:r>
      <w:proofErr w:type="spellStart"/>
      <w:r w:rsidRPr="00D31CCF">
        <w:rPr>
          <w:rFonts w:ascii="Times New Roman" w:hAnsi="Times New Roman" w:cs="Times New Roman"/>
          <w:sz w:val="22"/>
          <w:szCs w:val="22"/>
        </w:rPr>
        <w:t>antifosfolipidové</w:t>
      </w:r>
      <w:proofErr w:type="spellEnd"/>
      <w:r w:rsidRPr="00D31CCF">
        <w:rPr>
          <w:rFonts w:ascii="Times New Roman" w:hAnsi="Times New Roman" w:cs="Times New Roman"/>
          <w:sz w:val="22"/>
          <w:szCs w:val="22"/>
        </w:rPr>
        <w:t xml:space="preserve"> protilátky,</w:t>
      </w:r>
    </w:p>
    <w:p w:rsidR="00A621AE" w:rsidRDefault="00A621AE" w:rsidP="00883334">
      <w:pPr>
        <w:pStyle w:val="Default"/>
        <w:numPr>
          <w:ilvl w:val="0"/>
          <w:numId w:val="25"/>
        </w:numPr>
        <w:ind w:left="567" w:hanging="567"/>
        <w:rPr>
          <w:rFonts w:ascii="Times New Roman" w:hAnsi="Times New Roman" w:cs="Times New Roman"/>
          <w:sz w:val="22"/>
          <w:szCs w:val="22"/>
        </w:rPr>
      </w:pPr>
      <w:r w:rsidRPr="00D31CCF">
        <w:rPr>
          <w:rFonts w:ascii="Times New Roman" w:hAnsi="Times New Roman" w:cs="Times New Roman"/>
          <w:sz w:val="22"/>
          <w:szCs w:val="22"/>
        </w:rPr>
        <w:t>ak musíte podstúpiť nejaký chirurgický zákrok alebo ak ste dlhodobo nepohyblivá (pozri časť</w:t>
      </w:r>
      <w:r>
        <w:rPr>
          <w:rFonts w:ascii="Times New Roman" w:hAnsi="Times New Roman" w:cs="Times New Roman"/>
          <w:sz w:val="22"/>
          <w:szCs w:val="22"/>
        </w:rPr>
        <w:t> </w:t>
      </w:r>
      <w:r w:rsidRPr="00D31CCF">
        <w:rPr>
          <w:rFonts w:ascii="Times New Roman" w:hAnsi="Times New Roman" w:cs="Times New Roman"/>
          <w:sz w:val="22"/>
          <w:szCs w:val="22"/>
        </w:rPr>
        <w:t>„Krvné zrazeniny“),</w:t>
      </w:r>
    </w:p>
    <w:p w:rsidR="00A621AE" w:rsidRDefault="00A621AE" w:rsidP="00883334">
      <w:pPr>
        <w:pStyle w:val="Default"/>
        <w:numPr>
          <w:ilvl w:val="0"/>
          <w:numId w:val="25"/>
        </w:numPr>
        <w:ind w:left="567" w:hanging="567"/>
        <w:rPr>
          <w:rFonts w:ascii="Times New Roman" w:hAnsi="Times New Roman" w:cs="Times New Roman"/>
          <w:sz w:val="22"/>
          <w:szCs w:val="22"/>
        </w:rPr>
      </w:pPr>
      <w:r w:rsidRPr="00D31CCF">
        <w:rPr>
          <w:rFonts w:ascii="Times New Roman" w:hAnsi="Times New Roman" w:cs="Times New Roman"/>
          <w:sz w:val="22"/>
          <w:szCs w:val="22"/>
        </w:rPr>
        <w:t>ak ste niekedy mali srdcový infarkt alebo cievnu mozgovú príhodu,</w:t>
      </w:r>
    </w:p>
    <w:p w:rsidR="00A621AE" w:rsidRDefault="00A621AE" w:rsidP="00883334">
      <w:pPr>
        <w:pStyle w:val="Default"/>
        <w:ind w:left="567"/>
        <w:rPr>
          <w:rFonts w:ascii="Times New Roman" w:hAnsi="Times New Roman" w:cs="Times New Roman"/>
          <w:sz w:val="22"/>
          <w:szCs w:val="22"/>
        </w:rPr>
      </w:pPr>
      <w:r w:rsidRPr="00D31CCF">
        <w:rPr>
          <w:rFonts w:ascii="Times New Roman" w:hAnsi="Times New Roman" w:cs="Times New Roman"/>
          <w:sz w:val="22"/>
          <w:szCs w:val="22"/>
        </w:rPr>
        <w:t xml:space="preserve">ak máte (alebo ste niekedy mali) </w:t>
      </w:r>
      <w:proofErr w:type="spellStart"/>
      <w:r w:rsidRPr="00D31CCF">
        <w:rPr>
          <w:rFonts w:ascii="Times New Roman" w:hAnsi="Times New Roman" w:cs="Times New Roman"/>
          <w:i/>
          <w:sz w:val="22"/>
          <w:szCs w:val="22"/>
        </w:rPr>
        <w:t>anginu</w:t>
      </w:r>
      <w:proofErr w:type="spellEnd"/>
      <w:r w:rsidRPr="00D31CCF">
        <w:rPr>
          <w:rFonts w:ascii="Times New Roman" w:hAnsi="Times New Roman" w:cs="Times New Roman"/>
          <w:i/>
          <w:sz w:val="22"/>
          <w:szCs w:val="22"/>
        </w:rPr>
        <w:t xml:space="preserve"> pectoris</w:t>
      </w:r>
      <w:r w:rsidRPr="00D31CCF">
        <w:rPr>
          <w:rFonts w:ascii="Times New Roman" w:hAnsi="Times New Roman" w:cs="Times New Roman"/>
          <w:sz w:val="22"/>
          <w:szCs w:val="22"/>
        </w:rPr>
        <w:t xml:space="preserve"> (stav, ktorý spôsobuje silnú bolesť v hrudi a môže byť prvým prejavom srdcového infarktu) alebo prechodný ischemický záchvat (</w:t>
      </w:r>
      <w:proofErr w:type="spellStart"/>
      <w:r w:rsidRPr="00D31CCF">
        <w:rPr>
          <w:rFonts w:ascii="Times New Roman" w:hAnsi="Times New Roman" w:cs="Times New Roman"/>
          <w:sz w:val="22"/>
          <w:szCs w:val="22"/>
        </w:rPr>
        <w:t>Transient</w:t>
      </w:r>
      <w:proofErr w:type="spellEnd"/>
      <w:r w:rsidRPr="00D31CCF">
        <w:rPr>
          <w:rFonts w:ascii="Times New Roman" w:hAnsi="Times New Roman" w:cs="Times New Roman"/>
          <w:sz w:val="22"/>
          <w:szCs w:val="22"/>
        </w:rPr>
        <w:t xml:space="preserve"> </w:t>
      </w:r>
      <w:proofErr w:type="spellStart"/>
      <w:r w:rsidRPr="00D31CCF">
        <w:rPr>
          <w:rFonts w:ascii="Times New Roman" w:hAnsi="Times New Roman" w:cs="Times New Roman"/>
          <w:sz w:val="22"/>
          <w:szCs w:val="22"/>
        </w:rPr>
        <w:t>Ischemic</w:t>
      </w:r>
      <w:proofErr w:type="spellEnd"/>
      <w:r w:rsidRPr="00D31CCF">
        <w:rPr>
          <w:rFonts w:ascii="Times New Roman" w:hAnsi="Times New Roman" w:cs="Times New Roman"/>
          <w:sz w:val="22"/>
          <w:szCs w:val="22"/>
        </w:rPr>
        <w:t xml:space="preserve"> </w:t>
      </w:r>
      <w:proofErr w:type="spellStart"/>
      <w:r w:rsidRPr="00D31CCF">
        <w:rPr>
          <w:rFonts w:ascii="Times New Roman" w:hAnsi="Times New Roman" w:cs="Times New Roman"/>
          <w:sz w:val="22"/>
          <w:szCs w:val="22"/>
        </w:rPr>
        <w:t>Attack</w:t>
      </w:r>
      <w:proofErr w:type="spellEnd"/>
      <w:r w:rsidRPr="00D31CCF">
        <w:rPr>
          <w:rFonts w:ascii="Times New Roman" w:hAnsi="Times New Roman" w:cs="Times New Roman"/>
          <w:sz w:val="22"/>
          <w:szCs w:val="22"/>
        </w:rPr>
        <w:t>, TIA - dočasné príznaky cievnej mozgovej príhody),</w:t>
      </w:r>
    </w:p>
    <w:p w:rsidR="00A621AE" w:rsidRDefault="00A621AE" w:rsidP="00883334">
      <w:pPr>
        <w:pStyle w:val="Default"/>
        <w:numPr>
          <w:ilvl w:val="0"/>
          <w:numId w:val="25"/>
        </w:numPr>
        <w:ind w:left="567" w:hanging="567"/>
        <w:rPr>
          <w:rFonts w:ascii="Times New Roman" w:hAnsi="Times New Roman" w:cs="Times New Roman"/>
          <w:sz w:val="22"/>
          <w:szCs w:val="22"/>
        </w:rPr>
      </w:pPr>
      <w:r w:rsidRPr="00D31CCF">
        <w:rPr>
          <w:rFonts w:ascii="Times New Roman" w:hAnsi="Times New Roman" w:cs="Times New Roman"/>
          <w:sz w:val="22"/>
          <w:szCs w:val="22"/>
        </w:rPr>
        <w:t>ak máte niektoré z nasledujúcich ochorení, ktoré môžu zvyšovať riziko vzniku zrazeniny v tepnách:</w:t>
      </w:r>
    </w:p>
    <w:p w:rsidR="00A621AE" w:rsidRDefault="00A621AE" w:rsidP="00883334">
      <w:pPr>
        <w:pStyle w:val="Default"/>
        <w:numPr>
          <w:ilvl w:val="0"/>
          <w:numId w:val="36"/>
        </w:numPr>
        <w:ind w:left="851" w:hanging="284"/>
        <w:rPr>
          <w:rFonts w:ascii="Times New Roman" w:hAnsi="Times New Roman" w:cs="Times New Roman"/>
          <w:sz w:val="22"/>
          <w:szCs w:val="22"/>
        </w:rPr>
      </w:pPr>
      <w:r w:rsidRPr="00D31CCF">
        <w:rPr>
          <w:rFonts w:ascii="Times New Roman" w:hAnsi="Times New Roman" w:cs="Times New Roman"/>
          <w:sz w:val="22"/>
          <w:szCs w:val="22"/>
        </w:rPr>
        <w:t xml:space="preserve">závažnú cukrovku s poškodením krvných ciev, </w:t>
      </w:r>
    </w:p>
    <w:p w:rsidR="00A621AE" w:rsidRDefault="00A621AE" w:rsidP="00883334">
      <w:pPr>
        <w:pStyle w:val="Default"/>
        <w:numPr>
          <w:ilvl w:val="0"/>
          <w:numId w:val="36"/>
        </w:numPr>
        <w:ind w:left="851" w:hanging="284"/>
        <w:rPr>
          <w:rFonts w:ascii="Times New Roman" w:hAnsi="Times New Roman" w:cs="Times New Roman"/>
          <w:sz w:val="22"/>
          <w:szCs w:val="22"/>
        </w:rPr>
      </w:pPr>
      <w:r w:rsidRPr="00D31CCF">
        <w:rPr>
          <w:rFonts w:ascii="Times New Roman" w:hAnsi="Times New Roman" w:cs="Times New Roman"/>
          <w:sz w:val="22"/>
          <w:szCs w:val="22"/>
        </w:rPr>
        <w:t xml:space="preserve">veľmi vysoký krvný tlak, </w:t>
      </w:r>
    </w:p>
    <w:p w:rsidR="00A621AE" w:rsidRDefault="00A621AE" w:rsidP="00883334">
      <w:pPr>
        <w:pStyle w:val="Default"/>
        <w:numPr>
          <w:ilvl w:val="0"/>
          <w:numId w:val="36"/>
        </w:numPr>
        <w:ind w:left="851" w:hanging="284"/>
        <w:rPr>
          <w:rFonts w:ascii="Times New Roman" w:hAnsi="Times New Roman" w:cs="Times New Roman"/>
          <w:sz w:val="22"/>
          <w:szCs w:val="22"/>
        </w:rPr>
      </w:pPr>
      <w:r w:rsidRPr="00D31CCF">
        <w:rPr>
          <w:rFonts w:ascii="Times New Roman" w:hAnsi="Times New Roman" w:cs="Times New Roman"/>
          <w:sz w:val="22"/>
          <w:szCs w:val="22"/>
        </w:rPr>
        <w:t xml:space="preserve">veľmi vysokú hladinu tuku v krvi (cholesterol alebo triglyceridy), </w:t>
      </w:r>
    </w:p>
    <w:p w:rsidR="00A621AE" w:rsidRDefault="00A621AE" w:rsidP="00883334">
      <w:pPr>
        <w:pStyle w:val="Default"/>
        <w:numPr>
          <w:ilvl w:val="0"/>
          <w:numId w:val="36"/>
        </w:numPr>
        <w:ind w:left="851" w:hanging="284"/>
        <w:rPr>
          <w:rFonts w:ascii="Times New Roman" w:hAnsi="Times New Roman" w:cs="Times New Roman"/>
          <w:sz w:val="22"/>
          <w:szCs w:val="22"/>
        </w:rPr>
      </w:pPr>
      <w:r w:rsidRPr="00D31CCF">
        <w:rPr>
          <w:rFonts w:ascii="Times New Roman" w:hAnsi="Times New Roman" w:cs="Times New Roman"/>
          <w:sz w:val="22"/>
          <w:szCs w:val="22"/>
        </w:rPr>
        <w:t xml:space="preserve">stav známy ako </w:t>
      </w:r>
      <w:proofErr w:type="spellStart"/>
      <w:r w:rsidRPr="00D31CCF">
        <w:rPr>
          <w:rFonts w:ascii="Times New Roman" w:hAnsi="Times New Roman" w:cs="Times New Roman"/>
          <w:sz w:val="22"/>
          <w:szCs w:val="22"/>
        </w:rPr>
        <w:t>hyperhomocysteinémia</w:t>
      </w:r>
      <w:proofErr w:type="spellEnd"/>
      <w:r w:rsidRPr="00D31CCF">
        <w:rPr>
          <w:rFonts w:ascii="Times New Roman" w:hAnsi="Times New Roman" w:cs="Times New Roman"/>
          <w:sz w:val="22"/>
          <w:szCs w:val="22"/>
        </w:rPr>
        <w:t xml:space="preserve">, </w:t>
      </w:r>
    </w:p>
    <w:p w:rsidR="00A621AE" w:rsidRPr="00D31CCF" w:rsidRDefault="00A621AE" w:rsidP="00D31CCF">
      <w:pPr>
        <w:pStyle w:val="Default"/>
        <w:numPr>
          <w:ilvl w:val="0"/>
          <w:numId w:val="2"/>
        </w:numPr>
        <w:tabs>
          <w:tab w:val="clear" w:pos="720"/>
          <w:tab w:val="num" w:pos="567"/>
        </w:tabs>
        <w:ind w:left="567" w:hanging="567"/>
        <w:rPr>
          <w:rFonts w:ascii="Times New Roman" w:hAnsi="Times New Roman" w:cs="Times New Roman"/>
          <w:sz w:val="22"/>
          <w:szCs w:val="22"/>
        </w:rPr>
      </w:pPr>
      <w:r w:rsidRPr="00D31CCF">
        <w:rPr>
          <w:rFonts w:ascii="Times New Roman" w:hAnsi="Times New Roman" w:cs="Times New Roman"/>
          <w:sz w:val="22"/>
          <w:szCs w:val="22"/>
        </w:rPr>
        <w:t>ak máte (alebo ste niekedy mali) typ migrény nazývaný „migréna s aurou“,</w:t>
      </w:r>
    </w:p>
    <w:p w:rsidR="00A621AE" w:rsidRDefault="00A621AE" w:rsidP="00883334">
      <w:pPr>
        <w:pStyle w:val="ListParagraph"/>
        <w:numPr>
          <w:ilvl w:val="0"/>
          <w:numId w:val="2"/>
        </w:numPr>
        <w:tabs>
          <w:tab w:val="clear" w:pos="720"/>
          <w:tab w:val="num" w:pos="567"/>
        </w:tabs>
        <w:autoSpaceDE w:val="0"/>
        <w:autoSpaceDN w:val="0"/>
        <w:adjustRightInd w:val="0"/>
        <w:ind w:left="567" w:hanging="567"/>
        <w:rPr>
          <w:sz w:val="22"/>
          <w:szCs w:val="22"/>
        </w:rPr>
      </w:pPr>
      <w:r w:rsidRPr="00D31CCF">
        <w:rPr>
          <w:color w:val="000000"/>
          <w:sz w:val="22"/>
          <w:szCs w:val="22"/>
        </w:rPr>
        <w:t>ak máte (alebo ste niekedy mali) zápal podžalúdkovej žľazy (</w:t>
      </w:r>
      <w:proofErr w:type="spellStart"/>
      <w:r w:rsidRPr="00D31CCF">
        <w:rPr>
          <w:color w:val="000000"/>
          <w:sz w:val="22"/>
          <w:szCs w:val="22"/>
        </w:rPr>
        <w:t>pankreatitídu</w:t>
      </w:r>
      <w:proofErr w:type="spellEnd"/>
      <w:r w:rsidRPr="00D31CCF">
        <w:rPr>
          <w:color w:val="000000"/>
          <w:sz w:val="22"/>
          <w:szCs w:val="22"/>
        </w:rPr>
        <w:t>);</w:t>
      </w:r>
    </w:p>
    <w:p w:rsidR="00A621AE" w:rsidRDefault="00A621AE" w:rsidP="00883334">
      <w:pPr>
        <w:pStyle w:val="ListParagraph"/>
        <w:numPr>
          <w:ilvl w:val="0"/>
          <w:numId w:val="2"/>
        </w:numPr>
        <w:tabs>
          <w:tab w:val="clear" w:pos="720"/>
          <w:tab w:val="num" w:pos="567"/>
        </w:tabs>
        <w:autoSpaceDE w:val="0"/>
        <w:autoSpaceDN w:val="0"/>
        <w:adjustRightInd w:val="0"/>
        <w:ind w:left="567" w:hanging="567"/>
        <w:rPr>
          <w:color w:val="000000"/>
          <w:sz w:val="22"/>
          <w:szCs w:val="22"/>
        </w:rPr>
      </w:pPr>
      <w:r w:rsidRPr="00D31CCF">
        <w:rPr>
          <w:color w:val="000000"/>
          <w:sz w:val="22"/>
          <w:szCs w:val="22"/>
        </w:rPr>
        <w:t>ak máte alebo ste</w:t>
      </w:r>
      <w:r w:rsidRPr="000C3F44">
        <w:rPr>
          <w:color w:val="000000"/>
          <w:sz w:val="22"/>
          <w:szCs w:val="22"/>
        </w:rPr>
        <w:t xml:space="preserve"> niekedy mali ochorenie pečene a funkcia pečene ešte nie je v</w:t>
      </w:r>
      <w:r>
        <w:rPr>
          <w:color w:val="000000"/>
          <w:sz w:val="22"/>
          <w:szCs w:val="22"/>
        </w:rPr>
        <w:t> norme,</w:t>
      </w:r>
    </w:p>
    <w:p w:rsidR="00A621AE" w:rsidRDefault="00A621AE" w:rsidP="00883334">
      <w:pPr>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ak máte alebo ste niekedy mali nádor pečene,</w:t>
      </w:r>
    </w:p>
    <w:p w:rsidR="00A621AE" w:rsidRDefault="00A621AE" w:rsidP="00883334">
      <w:pPr>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ak máte (alebo ste niekedy mali) rakovinu prsníka alebo pohlavných orgánov alebo existuje na ne podozrenie,</w:t>
      </w:r>
    </w:p>
    <w:p w:rsidR="00A621AE" w:rsidRDefault="00A621AE" w:rsidP="00883334">
      <w:pPr>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ak máte krvácanie z pošvy z neobjasnenej príčiny,</w:t>
      </w:r>
    </w:p>
    <w:p w:rsidR="00A621AE" w:rsidRDefault="00A621AE" w:rsidP="00883334">
      <w:pPr>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ak ste tehotná alebo si myslíte, že by ste mohli byť tehotná,</w:t>
      </w:r>
    </w:p>
    <w:p w:rsidR="00775CA9" w:rsidRDefault="00A621AE" w:rsidP="00883334">
      <w:pPr>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ak ste alergická na etinylestradiol alebo gestodén alebo na ktorúkoľvek z ďalších zložiek tohto lieku (uvedených v časti 6).Môže to spôsobiť svrbenie, vyrážku alebo opuch</w:t>
      </w:r>
      <w:r w:rsidR="00775CA9">
        <w:rPr>
          <w:color w:val="000000"/>
          <w:sz w:val="22"/>
          <w:szCs w:val="22"/>
        </w:rPr>
        <w:t>,</w:t>
      </w:r>
    </w:p>
    <w:p w:rsidR="00A621AE" w:rsidRDefault="00775CA9" w:rsidP="00883334">
      <w:pPr>
        <w:numPr>
          <w:ilvl w:val="0"/>
          <w:numId w:val="2"/>
        </w:numPr>
        <w:tabs>
          <w:tab w:val="clear" w:pos="720"/>
          <w:tab w:val="num" w:pos="567"/>
        </w:tabs>
        <w:autoSpaceDE w:val="0"/>
        <w:autoSpaceDN w:val="0"/>
        <w:adjustRightInd w:val="0"/>
        <w:ind w:left="567" w:hanging="567"/>
        <w:rPr>
          <w:color w:val="000000"/>
          <w:sz w:val="22"/>
          <w:szCs w:val="22"/>
        </w:rPr>
      </w:pPr>
      <w:r w:rsidRPr="00775CA9">
        <w:rPr>
          <w:color w:val="000000"/>
          <w:sz w:val="22"/>
          <w:szCs w:val="22"/>
        </w:rPr>
        <w:t xml:space="preserve">ak máte hepatitídu C a užívate lieky obsahujúce </w:t>
      </w:r>
      <w:proofErr w:type="spellStart"/>
      <w:r w:rsidRPr="00775CA9">
        <w:rPr>
          <w:color w:val="000000"/>
          <w:sz w:val="22"/>
          <w:szCs w:val="22"/>
        </w:rPr>
        <w:t>ombitasvir</w:t>
      </w:r>
      <w:proofErr w:type="spellEnd"/>
      <w:r w:rsidRPr="00775CA9">
        <w:rPr>
          <w:color w:val="000000"/>
          <w:sz w:val="22"/>
          <w:szCs w:val="22"/>
        </w:rPr>
        <w:t>/</w:t>
      </w:r>
      <w:proofErr w:type="spellStart"/>
      <w:r w:rsidRPr="00775CA9">
        <w:rPr>
          <w:color w:val="000000"/>
          <w:sz w:val="22"/>
          <w:szCs w:val="22"/>
        </w:rPr>
        <w:t>paritaprevir</w:t>
      </w:r>
      <w:proofErr w:type="spellEnd"/>
      <w:r w:rsidRPr="00775CA9">
        <w:rPr>
          <w:color w:val="000000"/>
          <w:sz w:val="22"/>
          <w:szCs w:val="22"/>
        </w:rPr>
        <w:t>/</w:t>
      </w:r>
      <w:proofErr w:type="spellStart"/>
      <w:r w:rsidRPr="00775CA9">
        <w:rPr>
          <w:color w:val="000000"/>
          <w:sz w:val="22"/>
          <w:szCs w:val="22"/>
        </w:rPr>
        <w:t>ritonavir</w:t>
      </w:r>
      <w:proofErr w:type="spellEnd"/>
      <w:r w:rsidRPr="00775CA9">
        <w:rPr>
          <w:color w:val="000000"/>
          <w:sz w:val="22"/>
          <w:szCs w:val="22"/>
        </w:rPr>
        <w:t xml:space="preserve"> a </w:t>
      </w:r>
      <w:proofErr w:type="spellStart"/>
      <w:r w:rsidRPr="00775CA9">
        <w:rPr>
          <w:color w:val="000000"/>
          <w:sz w:val="22"/>
          <w:szCs w:val="22"/>
        </w:rPr>
        <w:t>dasabuvir</w:t>
      </w:r>
      <w:proofErr w:type="spellEnd"/>
      <w:r w:rsidRPr="00775CA9">
        <w:rPr>
          <w:color w:val="000000"/>
          <w:sz w:val="22"/>
          <w:szCs w:val="22"/>
        </w:rPr>
        <w:t xml:space="preserve"> (pozri tiež časť „Iné lieky a</w:t>
      </w:r>
      <w:r>
        <w:rPr>
          <w:color w:val="000000"/>
          <w:sz w:val="22"/>
          <w:szCs w:val="22"/>
        </w:rPr>
        <w:t> </w:t>
      </w:r>
      <w:r w:rsidRPr="00775CA9">
        <w:rPr>
          <w:bCs/>
          <w:color w:val="000000"/>
          <w:sz w:val="22"/>
          <w:szCs w:val="22"/>
        </w:rPr>
        <w:t>Gentilion</w:t>
      </w:r>
      <w:r>
        <w:rPr>
          <w:bCs/>
          <w:color w:val="000000"/>
          <w:sz w:val="22"/>
          <w:szCs w:val="22"/>
        </w:rPr>
        <w:t xml:space="preserve"> Daily</w:t>
      </w:r>
      <w:r w:rsidRPr="00775CA9">
        <w:rPr>
          <w:color w:val="000000"/>
          <w:sz w:val="22"/>
          <w:szCs w:val="22"/>
        </w:rPr>
        <w:t>“)</w:t>
      </w:r>
      <w:r w:rsidR="00A621AE">
        <w:rPr>
          <w:color w:val="000000"/>
          <w:sz w:val="22"/>
          <w:szCs w:val="22"/>
        </w:rPr>
        <w:t>.</w:t>
      </w: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b/>
          <w:bCs/>
          <w:color w:val="000000"/>
          <w:sz w:val="22"/>
          <w:szCs w:val="22"/>
        </w:rPr>
      </w:pPr>
      <w:r>
        <w:rPr>
          <w:b/>
          <w:bCs/>
          <w:color w:val="000000"/>
          <w:sz w:val="22"/>
          <w:szCs w:val="22"/>
        </w:rPr>
        <w:t>Upozornenia a opatrenia</w:t>
      </w:r>
    </w:p>
    <w:p w:rsidR="00A621AE" w:rsidRPr="00D31CCF" w:rsidRDefault="00A621AE" w:rsidP="00D31CCF">
      <w:pPr>
        <w:autoSpaceDE w:val="0"/>
        <w:autoSpaceDN w:val="0"/>
        <w:adjustRightInd w:val="0"/>
        <w:rPr>
          <w:color w:val="000000"/>
          <w:sz w:val="22"/>
          <w:szCs w:val="22"/>
        </w:rPr>
      </w:pPr>
      <w:r>
        <w:rPr>
          <w:color w:val="000000"/>
          <w:sz w:val="22"/>
          <w:szCs w:val="22"/>
        </w:rPr>
        <w:t>Predtým, ako začnete užívať Gentilion Daily, obráťte sa na svojho lekára, lekárnika alebo zdravotnú sestru.</w:t>
      </w:r>
    </w:p>
    <w:p w:rsidR="00A621AE" w:rsidRPr="00D31CCF" w:rsidRDefault="00A621AE" w:rsidP="000C3F44">
      <w:pPr>
        <w:autoSpaceDE w:val="0"/>
        <w:autoSpaceDN w:val="0"/>
        <w:adjustRightInd w:val="0"/>
        <w:rPr>
          <w:b/>
          <w:color w:val="000000"/>
          <w:sz w:val="22"/>
          <w:szCs w:val="22"/>
        </w:rPr>
      </w:pPr>
    </w:p>
    <w:p w:rsidR="00A621AE" w:rsidRPr="00D31CCF" w:rsidRDefault="00A621AE" w:rsidP="000C3F44">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Kedy máte navštíviť svojho lekára? </w:t>
      </w:r>
    </w:p>
    <w:p w:rsidR="00A621AE" w:rsidRDefault="00A621AE">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u w:val="single"/>
        </w:rPr>
      </w:pPr>
      <w:r>
        <w:rPr>
          <w:rFonts w:ascii="Times New Roman" w:hAnsi="Times New Roman" w:cs="Times New Roman"/>
          <w:sz w:val="22"/>
          <w:szCs w:val="22"/>
          <w:u w:val="single"/>
        </w:rPr>
        <w:t>Vyhľadajte rýchlu lekársku pomoc</w:t>
      </w:r>
    </w:p>
    <w:p w:rsidR="00A621AE" w:rsidRDefault="00A621AE">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883334">
        <w:rPr>
          <w:rFonts w:ascii="Times New Roman" w:hAnsi="Times New Roman"/>
          <w:sz w:val="22"/>
          <w:szCs w:val="22"/>
        </w:rPr>
        <w:lastRenderedPageBreak/>
        <w:t>ak spozorujete možné prejavy krvnej zrazeniny, čo môže znamenať, že máte krvnú zrazeninu v</w:t>
      </w:r>
      <w:r>
        <w:rPr>
          <w:rFonts w:ascii="Times New Roman" w:hAnsi="Times New Roman" w:cs="Times New Roman"/>
          <w:sz w:val="22"/>
          <w:szCs w:val="22"/>
        </w:rPr>
        <w:t> </w:t>
      </w:r>
      <w:r w:rsidRPr="00D31CCF">
        <w:rPr>
          <w:rFonts w:ascii="Times New Roman" w:hAnsi="Times New Roman" w:cs="Times New Roman"/>
          <w:sz w:val="22"/>
          <w:szCs w:val="22"/>
        </w:rPr>
        <w:t>nohe</w:t>
      </w:r>
      <w:r>
        <w:rPr>
          <w:rFonts w:ascii="Times New Roman" w:hAnsi="Times New Roman" w:cs="Times New Roman"/>
          <w:sz w:val="22"/>
          <w:szCs w:val="22"/>
        </w:rPr>
        <w:t xml:space="preserve"> </w:t>
      </w:r>
      <w:r w:rsidRPr="00D31CCF">
        <w:rPr>
          <w:rFonts w:ascii="Times New Roman" w:hAnsi="Times New Roman" w:cs="Times New Roman"/>
          <w:sz w:val="22"/>
          <w:szCs w:val="22"/>
        </w:rPr>
        <w:t>(t. j. trombózu hlbokých žíl), krvnú zrazeninu v pľúcach (t. j. pľúcnu embóliu) a srdcový infarkt</w:t>
      </w:r>
      <w:r>
        <w:rPr>
          <w:rFonts w:ascii="Times New Roman" w:hAnsi="Times New Roman" w:cs="Times New Roman"/>
          <w:sz w:val="22"/>
          <w:szCs w:val="22"/>
        </w:rPr>
        <w:t xml:space="preserve"> </w:t>
      </w:r>
      <w:r w:rsidRPr="00D31CCF">
        <w:rPr>
          <w:rFonts w:ascii="Times New Roman" w:hAnsi="Times New Roman" w:cs="Times New Roman"/>
          <w:sz w:val="22"/>
          <w:szCs w:val="22"/>
        </w:rPr>
        <w:t>alebo cievnu mozgovú príhodu (pozri časť „Krvné zrazenin</w:t>
      </w:r>
      <w:r w:rsidRPr="000C3F44">
        <w:rPr>
          <w:rFonts w:ascii="Times New Roman" w:hAnsi="Times New Roman" w:cs="Times New Roman"/>
          <w:sz w:val="22"/>
          <w:szCs w:val="22"/>
        </w:rPr>
        <w:t xml:space="preserve">y (trombóza)“ nižšie). </w:t>
      </w:r>
    </w:p>
    <w:p w:rsidR="00A621AE" w:rsidRDefault="00A621AE">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rPr>
      </w:pPr>
      <w:r w:rsidRPr="000C3F44">
        <w:rPr>
          <w:sz w:val="22"/>
          <w:szCs w:val="22"/>
        </w:rPr>
        <w:t>Popis príznakov týchto závažných vedľajších účinkov je uvedený v časti „Ako rozpoznať krvnú zrazeni</w:t>
      </w:r>
      <w:r>
        <w:rPr>
          <w:sz w:val="22"/>
          <w:szCs w:val="22"/>
        </w:rPr>
        <w:t>nu“.</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b/>
          <w:bCs/>
          <w:sz w:val="22"/>
          <w:szCs w:val="22"/>
        </w:rPr>
        <w:t>Ak si myslíte, že sa vás týka niektorý z nasledujúcich stavov, povedzte to svojmu lekárovi.</w:t>
      </w:r>
    </w:p>
    <w:p w:rsidR="00A621AE" w:rsidRDefault="00A621AE">
      <w:pPr>
        <w:numPr>
          <w:ilvl w:val="12"/>
          <w:numId w:val="0"/>
        </w:numPr>
        <w:ind w:right="-2"/>
        <w:outlineLvl w:val="0"/>
        <w:rPr>
          <w:color w:val="000000"/>
          <w:sz w:val="22"/>
          <w:szCs w:val="22"/>
        </w:rPr>
      </w:pPr>
      <w:r>
        <w:rPr>
          <w:sz w:val="22"/>
          <w:szCs w:val="22"/>
        </w:rPr>
        <w:t>Ak sa tento stav objaví alebo zhoršuje počas užívania Gentilionu Daily, musíte to tiež povedať svojmu lekárovi.</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 xml:space="preserve">ak máte </w:t>
      </w:r>
      <w:proofErr w:type="spellStart"/>
      <w:r>
        <w:rPr>
          <w:color w:val="000000"/>
          <w:sz w:val="22"/>
          <w:szCs w:val="22"/>
        </w:rPr>
        <w:t>Crohnovu</w:t>
      </w:r>
      <w:proofErr w:type="spellEnd"/>
      <w:r>
        <w:rPr>
          <w:color w:val="000000"/>
          <w:sz w:val="22"/>
          <w:szCs w:val="22"/>
        </w:rPr>
        <w:t xml:space="preserve"> chorobu alebo </w:t>
      </w:r>
      <w:proofErr w:type="spellStart"/>
      <w:r>
        <w:rPr>
          <w:color w:val="000000"/>
          <w:sz w:val="22"/>
          <w:szCs w:val="22"/>
        </w:rPr>
        <w:t>ulceróznu</w:t>
      </w:r>
      <w:proofErr w:type="spellEnd"/>
      <w:r>
        <w:rPr>
          <w:color w:val="000000"/>
          <w:sz w:val="22"/>
          <w:szCs w:val="22"/>
        </w:rPr>
        <w:t xml:space="preserve"> </w:t>
      </w:r>
      <w:proofErr w:type="spellStart"/>
      <w:r>
        <w:rPr>
          <w:color w:val="000000"/>
          <w:sz w:val="22"/>
          <w:szCs w:val="22"/>
        </w:rPr>
        <w:t>kolitídu</w:t>
      </w:r>
      <w:proofErr w:type="spellEnd"/>
      <w:r>
        <w:rPr>
          <w:color w:val="000000"/>
          <w:sz w:val="22"/>
          <w:szCs w:val="22"/>
        </w:rPr>
        <w:t xml:space="preserve"> (chronické zápalové ochorenie čriev);</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 xml:space="preserve">ak máte systémový </w:t>
      </w:r>
      <w:proofErr w:type="spellStart"/>
      <w:r>
        <w:rPr>
          <w:i/>
          <w:color w:val="000000"/>
          <w:sz w:val="22"/>
          <w:szCs w:val="22"/>
        </w:rPr>
        <w:t>lupus</w:t>
      </w:r>
      <w:proofErr w:type="spellEnd"/>
      <w:r>
        <w:rPr>
          <w:i/>
          <w:color w:val="000000"/>
          <w:sz w:val="22"/>
          <w:szCs w:val="22"/>
        </w:rPr>
        <w:t xml:space="preserve"> </w:t>
      </w:r>
      <w:proofErr w:type="spellStart"/>
      <w:r>
        <w:rPr>
          <w:i/>
          <w:color w:val="000000"/>
          <w:sz w:val="22"/>
          <w:szCs w:val="22"/>
        </w:rPr>
        <w:t>erythematosus</w:t>
      </w:r>
      <w:proofErr w:type="spellEnd"/>
      <w:r>
        <w:rPr>
          <w:color w:val="000000"/>
          <w:sz w:val="22"/>
          <w:szCs w:val="22"/>
        </w:rPr>
        <w:t xml:space="preserve"> (SLE - ochorenie postihujúce prirodzený obranný systém vášho tela);</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 xml:space="preserve">ak máte </w:t>
      </w:r>
      <w:proofErr w:type="spellStart"/>
      <w:r>
        <w:rPr>
          <w:color w:val="000000"/>
          <w:sz w:val="22"/>
          <w:szCs w:val="22"/>
        </w:rPr>
        <w:t>hemolyticko-uremický</w:t>
      </w:r>
      <w:proofErr w:type="spellEnd"/>
      <w:r>
        <w:rPr>
          <w:color w:val="000000"/>
          <w:sz w:val="22"/>
          <w:szCs w:val="22"/>
        </w:rPr>
        <w:t xml:space="preserve"> syndróm (HUS- porucha zrážanlivosti krvi spôsobujúca zlyhanie obličiek);</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 xml:space="preserve">ak máte </w:t>
      </w:r>
      <w:proofErr w:type="spellStart"/>
      <w:r>
        <w:rPr>
          <w:color w:val="000000"/>
          <w:sz w:val="22"/>
          <w:szCs w:val="22"/>
        </w:rPr>
        <w:t>kosáčikovitú</w:t>
      </w:r>
      <w:proofErr w:type="spellEnd"/>
      <w:r>
        <w:rPr>
          <w:color w:val="000000"/>
          <w:sz w:val="22"/>
          <w:szCs w:val="22"/>
        </w:rPr>
        <w:t xml:space="preserve"> anémiu (dedičné ochorenie červených krviniek);</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zvýšené hladiny tuku v krvi (</w:t>
      </w:r>
      <w:proofErr w:type="spellStart"/>
      <w:r>
        <w:rPr>
          <w:color w:val="000000"/>
          <w:sz w:val="22"/>
          <w:szCs w:val="22"/>
        </w:rPr>
        <w:t>hypertriglyceridémia</w:t>
      </w:r>
      <w:proofErr w:type="spellEnd"/>
      <w:r>
        <w:rPr>
          <w:color w:val="000000"/>
          <w:sz w:val="22"/>
          <w:szCs w:val="22"/>
        </w:rPr>
        <w:t xml:space="preserve">) alebo sa tento stav vyskytol v rodine v minulosti. </w:t>
      </w:r>
      <w:proofErr w:type="spellStart"/>
      <w:r>
        <w:rPr>
          <w:color w:val="000000"/>
          <w:sz w:val="22"/>
          <w:szCs w:val="22"/>
        </w:rPr>
        <w:t>Hypertriglyceridémia</w:t>
      </w:r>
      <w:proofErr w:type="spellEnd"/>
      <w:r>
        <w:rPr>
          <w:color w:val="000000"/>
          <w:sz w:val="22"/>
          <w:szCs w:val="22"/>
        </w:rPr>
        <w:t xml:space="preserve"> je spájaná so zvýšeným rizikom vzniku pankreatitídy (zápal podžalúdkovej žľazy);</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musíte podstúpiť nejaký chirurgický zákrok alebo ak ste dlhodobo nepohyblivá (pozri časť 2 „Krvné zrazeniny“);</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ste práve po pôrode, máte zvýšené riziko vzniku krvných zrazenín. Opýtajte sa svojho lekára, ako skoro po pôrode môžete začať užívať Gentilion Daily;</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zápal podkožných žíl (povrchová tromboflebitída);</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kŕčové žily;</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niekto z vašich blízkych príbuzných má alebo mal rakovinu prsníka;</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ochorenie pečene alebo žlčníka;</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cukrovku;</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depresiu;</w:t>
      </w:r>
    </w:p>
    <w:p w:rsidR="00A621AE" w:rsidRDefault="00A621AE" w:rsidP="00883334">
      <w:pPr>
        <w:numPr>
          <w:ilvl w:val="0"/>
          <w:numId w:val="3"/>
        </w:numPr>
        <w:autoSpaceDE w:val="0"/>
        <w:autoSpaceDN w:val="0"/>
        <w:adjustRightInd w:val="0"/>
        <w:ind w:hanging="436"/>
        <w:rPr>
          <w:sz w:val="22"/>
          <w:szCs w:val="22"/>
        </w:rPr>
      </w:pPr>
      <w:r>
        <w:rPr>
          <w:sz w:val="22"/>
          <w:szCs w:val="22"/>
        </w:rPr>
        <w:t>ak máte epilepsiu (pozri časť „Iné lieky a Gentilion Daily“)</w:t>
      </w:r>
      <w:r w:rsidR="00097B00">
        <w:rPr>
          <w:sz w:val="22"/>
          <w:szCs w:val="22"/>
        </w:rPr>
        <w:t>;</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 xml:space="preserve">ak máte ochorenie, ktoré sa prvýkrát vyskytlo počas tehotenstva alebo po predchádzajúcom používaní pohlavných hormónov (napríklad strata sluchu, ochorenie krvi nazývané </w:t>
      </w:r>
      <w:proofErr w:type="spellStart"/>
      <w:r>
        <w:rPr>
          <w:color w:val="000000"/>
          <w:sz w:val="22"/>
          <w:szCs w:val="22"/>
        </w:rPr>
        <w:t>porfýria</w:t>
      </w:r>
      <w:proofErr w:type="spellEnd"/>
      <w:r>
        <w:rPr>
          <w:color w:val="000000"/>
          <w:sz w:val="22"/>
          <w:szCs w:val="22"/>
        </w:rPr>
        <w:t xml:space="preserve">, kožné vyrážky s pľuzgiermi počas tehotenstva (tehotenský herpes), nervové ochorenie, pri ktorom sa vyskytujú náhle </w:t>
      </w:r>
      <w:proofErr w:type="spellStart"/>
      <w:r>
        <w:rPr>
          <w:color w:val="000000"/>
          <w:sz w:val="22"/>
          <w:szCs w:val="22"/>
        </w:rPr>
        <w:t>zášklby</w:t>
      </w:r>
      <w:proofErr w:type="spellEnd"/>
      <w:r>
        <w:rPr>
          <w:color w:val="000000"/>
          <w:sz w:val="22"/>
          <w:szCs w:val="22"/>
        </w:rPr>
        <w:t xml:space="preserve"> tela (</w:t>
      </w:r>
      <w:proofErr w:type="spellStart"/>
      <w:r>
        <w:rPr>
          <w:color w:val="000000"/>
          <w:sz w:val="22"/>
          <w:szCs w:val="22"/>
        </w:rPr>
        <w:t>Sydenhamova</w:t>
      </w:r>
      <w:proofErr w:type="spellEnd"/>
      <w:r>
        <w:rPr>
          <w:color w:val="000000"/>
          <w:sz w:val="22"/>
          <w:szCs w:val="22"/>
        </w:rPr>
        <w:t xml:space="preserve"> </w:t>
      </w:r>
      <w:proofErr w:type="spellStart"/>
      <w:r>
        <w:rPr>
          <w:color w:val="000000"/>
          <w:sz w:val="22"/>
          <w:szCs w:val="22"/>
        </w:rPr>
        <w:t>chorea</w:t>
      </w:r>
      <w:proofErr w:type="spellEnd"/>
      <w:r>
        <w:rPr>
          <w:color w:val="000000"/>
          <w:sz w:val="22"/>
          <w:szCs w:val="22"/>
        </w:rPr>
        <w:t>)</w:t>
      </w:r>
      <w:r w:rsidR="00097B00">
        <w:rPr>
          <w:color w:val="000000"/>
          <w:sz w:val="22"/>
          <w:szCs w:val="22"/>
        </w:rPr>
        <w:t>;</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alebo ste niekedy mali zlatohnedé pigmentové škvrny (</w:t>
      </w:r>
      <w:proofErr w:type="spellStart"/>
      <w:r>
        <w:rPr>
          <w:color w:val="000000"/>
          <w:sz w:val="22"/>
          <w:szCs w:val="22"/>
        </w:rPr>
        <w:t>chloazmu</w:t>
      </w:r>
      <w:proofErr w:type="spellEnd"/>
      <w:r>
        <w:rPr>
          <w:color w:val="000000"/>
          <w:sz w:val="22"/>
          <w:szCs w:val="22"/>
        </w:rPr>
        <w:t>) predovšetkým na tvári a krku, tzv. „tehotenské škvrny“. V takomto prípade sa musíte vyhýbať priamemu slnečnému alebo ultrafialovému žiareniu.</w:t>
      </w:r>
    </w:p>
    <w:p w:rsidR="00A621AE" w:rsidRDefault="00A621AE" w:rsidP="00883334">
      <w:pPr>
        <w:numPr>
          <w:ilvl w:val="0"/>
          <w:numId w:val="3"/>
        </w:numPr>
        <w:autoSpaceDE w:val="0"/>
        <w:autoSpaceDN w:val="0"/>
        <w:adjustRightInd w:val="0"/>
        <w:ind w:hanging="436"/>
        <w:rPr>
          <w:color w:val="000000"/>
          <w:sz w:val="22"/>
          <w:szCs w:val="22"/>
        </w:rPr>
      </w:pPr>
      <w:r>
        <w:rPr>
          <w:color w:val="000000"/>
          <w:sz w:val="22"/>
          <w:szCs w:val="22"/>
        </w:rPr>
        <w:t>ak máte vrodený angioedém (ťažká alergická reakcia), pretože lieky obsahujúce estrogény môžu vyvolať alebo zhoršiť jeho príznaky. Ak sa u vás objavia príznaky angioedému, ako je opuch tváre, jazyka a/alebo hltana a/alebo ťažkosti s prehĺtaním alebo žihľavka spolu so sťaženým dýchaním, musíte ihneď vyhľadať svojho lekára.</w:t>
      </w: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b/>
          <w:bCs/>
          <w:sz w:val="22"/>
          <w:szCs w:val="22"/>
        </w:rPr>
      </w:pPr>
      <w:r>
        <w:rPr>
          <w:b/>
          <w:bCs/>
          <w:sz w:val="22"/>
          <w:szCs w:val="22"/>
        </w:rPr>
        <w:t>KRVNÉ ZRAZENINY</w:t>
      </w:r>
    </w:p>
    <w:p w:rsidR="00A621AE" w:rsidRDefault="00A621AE" w:rsidP="00D31CCF">
      <w:pPr>
        <w:autoSpaceDE w:val="0"/>
        <w:autoSpaceDN w:val="0"/>
        <w:adjustRightInd w:val="0"/>
        <w:rPr>
          <w:sz w:val="22"/>
          <w:szCs w:val="22"/>
        </w:rPr>
      </w:pPr>
    </w:p>
    <w:p w:rsidR="00A621AE" w:rsidRPr="00D31CCF" w:rsidRDefault="00A621AE" w:rsidP="000C3F44">
      <w:pPr>
        <w:autoSpaceDE w:val="0"/>
        <w:autoSpaceDN w:val="0"/>
        <w:adjustRightInd w:val="0"/>
        <w:rPr>
          <w:b/>
          <w:bCs/>
          <w:color w:val="000000"/>
          <w:sz w:val="22"/>
          <w:szCs w:val="22"/>
        </w:rPr>
      </w:pPr>
      <w:r w:rsidRPr="00D31CCF">
        <w:rPr>
          <w:sz w:val="22"/>
          <w:szCs w:val="22"/>
        </w:rPr>
        <w:t xml:space="preserve">Používanie kombinovanej hormonálnej antikoncepcie, ako napríklad Gentilion Daily, zvyšuje riziko vzniku krvnej zrazeniny v porovnaní s jej nepoužívaním. V zriedkavých prípadoch môže krvná zrazenina upchať krvné cievy a spôsobiť závažné problémy. </w:t>
      </w:r>
    </w:p>
    <w:p w:rsidR="00A621AE" w:rsidRDefault="00A621AE" w:rsidP="000C3F44">
      <w:pPr>
        <w:pStyle w:val="Default"/>
        <w:rPr>
          <w:rFonts w:ascii="Times New Roman" w:hAnsi="Times New Roman" w:cs="Times New Roman"/>
          <w:sz w:val="22"/>
          <w:szCs w:val="22"/>
        </w:rPr>
      </w:pPr>
    </w:p>
    <w:p w:rsidR="00A621AE" w:rsidRDefault="00A621AE">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Krvné zrazeniny môžu vzniknúť </w:t>
      </w:r>
    </w:p>
    <w:p w:rsidR="00A621AE" w:rsidRDefault="00A621AE">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 v žilách (označuje sa to ako „venózna trombóza“, „venózna </w:t>
      </w:r>
      <w:bookmarkStart w:id="0" w:name="_GoBack"/>
      <w:r w:rsidR="00B84E00">
        <w:rPr>
          <w:rFonts w:ascii="Times New Roman" w:hAnsi="Times New Roman" w:cs="Times New Roman"/>
          <w:sz w:val="22"/>
          <w:szCs w:val="22"/>
        </w:rPr>
        <w:t>tromboem</w:t>
      </w:r>
      <w:bookmarkEnd w:id="0"/>
      <w:r w:rsidRPr="00D31CCF">
        <w:rPr>
          <w:rFonts w:ascii="Times New Roman" w:hAnsi="Times New Roman" w:cs="Times New Roman"/>
          <w:sz w:val="22"/>
          <w:szCs w:val="22"/>
        </w:rPr>
        <w:t xml:space="preserve">bólia“ alebo VTE), </w:t>
      </w:r>
    </w:p>
    <w:p w:rsidR="00A621AE" w:rsidRDefault="00A621AE">
      <w:pPr>
        <w:pStyle w:val="Default"/>
        <w:rPr>
          <w:rFonts w:ascii="Times New Roman" w:hAnsi="Times New Roman" w:cs="Times New Roman"/>
          <w:sz w:val="22"/>
          <w:szCs w:val="22"/>
        </w:rPr>
      </w:pPr>
      <w:r w:rsidRPr="000C3F44">
        <w:rPr>
          <w:rFonts w:ascii="Times New Roman" w:hAnsi="Times New Roman" w:cs="Times New Roman"/>
          <w:sz w:val="22"/>
          <w:szCs w:val="22"/>
        </w:rPr>
        <w:t xml:space="preserve">• v tepnách (označuje sa to ako „arteriálna trombóza“, „arteriálna </w:t>
      </w:r>
      <w:r w:rsidR="00B84E00">
        <w:rPr>
          <w:rFonts w:ascii="Times New Roman" w:hAnsi="Times New Roman" w:cs="Times New Roman"/>
          <w:sz w:val="22"/>
          <w:szCs w:val="22"/>
        </w:rPr>
        <w:t>tromboem</w:t>
      </w:r>
      <w:r w:rsidRPr="000C3F44">
        <w:rPr>
          <w:rFonts w:ascii="Times New Roman" w:hAnsi="Times New Roman" w:cs="Times New Roman"/>
          <w:sz w:val="22"/>
          <w:szCs w:val="22"/>
        </w:rPr>
        <w:t xml:space="preserve">bólia“ alebo ATE). </w:t>
      </w:r>
    </w:p>
    <w:p w:rsidR="00A621AE" w:rsidRDefault="00A621AE">
      <w:pPr>
        <w:autoSpaceDE w:val="0"/>
        <w:autoSpaceDN w:val="0"/>
        <w:adjustRightInd w:val="0"/>
        <w:rPr>
          <w:sz w:val="22"/>
          <w:szCs w:val="22"/>
        </w:rPr>
      </w:pPr>
      <w:r>
        <w:rPr>
          <w:sz w:val="22"/>
          <w:szCs w:val="22"/>
        </w:rPr>
        <w:t>Zotavenie po vzniku krvných zrazenín nie je vždy úplné. Zriedkavo sa môžu vyskytnúť závažné pretrvávajúce účinky a veľmi zriedkavo sa môžu končiť smrťou.</w:t>
      </w:r>
    </w:p>
    <w:p w:rsidR="00A621AE" w:rsidRDefault="00A621AE">
      <w:pPr>
        <w:autoSpaceDE w:val="0"/>
        <w:autoSpaceDN w:val="0"/>
        <w:adjustRightInd w:val="0"/>
        <w:rPr>
          <w:b/>
          <w:bCs/>
          <w:sz w:val="22"/>
          <w:szCs w:val="22"/>
        </w:rPr>
      </w:pPr>
    </w:p>
    <w:p w:rsidR="00A621AE" w:rsidRDefault="00A621AE">
      <w:pPr>
        <w:autoSpaceDE w:val="0"/>
        <w:autoSpaceDN w:val="0"/>
        <w:adjustRightInd w:val="0"/>
        <w:rPr>
          <w:color w:val="000000"/>
          <w:sz w:val="22"/>
          <w:szCs w:val="22"/>
        </w:rPr>
      </w:pPr>
      <w:r w:rsidRPr="00D31CCF">
        <w:rPr>
          <w:b/>
          <w:bCs/>
          <w:sz w:val="22"/>
          <w:szCs w:val="22"/>
        </w:rPr>
        <w:lastRenderedPageBreak/>
        <w:t xml:space="preserve">Je dôležité zapamätať si, že celkové riziko vzniku škodlivej krvnej zrazeniny z dôvodu užívania </w:t>
      </w:r>
      <w:r w:rsidRPr="000C3F44">
        <w:rPr>
          <w:b/>
          <w:bCs/>
          <w:sz w:val="22"/>
          <w:szCs w:val="22"/>
        </w:rPr>
        <w:t>Gentilionu Daily je malé.</w:t>
      </w:r>
    </w:p>
    <w:p w:rsidR="00A621AE" w:rsidRDefault="00A621AE">
      <w:pPr>
        <w:pStyle w:val="Default"/>
        <w:rPr>
          <w:rFonts w:ascii="Times New Roman" w:hAnsi="Times New Roman" w:cs="Times New Roman"/>
          <w:b/>
          <w:bCs/>
          <w:sz w:val="22"/>
          <w:szCs w:val="22"/>
        </w:rPr>
      </w:pPr>
    </w:p>
    <w:p w:rsidR="00A621AE" w:rsidRDefault="00A621AE">
      <w:pPr>
        <w:pStyle w:val="Default"/>
        <w:rPr>
          <w:rFonts w:ascii="Times New Roman" w:hAnsi="Times New Roman" w:cs="Times New Roman"/>
          <w:color w:val="auto"/>
          <w:sz w:val="22"/>
          <w:szCs w:val="22"/>
          <w:lang w:eastAsia="es-ES"/>
        </w:rPr>
      </w:pPr>
      <w:r>
        <w:rPr>
          <w:rFonts w:ascii="Times New Roman" w:hAnsi="Times New Roman" w:cs="Times New Roman"/>
          <w:b/>
          <w:bCs/>
          <w:sz w:val="22"/>
          <w:szCs w:val="22"/>
        </w:rPr>
        <w:t>AKO ROZPOZNAŤ KRVNÚ ZRAZENINU</w:t>
      </w:r>
    </w:p>
    <w:p w:rsidR="00A621AE" w:rsidRDefault="00A621AE">
      <w:pPr>
        <w:autoSpaceDE w:val="0"/>
        <w:autoSpaceDN w:val="0"/>
        <w:adjustRightInd w:val="0"/>
        <w:rPr>
          <w:sz w:val="22"/>
          <w:szCs w:val="22"/>
          <w:u w:val="single"/>
        </w:rPr>
      </w:pPr>
      <w:r>
        <w:rPr>
          <w:sz w:val="22"/>
          <w:szCs w:val="22"/>
        </w:rPr>
        <w:t xml:space="preserve">Ak spozorujete ktorýkoľvek z nasledujúcich prejavov alebo príznakov, </w:t>
      </w:r>
      <w:r>
        <w:rPr>
          <w:sz w:val="22"/>
          <w:szCs w:val="22"/>
          <w:u w:val="single"/>
        </w:rPr>
        <w:t>vyhľadajte rýchlu lekársku pomoc.</w:t>
      </w:r>
    </w:p>
    <w:p w:rsidR="00A621AE" w:rsidRDefault="00A621AE">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3908"/>
      </w:tblGrid>
      <w:tr w:rsidR="00A621AE" w:rsidRPr="00D31CCF" w:rsidTr="00CD097A">
        <w:tc>
          <w:tcPr>
            <w:tcW w:w="5070" w:type="dxa"/>
            <w:shd w:val="clear" w:color="auto" w:fill="BFBFBF" w:themeFill="background1" w:themeFillShade="BF"/>
          </w:tcPr>
          <w:p w:rsidR="00A621AE" w:rsidRDefault="00A621AE">
            <w:pPr>
              <w:autoSpaceDE w:val="0"/>
              <w:autoSpaceDN w:val="0"/>
              <w:adjustRightInd w:val="0"/>
              <w:rPr>
                <w:highlight w:val="lightGray"/>
              </w:rPr>
            </w:pPr>
            <w:r w:rsidRPr="00CD097A">
              <w:rPr>
                <w:sz w:val="22"/>
                <w:szCs w:val="22"/>
              </w:rPr>
              <w:t>Máte nejaké z týchto prejavov?</w:t>
            </w:r>
          </w:p>
        </w:tc>
        <w:tc>
          <w:tcPr>
            <w:tcW w:w="3908" w:type="dxa"/>
            <w:shd w:val="clear" w:color="auto" w:fill="BFBFBF" w:themeFill="background1" w:themeFillShade="BF"/>
          </w:tcPr>
          <w:p w:rsidR="00A621AE" w:rsidRDefault="00A621AE">
            <w:pPr>
              <w:autoSpaceDE w:val="0"/>
              <w:autoSpaceDN w:val="0"/>
              <w:adjustRightInd w:val="0"/>
              <w:rPr>
                <w:highlight w:val="lightGray"/>
              </w:rPr>
            </w:pPr>
            <w:r w:rsidRPr="00CD097A">
              <w:rPr>
                <w:sz w:val="22"/>
                <w:szCs w:val="22"/>
              </w:rPr>
              <w:t>Čo vám môže byť?</w:t>
            </w:r>
          </w:p>
        </w:tc>
      </w:tr>
      <w:tr w:rsidR="00A621AE" w:rsidRPr="00D31CCF" w:rsidTr="0078784A">
        <w:tc>
          <w:tcPr>
            <w:tcW w:w="5070" w:type="dxa"/>
          </w:tcPr>
          <w:tbl>
            <w:tblPr>
              <w:tblW w:w="0" w:type="auto"/>
              <w:tblLook w:val="0000" w:firstRow="0" w:lastRow="0" w:firstColumn="0" w:lastColumn="0" w:noHBand="0" w:noVBand="0"/>
            </w:tblPr>
            <w:tblGrid>
              <w:gridCol w:w="4854"/>
            </w:tblGrid>
            <w:tr w:rsidR="00A621AE" w:rsidRPr="00D31CCF" w:rsidTr="0078784A">
              <w:trPr>
                <w:trHeight w:val="778"/>
              </w:trPr>
              <w:tc>
                <w:tcPr>
                  <w:tcW w:w="0" w:type="auto"/>
                </w:tcPr>
                <w:p w:rsidR="00A621AE" w:rsidRPr="00D31CCF" w:rsidRDefault="00A621AE" w:rsidP="00D31CCF">
                  <w:pPr>
                    <w:autoSpaceDE w:val="0"/>
                    <w:autoSpaceDN w:val="0"/>
                    <w:adjustRightInd w:val="0"/>
                    <w:ind w:left="176" w:hanging="176"/>
                    <w:rPr>
                      <w:color w:val="000000"/>
                    </w:rPr>
                  </w:pPr>
                  <w:r w:rsidRPr="00D31CCF">
                    <w:rPr>
                      <w:color w:val="000000"/>
                      <w:sz w:val="22"/>
                      <w:szCs w:val="22"/>
                    </w:rPr>
                    <w:t>•</w:t>
                  </w:r>
                  <w:r w:rsidRPr="00D31CCF">
                    <w:rPr>
                      <w:sz w:val="22"/>
                      <w:szCs w:val="22"/>
                    </w:rPr>
                    <w:tab/>
                  </w:r>
                  <w:r w:rsidRPr="00D31CCF">
                    <w:rPr>
                      <w:color w:val="000000"/>
                      <w:sz w:val="22"/>
                      <w:szCs w:val="22"/>
                    </w:rPr>
                    <w:t xml:space="preserve">opuch jednej nohy alebo pozdĺž žily v nohe alebo chodidle, najmä ak ho sprevádza: </w:t>
                  </w:r>
                </w:p>
                <w:p w:rsidR="00A621AE" w:rsidRPr="00D31CCF" w:rsidRDefault="00A621AE" w:rsidP="00D31CCF">
                  <w:pPr>
                    <w:autoSpaceDE w:val="0"/>
                    <w:autoSpaceDN w:val="0"/>
                    <w:adjustRightInd w:val="0"/>
                    <w:ind w:left="176" w:hanging="176"/>
                    <w:rPr>
                      <w:color w:val="000000"/>
                    </w:rPr>
                  </w:pPr>
                  <w:r w:rsidRPr="00D31CCF">
                    <w:rPr>
                      <w:color w:val="000000"/>
                      <w:sz w:val="22"/>
                      <w:szCs w:val="22"/>
                    </w:rPr>
                    <w:t xml:space="preserve">• </w:t>
                  </w:r>
                  <w:r w:rsidRPr="00D31CCF">
                    <w:rPr>
                      <w:color w:val="000000"/>
                      <w:sz w:val="22"/>
                      <w:szCs w:val="22"/>
                    </w:rPr>
                    <w:tab/>
                    <w:t xml:space="preserve">bolesť alebo citlivosť v nohe, ktorú možno pociťovať iba v stoji alebo pri chôdzi, </w:t>
                  </w:r>
                </w:p>
                <w:p w:rsidR="00A621AE" w:rsidRPr="00D31CCF" w:rsidRDefault="00A621AE" w:rsidP="00D31CCF">
                  <w:pPr>
                    <w:autoSpaceDE w:val="0"/>
                    <w:autoSpaceDN w:val="0"/>
                    <w:adjustRightInd w:val="0"/>
                    <w:ind w:left="176" w:hanging="176"/>
                    <w:rPr>
                      <w:color w:val="000000"/>
                    </w:rPr>
                  </w:pPr>
                  <w:r>
                    <w:rPr>
                      <w:color w:val="000000"/>
                      <w:sz w:val="22"/>
                      <w:szCs w:val="22"/>
                    </w:rPr>
                    <w:t xml:space="preserve">• </w:t>
                  </w:r>
                  <w:r>
                    <w:rPr>
                      <w:color w:val="000000"/>
                      <w:sz w:val="22"/>
                      <w:szCs w:val="22"/>
                    </w:rPr>
                    <w:tab/>
                    <w:t>pocit zvýšenej teploty v postihnutej nohe</w:t>
                  </w:r>
                </w:p>
                <w:p w:rsidR="00A621AE" w:rsidRPr="00D31CCF" w:rsidRDefault="00A621AE" w:rsidP="00D31CCF">
                  <w:pPr>
                    <w:autoSpaceDE w:val="0"/>
                    <w:autoSpaceDN w:val="0"/>
                    <w:adjustRightInd w:val="0"/>
                    <w:ind w:left="176" w:hanging="176"/>
                    <w:rPr>
                      <w:color w:val="000000"/>
                    </w:rPr>
                  </w:pPr>
                  <w:r>
                    <w:rPr>
                      <w:color w:val="000000"/>
                      <w:sz w:val="22"/>
                      <w:szCs w:val="22"/>
                    </w:rPr>
                    <w:t xml:space="preserve">• </w:t>
                  </w:r>
                  <w:r>
                    <w:rPr>
                      <w:color w:val="000000"/>
                      <w:sz w:val="22"/>
                      <w:szCs w:val="22"/>
                    </w:rPr>
                    <w:tab/>
                    <w:t>zmena sfarbenia pokožky na nohe, napríklad zblednutie, sčervenanie alebo zmodranie.</w:t>
                  </w:r>
                </w:p>
              </w:tc>
            </w:tr>
          </w:tbl>
          <w:p w:rsidR="00A621AE" w:rsidRPr="00D31CCF" w:rsidRDefault="00A621AE" w:rsidP="00D31CCF">
            <w:pPr>
              <w:autoSpaceDE w:val="0"/>
              <w:autoSpaceDN w:val="0"/>
              <w:adjustRightInd w:val="0"/>
            </w:pPr>
          </w:p>
        </w:tc>
        <w:tc>
          <w:tcPr>
            <w:tcW w:w="3908" w:type="dxa"/>
          </w:tcPr>
          <w:p w:rsidR="00A621AE" w:rsidRPr="00D31CCF" w:rsidRDefault="00A621AE" w:rsidP="00D31CCF">
            <w:pPr>
              <w:autoSpaceDE w:val="0"/>
              <w:autoSpaceDN w:val="0"/>
              <w:adjustRightInd w:val="0"/>
            </w:pPr>
          </w:p>
          <w:p w:rsidR="00A621AE" w:rsidRPr="00D31CCF" w:rsidRDefault="00A621AE" w:rsidP="00D31CCF">
            <w:pPr>
              <w:autoSpaceDE w:val="0"/>
              <w:autoSpaceDN w:val="0"/>
              <w:adjustRightInd w:val="0"/>
            </w:pPr>
          </w:p>
          <w:p w:rsidR="00A621AE" w:rsidRPr="00D31CCF" w:rsidRDefault="00A621AE" w:rsidP="00D31CCF">
            <w:pPr>
              <w:autoSpaceDE w:val="0"/>
              <w:autoSpaceDN w:val="0"/>
              <w:adjustRightInd w:val="0"/>
            </w:pPr>
          </w:p>
          <w:p w:rsidR="00A621AE" w:rsidRPr="00D31CCF" w:rsidRDefault="00A621AE" w:rsidP="00D31CCF">
            <w:pPr>
              <w:autoSpaceDE w:val="0"/>
              <w:autoSpaceDN w:val="0"/>
              <w:adjustRightInd w:val="0"/>
            </w:pPr>
            <w:r w:rsidRPr="00D31CCF">
              <w:rPr>
                <w:sz w:val="22"/>
                <w:szCs w:val="22"/>
              </w:rPr>
              <w:t>Trombóza hlbokých žíl</w:t>
            </w:r>
          </w:p>
        </w:tc>
      </w:tr>
      <w:tr w:rsidR="00A621AE" w:rsidRPr="00D31CCF" w:rsidTr="0078784A">
        <w:tc>
          <w:tcPr>
            <w:tcW w:w="5070" w:type="dxa"/>
          </w:tcPr>
          <w:p w:rsidR="00A621AE" w:rsidRPr="00D31CCF" w:rsidRDefault="00A621AE" w:rsidP="00D31CCF">
            <w:pPr>
              <w:pStyle w:val="Default"/>
              <w:ind w:left="284" w:hanging="142"/>
              <w:rPr>
                <w:rFonts w:ascii="Times New Roman" w:hAnsi="Times New Roman" w:cs="Times New Roman"/>
                <w:sz w:val="22"/>
                <w:szCs w:val="22"/>
              </w:rPr>
            </w:pPr>
            <w:r w:rsidRPr="00D31CCF">
              <w:rPr>
                <w:rFonts w:ascii="Times New Roman" w:hAnsi="Times New Roman" w:cs="Times New Roman"/>
                <w:sz w:val="22"/>
                <w:szCs w:val="22"/>
              </w:rPr>
              <w:t>• náhla nevysvetliteľná dýchavičnosť alebo rýchle</w:t>
            </w:r>
          </w:p>
          <w:p w:rsidR="00A621AE" w:rsidRPr="00D31CCF" w:rsidRDefault="00A621AE" w:rsidP="00D31CCF">
            <w:pPr>
              <w:pStyle w:val="Default"/>
              <w:ind w:left="284" w:hanging="142"/>
              <w:rPr>
                <w:rFonts w:ascii="Times New Roman" w:hAnsi="Times New Roman" w:cs="Times New Roman"/>
                <w:sz w:val="22"/>
                <w:szCs w:val="22"/>
              </w:rPr>
            </w:pPr>
            <w:r w:rsidRPr="00D31CCF">
              <w:rPr>
                <w:rFonts w:ascii="Times New Roman" w:hAnsi="Times New Roman" w:cs="Times New Roman"/>
                <w:sz w:val="22"/>
                <w:szCs w:val="22"/>
              </w:rPr>
              <w:t xml:space="preserve">dýchanie, </w:t>
            </w:r>
          </w:p>
          <w:p w:rsidR="00A621AE" w:rsidRPr="00D31CCF" w:rsidRDefault="00A621AE" w:rsidP="00D31CCF">
            <w:pPr>
              <w:pStyle w:val="Default"/>
              <w:ind w:left="284" w:hanging="142"/>
              <w:rPr>
                <w:rFonts w:ascii="Times New Roman" w:hAnsi="Times New Roman" w:cs="Times New Roman"/>
                <w:sz w:val="22"/>
                <w:szCs w:val="22"/>
              </w:rPr>
            </w:pPr>
            <w:r w:rsidRPr="00D31CCF">
              <w:rPr>
                <w:rFonts w:ascii="Times New Roman" w:hAnsi="Times New Roman" w:cs="Times New Roman"/>
                <w:sz w:val="22"/>
                <w:szCs w:val="22"/>
              </w:rPr>
              <w:t>• náhly kašeľ bez zrejmej príčiny s možným</w:t>
            </w:r>
          </w:p>
          <w:p w:rsidR="00A621AE" w:rsidRPr="000C3F44" w:rsidRDefault="00A621AE" w:rsidP="00D31CCF">
            <w:pPr>
              <w:pStyle w:val="Default"/>
              <w:ind w:left="284" w:hanging="142"/>
              <w:rPr>
                <w:rFonts w:ascii="Times New Roman" w:hAnsi="Times New Roman" w:cs="Times New Roman"/>
                <w:sz w:val="22"/>
                <w:szCs w:val="22"/>
              </w:rPr>
            </w:pPr>
            <w:r w:rsidRPr="00D31CCF">
              <w:rPr>
                <w:rFonts w:ascii="Times New Roman" w:hAnsi="Times New Roman" w:cs="Times New Roman"/>
                <w:sz w:val="22"/>
                <w:szCs w:val="22"/>
              </w:rPr>
              <w:t xml:space="preserve">vykašliavaním krvi, </w:t>
            </w:r>
          </w:p>
          <w:p w:rsidR="00A621AE" w:rsidRPr="00D31CCF" w:rsidRDefault="00A621AE" w:rsidP="00D31CCF">
            <w:pPr>
              <w:pStyle w:val="Default"/>
              <w:ind w:left="284" w:hanging="142"/>
              <w:rPr>
                <w:rFonts w:ascii="Times New Roman" w:hAnsi="Times New Roman" w:cs="Times New Roman"/>
                <w:sz w:val="22"/>
                <w:szCs w:val="22"/>
              </w:rPr>
            </w:pPr>
            <w:r w:rsidRPr="000C3F44">
              <w:rPr>
                <w:rFonts w:ascii="Times New Roman" w:hAnsi="Times New Roman" w:cs="Times New Roman"/>
                <w:sz w:val="22"/>
                <w:szCs w:val="22"/>
              </w:rPr>
              <w:t>• ostrá bolesť v hrudi, ktorá sa môže zvyšovať s</w:t>
            </w:r>
          </w:p>
          <w:p w:rsidR="00A621AE" w:rsidRPr="00D31CCF" w:rsidRDefault="00A621AE" w:rsidP="00D31CCF">
            <w:pPr>
              <w:pStyle w:val="Default"/>
              <w:ind w:left="284" w:hanging="142"/>
              <w:rPr>
                <w:rFonts w:ascii="Times New Roman" w:hAnsi="Times New Roman" w:cs="Times New Roman"/>
                <w:sz w:val="22"/>
                <w:szCs w:val="22"/>
              </w:rPr>
            </w:pPr>
            <w:r>
              <w:rPr>
                <w:rFonts w:ascii="Times New Roman" w:hAnsi="Times New Roman" w:cs="Times New Roman"/>
                <w:sz w:val="22"/>
                <w:szCs w:val="22"/>
              </w:rPr>
              <w:t xml:space="preserve">hlbokým dýchaním, </w:t>
            </w:r>
          </w:p>
          <w:p w:rsidR="00A621AE" w:rsidRPr="00D31CCF" w:rsidRDefault="00A621AE" w:rsidP="00D31CCF">
            <w:pPr>
              <w:pStyle w:val="Default"/>
              <w:ind w:left="284" w:hanging="142"/>
              <w:rPr>
                <w:rFonts w:ascii="Times New Roman" w:hAnsi="Times New Roman" w:cs="Times New Roman"/>
                <w:sz w:val="22"/>
                <w:szCs w:val="22"/>
              </w:rPr>
            </w:pPr>
            <w:r>
              <w:rPr>
                <w:rFonts w:ascii="Times New Roman" w:hAnsi="Times New Roman" w:cs="Times New Roman"/>
                <w:sz w:val="22"/>
                <w:szCs w:val="22"/>
              </w:rPr>
              <w:t xml:space="preserve">• silný pocit na odpadnutie alebo závrat, </w:t>
            </w:r>
          </w:p>
          <w:p w:rsidR="00A621AE" w:rsidRPr="00D31CCF" w:rsidRDefault="00A621AE" w:rsidP="00D31CCF">
            <w:pPr>
              <w:pStyle w:val="Default"/>
              <w:ind w:left="284" w:hanging="142"/>
              <w:rPr>
                <w:rFonts w:ascii="Times New Roman" w:hAnsi="Times New Roman" w:cs="Times New Roman"/>
                <w:sz w:val="22"/>
                <w:szCs w:val="22"/>
              </w:rPr>
            </w:pPr>
            <w:r>
              <w:rPr>
                <w:rFonts w:ascii="Times New Roman" w:hAnsi="Times New Roman" w:cs="Times New Roman"/>
                <w:sz w:val="22"/>
                <w:szCs w:val="22"/>
              </w:rPr>
              <w:t xml:space="preserve">• rýchly alebo nepravidelný srdcový rytmus, </w:t>
            </w:r>
          </w:p>
          <w:p w:rsidR="00A621AE" w:rsidRPr="00D31CCF" w:rsidRDefault="00A621AE" w:rsidP="00D31CCF">
            <w:pPr>
              <w:pStyle w:val="Default"/>
              <w:ind w:left="284" w:hanging="142"/>
              <w:rPr>
                <w:rFonts w:ascii="Times New Roman" w:hAnsi="Times New Roman" w:cs="Times New Roman"/>
                <w:sz w:val="22"/>
                <w:szCs w:val="22"/>
              </w:rPr>
            </w:pPr>
            <w:r>
              <w:rPr>
                <w:rFonts w:ascii="Times New Roman" w:hAnsi="Times New Roman" w:cs="Times New Roman"/>
                <w:sz w:val="22"/>
                <w:szCs w:val="22"/>
              </w:rPr>
              <w:t xml:space="preserve">• silná bolesť v žalúdku. </w:t>
            </w:r>
          </w:p>
          <w:p w:rsidR="00A621AE" w:rsidRPr="00D31CCF" w:rsidRDefault="00A621AE" w:rsidP="000C3F44">
            <w:pPr>
              <w:pStyle w:val="Default"/>
              <w:ind w:left="284" w:hanging="142"/>
              <w:rPr>
                <w:rFonts w:ascii="Times New Roman" w:hAnsi="Times New Roman" w:cs="Times New Roman"/>
                <w:sz w:val="22"/>
                <w:szCs w:val="22"/>
              </w:rPr>
            </w:pPr>
          </w:p>
          <w:p w:rsidR="00A621AE" w:rsidRPr="00D31CCF" w:rsidRDefault="00A621AE" w:rsidP="000C3F44">
            <w:pPr>
              <w:autoSpaceDE w:val="0"/>
              <w:autoSpaceDN w:val="0"/>
              <w:adjustRightInd w:val="0"/>
            </w:pPr>
            <w:r>
              <w:rPr>
                <w:sz w:val="22"/>
                <w:szCs w:val="22"/>
              </w:rPr>
              <w:t>Ak si nie ste istá, poraďte sa s lekárom, pretože niektoré z týchto príznakov, ako napríklad kašeľ alebo dýchavičnosť, možno mylne považovať za miernejší stav, ako je napríklad infekcia dýchacích ciest (napr. „bežné prechladnutie“).</w:t>
            </w:r>
          </w:p>
        </w:tc>
        <w:tc>
          <w:tcPr>
            <w:tcW w:w="3908" w:type="dxa"/>
          </w:tcPr>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r>
              <w:rPr>
                <w:sz w:val="22"/>
                <w:szCs w:val="22"/>
              </w:rPr>
              <w:t>Pľúcna embólia</w:t>
            </w:r>
          </w:p>
        </w:tc>
      </w:tr>
      <w:tr w:rsidR="00A621AE" w:rsidRPr="00D31CCF" w:rsidTr="0078784A">
        <w:tc>
          <w:tcPr>
            <w:tcW w:w="5070"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Príznaky najčastejšie sa vyskytujúce v jednom oku: </w:t>
            </w: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 okamžitá strata zraku, alebo </w:t>
            </w:r>
          </w:p>
          <w:p w:rsidR="00A621AE" w:rsidRPr="000C3F44" w:rsidRDefault="00A621AE" w:rsidP="00D31CCF">
            <w:pPr>
              <w:pStyle w:val="Default"/>
              <w:ind w:left="142" w:hanging="142"/>
              <w:rPr>
                <w:rFonts w:ascii="Times New Roman" w:hAnsi="Times New Roman" w:cs="Times New Roman"/>
                <w:sz w:val="22"/>
                <w:szCs w:val="22"/>
              </w:rPr>
            </w:pPr>
            <w:r w:rsidRPr="00D31CCF">
              <w:rPr>
                <w:rFonts w:ascii="Times New Roman" w:hAnsi="Times New Roman" w:cs="Times New Roman"/>
                <w:sz w:val="22"/>
                <w:szCs w:val="22"/>
              </w:rPr>
              <w:t xml:space="preserve">• bezbolestné rozmazané videnie, ktoré môže postupne prejsť </w:t>
            </w:r>
            <w:r w:rsidRPr="000C3F44">
              <w:rPr>
                <w:rFonts w:ascii="Times New Roman" w:hAnsi="Times New Roman" w:cs="Times New Roman"/>
                <w:sz w:val="22"/>
                <w:szCs w:val="22"/>
              </w:rPr>
              <w:t>až do straty zraku.</w:t>
            </w:r>
          </w:p>
        </w:tc>
        <w:tc>
          <w:tcPr>
            <w:tcW w:w="3908" w:type="dxa"/>
          </w:tcPr>
          <w:p w:rsidR="00A621AE" w:rsidRPr="00D31CCF" w:rsidRDefault="00A621AE" w:rsidP="00D31CCF">
            <w:pPr>
              <w:autoSpaceDE w:val="0"/>
              <w:autoSpaceDN w:val="0"/>
              <w:adjustRightInd w:val="0"/>
            </w:pPr>
          </w:p>
          <w:p w:rsidR="00A621AE" w:rsidRPr="00D31CCF" w:rsidRDefault="00A621AE" w:rsidP="00D31CCF">
            <w:pPr>
              <w:autoSpaceDE w:val="0"/>
              <w:autoSpaceDN w:val="0"/>
              <w:adjustRightInd w:val="0"/>
            </w:pPr>
            <w:r>
              <w:rPr>
                <w:sz w:val="22"/>
                <w:szCs w:val="22"/>
              </w:rPr>
              <w:t>Sietnicová žilová trombóza (krvná zrazenina v oku)</w:t>
            </w:r>
          </w:p>
        </w:tc>
      </w:tr>
      <w:tr w:rsidR="00A621AE" w:rsidRPr="00D31CCF" w:rsidTr="0078784A">
        <w:tc>
          <w:tcPr>
            <w:tcW w:w="5070"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 bolesť v hrudi, pocit nepohody, tlak, ťažoba, </w:t>
            </w:r>
          </w:p>
          <w:p w:rsidR="00A621AE" w:rsidRPr="00D31CCF" w:rsidRDefault="00A621AE" w:rsidP="00D31CCF">
            <w:pPr>
              <w:pStyle w:val="Default"/>
              <w:ind w:left="142" w:hanging="142"/>
              <w:rPr>
                <w:rFonts w:ascii="Times New Roman" w:hAnsi="Times New Roman" w:cs="Times New Roman"/>
                <w:sz w:val="22"/>
                <w:szCs w:val="22"/>
              </w:rPr>
            </w:pPr>
            <w:r w:rsidRPr="00D31CCF">
              <w:rPr>
                <w:rFonts w:ascii="Times New Roman" w:hAnsi="Times New Roman" w:cs="Times New Roman"/>
                <w:sz w:val="22"/>
                <w:szCs w:val="22"/>
              </w:rPr>
              <w:t xml:space="preserve">• pocit zvierania alebo plnosti v hrudi, ruke alebo pod hrudnou kosťou, </w:t>
            </w:r>
          </w:p>
          <w:p w:rsidR="00A621AE" w:rsidRPr="000C3F44" w:rsidRDefault="00A621AE" w:rsidP="00D31CCF">
            <w:pPr>
              <w:pStyle w:val="Default"/>
              <w:ind w:left="142" w:hanging="142"/>
              <w:rPr>
                <w:rFonts w:ascii="Times New Roman" w:hAnsi="Times New Roman" w:cs="Times New Roman"/>
                <w:sz w:val="22"/>
                <w:szCs w:val="22"/>
              </w:rPr>
            </w:pPr>
            <w:r w:rsidRPr="00D31CCF">
              <w:rPr>
                <w:rFonts w:ascii="Times New Roman" w:hAnsi="Times New Roman" w:cs="Times New Roman"/>
                <w:sz w:val="22"/>
                <w:szCs w:val="22"/>
              </w:rPr>
              <w:t>• pocit plnosti, problémy s trávením</w:t>
            </w:r>
            <w:r w:rsidRPr="000C3F44">
              <w:rPr>
                <w:rFonts w:ascii="Times New Roman" w:hAnsi="Times New Roman" w:cs="Times New Roman"/>
                <w:sz w:val="22"/>
                <w:szCs w:val="22"/>
              </w:rPr>
              <w:t xml:space="preserve"> alebo dusenia sa, </w:t>
            </w:r>
          </w:p>
          <w:p w:rsidR="00A621AE" w:rsidRPr="00D31CCF" w:rsidRDefault="00A621AE" w:rsidP="00D31CCF">
            <w:pPr>
              <w:pStyle w:val="Default"/>
              <w:ind w:left="142" w:hanging="142"/>
              <w:rPr>
                <w:rFonts w:ascii="Times New Roman" w:hAnsi="Times New Roman" w:cs="Times New Roman"/>
                <w:sz w:val="22"/>
                <w:szCs w:val="22"/>
              </w:rPr>
            </w:pPr>
            <w:r w:rsidRPr="000C3F44">
              <w:rPr>
                <w:rFonts w:ascii="Times New Roman" w:hAnsi="Times New Roman" w:cs="Times New Roman"/>
                <w:sz w:val="22"/>
                <w:szCs w:val="22"/>
              </w:rPr>
              <w:t xml:space="preserve">• pocit nepohody </w:t>
            </w:r>
            <w:r>
              <w:rPr>
                <w:rFonts w:ascii="Times New Roman" w:hAnsi="Times New Roman" w:cs="Times New Roman"/>
                <w:sz w:val="22"/>
                <w:szCs w:val="22"/>
              </w:rPr>
              <w:t xml:space="preserve">v hornej časti tela vyžarujúce do chrbta, čeľuste, hrdla, ruky a žalúdka, </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xml:space="preserve">• potenie, nevoľnosť, vracanie alebo závrat, </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xml:space="preserve">• mimoriadna slabosť, úzkosť alebo dýchavičnosť, </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xml:space="preserve">• rýchly alebo nepravidelný srdcový rytmus. </w:t>
            </w:r>
          </w:p>
        </w:tc>
        <w:tc>
          <w:tcPr>
            <w:tcW w:w="3908" w:type="dxa"/>
          </w:tcPr>
          <w:p w:rsidR="00A621AE" w:rsidRPr="00D31CCF" w:rsidRDefault="00A621AE" w:rsidP="00D31CCF">
            <w:pPr>
              <w:autoSpaceDE w:val="0"/>
              <w:autoSpaceDN w:val="0"/>
              <w:adjustRightInd w:val="0"/>
            </w:pPr>
          </w:p>
          <w:p w:rsidR="00A621AE" w:rsidRPr="00D31CCF" w:rsidRDefault="00A621AE" w:rsidP="00D31CCF">
            <w:pPr>
              <w:autoSpaceDE w:val="0"/>
              <w:autoSpaceDN w:val="0"/>
              <w:adjustRightInd w:val="0"/>
            </w:pPr>
          </w:p>
          <w:p w:rsidR="00A621AE" w:rsidRPr="00D31CCF" w:rsidRDefault="00A621AE" w:rsidP="000C3F44">
            <w:pPr>
              <w:autoSpaceDE w:val="0"/>
              <w:autoSpaceDN w:val="0"/>
              <w:adjustRightInd w:val="0"/>
            </w:pPr>
          </w:p>
          <w:p w:rsidR="00A621AE" w:rsidRPr="00D31CCF" w:rsidRDefault="00A621AE" w:rsidP="000C3F44">
            <w:pPr>
              <w:autoSpaceDE w:val="0"/>
              <w:autoSpaceDN w:val="0"/>
              <w:adjustRightInd w:val="0"/>
            </w:pPr>
          </w:p>
          <w:p w:rsidR="00A621AE" w:rsidRDefault="00A621AE">
            <w:pPr>
              <w:autoSpaceDE w:val="0"/>
              <w:autoSpaceDN w:val="0"/>
              <w:adjustRightInd w:val="0"/>
            </w:pPr>
            <w:r>
              <w:rPr>
                <w:sz w:val="22"/>
                <w:szCs w:val="22"/>
              </w:rPr>
              <w:t>Srdcový infarkt</w:t>
            </w: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tc>
      </w:tr>
      <w:tr w:rsidR="00A621AE" w:rsidRPr="00D31CCF" w:rsidTr="0078784A">
        <w:tc>
          <w:tcPr>
            <w:tcW w:w="5070"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náhla slabosť alebo strata citlivosti tváre, ruky alebo</w:t>
            </w: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  nohy, najmä na jednej strane tela, </w:t>
            </w: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náhla zmätenosť, problémy s rečou alebo jej</w:t>
            </w: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  porozumením, </w:t>
            </w:r>
          </w:p>
          <w:p w:rsidR="00A621AE" w:rsidRPr="000C3F44" w:rsidRDefault="00A621AE" w:rsidP="00D31CCF">
            <w:pPr>
              <w:pStyle w:val="Default"/>
              <w:rPr>
                <w:rFonts w:ascii="Times New Roman" w:hAnsi="Times New Roman" w:cs="Times New Roman"/>
                <w:sz w:val="22"/>
                <w:szCs w:val="22"/>
              </w:rPr>
            </w:pPr>
            <w:r w:rsidRPr="000C3F44">
              <w:rPr>
                <w:rFonts w:ascii="Times New Roman" w:hAnsi="Times New Roman" w:cs="Times New Roman"/>
                <w:sz w:val="22"/>
                <w:szCs w:val="22"/>
              </w:rPr>
              <w:t>• náhle problémy s videním u jedného alebo oboch</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xml:space="preserve">očí, </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náhle problémy s chôdzou, závrat, strata rovnováhy</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xml:space="preserve">  alebo koordinácie, </w:t>
            </w:r>
          </w:p>
          <w:p w:rsidR="00A621AE" w:rsidRPr="00D31CCF" w:rsidRDefault="00A621AE" w:rsidP="00D31CCF">
            <w:pPr>
              <w:pStyle w:val="Default"/>
              <w:rPr>
                <w:rFonts w:ascii="Times New Roman" w:hAnsi="Times New Roman" w:cs="Times New Roman"/>
                <w:sz w:val="22"/>
                <w:szCs w:val="22"/>
              </w:rPr>
            </w:pPr>
            <w:r>
              <w:rPr>
                <w:rFonts w:ascii="Times New Roman" w:hAnsi="Times New Roman" w:cs="Times New Roman"/>
                <w:sz w:val="22"/>
                <w:szCs w:val="22"/>
              </w:rPr>
              <w:t>• náhla, silná alebo dlhodobá bolesť hlavy bez</w:t>
            </w:r>
          </w:p>
          <w:p w:rsidR="00A621AE" w:rsidRPr="00D31CCF" w:rsidRDefault="00A621AE" w:rsidP="000C3F44">
            <w:pPr>
              <w:pStyle w:val="Default"/>
              <w:rPr>
                <w:rFonts w:ascii="Times New Roman" w:hAnsi="Times New Roman" w:cs="Times New Roman"/>
                <w:sz w:val="22"/>
                <w:szCs w:val="22"/>
              </w:rPr>
            </w:pPr>
            <w:r>
              <w:rPr>
                <w:rFonts w:ascii="Times New Roman" w:hAnsi="Times New Roman" w:cs="Times New Roman"/>
                <w:sz w:val="22"/>
                <w:szCs w:val="22"/>
              </w:rPr>
              <w:t xml:space="preserve">  známej príčiny, </w:t>
            </w:r>
          </w:p>
          <w:p w:rsidR="00A621AE" w:rsidRPr="00D31CCF" w:rsidRDefault="00A621AE" w:rsidP="000C3F44">
            <w:pPr>
              <w:pStyle w:val="Default"/>
              <w:rPr>
                <w:rFonts w:ascii="Times New Roman" w:hAnsi="Times New Roman" w:cs="Times New Roman"/>
                <w:sz w:val="22"/>
                <w:szCs w:val="22"/>
              </w:rPr>
            </w:pPr>
            <w:r>
              <w:rPr>
                <w:rFonts w:ascii="Times New Roman" w:hAnsi="Times New Roman" w:cs="Times New Roman"/>
                <w:sz w:val="22"/>
                <w:szCs w:val="22"/>
              </w:rPr>
              <w:t>• strata vedomia alebo mdloba so záchvatmi kŕčov</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lastRenderedPageBreak/>
              <w:t>alebo bez nich.</w:t>
            </w:r>
          </w:p>
          <w:p w:rsidR="00A621AE" w:rsidRDefault="00A621AE">
            <w:pPr>
              <w:pStyle w:val="Default"/>
              <w:rPr>
                <w:rFonts w:ascii="Times New Roman" w:hAnsi="Times New Roman" w:cs="Times New Roman"/>
                <w:sz w:val="22"/>
                <w:szCs w:val="22"/>
              </w:rPr>
            </w:pP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Niekedy môžu byť príznaky cievnej mozgovej príhody krátke s takmer okamžitým a úplným zotavením sa, napriek tomu musíte vyhľadať rýchlu lekársku pomoc, pretože môžete byť ohrozená ďalšou cievnou mozgovou príhodou.</w:t>
            </w:r>
          </w:p>
        </w:tc>
        <w:tc>
          <w:tcPr>
            <w:tcW w:w="3908" w:type="dxa"/>
          </w:tcPr>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p>
          <w:p w:rsidR="00A621AE" w:rsidRDefault="00A621AE">
            <w:pPr>
              <w:autoSpaceDE w:val="0"/>
              <w:autoSpaceDN w:val="0"/>
              <w:adjustRightInd w:val="0"/>
            </w:pPr>
            <w:r>
              <w:rPr>
                <w:sz w:val="22"/>
                <w:szCs w:val="22"/>
              </w:rPr>
              <w:t>Cievna mozgová príhoda</w:t>
            </w:r>
          </w:p>
        </w:tc>
      </w:tr>
      <w:tr w:rsidR="00A621AE" w:rsidRPr="00D31CCF" w:rsidTr="0078784A">
        <w:tc>
          <w:tcPr>
            <w:tcW w:w="5070"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lastRenderedPageBreak/>
              <w:t xml:space="preserve">• opuch a mierne zmodranie niektorej končatiny, </w:t>
            </w: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silná bolesť v žalúdku (náhla bolesť brucha).</w:t>
            </w:r>
          </w:p>
        </w:tc>
        <w:tc>
          <w:tcPr>
            <w:tcW w:w="3908" w:type="dxa"/>
          </w:tcPr>
          <w:p w:rsidR="00A621AE" w:rsidRPr="00D31CCF" w:rsidRDefault="00A621AE" w:rsidP="00D31CCF">
            <w:pPr>
              <w:autoSpaceDE w:val="0"/>
              <w:autoSpaceDN w:val="0"/>
              <w:adjustRightInd w:val="0"/>
            </w:pPr>
            <w:r w:rsidRPr="00D31CCF">
              <w:rPr>
                <w:sz w:val="22"/>
                <w:szCs w:val="22"/>
              </w:rPr>
              <w:t>Krvné zrazeniny upchávajúce iné krvné cievy</w:t>
            </w:r>
          </w:p>
        </w:tc>
      </w:tr>
    </w:tbl>
    <w:p w:rsidR="00A621AE" w:rsidRPr="00D31CCF" w:rsidRDefault="00A621AE" w:rsidP="00D31CCF">
      <w:pPr>
        <w:autoSpaceDE w:val="0"/>
        <w:autoSpaceDN w:val="0"/>
        <w:adjustRightInd w:val="0"/>
        <w:rPr>
          <w:color w:val="000000"/>
          <w:sz w:val="22"/>
          <w:szCs w:val="22"/>
        </w:rPr>
      </w:pP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b/>
          <w:bCs/>
          <w:sz w:val="22"/>
          <w:szCs w:val="22"/>
        </w:rPr>
        <w:t xml:space="preserve">KRVNÉ ZRAZENINY V ŽILE </w:t>
      </w:r>
    </w:p>
    <w:p w:rsidR="00A621AE" w:rsidRPr="00D31CCF" w:rsidRDefault="00A621AE" w:rsidP="00D31CCF">
      <w:pPr>
        <w:pStyle w:val="Default"/>
        <w:rPr>
          <w:rFonts w:ascii="Times New Roman" w:hAnsi="Times New Roman" w:cs="Times New Roman"/>
          <w:b/>
          <w:bCs/>
          <w:sz w:val="22"/>
          <w:szCs w:val="22"/>
        </w:rPr>
      </w:pP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b/>
          <w:bCs/>
          <w:sz w:val="22"/>
          <w:szCs w:val="22"/>
        </w:rPr>
        <w:t xml:space="preserve">Čo sa môže stať, ak sa vytvorí krvná zrazenina v žile? </w:t>
      </w:r>
    </w:p>
    <w:p w:rsidR="00A621AE" w:rsidRPr="000C3F44" w:rsidRDefault="00A621AE" w:rsidP="00D31CCF">
      <w:pPr>
        <w:pStyle w:val="Default"/>
        <w:ind w:left="142" w:hanging="142"/>
        <w:rPr>
          <w:rFonts w:ascii="Times New Roman" w:hAnsi="Times New Roman" w:cs="Times New Roman"/>
          <w:sz w:val="22"/>
          <w:szCs w:val="22"/>
        </w:rPr>
      </w:pPr>
      <w:r w:rsidRPr="00D31CCF">
        <w:rPr>
          <w:rFonts w:ascii="Times New Roman" w:hAnsi="Times New Roman" w:cs="Times New Roman"/>
          <w:sz w:val="22"/>
          <w:szCs w:val="22"/>
        </w:rPr>
        <w:t>• Používanie kombinovanej hormonálnej antikoncepcie je spájané so zvýšeným rizikom vzniku krvných zrazenín v žile (venózna trombóza). Tieto vedľajšie účinky sú však zriedkavé. Najčastejšie sa vyskytujú v prvom roku po</w:t>
      </w:r>
      <w:r w:rsidRPr="000C3F44">
        <w:rPr>
          <w:rFonts w:ascii="Times New Roman" w:hAnsi="Times New Roman" w:cs="Times New Roman"/>
          <w:sz w:val="22"/>
          <w:szCs w:val="22"/>
        </w:rPr>
        <w:t xml:space="preserve">užívania kombinovanej hormonálnej antikoncepcie. </w:t>
      </w:r>
    </w:p>
    <w:p w:rsidR="00A621AE" w:rsidRPr="00D31CCF" w:rsidRDefault="00A621AE" w:rsidP="00D31CCF">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sa vytvorí krvná zrazenina v žile v nohe alebo chodidle, môže spôsobiť trombózu hlbokých žíl (DVT). </w:t>
      </w:r>
    </w:p>
    <w:p w:rsidR="00A621AE" w:rsidRPr="00D31CCF" w:rsidRDefault="00A621AE" w:rsidP="00D31CCF">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sa krvná zrazenina presunie z nohy a uviazne v pľúcach, môže spôsobiť pľúcnu embóliu. </w:t>
      </w:r>
    </w:p>
    <w:p w:rsidR="00A621AE" w:rsidRPr="00D31CCF" w:rsidRDefault="00A621AE" w:rsidP="00D31CCF">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Veľmi zriedkavo sa zrazenina môže vytvoriť v žile v inom orgáne, napríklad v oku (sietnicová žilová trombóza). </w:t>
      </w:r>
    </w:p>
    <w:p w:rsidR="00A621AE" w:rsidRPr="00D31CCF" w:rsidRDefault="00A621AE" w:rsidP="00D31CCF">
      <w:pPr>
        <w:pStyle w:val="Default"/>
        <w:rPr>
          <w:rFonts w:ascii="Times New Roman" w:hAnsi="Times New Roman" w:cs="Times New Roman"/>
          <w:sz w:val="22"/>
          <w:szCs w:val="22"/>
        </w:rPr>
      </w:pPr>
    </w:p>
    <w:p w:rsidR="00A621AE" w:rsidRPr="00D31CCF" w:rsidRDefault="00A621AE" w:rsidP="000C3F44">
      <w:pPr>
        <w:pStyle w:val="Default"/>
        <w:rPr>
          <w:rFonts w:ascii="Times New Roman" w:hAnsi="Times New Roman" w:cs="Times New Roman"/>
          <w:sz w:val="22"/>
          <w:szCs w:val="22"/>
        </w:rPr>
      </w:pPr>
      <w:r>
        <w:rPr>
          <w:rFonts w:ascii="Times New Roman" w:hAnsi="Times New Roman" w:cs="Times New Roman"/>
          <w:b/>
          <w:bCs/>
          <w:sz w:val="22"/>
          <w:szCs w:val="22"/>
        </w:rPr>
        <w:t xml:space="preserve">Kedy je riziko vzniku krvnej zrazeniny v žile najvyššie? </w:t>
      </w:r>
    </w:p>
    <w:p w:rsidR="00A621AE" w:rsidRPr="00D31CCF" w:rsidRDefault="00A621AE" w:rsidP="000C3F44">
      <w:pPr>
        <w:pStyle w:val="Default"/>
        <w:rPr>
          <w:rFonts w:ascii="Times New Roman" w:hAnsi="Times New Roman" w:cs="Times New Roman"/>
          <w:sz w:val="22"/>
          <w:szCs w:val="22"/>
        </w:rPr>
      </w:pPr>
      <w:r>
        <w:rPr>
          <w:rFonts w:ascii="Times New Roman" w:hAnsi="Times New Roman" w:cs="Times New Roman"/>
          <w:sz w:val="22"/>
          <w:szCs w:val="22"/>
        </w:rPr>
        <w:t xml:space="preserve">Riziko vzniku krvnej zrazeniny v žile je najvyššie počas prvého roka užívania kombinovanej hormonálnej antikoncepcie, keď sa užíva po prvý krát. Toto riziko môže byť tiež vyššie, ak znova začnete užívať kombinovanú hormonálnu antikoncepciu (rovnaký alebo iný liek) po prerušení trvajúcom 4 týždne alebo viac. </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 xml:space="preserve">Po prvom roku sa toto riziko znižuje, ale vždy je mierne vyššie ako v prípade, ak by ste neužívali žiadnu kombinovanú hormonálnu antikoncepciu. </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 xml:space="preserve">Keď prestanete užívať Gentilion Daily, riziko vzniku krvnej zrazeniny sa do niekoľkých týždňov vráti na normálnu úroveň. </w:t>
      </w:r>
    </w:p>
    <w:p w:rsidR="00A621AE" w:rsidRDefault="00A621AE">
      <w:pPr>
        <w:autoSpaceDE w:val="0"/>
        <w:autoSpaceDN w:val="0"/>
        <w:adjustRightInd w:val="0"/>
        <w:rPr>
          <w:b/>
          <w:bCs/>
          <w:sz w:val="22"/>
          <w:szCs w:val="22"/>
        </w:rPr>
      </w:pPr>
    </w:p>
    <w:p w:rsidR="00A621AE" w:rsidRDefault="00A621AE">
      <w:pPr>
        <w:autoSpaceDE w:val="0"/>
        <w:autoSpaceDN w:val="0"/>
        <w:adjustRightInd w:val="0"/>
        <w:rPr>
          <w:b/>
          <w:bCs/>
          <w:sz w:val="22"/>
          <w:szCs w:val="22"/>
        </w:rPr>
      </w:pPr>
      <w:r>
        <w:rPr>
          <w:b/>
          <w:bCs/>
          <w:sz w:val="22"/>
          <w:szCs w:val="22"/>
        </w:rPr>
        <w:t>Aké je riziko vzniku krvnej zrazeniny?</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 xml:space="preserve">Toto riziko závisí od vášho prirodzeného rizika vzniku VTE a typu kombinovanej hormonálnej antikoncepcie, ktorú používate. </w:t>
      </w:r>
    </w:p>
    <w:p w:rsidR="00A621AE" w:rsidRDefault="00A621AE">
      <w:pPr>
        <w:autoSpaceDE w:val="0"/>
        <w:autoSpaceDN w:val="0"/>
        <w:adjustRightInd w:val="0"/>
        <w:rPr>
          <w:sz w:val="22"/>
          <w:szCs w:val="22"/>
        </w:rPr>
      </w:pPr>
      <w:r>
        <w:rPr>
          <w:sz w:val="22"/>
          <w:szCs w:val="22"/>
        </w:rPr>
        <w:t>Celkové riziko vzniku krvnej zrazeniny v nohe alebo pľúcach (DVT alebo PE) pri užívaní Gentilionu Daily je malé.</w:t>
      </w:r>
    </w:p>
    <w:p w:rsidR="00A621AE" w:rsidRDefault="00A621AE">
      <w:pPr>
        <w:autoSpaceDE w:val="0"/>
        <w:autoSpaceDN w:val="0"/>
        <w:adjustRightInd w:val="0"/>
        <w:ind w:left="142" w:hanging="142"/>
        <w:rPr>
          <w:color w:val="000000"/>
          <w:sz w:val="22"/>
          <w:szCs w:val="22"/>
        </w:rPr>
      </w:pPr>
      <w:r>
        <w:rPr>
          <w:color w:val="000000"/>
          <w:sz w:val="22"/>
          <w:szCs w:val="22"/>
        </w:rPr>
        <w:t xml:space="preserve">- Krvná zrazenina sa vyskytne v priebehu roka približne u 2 žien z 10 000 žien, ktoré neužívajú žiadnu kombinovanú hormonálnu antikoncepciu a nie sú tehotné. </w:t>
      </w:r>
    </w:p>
    <w:p w:rsidR="00A621AE" w:rsidRDefault="00A621AE">
      <w:pPr>
        <w:autoSpaceDE w:val="0"/>
        <w:autoSpaceDN w:val="0"/>
        <w:adjustRightInd w:val="0"/>
        <w:ind w:left="142" w:hanging="142"/>
        <w:rPr>
          <w:color w:val="000000"/>
          <w:sz w:val="22"/>
          <w:szCs w:val="22"/>
        </w:rPr>
      </w:pPr>
      <w:r>
        <w:rPr>
          <w:color w:val="000000"/>
          <w:sz w:val="22"/>
          <w:szCs w:val="22"/>
        </w:rPr>
        <w:t xml:space="preserve">- Krvná zrazenina sa vyskytne v priebehu roka približne u 5 až 7 žien z 10 000 žien užívajúcich kombinovanú hormonálnu antikoncepciu, ktorá obsahuje levonorgestrel, </w:t>
      </w:r>
      <w:proofErr w:type="spellStart"/>
      <w:r>
        <w:rPr>
          <w:color w:val="000000"/>
          <w:sz w:val="22"/>
          <w:szCs w:val="22"/>
        </w:rPr>
        <w:t>noretisterón</w:t>
      </w:r>
      <w:proofErr w:type="spellEnd"/>
      <w:r>
        <w:rPr>
          <w:color w:val="000000"/>
          <w:sz w:val="22"/>
          <w:szCs w:val="22"/>
        </w:rPr>
        <w:t xml:space="preserve"> alebo </w:t>
      </w:r>
      <w:proofErr w:type="spellStart"/>
      <w:r>
        <w:rPr>
          <w:color w:val="000000"/>
          <w:sz w:val="22"/>
          <w:szCs w:val="22"/>
        </w:rPr>
        <w:t>norgestimát</w:t>
      </w:r>
      <w:proofErr w:type="spellEnd"/>
      <w:r>
        <w:rPr>
          <w:color w:val="000000"/>
          <w:sz w:val="22"/>
          <w:szCs w:val="22"/>
        </w:rPr>
        <w:t xml:space="preserve">. </w:t>
      </w:r>
    </w:p>
    <w:p w:rsidR="00A621AE" w:rsidRDefault="00A621AE">
      <w:pPr>
        <w:autoSpaceDE w:val="0"/>
        <w:autoSpaceDN w:val="0"/>
        <w:adjustRightInd w:val="0"/>
        <w:ind w:left="142" w:hanging="142"/>
        <w:rPr>
          <w:color w:val="000000"/>
          <w:sz w:val="22"/>
          <w:szCs w:val="22"/>
        </w:rPr>
      </w:pPr>
      <w:r>
        <w:rPr>
          <w:color w:val="000000"/>
          <w:sz w:val="22"/>
          <w:szCs w:val="22"/>
        </w:rPr>
        <w:t xml:space="preserve">- Krvná zrazenina sa vyskytne v priebehu jedného roka približne u 9 až 12 žien z 10 000 žien užívajúcich kombinovanú hormonálnu antikoncepciu, ktorá obsahuje gestodén, ako napríklad Gentilion Daily. </w:t>
      </w:r>
    </w:p>
    <w:p w:rsidR="00A621AE" w:rsidRDefault="00A621AE">
      <w:pPr>
        <w:autoSpaceDE w:val="0"/>
        <w:autoSpaceDN w:val="0"/>
        <w:adjustRightInd w:val="0"/>
        <w:ind w:left="142" w:hanging="142"/>
        <w:rPr>
          <w:color w:val="000000"/>
          <w:sz w:val="22"/>
          <w:szCs w:val="22"/>
        </w:rPr>
      </w:pPr>
      <w:r>
        <w:rPr>
          <w:color w:val="000000"/>
          <w:sz w:val="22"/>
          <w:szCs w:val="22"/>
        </w:rPr>
        <w:t>- Riziko, že sa u vás vyskytne krvná zrazenina sa bude líšiť v závislosti na vašom zdravotnom stave (pozri „</w:t>
      </w:r>
      <w:r w:rsidRPr="00D31CCF">
        <w:rPr>
          <w:color w:val="000000"/>
          <w:sz w:val="22"/>
          <w:szCs w:val="22"/>
        </w:rPr>
        <w:t>Faktory zvyšujúce riziko vzniku krvnej zrazeniny</w:t>
      </w:r>
      <w:r>
        <w:rPr>
          <w:color w:val="000000"/>
          <w:sz w:val="22"/>
          <w:szCs w:val="22"/>
        </w:rPr>
        <w:t>“</w:t>
      </w:r>
      <w:r w:rsidRPr="00D31CCF">
        <w:rPr>
          <w:color w:val="000000"/>
          <w:sz w:val="22"/>
          <w:szCs w:val="22"/>
        </w:rPr>
        <w:t xml:space="preserve"> nižšie). </w:t>
      </w:r>
    </w:p>
    <w:p w:rsidR="00A621AE" w:rsidRDefault="00A621AE">
      <w:pPr>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A621AE" w:rsidRPr="00D31CCF" w:rsidTr="004E1DDD">
        <w:tc>
          <w:tcPr>
            <w:tcW w:w="4605" w:type="dxa"/>
          </w:tcPr>
          <w:p w:rsidR="00A621AE" w:rsidRDefault="00A621AE">
            <w:pPr>
              <w:autoSpaceDE w:val="0"/>
              <w:autoSpaceDN w:val="0"/>
              <w:adjustRightInd w:val="0"/>
              <w:rPr>
                <w:color w:val="000000"/>
              </w:rPr>
            </w:pPr>
          </w:p>
        </w:tc>
        <w:tc>
          <w:tcPr>
            <w:tcW w:w="4606" w:type="dxa"/>
          </w:tcPr>
          <w:p w:rsidR="00A621AE" w:rsidRDefault="00A621AE">
            <w:pPr>
              <w:pStyle w:val="Default"/>
              <w:rPr>
                <w:rFonts w:ascii="Times New Roman" w:hAnsi="Times New Roman" w:cs="Times New Roman"/>
                <w:sz w:val="22"/>
                <w:szCs w:val="22"/>
              </w:rPr>
            </w:pPr>
            <w:r w:rsidRPr="000C3F44">
              <w:rPr>
                <w:rFonts w:ascii="Times New Roman" w:hAnsi="Times New Roman" w:cs="Times New Roman"/>
                <w:b/>
                <w:bCs/>
                <w:sz w:val="22"/>
                <w:szCs w:val="22"/>
              </w:rPr>
              <w:t xml:space="preserve">Riziko vzniku krvnej zrazeniny v priebehu jedného roka </w:t>
            </w:r>
          </w:p>
        </w:tc>
      </w:tr>
      <w:tr w:rsidR="00A621AE" w:rsidRPr="00D31CCF" w:rsidTr="004E1DDD">
        <w:tc>
          <w:tcPr>
            <w:tcW w:w="4605"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Ženy, ktoré </w:t>
            </w:r>
            <w:r w:rsidRPr="00D31CCF">
              <w:rPr>
                <w:rFonts w:ascii="Times New Roman" w:hAnsi="Times New Roman" w:cs="Times New Roman"/>
                <w:b/>
                <w:bCs/>
                <w:sz w:val="22"/>
                <w:szCs w:val="22"/>
              </w:rPr>
              <w:t xml:space="preserve">nepoužívajú </w:t>
            </w:r>
            <w:r w:rsidRPr="00D31CCF">
              <w:rPr>
                <w:rFonts w:ascii="Times New Roman" w:hAnsi="Times New Roman" w:cs="Times New Roman"/>
                <w:sz w:val="22"/>
                <w:szCs w:val="22"/>
              </w:rPr>
              <w:t>kombinovanú hormonálnu tabletu/náplasť/krúžok a nie sú tehotné</w:t>
            </w:r>
          </w:p>
        </w:tc>
        <w:tc>
          <w:tcPr>
            <w:tcW w:w="4606"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približne 2 z 10 000 žien</w:t>
            </w:r>
          </w:p>
        </w:tc>
      </w:tr>
      <w:tr w:rsidR="00A621AE" w:rsidRPr="00D31CCF" w:rsidTr="004E1DDD">
        <w:tc>
          <w:tcPr>
            <w:tcW w:w="4605"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Ženy užívajúce kombinovanú hormonálnu antikoncepčnú tabletu obsahujúcu </w:t>
            </w:r>
            <w:r w:rsidRPr="00D31CCF">
              <w:rPr>
                <w:rFonts w:ascii="Times New Roman" w:hAnsi="Times New Roman" w:cs="Times New Roman"/>
                <w:b/>
                <w:bCs/>
                <w:sz w:val="22"/>
                <w:szCs w:val="22"/>
              </w:rPr>
              <w:lastRenderedPageBreak/>
              <w:t xml:space="preserve">levonorgestrel, </w:t>
            </w:r>
            <w:proofErr w:type="spellStart"/>
            <w:r w:rsidRPr="00D31CCF">
              <w:rPr>
                <w:rFonts w:ascii="Times New Roman" w:hAnsi="Times New Roman" w:cs="Times New Roman"/>
                <w:b/>
                <w:bCs/>
                <w:sz w:val="22"/>
                <w:szCs w:val="22"/>
              </w:rPr>
              <w:t>noretisterón</w:t>
            </w:r>
            <w:proofErr w:type="spellEnd"/>
            <w:r w:rsidRPr="00D31CCF">
              <w:rPr>
                <w:rFonts w:ascii="Times New Roman" w:hAnsi="Times New Roman" w:cs="Times New Roman"/>
                <w:b/>
                <w:bCs/>
                <w:sz w:val="22"/>
                <w:szCs w:val="22"/>
              </w:rPr>
              <w:t xml:space="preserve"> alebo </w:t>
            </w:r>
            <w:proofErr w:type="spellStart"/>
            <w:r w:rsidRPr="00D31CCF">
              <w:rPr>
                <w:rFonts w:ascii="Times New Roman" w:hAnsi="Times New Roman" w:cs="Times New Roman"/>
                <w:b/>
                <w:bCs/>
                <w:sz w:val="22"/>
                <w:szCs w:val="22"/>
              </w:rPr>
              <w:t>norgestimát</w:t>
            </w:r>
            <w:proofErr w:type="spellEnd"/>
          </w:p>
        </w:tc>
        <w:tc>
          <w:tcPr>
            <w:tcW w:w="4606"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lastRenderedPageBreak/>
              <w:t>približne 5 až 7 z 10 000 žien</w:t>
            </w:r>
          </w:p>
        </w:tc>
      </w:tr>
      <w:tr w:rsidR="00A621AE" w:rsidRPr="00D31CCF" w:rsidTr="004E1DDD">
        <w:tc>
          <w:tcPr>
            <w:tcW w:w="4605"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lastRenderedPageBreak/>
              <w:t>Ženy užívajúce Gentilion Daily</w:t>
            </w:r>
          </w:p>
        </w:tc>
        <w:tc>
          <w:tcPr>
            <w:tcW w:w="4606" w:type="dxa"/>
          </w:tcPr>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približne 9 až 12 z 10 000 žien</w:t>
            </w:r>
          </w:p>
        </w:tc>
      </w:tr>
    </w:tbl>
    <w:p w:rsidR="00A621AE" w:rsidRPr="00D31CCF" w:rsidRDefault="00A621AE" w:rsidP="00D31CCF">
      <w:pPr>
        <w:autoSpaceDE w:val="0"/>
        <w:autoSpaceDN w:val="0"/>
        <w:adjustRightInd w:val="0"/>
        <w:rPr>
          <w:color w:val="000000"/>
          <w:sz w:val="22"/>
          <w:szCs w:val="22"/>
        </w:rPr>
      </w:pPr>
    </w:p>
    <w:p w:rsidR="00A621AE" w:rsidRPr="00D31CCF" w:rsidRDefault="00A621AE" w:rsidP="00D31CCF">
      <w:pPr>
        <w:pStyle w:val="Default"/>
        <w:rPr>
          <w:rFonts w:ascii="Times New Roman" w:hAnsi="Times New Roman" w:cs="Times New Roman"/>
          <w:b/>
          <w:bCs/>
          <w:sz w:val="22"/>
          <w:szCs w:val="22"/>
        </w:rPr>
      </w:pPr>
      <w:r w:rsidRPr="00D31CCF">
        <w:rPr>
          <w:rFonts w:ascii="Times New Roman" w:hAnsi="Times New Roman" w:cs="Times New Roman"/>
          <w:b/>
          <w:bCs/>
          <w:sz w:val="22"/>
          <w:szCs w:val="22"/>
        </w:rPr>
        <w:t>Faktory zvyšujúce riziko vzniku krvnej zrazeniny v žile</w:t>
      </w: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Riziko vzniku krvnej zrazeniny pri užívaní Gentilionu Daily je malé, ale niektoré stavy budú toto riziko zvyšovať. Vaše riziko je vyššie: </w:t>
      </w:r>
    </w:p>
    <w:p w:rsidR="00A621AE" w:rsidRPr="00D31CCF" w:rsidRDefault="00A621AE" w:rsidP="00D31CCF">
      <w:pPr>
        <w:pStyle w:val="Default"/>
        <w:ind w:left="142" w:hanging="142"/>
        <w:rPr>
          <w:rFonts w:ascii="Times New Roman" w:hAnsi="Times New Roman" w:cs="Times New Roman"/>
          <w:sz w:val="22"/>
          <w:szCs w:val="22"/>
        </w:rPr>
      </w:pPr>
      <w:r w:rsidRPr="00D31CCF">
        <w:rPr>
          <w:rFonts w:ascii="Times New Roman" w:hAnsi="Times New Roman" w:cs="Times New Roman"/>
          <w:sz w:val="22"/>
          <w:szCs w:val="22"/>
        </w:rPr>
        <w:t>• ak máte veľkú nadváhu (index telesnej hmotnosti (BMI) nad 30 kg/m</w:t>
      </w:r>
      <w:r w:rsidRPr="00D31CCF">
        <w:rPr>
          <w:rFonts w:ascii="Times New Roman" w:hAnsi="Times New Roman" w:cs="Times New Roman"/>
          <w:sz w:val="22"/>
          <w:szCs w:val="22"/>
          <w:vertAlign w:val="superscript"/>
        </w:rPr>
        <w:t>2</w:t>
      </w:r>
      <w:r w:rsidRPr="00D31CCF">
        <w:rPr>
          <w:rFonts w:ascii="Times New Roman" w:hAnsi="Times New Roman" w:cs="Times New Roman"/>
          <w:sz w:val="22"/>
          <w:szCs w:val="22"/>
        </w:rPr>
        <w:t xml:space="preserve">), </w:t>
      </w:r>
    </w:p>
    <w:p w:rsidR="00A621AE" w:rsidRPr="000C3F44" w:rsidRDefault="00A621AE" w:rsidP="00D31CCF">
      <w:pPr>
        <w:pStyle w:val="Default"/>
        <w:ind w:left="142" w:hanging="142"/>
        <w:rPr>
          <w:rFonts w:ascii="Times New Roman" w:hAnsi="Times New Roman" w:cs="Times New Roman"/>
          <w:sz w:val="22"/>
          <w:szCs w:val="22"/>
        </w:rPr>
      </w:pPr>
      <w:r w:rsidRPr="00D31CCF">
        <w:rPr>
          <w:rFonts w:ascii="Times New Roman" w:hAnsi="Times New Roman" w:cs="Times New Roman"/>
          <w:sz w:val="22"/>
          <w:szCs w:val="22"/>
        </w:rPr>
        <w:t xml:space="preserve">• ak niekto z vašej najbližšej rodiny mal v mladosti (napr. vo veku do približne 50 rokov) </w:t>
      </w:r>
      <w:r w:rsidRPr="000C3F44">
        <w:rPr>
          <w:rFonts w:ascii="Times New Roman" w:hAnsi="Times New Roman" w:cs="Times New Roman"/>
          <w:sz w:val="22"/>
          <w:szCs w:val="22"/>
        </w:rPr>
        <w:t xml:space="preserve">krvnú zrazeninu v nohe, pľúcach alebo v inom orgáne. V takomto prípade môžete mať dedičnú poruchu zrážanlivosti krvi. </w:t>
      </w:r>
    </w:p>
    <w:p w:rsidR="00A621AE" w:rsidRPr="00D31CCF" w:rsidRDefault="00A621AE" w:rsidP="00D31CCF">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musíte podstúpiť nejaký chirurgický zákrok, ak ste dlhodobo nepohyblivá z dôvodu nejakého zranenia alebo ochorenia alebo ak máte nohu v sadre. Užívanie Gentilionu Daily môže byť potrebné ukončiť niekoľko týždňov pred chirurgickým zákrokom alebo počas doby, keď ste nepohyblivá. Ak potrebujete ukončiť užívanie Gentilionu Daily, spýtajte sa vášho lekára, kedy ho môžete znova začať užívať. </w:t>
      </w:r>
    </w:p>
    <w:p w:rsidR="00A621AE" w:rsidRPr="00D31CCF" w:rsidRDefault="00A621AE" w:rsidP="00D31CCF">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ste staršia (najmä približne nad 35 rokov), </w:t>
      </w:r>
    </w:p>
    <w:p w:rsidR="00A621AE" w:rsidRPr="00D31CCF" w:rsidRDefault="00A621AE" w:rsidP="00D31CCF">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ste porodili pred menej ako niekoľkými týždňami. </w:t>
      </w:r>
    </w:p>
    <w:p w:rsidR="00A621AE" w:rsidRDefault="00A621AE" w:rsidP="00D31CCF">
      <w:pPr>
        <w:pStyle w:val="Default"/>
        <w:rPr>
          <w:rFonts w:ascii="Times New Roman" w:hAnsi="Times New Roman" w:cs="Times New Roman"/>
          <w:sz w:val="22"/>
          <w:szCs w:val="22"/>
        </w:rPr>
      </w:pPr>
    </w:p>
    <w:p w:rsidR="00A621AE" w:rsidRPr="00D31CCF"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Riziko vzniku krvnej zrazeniny sa zvyšuje, čím viac takýchto stavov máte. </w:t>
      </w:r>
    </w:p>
    <w:p w:rsidR="00A621AE" w:rsidRPr="000C3F44" w:rsidRDefault="00A621AE" w:rsidP="00D31CCF">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Cestovanie leteckou dopravou (&gt;4 hodiny) môže dočasne zvýšiť riziko vzniku krvnej zrazeniny, najmä ak máte niektoré z ďalších uvedených faktorov. </w:t>
      </w:r>
    </w:p>
    <w:p w:rsidR="00A621AE" w:rsidRPr="00D31CCF" w:rsidRDefault="00A621AE" w:rsidP="00D31CCF">
      <w:pPr>
        <w:pStyle w:val="Default"/>
        <w:rPr>
          <w:rFonts w:ascii="Times New Roman" w:hAnsi="Times New Roman" w:cs="Times New Roman"/>
          <w:sz w:val="22"/>
          <w:szCs w:val="22"/>
        </w:rPr>
      </w:pPr>
      <w:r w:rsidRPr="000C3F44">
        <w:rPr>
          <w:rFonts w:ascii="Times New Roman" w:hAnsi="Times New Roman" w:cs="Times New Roman"/>
          <w:sz w:val="22"/>
          <w:szCs w:val="22"/>
        </w:rPr>
        <w:t xml:space="preserve">Je tiež dôležité povedať svojmu lekárovi, ak sa vás ktorýkoľvek z týchto stavov týka, a to aj v prípade, ak si nie ste istá. Váš lekár môže rozhodnúť, že je potrebné ukončiť užívanie </w:t>
      </w:r>
      <w:r>
        <w:rPr>
          <w:rFonts w:ascii="Times New Roman" w:hAnsi="Times New Roman" w:cs="Times New Roman"/>
          <w:sz w:val="22"/>
          <w:szCs w:val="22"/>
        </w:rPr>
        <w:t>Gentilionu Daily</w:t>
      </w:r>
      <w:r>
        <w:rPr>
          <w:rFonts w:ascii="Times New Roman" w:hAnsi="Times New Roman" w:cs="Times New Roman"/>
          <w:b/>
          <w:sz w:val="22"/>
          <w:szCs w:val="22"/>
        </w:rPr>
        <w:t>.</w:t>
      </w:r>
    </w:p>
    <w:p w:rsidR="00A621AE" w:rsidRPr="00D31CCF" w:rsidRDefault="00A621AE" w:rsidP="000C3F44">
      <w:pPr>
        <w:rPr>
          <w:rFonts w:eastAsia="SimSun"/>
          <w:sz w:val="22"/>
          <w:szCs w:val="22"/>
          <w:lang w:eastAsia="en-US"/>
        </w:rPr>
      </w:pPr>
      <w:r>
        <w:rPr>
          <w:sz w:val="22"/>
          <w:szCs w:val="22"/>
        </w:rPr>
        <w:t xml:space="preserve">Ak sa zmení ktorýkoľvek z vyššie uvedených stavov počas vášho užívania </w:t>
      </w:r>
      <w:r>
        <w:rPr>
          <w:rFonts w:eastAsia="SimSun"/>
          <w:sz w:val="22"/>
          <w:szCs w:val="22"/>
          <w:lang w:eastAsia="en-US"/>
        </w:rPr>
        <w:t>Gentilionu Daily,</w:t>
      </w:r>
      <w:r>
        <w:rPr>
          <w:sz w:val="22"/>
          <w:szCs w:val="22"/>
        </w:rPr>
        <w:t xml:space="preserve"> napríklad ak sa u blízkeho člena rodiny vyskytne trombóza bez akéhokoľvek známeho dôvodu alebo ak veľmi priberiete, povedzte to svojmu lekárovi.</w:t>
      </w:r>
    </w:p>
    <w:p w:rsidR="00A621AE" w:rsidRPr="00D31CCF" w:rsidRDefault="00A621AE" w:rsidP="000C3F44">
      <w:pPr>
        <w:pStyle w:val="BodyText"/>
      </w:pPr>
    </w:p>
    <w:p w:rsidR="00A621AE" w:rsidRDefault="00A621AE">
      <w:pPr>
        <w:pStyle w:val="Default"/>
        <w:rPr>
          <w:rFonts w:ascii="Times New Roman" w:hAnsi="Times New Roman" w:cs="Times New Roman"/>
          <w:b/>
          <w:bCs/>
          <w:sz w:val="22"/>
          <w:szCs w:val="22"/>
        </w:rPr>
      </w:pPr>
      <w:r>
        <w:rPr>
          <w:rFonts w:ascii="Times New Roman" w:hAnsi="Times New Roman" w:cs="Times New Roman"/>
          <w:b/>
          <w:bCs/>
          <w:sz w:val="22"/>
          <w:szCs w:val="22"/>
        </w:rPr>
        <w:t>KRVNÉ ZRAZENINY V TEPNE</w:t>
      </w:r>
    </w:p>
    <w:p w:rsidR="00A621AE" w:rsidRDefault="00A621AE">
      <w:pPr>
        <w:pStyle w:val="Default"/>
        <w:rPr>
          <w:rFonts w:ascii="Times New Roman" w:hAnsi="Times New Roman" w:cs="Times New Roman"/>
          <w:sz w:val="22"/>
          <w:szCs w:val="22"/>
        </w:rPr>
      </w:pPr>
    </w:p>
    <w:p w:rsidR="00A621AE" w:rsidRDefault="00A621AE">
      <w:pPr>
        <w:autoSpaceDE w:val="0"/>
        <w:autoSpaceDN w:val="0"/>
        <w:adjustRightInd w:val="0"/>
        <w:rPr>
          <w:b/>
          <w:bCs/>
          <w:sz w:val="22"/>
          <w:szCs w:val="22"/>
        </w:rPr>
      </w:pPr>
      <w:r>
        <w:rPr>
          <w:b/>
          <w:bCs/>
          <w:sz w:val="22"/>
          <w:szCs w:val="22"/>
        </w:rPr>
        <w:t>Čo sa môže stať, ak sa vytvorí krvná zrazenina v tepne?</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 xml:space="preserve">Podobne ako krvná zrazenina v žile, aj zrazenina v tepne môže spôsobiť závažné problémy. Môže spôsobiť napríklad srdcový infarkt alebo cievnu mozgovú príhodu. </w:t>
      </w:r>
    </w:p>
    <w:p w:rsidR="00A621AE" w:rsidRDefault="00A621AE">
      <w:pPr>
        <w:pStyle w:val="Default"/>
        <w:rPr>
          <w:rFonts w:ascii="Times New Roman" w:hAnsi="Times New Roman" w:cs="Times New Roman"/>
          <w:b/>
          <w:bCs/>
          <w:sz w:val="22"/>
          <w:szCs w:val="22"/>
        </w:rPr>
      </w:pPr>
    </w:p>
    <w:p w:rsidR="00A621AE" w:rsidRDefault="00A621AE">
      <w:pPr>
        <w:pStyle w:val="Default"/>
        <w:rPr>
          <w:rFonts w:ascii="Times New Roman" w:hAnsi="Times New Roman" w:cs="Times New Roman"/>
          <w:sz w:val="22"/>
          <w:szCs w:val="22"/>
        </w:rPr>
      </w:pPr>
      <w:r>
        <w:rPr>
          <w:rFonts w:ascii="Times New Roman" w:hAnsi="Times New Roman" w:cs="Times New Roman"/>
          <w:b/>
          <w:bCs/>
          <w:sz w:val="22"/>
          <w:szCs w:val="22"/>
        </w:rPr>
        <w:t xml:space="preserve">Faktory zvyšujúce riziko vzniku krvnej zrazeniny v tepne </w:t>
      </w:r>
    </w:p>
    <w:p w:rsidR="00A621AE" w:rsidRDefault="00A621AE">
      <w:pPr>
        <w:pStyle w:val="Default"/>
        <w:rPr>
          <w:rFonts w:ascii="Times New Roman" w:hAnsi="Times New Roman" w:cs="Times New Roman"/>
          <w:sz w:val="22"/>
          <w:szCs w:val="22"/>
        </w:rPr>
      </w:pPr>
      <w:r>
        <w:rPr>
          <w:rFonts w:ascii="Times New Roman" w:hAnsi="Times New Roman" w:cs="Times New Roman"/>
          <w:sz w:val="22"/>
          <w:szCs w:val="22"/>
        </w:rPr>
        <w:t xml:space="preserve">Je dôležité poznamenať, že riziko srdcového infarktu alebo cievnej mozgovej príhody z dôvodu užívania Gentilionu Daily je veľmi malé, ale môže sa zvýšiť: </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so zvyšujúcim sa vekom (približne nad 35 rokov);</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ak fajčíte. </w:t>
      </w:r>
      <w:r>
        <w:rPr>
          <w:rFonts w:ascii="Times New Roman" w:hAnsi="Times New Roman" w:cs="Times New Roman"/>
          <w:sz w:val="22"/>
          <w:szCs w:val="22"/>
        </w:rPr>
        <w:t>Keď užívate kombinovanú hormonálnu antikoncepciu, ako napríklad Gentilion Daily, odporúča sa prestať fajčiť. Ak nedokážete prestať fajčiť a máte viac ako 35 rokov, váš lekár vám môže odporučiť používanie iného typu antikoncepcie;</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ak máte nadváhu;</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ak máte vysoký krvný tlak;</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ak mal niektorý člen vašej najbližšej rodiny v mladosti (do približne 50 rokov) srdcový infarkt alebo cievnu mozgovú príhodu. V takomto prípade môžete mať tiež vyššie riziko vzniku srdcového infarktu alebo cievnej mozgovej príhody;</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ak vy, alebo niekto z vašej najbližšej rodiny, máte vysokú hladinu tuku v krvi (cholesterol alebo triglyceridy);</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ak mávate migrény, najmä migrény s aurou;</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máte problémy so srdcom (poruchu srdcovej chlopne, poruchu srdcového rytmu nazývanú </w:t>
      </w:r>
      <w:proofErr w:type="spellStart"/>
      <w:r>
        <w:rPr>
          <w:rFonts w:ascii="Times New Roman" w:hAnsi="Times New Roman" w:cs="Times New Roman"/>
          <w:sz w:val="22"/>
          <w:szCs w:val="22"/>
        </w:rPr>
        <w:t>atriálna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fibrilácia</w:t>
      </w:r>
      <w:proofErr w:type="spellEnd"/>
      <w:r>
        <w:rPr>
          <w:rFonts w:ascii="Times New Roman" w:hAnsi="Times New Roman" w:cs="Times New Roman"/>
          <w:sz w:val="22"/>
          <w:szCs w:val="22"/>
        </w:rPr>
        <w:t>);</w:t>
      </w:r>
    </w:p>
    <w:p w:rsidR="00A621AE" w:rsidRDefault="00A621AE">
      <w:pPr>
        <w:pStyle w:val="Default"/>
        <w:ind w:left="142" w:hanging="142"/>
        <w:rPr>
          <w:rFonts w:ascii="Times New Roman" w:hAnsi="Times New Roman" w:cs="Times New Roman"/>
          <w:sz w:val="22"/>
          <w:szCs w:val="22"/>
        </w:rPr>
      </w:pPr>
      <w:r>
        <w:rPr>
          <w:rFonts w:ascii="Times New Roman" w:hAnsi="Times New Roman" w:cs="Times New Roman"/>
          <w:sz w:val="22"/>
          <w:szCs w:val="22"/>
        </w:rPr>
        <w:t xml:space="preserve">• ak máte cukrovku. </w:t>
      </w:r>
    </w:p>
    <w:p w:rsidR="00A621AE" w:rsidRDefault="00A621AE">
      <w:pPr>
        <w:pStyle w:val="Default"/>
        <w:rPr>
          <w:rFonts w:ascii="Times New Roman" w:hAnsi="Times New Roman" w:cs="Times New Roman"/>
          <w:sz w:val="22"/>
          <w:szCs w:val="22"/>
        </w:rPr>
      </w:pPr>
    </w:p>
    <w:p w:rsidR="00A621AE" w:rsidRDefault="00A621AE">
      <w:pPr>
        <w:pStyle w:val="Default"/>
        <w:rPr>
          <w:rFonts w:ascii="Times New Roman" w:hAnsi="Times New Roman" w:cs="Times New Roman"/>
          <w:sz w:val="22"/>
          <w:szCs w:val="22"/>
        </w:rPr>
      </w:pPr>
      <w:r w:rsidRPr="00D31CCF">
        <w:rPr>
          <w:rFonts w:ascii="Times New Roman" w:hAnsi="Times New Roman" w:cs="Times New Roman"/>
          <w:sz w:val="22"/>
          <w:szCs w:val="22"/>
        </w:rPr>
        <w:t xml:space="preserve">Ak máte viac ako jeden z týchto stavov alebo ak je ktorýkoľvek z nich obzvlášť závažný, riziko vzniku krvnej zrazeniny môže byť ešte viac zvýšené. </w:t>
      </w:r>
    </w:p>
    <w:p w:rsidR="00A621AE" w:rsidRDefault="00A621AE">
      <w:pPr>
        <w:autoSpaceDE w:val="0"/>
        <w:autoSpaceDN w:val="0"/>
        <w:adjustRightInd w:val="0"/>
        <w:rPr>
          <w:sz w:val="22"/>
          <w:szCs w:val="22"/>
        </w:rPr>
      </w:pPr>
      <w:r w:rsidRPr="000C3F44">
        <w:rPr>
          <w:sz w:val="22"/>
          <w:szCs w:val="22"/>
        </w:rPr>
        <w:lastRenderedPageBreak/>
        <w:t>Ak sa zmení ktorýkoľvek z vyššie uvedených stavov počas vášho užívania Gentilionu Daily</w:t>
      </w:r>
      <w:r>
        <w:rPr>
          <w:sz w:val="22"/>
          <w:szCs w:val="22"/>
        </w:rPr>
        <w:t>, napríklad ak začnete fajčiť, u blízkeho člena rodiny sa vyskytne trombóza bez akéhokoľvek známeho dôvodu alebo ak veľmi priberiete, povedzte to svojmu lekárovi.</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bCs/>
          <w:color w:val="000000"/>
          <w:sz w:val="22"/>
          <w:szCs w:val="22"/>
        </w:rPr>
      </w:pPr>
      <w:r>
        <w:rPr>
          <w:b/>
          <w:bCs/>
          <w:color w:val="000000"/>
          <w:sz w:val="22"/>
          <w:szCs w:val="22"/>
        </w:rPr>
        <w:t>Gentilion Daily a rakovina</w:t>
      </w:r>
    </w:p>
    <w:p w:rsidR="00A621AE" w:rsidRDefault="00A621AE">
      <w:pPr>
        <w:autoSpaceDE w:val="0"/>
        <w:autoSpaceDN w:val="0"/>
        <w:adjustRightInd w:val="0"/>
        <w:rPr>
          <w:color w:val="000000"/>
          <w:sz w:val="22"/>
          <w:szCs w:val="22"/>
        </w:rPr>
      </w:pPr>
      <w:r>
        <w:rPr>
          <w:color w:val="000000"/>
          <w:sz w:val="22"/>
          <w:szCs w:val="22"/>
        </w:rPr>
        <w:t>U žien užívajúcich kombinované antikoncepčné tablety sa trochu častejšie pozorovala rakovina prsníka, nie je však známe, či je to spôsobené ich užívaním. Napríklad je možné, že u žien užívajúcich kombinované antikoncepčné tablety sa zistí viac nádorov, pretože ich lekár vyšetruje častejšie. Výskyt nádorov prsníka postupne klesá po ukončení užívania kombinovanej hormonálnej antikoncepcie. Je dôležité, aby ste si pravidelne kontrolovali svoje prsníky a ak nájdete akúkoľvek hrčku, musíte navštíviť svojho lekára.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sidRPr="00D31CCF">
        <w:rPr>
          <w:color w:val="000000"/>
          <w:sz w:val="22"/>
          <w:szCs w:val="22"/>
        </w:rPr>
        <w:t xml:space="preserve">V zriedkavých prípadoch sa u užívateliek antikoncepčných tabliet hlásili nezhubné a ešte zriedkavejšie zhubné nádory pečene. </w:t>
      </w:r>
      <w:r w:rsidRPr="00D31CCF">
        <w:rPr>
          <w:sz w:val="22"/>
          <w:szCs w:val="22"/>
        </w:rPr>
        <w:t>Nádory pečene môžu viesť k vnútornému krvácaniu a silnej bolesti brucha.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sidRPr="00D31CCF">
        <w:rPr>
          <w:color w:val="000000"/>
          <w:sz w:val="22"/>
          <w:szCs w:val="22"/>
        </w:rPr>
        <w:t>Ak máte nezvyčajne silnú bolesť brucha, vyhľadajte svojho lekára. Možno budete musieť prestať užívať Gentilion Daily.</w:t>
      </w:r>
    </w:p>
    <w:p w:rsidR="00A621AE" w:rsidRDefault="00A621AE">
      <w:pPr>
        <w:rPr>
          <w:sz w:val="22"/>
          <w:szCs w:val="22"/>
        </w:rPr>
      </w:pPr>
    </w:p>
    <w:p w:rsidR="00A621AE" w:rsidRDefault="00A621AE">
      <w:pPr>
        <w:rPr>
          <w:sz w:val="22"/>
          <w:szCs w:val="22"/>
        </w:rPr>
      </w:pPr>
      <w:r w:rsidRPr="00D31CCF">
        <w:rPr>
          <w:sz w:val="22"/>
          <w:szCs w:val="22"/>
        </w:rPr>
        <w:t>U žien dlhodobo užívajúcich antikoncepciu sa môže zvýšiť riziko vzniku rakoviny krčka maternice. Toto zvýšené riziko nemusí spôsobovať antikoncepcia, ale môže byť následkom sexuálneho správania a iných okolností.</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bCs/>
          <w:color w:val="000000"/>
          <w:sz w:val="22"/>
          <w:szCs w:val="22"/>
        </w:rPr>
      </w:pPr>
      <w:r w:rsidRPr="00D31CCF">
        <w:rPr>
          <w:b/>
          <w:bCs/>
          <w:color w:val="000000"/>
          <w:sz w:val="22"/>
          <w:szCs w:val="22"/>
        </w:rPr>
        <w:t>Krvácanie medzi menštruáciami</w:t>
      </w:r>
    </w:p>
    <w:p w:rsidR="00A621AE" w:rsidRDefault="00A621AE">
      <w:pPr>
        <w:autoSpaceDE w:val="0"/>
        <w:autoSpaceDN w:val="0"/>
        <w:adjustRightInd w:val="0"/>
        <w:rPr>
          <w:color w:val="000000"/>
          <w:sz w:val="22"/>
          <w:szCs w:val="22"/>
        </w:rPr>
      </w:pPr>
      <w:r w:rsidRPr="000C3F44">
        <w:rPr>
          <w:color w:val="000000"/>
          <w:sz w:val="22"/>
          <w:szCs w:val="22"/>
        </w:rPr>
        <w:t>Počas niekoľkých prvých mesiacov užívania Gentilionu D</w:t>
      </w:r>
      <w:r>
        <w:rPr>
          <w:color w:val="000000"/>
          <w:sz w:val="22"/>
          <w:szCs w:val="22"/>
        </w:rPr>
        <w:t>aily môžete mať neočakávané krvácanie (krvácanie, ktoré začne mimo dní s placebo tabletami). Ak sa takéto krvácanie vyskytuje dlhšie ako niekoľko mesiacov alebo ak začne po niekoľkých mesiacoch užívania, váš lekár musí zistiť jeho príčinu.</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bCs/>
          <w:color w:val="000000"/>
          <w:sz w:val="22"/>
          <w:szCs w:val="22"/>
        </w:rPr>
      </w:pPr>
      <w:r>
        <w:rPr>
          <w:b/>
          <w:bCs/>
          <w:color w:val="000000"/>
          <w:sz w:val="22"/>
          <w:szCs w:val="22"/>
        </w:rPr>
        <w:t>Čo musíte urobiť, ak počas dní užívania placebo tabliet nenastane krvácanie</w:t>
      </w:r>
    </w:p>
    <w:p w:rsidR="00A621AE" w:rsidRDefault="00A621AE">
      <w:pPr>
        <w:autoSpaceDE w:val="0"/>
        <w:autoSpaceDN w:val="0"/>
        <w:adjustRightInd w:val="0"/>
        <w:rPr>
          <w:color w:val="000000"/>
          <w:sz w:val="22"/>
          <w:szCs w:val="22"/>
        </w:rPr>
      </w:pPr>
      <w:r>
        <w:rPr>
          <w:color w:val="000000"/>
          <w:sz w:val="22"/>
          <w:szCs w:val="22"/>
        </w:rPr>
        <w:t>Ak ste užívali správne všetky tablety, nevracali ste, ani ste nemali silnú hnačku a neužívali ste žiadne iné lieky, je veľmi nepravdepodobné, že ste tehotná.</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sidRPr="00D31CCF">
        <w:rPr>
          <w:color w:val="000000"/>
          <w:sz w:val="22"/>
          <w:szCs w:val="22"/>
        </w:rPr>
        <w:t>Ak nedošlo k očakávanému krvácaniu dvakrát po sebe, môžete byť tehotná. Ihneď navštívte svojho lekára. Ďalší blister začnite užívať iba vtedy, ak ste si istá, že nie ste tehotná.</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bCs/>
          <w:color w:val="000000"/>
          <w:sz w:val="22"/>
          <w:szCs w:val="22"/>
        </w:rPr>
      </w:pPr>
      <w:r w:rsidRPr="000C3F44">
        <w:rPr>
          <w:b/>
          <w:bCs/>
          <w:color w:val="000000"/>
          <w:sz w:val="22"/>
          <w:szCs w:val="22"/>
        </w:rPr>
        <w:t>Iné lieky a Gentilion D</w:t>
      </w:r>
      <w:r>
        <w:rPr>
          <w:b/>
          <w:bCs/>
          <w:color w:val="000000"/>
          <w:sz w:val="22"/>
          <w:szCs w:val="22"/>
        </w:rPr>
        <w:t>aily</w:t>
      </w:r>
    </w:p>
    <w:p w:rsidR="00A621AE" w:rsidRDefault="00A621AE">
      <w:pPr>
        <w:numPr>
          <w:ilvl w:val="12"/>
          <w:numId w:val="0"/>
        </w:numPr>
        <w:ind w:right="-2"/>
        <w:rPr>
          <w:noProof/>
          <w:sz w:val="22"/>
          <w:szCs w:val="22"/>
        </w:rPr>
      </w:pPr>
      <w:r>
        <w:rPr>
          <w:noProof/>
          <w:sz w:val="22"/>
          <w:szCs w:val="22"/>
        </w:rPr>
        <w:t>Ak teraz užívate, alebo ste v poslednom čase užívali, či práve budete užívaťďalšie lieky, povedzte to svojmu lekárovi alebo lekárnikovi.</w:t>
      </w:r>
    </w:p>
    <w:p w:rsidR="00A621AE" w:rsidRDefault="00A621AE">
      <w:pPr>
        <w:numPr>
          <w:ilvl w:val="12"/>
          <w:numId w:val="0"/>
        </w:numPr>
        <w:ind w:right="-2"/>
        <w:rPr>
          <w:noProof/>
          <w:sz w:val="22"/>
          <w:szCs w:val="22"/>
        </w:rPr>
      </w:pPr>
    </w:p>
    <w:p w:rsidR="00A621AE" w:rsidRDefault="00A621AE">
      <w:pPr>
        <w:numPr>
          <w:ilvl w:val="12"/>
          <w:numId w:val="0"/>
        </w:numPr>
        <w:ind w:right="-2"/>
        <w:rPr>
          <w:color w:val="000000"/>
          <w:sz w:val="22"/>
          <w:szCs w:val="22"/>
        </w:rPr>
      </w:pPr>
      <w:r>
        <w:rPr>
          <w:color w:val="000000"/>
          <w:sz w:val="22"/>
          <w:szCs w:val="22"/>
        </w:rPr>
        <w:t>Vždy povedzte lekárovi, ktorý vám predpísal Gentilion Daily, aké iné lieky alebo rastlinné lieky užívate. Povedzte aj iným lekárom alebo zubárovi, ktorí vám predpisujú ďalšie lieky (alebo lekárnikovi), že užívate Gentilion Daily. Môžu vám poradiť, či potrebujete používať ďalšie antikoncepčné opatrenia (napríklad prezervatív) a ak áno - ako dlho.</w:t>
      </w:r>
    </w:p>
    <w:p w:rsidR="00A621AE" w:rsidRDefault="00A621AE">
      <w:pPr>
        <w:numPr>
          <w:ilvl w:val="12"/>
          <w:numId w:val="0"/>
        </w:numPr>
        <w:ind w:right="-2"/>
        <w:rPr>
          <w:color w:val="000000"/>
          <w:sz w:val="22"/>
          <w:szCs w:val="22"/>
        </w:rPr>
      </w:pPr>
    </w:p>
    <w:p w:rsidR="00A621AE" w:rsidRPr="00CD097A" w:rsidRDefault="00A621AE" w:rsidP="00CD097A">
      <w:pPr>
        <w:autoSpaceDE w:val="0"/>
        <w:autoSpaceDN w:val="0"/>
        <w:adjustRightInd w:val="0"/>
        <w:rPr>
          <w:color w:val="000000"/>
          <w:sz w:val="22"/>
          <w:szCs w:val="22"/>
        </w:rPr>
      </w:pPr>
      <w:r w:rsidRPr="00CD097A">
        <w:rPr>
          <w:color w:val="000000"/>
          <w:sz w:val="22"/>
          <w:szCs w:val="22"/>
        </w:rPr>
        <w:t xml:space="preserve">Niektoré lieky môžu oslabiť účinok Gentilionu Daily na zamedzenie tehotenstva alebo môžu spôsobiť neočakávané krvácanie. </w:t>
      </w:r>
    </w:p>
    <w:p w:rsidR="00A621AE" w:rsidRDefault="00A621AE" w:rsidP="00775CA9">
      <w:pPr>
        <w:autoSpaceDE w:val="0"/>
        <w:autoSpaceDN w:val="0"/>
        <w:adjustRightInd w:val="0"/>
        <w:rPr>
          <w:color w:val="000000"/>
          <w:sz w:val="22"/>
          <w:szCs w:val="22"/>
        </w:rPr>
      </w:pPr>
      <w:r w:rsidRPr="00D31CCF">
        <w:rPr>
          <w:color w:val="000000"/>
          <w:sz w:val="22"/>
          <w:szCs w:val="22"/>
        </w:rPr>
        <w:t xml:space="preserve">Patria sem lieky používané na liečbu epilepsie (napríklad </w:t>
      </w:r>
      <w:proofErr w:type="spellStart"/>
      <w:r w:rsidRPr="00D31CCF">
        <w:rPr>
          <w:color w:val="000000"/>
          <w:sz w:val="22"/>
          <w:szCs w:val="22"/>
        </w:rPr>
        <w:t>hydantoín</w:t>
      </w:r>
      <w:proofErr w:type="spellEnd"/>
      <w:r w:rsidRPr="00D31CCF">
        <w:rPr>
          <w:color w:val="000000"/>
          <w:sz w:val="22"/>
          <w:szCs w:val="22"/>
        </w:rPr>
        <w:t xml:space="preserve">, topiramát, </w:t>
      </w:r>
      <w:proofErr w:type="spellStart"/>
      <w:r w:rsidRPr="00D31CCF">
        <w:rPr>
          <w:color w:val="000000"/>
          <w:sz w:val="22"/>
          <w:szCs w:val="22"/>
        </w:rPr>
        <w:t>felbamá</w:t>
      </w:r>
      <w:r>
        <w:rPr>
          <w:color w:val="000000"/>
          <w:sz w:val="22"/>
          <w:szCs w:val="22"/>
        </w:rPr>
        <w:t>t</w:t>
      </w:r>
      <w:proofErr w:type="spellEnd"/>
      <w:r w:rsidRPr="00D31CCF">
        <w:rPr>
          <w:color w:val="000000"/>
          <w:sz w:val="22"/>
          <w:szCs w:val="22"/>
        </w:rPr>
        <w:t xml:space="preserve">, </w:t>
      </w:r>
      <w:proofErr w:type="spellStart"/>
      <w:r w:rsidRPr="00D31CCF">
        <w:rPr>
          <w:color w:val="000000"/>
          <w:sz w:val="22"/>
          <w:szCs w:val="22"/>
        </w:rPr>
        <w:t>lamotrigin</w:t>
      </w:r>
      <w:proofErr w:type="spellEnd"/>
      <w:r w:rsidRPr="00D31CCF">
        <w:rPr>
          <w:color w:val="000000"/>
          <w:sz w:val="22"/>
          <w:szCs w:val="22"/>
        </w:rPr>
        <w:t xml:space="preserve">, </w:t>
      </w:r>
      <w:proofErr w:type="spellStart"/>
      <w:r w:rsidRPr="00D31CCF">
        <w:rPr>
          <w:color w:val="000000"/>
          <w:sz w:val="22"/>
          <w:szCs w:val="22"/>
        </w:rPr>
        <w:t>primidón</w:t>
      </w:r>
      <w:proofErr w:type="spellEnd"/>
      <w:r w:rsidRPr="00D31CCF">
        <w:rPr>
          <w:color w:val="000000"/>
          <w:sz w:val="22"/>
          <w:szCs w:val="22"/>
        </w:rPr>
        <w:t xml:space="preserve">, fenytoín, barbituráty, karbamazepín, </w:t>
      </w:r>
      <w:proofErr w:type="spellStart"/>
      <w:r w:rsidRPr="00D31CCF">
        <w:rPr>
          <w:color w:val="000000"/>
          <w:sz w:val="22"/>
          <w:szCs w:val="22"/>
        </w:rPr>
        <w:t>oxkarbazepín</w:t>
      </w:r>
      <w:proofErr w:type="spellEnd"/>
      <w:r w:rsidRPr="00D31CCF">
        <w:rPr>
          <w:color w:val="000000"/>
          <w:sz w:val="22"/>
          <w:szCs w:val="22"/>
        </w:rPr>
        <w:t>) a tuberkulózy (napr. rifampicín)</w:t>
      </w:r>
      <w:r w:rsidRPr="000C3F44">
        <w:rPr>
          <w:color w:val="000000"/>
          <w:sz w:val="22"/>
          <w:szCs w:val="22"/>
        </w:rPr>
        <w:t xml:space="preserve">, </w:t>
      </w:r>
      <w:proofErr w:type="spellStart"/>
      <w:r w:rsidRPr="000C3F44">
        <w:rPr>
          <w:color w:val="000000"/>
          <w:sz w:val="22"/>
          <w:szCs w:val="22"/>
        </w:rPr>
        <w:t>imunomoduátory</w:t>
      </w:r>
      <w:proofErr w:type="spellEnd"/>
      <w:r w:rsidRPr="000C3F44">
        <w:rPr>
          <w:color w:val="000000"/>
          <w:sz w:val="22"/>
          <w:szCs w:val="22"/>
        </w:rPr>
        <w:t xml:space="preserve"> (</w:t>
      </w:r>
      <w:proofErr w:type="spellStart"/>
      <w:r w:rsidRPr="000C3F44">
        <w:rPr>
          <w:color w:val="000000"/>
          <w:sz w:val="22"/>
          <w:szCs w:val="22"/>
        </w:rPr>
        <w:t>cyklosporin</w:t>
      </w:r>
      <w:proofErr w:type="spellEnd"/>
      <w:r w:rsidRPr="000C3F44">
        <w:rPr>
          <w:color w:val="000000"/>
          <w:sz w:val="22"/>
          <w:szCs w:val="22"/>
        </w:rPr>
        <w:t>), infekcií HIV (</w:t>
      </w:r>
      <w:proofErr w:type="spellStart"/>
      <w:r w:rsidRPr="000C3F44">
        <w:rPr>
          <w:color w:val="000000"/>
          <w:sz w:val="22"/>
          <w:szCs w:val="22"/>
        </w:rPr>
        <w:t>ritonavir</w:t>
      </w:r>
      <w:proofErr w:type="spellEnd"/>
      <w:r w:rsidRPr="000C3F44">
        <w:rPr>
          <w:color w:val="000000"/>
          <w:sz w:val="22"/>
          <w:szCs w:val="22"/>
        </w:rPr>
        <w:t xml:space="preserve">, </w:t>
      </w:r>
      <w:proofErr w:type="spellStart"/>
      <w:r w:rsidRPr="000C3F44">
        <w:rPr>
          <w:color w:val="000000"/>
          <w:sz w:val="22"/>
          <w:szCs w:val="22"/>
        </w:rPr>
        <w:t>nevirapín</w:t>
      </w:r>
      <w:proofErr w:type="spellEnd"/>
      <w:r w:rsidRPr="000C3F44">
        <w:rPr>
          <w:color w:val="000000"/>
          <w:sz w:val="22"/>
          <w:szCs w:val="22"/>
        </w:rPr>
        <w:t>) alebo iných infekcií</w:t>
      </w:r>
      <w:r>
        <w:rPr>
          <w:color w:val="000000"/>
          <w:sz w:val="22"/>
          <w:szCs w:val="22"/>
        </w:rPr>
        <w:t xml:space="preserve"> (</w:t>
      </w:r>
      <w:proofErr w:type="spellStart"/>
      <w:r>
        <w:rPr>
          <w:color w:val="000000"/>
          <w:sz w:val="22"/>
          <w:szCs w:val="22"/>
        </w:rPr>
        <w:t>rifabutin</w:t>
      </w:r>
      <w:proofErr w:type="spellEnd"/>
      <w:r>
        <w:rPr>
          <w:color w:val="000000"/>
          <w:sz w:val="22"/>
          <w:szCs w:val="22"/>
        </w:rPr>
        <w:t xml:space="preserve">, </w:t>
      </w:r>
      <w:proofErr w:type="spellStart"/>
      <w:r>
        <w:rPr>
          <w:color w:val="000000"/>
          <w:sz w:val="22"/>
          <w:szCs w:val="22"/>
        </w:rPr>
        <w:t>grizeofulvín</w:t>
      </w:r>
      <w:proofErr w:type="spellEnd"/>
      <w:r>
        <w:rPr>
          <w:color w:val="000000"/>
          <w:sz w:val="22"/>
          <w:szCs w:val="22"/>
        </w:rPr>
        <w:t>)</w:t>
      </w:r>
      <w:r w:rsidRPr="00D31CCF">
        <w:rPr>
          <w:color w:val="000000"/>
          <w:sz w:val="22"/>
          <w:szCs w:val="22"/>
        </w:rPr>
        <w:t>, protizápalové lieky (</w:t>
      </w:r>
      <w:proofErr w:type="spellStart"/>
      <w:r w:rsidRPr="00D31CCF">
        <w:rPr>
          <w:color w:val="000000"/>
          <w:sz w:val="22"/>
          <w:szCs w:val="22"/>
        </w:rPr>
        <w:t>fenylbutazón</w:t>
      </w:r>
      <w:proofErr w:type="spellEnd"/>
      <w:r w:rsidRPr="00D31CCF">
        <w:rPr>
          <w:color w:val="000000"/>
          <w:sz w:val="22"/>
          <w:szCs w:val="22"/>
        </w:rPr>
        <w:t xml:space="preserve">, </w:t>
      </w:r>
      <w:proofErr w:type="spellStart"/>
      <w:r w:rsidRPr="00D31CCF">
        <w:rPr>
          <w:color w:val="000000"/>
          <w:sz w:val="22"/>
          <w:szCs w:val="22"/>
        </w:rPr>
        <w:t>dexametazón</w:t>
      </w:r>
      <w:proofErr w:type="spellEnd"/>
      <w:r w:rsidRPr="00D31CCF">
        <w:rPr>
          <w:color w:val="000000"/>
          <w:sz w:val="22"/>
          <w:szCs w:val="22"/>
        </w:rPr>
        <w:t xml:space="preserve">), </w:t>
      </w:r>
      <w:proofErr w:type="spellStart"/>
      <w:r w:rsidRPr="00D31CCF">
        <w:rPr>
          <w:color w:val="000000"/>
          <w:sz w:val="22"/>
          <w:szCs w:val="22"/>
        </w:rPr>
        <w:t>modafinil</w:t>
      </w:r>
      <w:proofErr w:type="spellEnd"/>
      <w:r w:rsidRPr="00D31CCF">
        <w:rPr>
          <w:color w:val="000000"/>
          <w:sz w:val="22"/>
          <w:szCs w:val="22"/>
        </w:rPr>
        <w:t xml:space="preserve">, </w:t>
      </w:r>
      <w:proofErr w:type="spellStart"/>
      <w:r w:rsidRPr="00D31CCF">
        <w:rPr>
          <w:color w:val="000000"/>
          <w:sz w:val="22"/>
          <w:szCs w:val="22"/>
        </w:rPr>
        <w:t>teofylín</w:t>
      </w:r>
      <w:proofErr w:type="spellEnd"/>
      <w:r w:rsidRPr="00D31CCF">
        <w:rPr>
          <w:color w:val="000000"/>
          <w:sz w:val="22"/>
          <w:szCs w:val="22"/>
        </w:rPr>
        <w:t>, kortikosteroidy a rastlinný prípravok s obsahom ľubovníka bodkovaného</w:t>
      </w:r>
    </w:p>
    <w:p w:rsidR="00775CA9" w:rsidRDefault="00775CA9" w:rsidP="00CD097A">
      <w:pPr>
        <w:autoSpaceDE w:val="0"/>
        <w:autoSpaceDN w:val="0"/>
        <w:adjustRightInd w:val="0"/>
        <w:rPr>
          <w:color w:val="000000"/>
          <w:sz w:val="22"/>
          <w:szCs w:val="22"/>
        </w:rPr>
      </w:pPr>
    </w:p>
    <w:p w:rsidR="00A621AE" w:rsidRPr="00CD097A" w:rsidRDefault="00A621AE" w:rsidP="00CD097A">
      <w:pPr>
        <w:autoSpaceDE w:val="0"/>
        <w:autoSpaceDN w:val="0"/>
        <w:adjustRightInd w:val="0"/>
        <w:rPr>
          <w:color w:val="000000"/>
          <w:sz w:val="22"/>
          <w:szCs w:val="22"/>
        </w:rPr>
      </w:pPr>
      <w:r w:rsidRPr="00CD097A">
        <w:rPr>
          <w:color w:val="000000"/>
          <w:sz w:val="22"/>
          <w:szCs w:val="22"/>
        </w:rPr>
        <w:t>Ak chcete užívať rastlinné lieky obsahujúce ľubovník bodkovaný súbežne s Gentilionom Daily, musíte sa najprv o tom poradiť s lekárom.</w:t>
      </w:r>
    </w:p>
    <w:p w:rsidR="00775CA9" w:rsidRDefault="00775CA9" w:rsidP="00CD097A">
      <w:pPr>
        <w:autoSpaceDE w:val="0"/>
        <w:autoSpaceDN w:val="0"/>
        <w:adjustRightInd w:val="0"/>
        <w:rPr>
          <w:color w:val="000000"/>
          <w:sz w:val="22"/>
          <w:szCs w:val="22"/>
        </w:rPr>
      </w:pPr>
    </w:p>
    <w:p w:rsidR="00A621AE" w:rsidRPr="00CD097A" w:rsidRDefault="00A621AE" w:rsidP="00CD097A">
      <w:pPr>
        <w:autoSpaceDE w:val="0"/>
        <w:autoSpaceDN w:val="0"/>
        <w:adjustRightInd w:val="0"/>
        <w:rPr>
          <w:color w:val="000000"/>
          <w:sz w:val="22"/>
          <w:szCs w:val="22"/>
        </w:rPr>
      </w:pPr>
      <w:r w:rsidRPr="00CD097A">
        <w:rPr>
          <w:color w:val="000000"/>
          <w:sz w:val="22"/>
          <w:szCs w:val="22"/>
        </w:rPr>
        <w:lastRenderedPageBreak/>
        <w:t xml:space="preserve">Gentilion Daily môže znížiť účinnosť iných liekov, napr. liekov obsahujúcich cyklosporín (liek proti infekciám), liekov na epilepsiu obsahujúcich </w:t>
      </w:r>
      <w:proofErr w:type="spellStart"/>
      <w:r w:rsidRPr="00CD097A">
        <w:rPr>
          <w:color w:val="000000"/>
          <w:sz w:val="22"/>
          <w:szCs w:val="22"/>
        </w:rPr>
        <w:t>lamotrigín</w:t>
      </w:r>
      <w:proofErr w:type="spellEnd"/>
      <w:r w:rsidRPr="00CD097A">
        <w:rPr>
          <w:color w:val="000000"/>
          <w:sz w:val="22"/>
          <w:szCs w:val="22"/>
        </w:rPr>
        <w:t xml:space="preserve"> alebo </w:t>
      </w:r>
      <w:proofErr w:type="spellStart"/>
      <w:r w:rsidRPr="00CD097A">
        <w:rPr>
          <w:color w:val="000000"/>
          <w:sz w:val="22"/>
          <w:szCs w:val="22"/>
        </w:rPr>
        <w:t>valproát</w:t>
      </w:r>
      <w:proofErr w:type="spellEnd"/>
      <w:r w:rsidRPr="00CD097A">
        <w:rPr>
          <w:color w:val="000000"/>
          <w:sz w:val="22"/>
          <w:szCs w:val="22"/>
        </w:rPr>
        <w:t xml:space="preserve"> (mohlo by to viesť ku zvýšenej frekvencii epileptických záchvatov) alebo </w:t>
      </w:r>
      <w:proofErr w:type="spellStart"/>
      <w:r w:rsidRPr="00CD097A">
        <w:rPr>
          <w:color w:val="000000"/>
          <w:sz w:val="22"/>
          <w:szCs w:val="22"/>
        </w:rPr>
        <w:t>levotyroxínu</w:t>
      </w:r>
      <w:proofErr w:type="spellEnd"/>
      <w:r w:rsidRPr="00CD097A">
        <w:rPr>
          <w:color w:val="000000"/>
          <w:sz w:val="22"/>
          <w:szCs w:val="22"/>
        </w:rPr>
        <w:t>.</w:t>
      </w:r>
    </w:p>
    <w:p w:rsidR="00775CA9" w:rsidRPr="00775CA9" w:rsidRDefault="00775CA9" w:rsidP="00775CA9">
      <w:pPr>
        <w:tabs>
          <w:tab w:val="num" w:pos="0"/>
        </w:tabs>
        <w:autoSpaceDE w:val="0"/>
        <w:autoSpaceDN w:val="0"/>
        <w:adjustRightInd w:val="0"/>
        <w:rPr>
          <w:iCs/>
          <w:color w:val="000000"/>
          <w:sz w:val="22"/>
          <w:szCs w:val="22"/>
        </w:rPr>
      </w:pPr>
    </w:p>
    <w:p w:rsidR="00775CA9" w:rsidRPr="00775CA9" w:rsidRDefault="00775CA9" w:rsidP="00775CA9">
      <w:pPr>
        <w:tabs>
          <w:tab w:val="num" w:pos="0"/>
        </w:tabs>
        <w:autoSpaceDE w:val="0"/>
        <w:autoSpaceDN w:val="0"/>
        <w:adjustRightInd w:val="0"/>
        <w:rPr>
          <w:iCs/>
          <w:color w:val="000000"/>
          <w:sz w:val="22"/>
          <w:szCs w:val="22"/>
        </w:rPr>
      </w:pPr>
      <w:r w:rsidRPr="00775CA9">
        <w:rPr>
          <w:iCs/>
          <w:color w:val="000000"/>
          <w:sz w:val="22"/>
          <w:szCs w:val="22"/>
        </w:rPr>
        <w:t xml:space="preserve">Neužívajte Gentilion Daily, ak máte hepatitídu C a užívate lieky obsahujúce </w:t>
      </w:r>
      <w:proofErr w:type="spellStart"/>
      <w:r w:rsidRPr="00775CA9">
        <w:rPr>
          <w:iCs/>
          <w:color w:val="000000"/>
          <w:sz w:val="22"/>
          <w:szCs w:val="22"/>
        </w:rPr>
        <w:t>ombitasvir</w:t>
      </w:r>
      <w:proofErr w:type="spellEnd"/>
      <w:r w:rsidRPr="00775CA9">
        <w:rPr>
          <w:iCs/>
          <w:color w:val="000000"/>
          <w:sz w:val="22"/>
          <w:szCs w:val="22"/>
        </w:rPr>
        <w:t>/</w:t>
      </w:r>
      <w:proofErr w:type="spellStart"/>
      <w:r w:rsidRPr="00775CA9">
        <w:rPr>
          <w:iCs/>
          <w:color w:val="000000"/>
          <w:sz w:val="22"/>
          <w:szCs w:val="22"/>
        </w:rPr>
        <w:t>paritaprevir</w:t>
      </w:r>
      <w:proofErr w:type="spellEnd"/>
      <w:r w:rsidRPr="00775CA9">
        <w:rPr>
          <w:iCs/>
          <w:color w:val="000000"/>
          <w:sz w:val="22"/>
          <w:szCs w:val="22"/>
        </w:rPr>
        <w:t>/</w:t>
      </w:r>
      <w:proofErr w:type="spellStart"/>
      <w:r w:rsidRPr="00775CA9">
        <w:rPr>
          <w:iCs/>
          <w:color w:val="000000"/>
          <w:sz w:val="22"/>
          <w:szCs w:val="22"/>
        </w:rPr>
        <w:t>ritonavir</w:t>
      </w:r>
      <w:proofErr w:type="spellEnd"/>
      <w:r w:rsidRPr="00775CA9">
        <w:rPr>
          <w:iCs/>
          <w:color w:val="000000"/>
          <w:sz w:val="22"/>
          <w:szCs w:val="22"/>
        </w:rPr>
        <w:t xml:space="preserve"> a </w:t>
      </w:r>
      <w:proofErr w:type="spellStart"/>
      <w:r w:rsidRPr="00775CA9">
        <w:rPr>
          <w:iCs/>
          <w:color w:val="000000"/>
          <w:sz w:val="22"/>
          <w:szCs w:val="22"/>
        </w:rPr>
        <w:t>dasabuvir</w:t>
      </w:r>
      <w:proofErr w:type="spellEnd"/>
      <w:r w:rsidRPr="00775CA9">
        <w:rPr>
          <w:iCs/>
          <w:color w:val="000000"/>
          <w:sz w:val="22"/>
          <w:szCs w:val="22"/>
        </w:rPr>
        <w:t>, pretože to môže spôsobiť zvýšenia vo výsledkoch krvných testov pečeňových funkcií (zvýšenie pečeňového enzýmu ALT). Váš lekár vám predpíše iný typ antikoncepcie pred začiatkom liečby týmito liekmi. S užívaním Gentilionu Dail</w:t>
      </w:r>
      <w:r w:rsidR="000D6F52">
        <w:rPr>
          <w:iCs/>
          <w:color w:val="000000"/>
          <w:sz w:val="22"/>
          <w:szCs w:val="22"/>
        </w:rPr>
        <w:t>y môžete opäť začať približne 2 </w:t>
      </w:r>
      <w:r w:rsidRPr="00775CA9">
        <w:rPr>
          <w:iCs/>
          <w:color w:val="000000"/>
          <w:sz w:val="22"/>
          <w:szCs w:val="22"/>
        </w:rPr>
        <w:t>týždne po ukončení tejto liečby. Pozri časť „Neužívajte Gentilion Daily“.</w:t>
      </w:r>
    </w:p>
    <w:p w:rsidR="00A621AE" w:rsidRPr="00D31CCF" w:rsidRDefault="00A621AE" w:rsidP="00D31CCF">
      <w:pPr>
        <w:autoSpaceDE w:val="0"/>
        <w:autoSpaceDN w:val="0"/>
        <w:adjustRightInd w:val="0"/>
        <w:rPr>
          <w:color w:val="000000"/>
          <w:sz w:val="22"/>
          <w:szCs w:val="22"/>
        </w:rPr>
      </w:pPr>
    </w:p>
    <w:p w:rsidR="00A621AE" w:rsidRPr="00D31CCF" w:rsidRDefault="00A621AE" w:rsidP="00D31CCF">
      <w:pPr>
        <w:autoSpaceDE w:val="0"/>
        <w:autoSpaceDN w:val="0"/>
        <w:adjustRightInd w:val="0"/>
        <w:rPr>
          <w:b/>
          <w:bCs/>
          <w:color w:val="000000"/>
          <w:sz w:val="22"/>
          <w:szCs w:val="22"/>
        </w:rPr>
      </w:pPr>
      <w:r w:rsidRPr="00D31CCF">
        <w:rPr>
          <w:b/>
          <w:bCs/>
          <w:color w:val="000000"/>
          <w:sz w:val="22"/>
          <w:szCs w:val="22"/>
        </w:rPr>
        <w:t>Laboratórne vyšetrenia</w:t>
      </w:r>
    </w:p>
    <w:p w:rsidR="00A621AE" w:rsidRPr="00D31CCF" w:rsidRDefault="00A621AE" w:rsidP="00D31CCF">
      <w:pPr>
        <w:autoSpaceDE w:val="0"/>
        <w:autoSpaceDN w:val="0"/>
        <w:adjustRightInd w:val="0"/>
        <w:rPr>
          <w:color w:val="000000"/>
          <w:sz w:val="22"/>
          <w:szCs w:val="22"/>
        </w:rPr>
      </w:pPr>
      <w:r w:rsidRPr="00D31CCF">
        <w:rPr>
          <w:color w:val="000000"/>
          <w:sz w:val="22"/>
          <w:szCs w:val="22"/>
        </w:rPr>
        <w:t>Ak idete na vyšetrenie krvi, povedzte svojmu lekárovi alebo pracovníkovi v laboratóriu, že užívate tento liek, pretože hormonálna antikoncepcia môže ovplyvňovať výsledky niektorých vyšetrení.</w:t>
      </w:r>
    </w:p>
    <w:p w:rsidR="00A621AE" w:rsidRPr="00D31CCF" w:rsidRDefault="00A621AE" w:rsidP="00D31CCF">
      <w:pPr>
        <w:autoSpaceDE w:val="0"/>
        <w:autoSpaceDN w:val="0"/>
        <w:adjustRightInd w:val="0"/>
        <w:rPr>
          <w:i/>
          <w:iCs/>
          <w:color w:val="000000"/>
          <w:sz w:val="22"/>
          <w:szCs w:val="22"/>
        </w:rPr>
      </w:pPr>
    </w:p>
    <w:p w:rsidR="00A621AE" w:rsidRPr="00D31CCF" w:rsidRDefault="00A621AE" w:rsidP="00D31CCF">
      <w:pPr>
        <w:autoSpaceDE w:val="0"/>
        <w:autoSpaceDN w:val="0"/>
        <w:adjustRightInd w:val="0"/>
        <w:rPr>
          <w:b/>
          <w:bCs/>
          <w:iCs/>
          <w:sz w:val="22"/>
          <w:szCs w:val="22"/>
        </w:rPr>
      </w:pPr>
      <w:r w:rsidRPr="00D31CCF">
        <w:rPr>
          <w:b/>
          <w:bCs/>
          <w:iCs/>
          <w:sz w:val="22"/>
          <w:szCs w:val="22"/>
        </w:rPr>
        <w:t>Tehotenstvo a dojčenie</w:t>
      </w:r>
    </w:p>
    <w:p w:rsidR="00A621AE" w:rsidRPr="00D31CCF" w:rsidRDefault="00A621AE" w:rsidP="000C3F44">
      <w:pPr>
        <w:numPr>
          <w:ilvl w:val="12"/>
          <w:numId w:val="0"/>
        </w:numPr>
        <w:ind w:right="-93"/>
        <w:rPr>
          <w:sz w:val="22"/>
          <w:szCs w:val="22"/>
        </w:rPr>
      </w:pPr>
      <w:r w:rsidRPr="00D31CCF">
        <w:rPr>
          <w:sz w:val="22"/>
          <w:szCs w:val="22"/>
        </w:rPr>
        <w:t>Ak ste tehotná alebo dojčíte, ak si myslíte, že ste tehotná alebo ak plánujete otehotnieť, poraďte sa so svojím lekárom alebo lekárnikom predtým, ako začnete užívať tento liek.</w:t>
      </w:r>
    </w:p>
    <w:p w:rsidR="00A621AE" w:rsidRPr="000C3F44" w:rsidRDefault="00A621AE" w:rsidP="000C3F44">
      <w:pPr>
        <w:numPr>
          <w:ilvl w:val="12"/>
          <w:numId w:val="0"/>
        </w:numPr>
        <w:ind w:right="-93"/>
        <w:rPr>
          <w:sz w:val="22"/>
          <w:szCs w:val="22"/>
        </w:rPr>
      </w:pPr>
    </w:p>
    <w:p w:rsidR="00A621AE" w:rsidRPr="00D31CCF" w:rsidRDefault="00A621AE" w:rsidP="000C3F44">
      <w:pPr>
        <w:numPr>
          <w:ilvl w:val="12"/>
          <w:numId w:val="0"/>
        </w:numPr>
        <w:ind w:right="-93"/>
        <w:rPr>
          <w:sz w:val="22"/>
          <w:szCs w:val="22"/>
        </w:rPr>
      </w:pPr>
      <w:r w:rsidRPr="000C3F44">
        <w:rPr>
          <w:sz w:val="22"/>
          <w:szCs w:val="22"/>
        </w:rPr>
        <w:t xml:space="preserve">Ak ste tehotná, nesmiete užívať </w:t>
      </w:r>
      <w:r>
        <w:rPr>
          <w:sz w:val="22"/>
          <w:szCs w:val="22"/>
        </w:rPr>
        <w:t xml:space="preserve">Gentilion Daily. Ak otehotniete počas užívania Gentilionu Daily, musíte ho ihneď prestať užívať a navštíviť svojho lekára. </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sz w:val="22"/>
          <w:szCs w:val="22"/>
        </w:rPr>
      </w:pPr>
      <w:r w:rsidRPr="00D31CCF">
        <w:rPr>
          <w:color w:val="000000"/>
          <w:sz w:val="22"/>
          <w:szCs w:val="22"/>
        </w:rPr>
        <w:t xml:space="preserve">Užívanie </w:t>
      </w:r>
      <w:r w:rsidRPr="00D31CCF">
        <w:rPr>
          <w:sz w:val="22"/>
          <w:szCs w:val="22"/>
        </w:rPr>
        <w:t xml:space="preserve">Gentilionu Daily </w:t>
      </w:r>
      <w:r w:rsidRPr="00D31CCF">
        <w:rPr>
          <w:color w:val="000000"/>
          <w:sz w:val="22"/>
          <w:szCs w:val="22"/>
        </w:rPr>
        <w:t>sa počas dojčenia spravidla neodporúča. Ak chcete užívať antikoncepčné tablety počas dojčenia, poraďte sa so svoj</w:t>
      </w:r>
      <w:r w:rsidRPr="000C3F44">
        <w:rPr>
          <w:color w:val="000000"/>
          <w:sz w:val="22"/>
          <w:szCs w:val="22"/>
        </w:rPr>
        <w:t>ím lekárom</w:t>
      </w:r>
      <w:r w:rsidRPr="000C3F44">
        <w:rPr>
          <w:sz w:val="22"/>
          <w:szCs w:val="22"/>
        </w:rPr>
        <w:t>.</w:t>
      </w:r>
    </w:p>
    <w:p w:rsidR="00A621AE" w:rsidRDefault="00A621AE">
      <w:pPr>
        <w:autoSpaceDE w:val="0"/>
        <w:autoSpaceDN w:val="0"/>
        <w:adjustRightInd w:val="0"/>
        <w:rPr>
          <w:b/>
          <w:color w:val="000000"/>
          <w:sz w:val="22"/>
          <w:szCs w:val="22"/>
        </w:rPr>
      </w:pPr>
    </w:p>
    <w:p w:rsidR="00A621AE" w:rsidRDefault="00A621AE">
      <w:pPr>
        <w:autoSpaceDE w:val="0"/>
        <w:autoSpaceDN w:val="0"/>
        <w:adjustRightInd w:val="0"/>
        <w:rPr>
          <w:b/>
          <w:bCs/>
          <w:color w:val="000000"/>
          <w:sz w:val="22"/>
          <w:szCs w:val="22"/>
        </w:rPr>
      </w:pPr>
      <w:r>
        <w:rPr>
          <w:b/>
          <w:bCs/>
          <w:color w:val="000000"/>
          <w:sz w:val="22"/>
          <w:szCs w:val="22"/>
        </w:rPr>
        <w:t>Vedenie vozidiel a obsluha strojov</w:t>
      </w:r>
    </w:p>
    <w:p w:rsidR="00A621AE" w:rsidRDefault="00A621AE">
      <w:pPr>
        <w:numPr>
          <w:ilvl w:val="12"/>
          <w:numId w:val="0"/>
        </w:numPr>
        <w:ind w:right="-29"/>
        <w:rPr>
          <w:noProof/>
          <w:sz w:val="22"/>
          <w:szCs w:val="22"/>
        </w:rPr>
      </w:pPr>
      <w:r>
        <w:rPr>
          <w:noProof/>
          <w:sz w:val="22"/>
          <w:szCs w:val="22"/>
        </w:rPr>
        <w:t xml:space="preserve">Nie sú známe informácie, ktoré by naznačovali, žeby užívanie Gentilionu Daily ovplyvňovalo </w:t>
      </w:r>
      <w:r w:rsidRPr="00D31CCF">
        <w:rPr>
          <w:noProof/>
          <w:sz w:val="22"/>
          <w:szCs w:val="22"/>
        </w:rPr>
        <w:t>vedenie vozidiel alebo obsluhu strojov.</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color w:val="000000"/>
          <w:sz w:val="22"/>
          <w:szCs w:val="22"/>
        </w:rPr>
      </w:pPr>
      <w:r>
        <w:rPr>
          <w:b/>
          <w:color w:val="000000"/>
          <w:sz w:val="22"/>
          <w:szCs w:val="22"/>
        </w:rPr>
        <w:t>Gentilion Daily obsahuje laktózu (mliečny cukor).</w:t>
      </w:r>
    </w:p>
    <w:p w:rsidR="00A621AE" w:rsidRPr="00D31CCF" w:rsidRDefault="00A621AE" w:rsidP="00D31CCF">
      <w:pPr>
        <w:autoSpaceDE w:val="0"/>
        <w:autoSpaceDN w:val="0"/>
        <w:adjustRightInd w:val="0"/>
        <w:rPr>
          <w:color w:val="000000"/>
          <w:sz w:val="22"/>
          <w:szCs w:val="22"/>
        </w:rPr>
      </w:pPr>
      <w:r>
        <w:rPr>
          <w:sz w:val="22"/>
          <w:szCs w:val="22"/>
        </w:rPr>
        <w:t xml:space="preserve">Ak vám </w:t>
      </w:r>
      <w:r w:rsidR="00B16C2E">
        <w:rPr>
          <w:sz w:val="22"/>
          <w:szCs w:val="22"/>
        </w:rPr>
        <w:t xml:space="preserve">váš </w:t>
      </w:r>
      <w:r>
        <w:rPr>
          <w:sz w:val="22"/>
          <w:szCs w:val="22"/>
        </w:rPr>
        <w:t>lekár povedal, že neznášate niektoré cukry</w:t>
      </w:r>
      <w:r w:rsidRPr="00D31CCF">
        <w:rPr>
          <w:sz w:val="22"/>
          <w:szCs w:val="22"/>
        </w:rPr>
        <w:t>, kontaktujte svojho lekára pred užitím tohto lieku.</w:t>
      </w:r>
    </w:p>
    <w:p w:rsidR="00A621AE" w:rsidRPr="000C3F44" w:rsidRDefault="00A621AE" w:rsidP="000C3F44">
      <w:pPr>
        <w:autoSpaceDE w:val="0"/>
        <w:autoSpaceDN w:val="0"/>
        <w:adjustRightInd w:val="0"/>
        <w:rPr>
          <w:color w:val="000000"/>
          <w:sz w:val="22"/>
          <w:szCs w:val="22"/>
        </w:rPr>
      </w:pPr>
    </w:p>
    <w:p w:rsidR="00A621AE" w:rsidRPr="000C3F44" w:rsidRDefault="00A621AE" w:rsidP="000C3F44">
      <w:pPr>
        <w:autoSpaceDE w:val="0"/>
        <w:autoSpaceDN w:val="0"/>
        <w:adjustRightInd w:val="0"/>
        <w:rPr>
          <w:color w:val="000000"/>
          <w:sz w:val="22"/>
          <w:szCs w:val="22"/>
        </w:rPr>
      </w:pPr>
    </w:p>
    <w:p w:rsidR="00A621AE" w:rsidRDefault="00A621AE">
      <w:pPr>
        <w:tabs>
          <w:tab w:val="left" w:pos="567"/>
        </w:tabs>
        <w:autoSpaceDE w:val="0"/>
        <w:autoSpaceDN w:val="0"/>
        <w:adjustRightInd w:val="0"/>
        <w:rPr>
          <w:b/>
          <w:color w:val="000000"/>
          <w:sz w:val="22"/>
          <w:szCs w:val="22"/>
        </w:rPr>
      </w:pPr>
      <w:r w:rsidRPr="000C3F44">
        <w:rPr>
          <w:b/>
          <w:color w:val="000000"/>
          <w:sz w:val="22"/>
          <w:szCs w:val="22"/>
        </w:rPr>
        <w:t>3.</w:t>
      </w:r>
      <w:r>
        <w:rPr>
          <w:b/>
          <w:color w:val="000000"/>
          <w:sz w:val="22"/>
          <w:szCs w:val="22"/>
        </w:rPr>
        <w:tab/>
        <w:t>Ako užívať Gentilion Daily</w:t>
      </w:r>
    </w:p>
    <w:p w:rsidR="00A621AE" w:rsidRPr="00D31CCF" w:rsidRDefault="00A621AE" w:rsidP="00D31CCF">
      <w:pPr>
        <w:autoSpaceDE w:val="0"/>
        <w:autoSpaceDN w:val="0"/>
        <w:adjustRightInd w:val="0"/>
        <w:rPr>
          <w:color w:val="000000"/>
          <w:sz w:val="22"/>
          <w:szCs w:val="22"/>
        </w:rPr>
      </w:pPr>
    </w:p>
    <w:p w:rsidR="00A621AE" w:rsidRPr="00D31CCF" w:rsidRDefault="00A621AE" w:rsidP="000C3F44">
      <w:pPr>
        <w:autoSpaceDE w:val="0"/>
        <w:autoSpaceDN w:val="0"/>
        <w:adjustRightInd w:val="0"/>
        <w:rPr>
          <w:color w:val="000000"/>
          <w:sz w:val="22"/>
          <w:szCs w:val="22"/>
        </w:rPr>
      </w:pPr>
      <w:r>
        <w:rPr>
          <w:color w:val="000000"/>
          <w:sz w:val="22"/>
          <w:szCs w:val="22"/>
        </w:rPr>
        <w:t>Vždy užívajte tento liek presne tak, ako vám povedal váš lekár alebo lekárnik. Ak si nie ste niečím istá, overte si to u svojho lekára alebo lekárnika.</w:t>
      </w:r>
    </w:p>
    <w:p w:rsidR="00A621AE" w:rsidRPr="00D31CCF" w:rsidRDefault="00A621AE" w:rsidP="000C3F44">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Každý blister obsahuje 21bielych aktívnych tabliet (obsahujú účinnú látku) a 7zelených placebo tabliet (neobsahujú účinnú látku).</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Obe rôzne zafarbené tablety Gentilionu Daily sú zoradené podľa poradia. Blister obsahuje 28 tabliet.</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Každý deň užite jednu tabletu Gentilionu Daily, v prípade potreby zapite malým množstvom vody. Tablety môžete užívať s jedlom alebo bez jedla, tablety však musíte užívať každý deň v približne rovnakom čase.</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b/>
          <w:bCs/>
          <w:color w:val="000000"/>
          <w:sz w:val="22"/>
          <w:szCs w:val="22"/>
        </w:rPr>
        <w:t xml:space="preserve">Nepomýľte si tablety: </w:t>
      </w:r>
      <w:r>
        <w:rPr>
          <w:color w:val="000000"/>
          <w:sz w:val="22"/>
          <w:szCs w:val="22"/>
        </w:rPr>
        <w:t>biele tablety užívajte počas prvých 21 dní a zelené tablety následne zvyšných7 </w:t>
      </w:r>
      <w:r w:rsidRPr="00D31CCF">
        <w:rPr>
          <w:color w:val="000000"/>
          <w:sz w:val="22"/>
          <w:szCs w:val="22"/>
        </w:rPr>
        <w:t>dn</w:t>
      </w:r>
      <w:r w:rsidRPr="000C3F44">
        <w:rPr>
          <w:color w:val="000000"/>
          <w:sz w:val="22"/>
          <w:szCs w:val="22"/>
        </w:rPr>
        <w:t>í. Vzápätí nato musíte začať s novým blistrom (2</w:t>
      </w:r>
      <w:r>
        <w:rPr>
          <w:color w:val="000000"/>
          <w:sz w:val="22"/>
          <w:szCs w:val="22"/>
        </w:rPr>
        <w:t>1 bielych a potom 7zelených tabliet). Medzi jednotlivými blistrami teda nie je žiadna prestávka.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Vzhľadom na odlišné zloženie tabliet je nevyhnutné začať s prvou tabletou v ľavom hornom rohu a potom používať tablety každý deň. Na dodržanie správneho poradia postupujte podľa smeru šípok na blistri.</w:t>
      </w:r>
    </w:p>
    <w:p w:rsidR="00A621AE" w:rsidRDefault="00A621AE">
      <w:pPr>
        <w:autoSpaceDE w:val="0"/>
        <w:autoSpaceDN w:val="0"/>
        <w:adjustRightInd w:val="0"/>
        <w:rPr>
          <w:color w:val="000000"/>
          <w:sz w:val="22"/>
          <w:szCs w:val="22"/>
        </w:rPr>
      </w:pPr>
    </w:p>
    <w:p w:rsidR="00A621AE" w:rsidRDefault="00A621AE">
      <w:pPr>
        <w:pStyle w:val="Heading1"/>
      </w:pPr>
      <w:r w:rsidRPr="00883334">
        <w:lastRenderedPageBreak/>
        <w:t>Príprava blistra</w:t>
      </w:r>
    </w:p>
    <w:p w:rsidR="00A621AE" w:rsidRDefault="00A621AE">
      <w:pPr>
        <w:pStyle w:val="BodyText"/>
      </w:pPr>
      <w:r w:rsidRPr="00883334">
        <w:t>Udržať prehľad vám pomôže 7 nálepiek, každá so 7 dňami týždňa pre každý blister Gentilionu Daily. Vyberte týždňovú nálepku, ktorá sa začína dňom, keď začínate užívať tablety. Ak napr. začínate v</w:t>
      </w:r>
      <w:r w:rsidRPr="00CB43B2">
        <w:t> </w:t>
      </w:r>
      <w:r w:rsidRPr="00883334">
        <w:t>stredu, použite nálepku, ktorá sa začína so „ST“.</w:t>
      </w:r>
    </w:p>
    <w:p w:rsidR="00A621AE" w:rsidRDefault="00A621AE">
      <w:pPr>
        <w:pStyle w:val="BodyText"/>
      </w:pPr>
    </w:p>
    <w:p w:rsidR="00A621AE" w:rsidRDefault="00A621AE">
      <w:pPr>
        <w:autoSpaceDE w:val="0"/>
        <w:autoSpaceDN w:val="0"/>
        <w:adjustRightInd w:val="0"/>
        <w:rPr>
          <w:color w:val="000000"/>
          <w:sz w:val="22"/>
          <w:szCs w:val="22"/>
        </w:rPr>
      </w:pPr>
      <w:r>
        <w:rPr>
          <w:color w:val="000000"/>
          <w:sz w:val="22"/>
          <w:szCs w:val="22"/>
        </w:rPr>
        <w:t>Týždňovú nálepku nalepte na horný okraj blistra Gentilionu Daily, kde je napísané „</w:t>
      </w:r>
      <w:r w:rsidRPr="00CB43B2">
        <w:rPr>
          <w:color w:val="000000"/>
          <w:sz w:val="22"/>
          <w:szCs w:val="22"/>
        </w:rPr>
        <w:t>Sem umiestnite nálepku</w:t>
      </w:r>
      <w:r>
        <w:rPr>
          <w:color w:val="000000"/>
          <w:sz w:val="22"/>
          <w:szCs w:val="22"/>
        </w:rPr>
        <w:t>“ tak, že prvý deň je nad prvou bielou tabletou v ľavom hornom rohu blistra.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Teraz je nad každou tabletou označený deň, takže môžete sledovať, či ste užili konkrétnu tabletu. Šípky vám označujú smer, v ktorom sa musia užívať tablety.</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Počas 7 dní, keď užívate zelené placebo tablety (dni s placebom), má začať krvácanie (tzv. krvácanie z vysadenia). Zvyčajne začína na 2. alebo 3. deň po poslednej bielej aktívnej tablete Gentilionu Daily. Len čo ste užili poslednú zelenú tabletu, musíte začať s nasledujúcim blistrom bez ohľadu na to, či krvácanie skončilo, alebo nie. Znamená to, že s každým blistrom musíte začať v rovnaký deň týždňa a krvácanie z vysadenia sa má objaviť v rovnaké dni každý mesiac.</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Pokiaľ budete užívať Gentilion Daily týmto spôsobom, ste chránená proti otehotneniu aj počas 7 dní, keď užívate tablety s placebom.</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b/>
          <w:bCs/>
          <w:color w:val="000000"/>
          <w:sz w:val="22"/>
          <w:szCs w:val="22"/>
        </w:rPr>
      </w:pPr>
      <w:r>
        <w:rPr>
          <w:b/>
          <w:bCs/>
          <w:color w:val="000000"/>
          <w:sz w:val="22"/>
          <w:szCs w:val="22"/>
        </w:rPr>
        <w:t>Kedy môžete začať s prvým blistrom?</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ind w:left="180" w:hanging="180"/>
        <w:rPr>
          <w:color w:val="000000"/>
          <w:sz w:val="22"/>
          <w:szCs w:val="22"/>
        </w:rPr>
      </w:pPr>
      <w:r>
        <w:rPr>
          <w:b/>
          <w:color w:val="000000"/>
          <w:sz w:val="22"/>
          <w:szCs w:val="22"/>
        </w:rPr>
        <w:t xml:space="preserve">• </w:t>
      </w:r>
      <w:r>
        <w:rPr>
          <w:b/>
          <w:color w:val="000000"/>
          <w:sz w:val="22"/>
          <w:szCs w:val="22"/>
        </w:rPr>
        <w:tab/>
      </w:r>
      <w:r>
        <w:rPr>
          <w:b/>
          <w:iCs/>
          <w:color w:val="000000"/>
          <w:sz w:val="22"/>
          <w:szCs w:val="22"/>
        </w:rPr>
        <w:t xml:space="preserve">Ak ste v predošlom mesiaci neužívali hormonálnu antikoncepciu. </w:t>
      </w:r>
      <w:r>
        <w:rPr>
          <w:color w:val="000000"/>
          <w:sz w:val="22"/>
          <w:szCs w:val="22"/>
        </w:rPr>
        <w:t>Začnite s Gentilionom Daily v prvý deň cyklu (to je prvý deň vášho krvácania). Začatím užívania Gentilionu Daily v prvý deň vášho cyklu ste okamžite chránená pred otehotnením. Môžete tiež začať na 2. –5. deň cyklu, vtedy však musíte počas prvých 7 dní použiť ďalšie antikoncepčné opatrenia (napríklad prezervatív).</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ind w:left="180" w:hanging="180"/>
        <w:rPr>
          <w:color w:val="000000"/>
          <w:sz w:val="22"/>
          <w:szCs w:val="22"/>
        </w:rPr>
      </w:pPr>
      <w:r>
        <w:rPr>
          <w:b/>
          <w:color w:val="000000"/>
          <w:sz w:val="22"/>
          <w:szCs w:val="22"/>
        </w:rPr>
        <w:t xml:space="preserve">• </w:t>
      </w:r>
      <w:r>
        <w:rPr>
          <w:b/>
          <w:color w:val="000000"/>
          <w:sz w:val="22"/>
          <w:szCs w:val="22"/>
        </w:rPr>
        <w:tab/>
        <w:t xml:space="preserve">Prechod z iných kombinovaných antikoncepčných tabliet alebo kombinovaného antikoncepčného </w:t>
      </w:r>
      <w:r>
        <w:rPr>
          <w:b/>
          <w:sz w:val="22"/>
          <w:szCs w:val="22"/>
        </w:rPr>
        <w:t xml:space="preserve">vaginálneho krúžku alebo náplasti. </w:t>
      </w:r>
      <w:r>
        <w:rPr>
          <w:sz w:val="22"/>
          <w:szCs w:val="22"/>
        </w:rPr>
        <w:t>Môžete začať užívať Gentilion Daily v deň, ktorý nasleduje po období bez tabliet vašich predchádzajúcich antikoncepčných tabliet (alebo po užití poslednej neúčinnej tablety vašich predchádzajúcich antikoncepčných tabliet). Keď prechádzate z kombinovaného antikoncepčného</w:t>
      </w:r>
      <w:r>
        <w:rPr>
          <w:color w:val="000000"/>
          <w:sz w:val="22"/>
          <w:szCs w:val="22"/>
        </w:rPr>
        <w:t xml:space="preserve"> vaginálneho krúžku alebo náplasti, postupujte podľa pokynov svojho lekára.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ind w:left="180" w:hanging="180"/>
        <w:rPr>
          <w:color w:val="000000"/>
          <w:sz w:val="22"/>
          <w:szCs w:val="22"/>
        </w:rPr>
      </w:pPr>
      <w:r>
        <w:rPr>
          <w:b/>
          <w:color w:val="000000"/>
          <w:sz w:val="22"/>
          <w:szCs w:val="22"/>
        </w:rPr>
        <w:t xml:space="preserve">• </w:t>
      </w:r>
      <w:r>
        <w:rPr>
          <w:b/>
          <w:color w:val="000000"/>
          <w:sz w:val="22"/>
          <w:szCs w:val="22"/>
        </w:rPr>
        <w:tab/>
        <w:t xml:space="preserve">Prechod z antikoncepcie obsahujúcej len gestagén (antikoncepčné tablety iba s </w:t>
      </w:r>
      <w:proofErr w:type="spellStart"/>
      <w:r>
        <w:rPr>
          <w:b/>
          <w:color w:val="000000"/>
          <w:sz w:val="22"/>
          <w:szCs w:val="22"/>
        </w:rPr>
        <w:t>gestagénom</w:t>
      </w:r>
      <w:proofErr w:type="spellEnd"/>
      <w:r>
        <w:rPr>
          <w:b/>
          <w:color w:val="000000"/>
          <w:sz w:val="22"/>
          <w:szCs w:val="22"/>
        </w:rPr>
        <w:t xml:space="preserve">, injekcia, implantát alebo vnútromaternicové teliesko uvoľňujúce iba gestagén). </w:t>
      </w:r>
      <w:r>
        <w:rPr>
          <w:color w:val="000000"/>
          <w:sz w:val="22"/>
          <w:szCs w:val="22"/>
        </w:rPr>
        <w:t>Z užívania antikoncepčných tabliet obsahujúcich len gestagén môžete prejsť v ktorýkoľvek deň (z implantátu alebo vnútromaternicového telieska v deň jeho vyňatia, z injekcie v deň, keď má byť podaná ďalšia injekcia).Vo všetkých prípadoch však musíte počas prvých 7 dní užívania tabliet používať aj ďalšie antikoncepčné opatrenia (napríklad prezervatív).</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ind w:left="180" w:hanging="180"/>
        <w:rPr>
          <w:color w:val="000000"/>
          <w:sz w:val="22"/>
          <w:szCs w:val="22"/>
        </w:rPr>
      </w:pPr>
      <w:r>
        <w:rPr>
          <w:b/>
          <w:color w:val="000000"/>
          <w:sz w:val="22"/>
          <w:szCs w:val="22"/>
        </w:rPr>
        <w:t xml:space="preserve">• </w:t>
      </w:r>
      <w:r>
        <w:rPr>
          <w:b/>
          <w:color w:val="000000"/>
          <w:sz w:val="22"/>
          <w:szCs w:val="22"/>
        </w:rPr>
        <w:tab/>
        <w:t xml:space="preserve">Po potrate. </w:t>
      </w:r>
      <w:r>
        <w:rPr>
          <w:color w:val="000000"/>
          <w:sz w:val="22"/>
          <w:szCs w:val="22"/>
        </w:rPr>
        <w:t>Postupujte podľa pokynov svojho lekára.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ind w:left="180" w:hanging="180"/>
        <w:rPr>
          <w:color w:val="000000"/>
          <w:sz w:val="22"/>
          <w:szCs w:val="22"/>
        </w:rPr>
      </w:pPr>
      <w:r>
        <w:rPr>
          <w:b/>
          <w:color w:val="000000"/>
          <w:sz w:val="22"/>
          <w:szCs w:val="22"/>
        </w:rPr>
        <w:t xml:space="preserve">• </w:t>
      </w:r>
      <w:r>
        <w:rPr>
          <w:b/>
          <w:color w:val="000000"/>
          <w:sz w:val="22"/>
          <w:szCs w:val="22"/>
        </w:rPr>
        <w:tab/>
        <w:t xml:space="preserve">Po pôrode. </w:t>
      </w:r>
      <w:r>
        <w:rPr>
          <w:color w:val="000000"/>
          <w:sz w:val="22"/>
          <w:szCs w:val="22"/>
        </w:rPr>
        <w:t>Gentilion Daily môžete začať užívať medzi 21. až 28. dňom po pôrode. Ak začnete s užívaním neskôr ako na 28. deň, musíte počas prvých 7 dní užívania Gentilionu Daily použiť takzvanú bariérovú antikoncepciu(napríklad prezervatív).</w:t>
      </w:r>
    </w:p>
    <w:p w:rsidR="00A621AE" w:rsidRDefault="00A621AE">
      <w:pPr>
        <w:autoSpaceDE w:val="0"/>
        <w:autoSpaceDN w:val="0"/>
        <w:adjustRightInd w:val="0"/>
        <w:ind w:left="180" w:hanging="180"/>
        <w:rPr>
          <w:color w:val="000000"/>
          <w:sz w:val="22"/>
          <w:szCs w:val="22"/>
        </w:rPr>
      </w:pPr>
    </w:p>
    <w:p w:rsidR="00A621AE" w:rsidRDefault="00A621AE">
      <w:pPr>
        <w:autoSpaceDE w:val="0"/>
        <w:autoSpaceDN w:val="0"/>
        <w:adjustRightInd w:val="0"/>
        <w:ind w:left="180" w:hanging="180"/>
        <w:rPr>
          <w:color w:val="000000"/>
          <w:sz w:val="22"/>
          <w:szCs w:val="22"/>
        </w:rPr>
      </w:pPr>
      <w:r>
        <w:rPr>
          <w:color w:val="000000"/>
          <w:sz w:val="22"/>
          <w:szCs w:val="22"/>
        </w:rPr>
        <w:tab/>
        <w:t>Ak ste po pôrode mali pohlavný styk skôr, ako ste začali (znovu začali) užívať Gentilion Daily, musíte sa najskôr ubezpečiť, či nie ste tehotná alebo musíte počkať do nasledujúceho menštruačného krvácania.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b/>
          <w:color w:val="000000"/>
          <w:sz w:val="22"/>
          <w:szCs w:val="22"/>
        </w:rPr>
      </w:pPr>
      <w:r>
        <w:rPr>
          <w:b/>
          <w:color w:val="000000"/>
          <w:sz w:val="22"/>
          <w:szCs w:val="22"/>
        </w:rPr>
        <w:t>Ak si nie ste istá, kedy máte začať užívať Gentilion Daily, opýtajte sa svojho lekára.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ind w:left="180" w:hanging="180"/>
        <w:rPr>
          <w:sz w:val="22"/>
          <w:szCs w:val="22"/>
        </w:rPr>
      </w:pPr>
      <w:r>
        <w:rPr>
          <w:b/>
          <w:color w:val="000000"/>
          <w:sz w:val="22"/>
          <w:szCs w:val="22"/>
        </w:rPr>
        <w:t xml:space="preserve">• </w:t>
      </w:r>
      <w:r>
        <w:rPr>
          <w:b/>
          <w:color w:val="000000"/>
          <w:sz w:val="22"/>
          <w:szCs w:val="22"/>
        </w:rPr>
        <w:tab/>
        <w:t xml:space="preserve">Ak dojčíte a chcete začať užívať Gentilion Daily (znovu užívať) po pôrode. </w:t>
      </w:r>
      <w:r>
        <w:rPr>
          <w:color w:val="000000"/>
          <w:sz w:val="22"/>
          <w:szCs w:val="22"/>
        </w:rPr>
        <w:t xml:space="preserve">Gentilion Daily sa nemá užívať počas dojčenia. </w:t>
      </w:r>
      <w:r>
        <w:rPr>
          <w:sz w:val="22"/>
          <w:szCs w:val="22"/>
        </w:rPr>
        <w:t>Prečítajte si časť 2. „Tehotenstvo a dojčenie“.</w:t>
      </w:r>
    </w:p>
    <w:p w:rsidR="00A621AE" w:rsidRDefault="00A621AE">
      <w:pPr>
        <w:autoSpaceDE w:val="0"/>
        <w:autoSpaceDN w:val="0"/>
        <w:adjustRightInd w:val="0"/>
        <w:rPr>
          <w:color w:val="000000"/>
          <w:sz w:val="22"/>
          <w:szCs w:val="22"/>
          <w:u w:val="single"/>
        </w:rPr>
      </w:pPr>
    </w:p>
    <w:p w:rsidR="00A621AE" w:rsidRDefault="00A621AE">
      <w:pPr>
        <w:autoSpaceDE w:val="0"/>
        <w:autoSpaceDN w:val="0"/>
        <w:adjustRightInd w:val="0"/>
        <w:rPr>
          <w:b/>
          <w:bCs/>
          <w:color w:val="000000"/>
          <w:sz w:val="22"/>
          <w:szCs w:val="22"/>
        </w:rPr>
      </w:pPr>
      <w:r>
        <w:rPr>
          <w:b/>
          <w:bCs/>
          <w:color w:val="000000"/>
          <w:sz w:val="22"/>
          <w:szCs w:val="22"/>
        </w:rPr>
        <w:t>Ak užijete viac Gentilionu Daily, ako máte</w:t>
      </w:r>
    </w:p>
    <w:p w:rsidR="00A621AE" w:rsidRDefault="00A621AE">
      <w:pPr>
        <w:autoSpaceDE w:val="0"/>
        <w:autoSpaceDN w:val="0"/>
        <w:adjustRightInd w:val="0"/>
        <w:rPr>
          <w:color w:val="000000"/>
          <w:sz w:val="22"/>
          <w:szCs w:val="22"/>
        </w:rPr>
      </w:pPr>
      <w:r>
        <w:rPr>
          <w:color w:val="000000"/>
          <w:sz w:val="22"/>
          <w:szCs w:val="22"/>
        </w:rPr>
        <w:t>Prípady závažných škodlivých vplyvov po užití nadmerného množstva tabliet Gentilionu Daily sa nehlásili.</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 xml:space="preserve">Ak ste užili viacero tabliet naraz, môžu sa u vás objaviť nevoľnosť, závrat, bolesť brucha, ospalosť/únava alebo vracanie. U mladých dievčat môže dôjsť ku krvácaniu z pošvy. </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Pr>
          <w:color w:val="000000"/>
          <w:sz w:val="22"/>
          <w:szCs w:val="22"/>
        </w:rPr>
        <w:t>Ak ste zistili, že ste užili viacero tabliet Gentilionu Daily, alebo niekoľko tabliet užilo dieťa, poraďte sa so svojím lekárom alebo lekárnikom.</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bCs/>
          <w:color w:val="000000"/>
          <w:sz w:val="22"/>
          <w:szCs w:val="22"/>
        </w:rPr>
      </w:pPr>
      <w:r>
        <w:rPr>
          <w:b/>
          <w:bCs/>
          <w:color w:val="000000"/>
          <w:sz w:val="22"/>
          <w:szCs w:val="22"/>
        </w:rPr>
        <w:t>Ak zabudnete užiť Gentilion Daily</w:t>
      </w:r>
    </w:p>
    <w:p w:rsidR="00A621AE" w:rsidRDefault="00A621AE" w:rsidP="00883334">
      <w:pPr>
        <w:numPr>
          <w:ilvl w:val="2"/>
          <w:numId w:val="15"/>
        </w:numPr>
        <w:autoSpaceDE w:val="0"/>
        <w:autoSpaceDN w:val="0"/>
        <w:adjustRightInd w:val="0"/>
        <w:ind w:left="567" w:hanging="567"/>
        <w:rPr>
          <w:color w:val="000000"/>
          <w:sz w:val="22"/>
          <w:szCs w:val="22"/>
        </w:rPr>
      </w:pPr>
      <w:r>
        <w:rPr>
          <w:color w:val="000000"/>
          <w:sz w:val="22"/>
          <w:szCs w:val="22"/>
        </w:rPr>
        <w:t xml:space="preserve">Ak ste sa oneskorili s užitím tablety o </w:t>
      </w:r>
      <w:r>
        <w:rPr>
          <w:b/>
          <w:bCs/>
          <w:color w:val="000000"/>
          <w:sz w:val="22"/>
          <w:szCs w:val="22"/>
        </w:rPr>
        <w:t xml:space="preserve">menej ako 12hodín, </w:t>
      </w:r>
      <w:r>
        <w:rPr>
          <w:color w:val="000000"/>
          <w:sz w:val="22"/>
          <w:szCs w:val="22"/>
        </w:rPr>
        <w:t>ochrana pred otehotnením nie je znížená. Užite tabletu hneď ako si spomeniete a ďalšie tablety užite opäť vo zvyčajnom čase.</w:t>
      </w:r>
    </w:p>
    <w:p w:rsidR="00A621AE" w:rsidRDefault="00A621AE" w:rsidP="00883334">
      <w:pPr>
        <w:autoSpaceDE w:val="0"/>
        <w:autoSpaceDN w:val="0"/>
        <w:adjustRightInd w:val="0"/>
        <w:ind w:left="567" w:hanging="567"/>
        <w:rPr>
          <w:color w:val="000000"/>
          <w:sz w:val="22"/>
          <w:szCs w:val="22"/>
        </w:rPr>
      </w:pPr>
    </w:p>
    <w:p w:rsidR="00A621AE" w:rsidRDefault="00A621AE" w:rsidP="00883334">
      <w:pPr>
        <w:numPr>
          <w:ilvl w:val="2"/>
          <w:numId w:val="15"/>
        </w:numPr>
        <w:autoSpaceDE w:val="0"/>
        <w:autoSpaceDN w:val="0"/>
        <w:adjustRightInd w:val="0"/>
        <w:ind w:left="567" w:hanging="567"/>
        <w:rPr>
          <w:color w:val="000000"/>
          <w:sz w:val="22"/>
          <w:szCs w:val="22"/>
        </w:rPr>
      </w:pPr>
      <w:r>
        <w:rPr>
          <w:color w:val="000000"/>
          <w:sz w:val="22"/>
          <w:szCs w:val="22"/>
        </w:rPr>
        <w:t xml:space="preserve">Ak ste sa oneskorili s užitím tablety o </w:t>
      </w:r>
      <w:r>
        <w:rPr>
          <w:b/>
          <w:bCs/>
          <w:color w:val="000000"/>
          <w:sz w:val="22"/>
          <w:szCs w:val="22"/>
        </w:rPr>
        <w:t>viac ako 12hodín</w:t>
      </w:r>
      <w:r>
        <w:rPr>
          <w:color w:val="000000"/>
          <w:sz w:val="22"/>
          <w:szCs w:val="22"/>
        </w:rPr>
        <w:t>, ochrana pred otehotnením môže byť znížená. Čím väčší je počet tabliet, ktoré ste zabudli užiť, tým väčšie je riziko otehotnenia.</w:t>
      </w:r>
    </w:p>
    <w:p w:rsidR="00A621AE" w:rsidRDefault="00A621AE" w:rsidP="00883334">
      <w:pPr>
        <w:autoSpaceDE w:val="0"/>
        <w:autoSpaceDN w:val="0"/>
        <w:adjustRightInd w:val="0"/>
        <w:rPr>
          <w:color w:val="000000"/>
          <w:sz w:val="22"/>
          <w:szCs w:val="22"/>
        </w:rPr>
      </w:pPr>
    </w:p>
    <w:p w:rsidR="00A621AE" w:rsidRPr="00D31CCF" w:rsidRDefault="00A621AE" w:rsidP="00D31CCF">
      <w:pPr>
        <w:autoSpaceDE w:val="0"/>
        <w:autoSpaceDN w:val="0"/>
        <w:adjustRightInd w:val="0"/>
        <w:rPr>
          <w:color w:val="000000"/>
          <w:sz w:val="22"/>
          <w:szCs w:val="22"/>
        </w:rPr>
      </w:pPr>
      <w:r>
        <w:rPr>
          <w:color w:val="000000"/>
          <w:sz w:val="22"/>
          <w:szCs w:val="22"/>
        </w:rPr>
        <w:t>Riziko nedostatočnej ochrany pred otehotnením je najvyššie, ak ste zabudli užiť tabletu na začiatku alebo na konci blistra. Z tohto dôvodu musíte dodržiavať nasledovné pravidlá (pozri aj obrázok nižšie):</w:t>
      </w:r>
    </w:p>
    <w:p w:rsidR="00A621AE" w:rsidRPr="00D31CCF" w:rsidRDefault="00A621AE" w:rsidP="000C3F44">
      <w:pPr>
        <w:autoSpaceDE w:val="0"/>
        <w:autoSpaceDN w:val="0"/>
        <w:adjustRightInd w:val="0"/>
        <w:rPr>
          <w:color w:val="000000"/>
          <w:sz w:val="22"/>
          <w:szCs w:val="22"/>
        </w:rPr>
      </w:pPr>
    </w:p>
    <w:p w:rsidR="00A621AE" w:rsidRPr="00D31CCF" w:rsidRDefault="00A621AE" w:rsidP="000C3F44">
      <w:pPr>
        <w:tabs>
          <w:tab w:val="left" w:pos="284"/>
        </w:tabs>
        <w:autoSpaceDE w:val="0"/>
        <w:autoSpaceDN w:val="0"/>
        <w:adjustRightInd w:val="0"/>
        <w:rPr>
          <w:b/>
          <w:bCs/>
          <w:color w:val="000000"/>
          <w:sz w:val="22"/>
          <w:szCs w:val="22"/>
        </w:rPr>
      </w:pPr>
      <w:r>
        <w:rPr>
          <w:color w:val="000000"/>
          <w:sz w:val="22"/>
          <w:szCs w:val="22"/>
        </w:rPr>
        <w:t xml:space="preserve">• </w:t>
      </w:r>
      <w:r>
        <w:rPr>
          <w:color w:val="000000"/>
          <w:sz w:val="22"/>
          <w:szCs w:val="22"/>
        </w:rPr>
        <w:tab/>
      </w:r>
      <w:r>
        <w:rPr>
          <w:b/>
          <w:bCs/>
          <w:color w:val="000000"/>
          <w:sz w:val="22"/>
          <w:szCs w:val="22"/>
        </w:rPr>
        <w:t>Viac ako jedna vynechaná tableta v tomto blistri</w:t>
      </w:r>
    </w:p>
    <w:p w:rsidR="00A621AE" w:rsidRDefault="00A621AE">
      <w:pPr>
        <w:tabs>
          <w:tab w:val="left" w:pos="284"/>
        </w:tabs>
        <w:autoSpaceDE w:val="0"/>
        <w:autoSpaceDN w:val="0"/>
        <w:adjustRightInd w:val="0"/>
        <w:rPr>
          <w:color w:val="000000"/>
          <w:sz w:val="22"/>
          <w:szCs w:val="22"/>
        </w:rPr>
      </w:pPr>
      <w:r>
        <w:rPr>
          <w:color w:val="000000"/>
          <w:sz w:val="22"/>
          <w:szCs w:val="22"/>
        </w:rPr>
        <w:tab/>
        <w:t>Obráťte sa na svojho lekára.</w:t>
      </w:r>
    </w:p>
    <w:p w:rsidR="00A621AE" w:rsidRDefault="00A621AE">
      <w:pPr>
        <w:tabs>
          <w:tab w:val="left" w:pos="284"/>
        </w:tabs>
        <w:autoSpaceDE w:val="0"/>
        <w:autoSpaceDN w:val="0"/>
        <w:adjustRightInd w:val="0"/>
        <w:rPr>
          <w:color w:val="000000"/>
          <w:sz w:val="22"/>
          <w:szCs w:val="22"/>
        </w:rPr>
      </w:pPr>
    </w:p>
    <w:p w:rsidR="00A621AE" w:rsidRDefault="00A621AE">
      <w:pPr>
        <w:tabs>
          <w:tab w:val="left" w:pos="284"/>
        </w:tabs>
        <w:autoSpaceDE w:val="0"/>
        <w:autoSpaceDN w:val="0"/>
        <w:adjustRightInd w:val="0"/>
        <w:rPr>
          <w:b/>
          <w:bCs/>
          <w:color w:val="000000"/>
          <w:sz w:val="22"/>
          <w:szCs w:val="22"/>
        </w:rPr>
      </w:pPr>
      <w:r>
        <w:rPr>
          <w:color w:val="000000"/>
          <w:sz w:val="22"/>
          <w:szCs w:val="22"/>
        </w:rPr>
        <w:t xml:space="preserve">• </w:t>
      </w:r>
      <w:r>
        <w:rPr>
          <w:color w:val="000000"/>
          <w:sz w:val="22"/>
          <w:szCs w:val="22"/>
        </w:rPr>
        <w:tab/>
      </w:r>
      <w:r>
        <w:rPr>
          <w:b/>
          <w:bCs/>
          <w:color w:val="000000"/>
          <w:sz w:val="22"/>
          <w:szCs w:val="22"/>
        </w:rPr>
        <w:t>Jedna vynechaná tableta v 1. týždni</w:t>
      </w:r>
    </w:p>
    <w:p w:rsidR="00A621AE" w:rsidRDefault="00A621AE">
      <w:pPr>
        <w:tabs>
          <w:tab w:val="left" w:pos="284"/>
        </w:tabs>
        <w:autoSpaceDE w:val="0"/>
        <w:autoSpaceDN w:val="0"/>
        <w:adjustRightInd w:val="0"/>
        <w:ind w:left="284" w:hanging="284"/>
        <w:rPr>
          <w:color w:val="000000"/>
          <w:sz w:val="22"/>
          <w:szCs w:val="22"/>
        </w:rPr>
      </w:pPr>
      <w:r>
        <w:rPr>
          <w:color w:val="000000"/>
          <w:sz w:val="22"/>
          <w:szCs w:val="22"/>
        </w:rPr>
        <w:tab/>
        <w:t xml:space="preserve">Užite zabudnutú tabletu, hneď ako si spomeniete, aj keby to znamenalo, že musíte užiť dve tablety naraz. Pokračujte v užívaní ďalších tabliet vo zvyčajnom čase a počas nasledujúcich 7 dní použite </w:t>
      </w:r>
      <w:r>
        <w:rPr>
          <w:b/>
          <w:bCs/>
          <w:color w:val="000000"/>
          <w:sz w:val="22"/>
          <w:szCs w:val="22"/>
        </w:rPr>
        <w:t>ďalšie antikoncepčné opatrenie</w:t>
      </w:r>
      <w:r>
        <w:rPr>
          <w:color w:val="000000"/>
          <w:sz w:val="22"/>
          <w:szCs w:val="22"/>
        </w:rPr>
        <w:t>, napríklad prezervatív. Ak ste mali pohlavný styk v týždni pred vynechaním tablety alebo ste zabudli začať nový blister po období s placebo tabletami, musíte rátať s rizikom otehotnenia. V takomto prípade sa obráťte na svojho lekára.</w:t>
      </w:r>
    </w:p>
    <w:p w:rsidR="00A621AE" w:rsidRDefault="00A621AE">
      <w:pPr>
        <w:tabs>
          <w:tab w:val="left" w:pos="284"/>
        </w:tabs>
        <w:autoSpaceDE w:val="0"/>
        <w:autoSpaceDN w:val="0"/>
        <w:adjustRightInd w:val="0"/>
        <w:ind w:left="284" w:hanging="284"/>
        <w:rPr>
          <w:color w:val="000000"/>
          <w:sz w:val="22"/>
          <w:szCs w:val="22"/>
        </w:rPr>
      </w:pPr>
    </w:p>
    <w:p w:rsidR="00A621AE" w:rsidRDefault="00A621AE">
      <w:pPr>
        <w:tabs>
          <w:tab w:val="left" w:pos="284"/>
        </w:tabs>
        <w:autoSpaceDE w:val="0"/>
        <w:autoSpaceDN w:val="0"/>
        <w:adjustRightInd w:val="0"/>
        <w:rPr>
          <w:b/>
          <w:bCs/>
          <w:color w:val="000000"/>
          <w:sz w:val="22"/>
          <w:szCs w:val="22"/>
        </w:rPr>
      </w:pPr>
      <w:r>
        <w:rPr>
          <w:color w:val="000000"/>
          <w:sz w:val="22"/>
          <w:szCs w:val="22"/>
        </w:rPr>
        <w:t xml:space="preserve">• </w:t>
      </w:r>
      <w:r>
        <w:rPr>
          <w:color w:val="000000"/>
          <w:sz w:val="22"/>
          <w:szCs w:val="22"/>
        </w:rPr>
        <w:tab/>
      </w:r>
      <w:r>
        <w:rPr>
          <w:b/>
          <w:bCs/>
          <w:color w:val="000000"/>
          <w:sz w:val="22"/>
          <w:szCs w:val="22"/>
        </w:rPr>
        <w:t>Jedna vynechaná tableta v 2. týždni</w:t>
      </w:r>
    </w:p>
    <w:p w:rsidR="00A621AE" w:rsidRDefault="00A621AE">
      <w:pPr>
        <w:tabs>
          <w:tab w:val="left" w:pos="284"/>
        </w:tabs>
        <w:autoSpaceDE w:val="0"/>
        <w:autoSpaceDN w:val="0"/>
        <w:adjustRightInd w:val="0"/>
        <w:ind w:left="284" w:hanging="284"/>
        <w:rPr>
          <w:color w:val="000000"/>
          <w:sz w:val="22"/>
          <w:szCs w:val="22"/>
        </w:rPr>
      </w:pPr>
      <w:r>
        <w:rPr>
          <w:color w:val="000000"/>
          <w:sz w:val="22"/>
          <w:szCs w:val="22"/>
        </w:rPr>
        <w:tab/>
        <w:t>Užite zabudnutú tabletu hneď ako si spomeniete, aj keby to znamenalo, že musíte užiť dve tablety naraz. Pokračujte v užívaní ďalších tabliet vo zvyčajnom čase. Ochrana pred otehotnením nie je znížená, nemusíte použiť ďalšie antikoncepčné opatrenia.</w:t>
      </w:r>
    </w:p>
    <w:p w:rsidR="00A621AE" w:rsidRDefault="00A621AE">
      <w:pPr>
        <w:tabs>
          <w:tab w:val="left" w:pos="284"/>
        </w:tabs>
        <w:autoSpaceDE w:val="0"/>
        <w:autoSpaceDN w:val="0"/>
        <w:adjustRightInd w:val="0"/>
        <w:ind w:left="284" w:hanging="284"/>
        <w:rPr>
          <w:color w:val="000000"/>
          <w:sz w:val="22"/>
          <w:szCs w:val="22"/>
        </w:rPr>
      </w:pPr>
    </w:p>
    <w:p w:rsidR="00A621AE" w:rsidRDefault="00A621AE">
      <w:pPr>
        <w:tabs>
          <w:tab w:val="left" w:pos="284"/>
        </w:tabs>
        <w:autoSpaceDE w:val="0"/>
        <w:autoSpaceDN w:val="0"/>
        <w:adjustRightInd w:val="0"/>
        <w:rPr>
          <w:b/>
          <w:bCs/>
          <w:color w:val="000000"/>
          <w:sz w:val="22"/>
          <w:szCs w:val="22"/>
        </w:rPr>
      </w:pPr>
      <w:r>
        <w:rPr>
          <w:color w:val="000000"/>
          <w:sz w:val="22"/>
          <w:szCs w:val="22"/>
        </w:rPr>
        <w:t xml:space="preserve">• </w:t>
      </w:r>
      <w:r>
        <w:rPr>
          <w:color w:val="000000"/>
          <w:sz w:val="22"/>
          <w:szCs w:val="22"/>
        </w:rPr>
        <w:tab/>
      </w:r>
      <w:r>
        <w:rPr>
          <w:b/>
          <w:bCs/>
          <w:color w:val="000000"/>
          <w:sz w:val="22"/>
          <w:szCs w:val="22"/>
        </w:rPr>
        <w:t>Jedna vynechaná tableta v 3. týždni</w:t>
      </w:r>
    </w:p>
    <w:p w:rsidR="00A621AE" w:rsidRDefault="00A621AE">
      <w:pPr>
        <w:tabs>
          <w:tab w:val="left" w:pos="284"/>
        </w:tabs>
        <w:autoSpaceDE w:val="0"/>
        <w:autoSpaceDN w:val="0"/>
        <w:adjustRightInd w:val="0"/>
        <w:rPr>
          <w:color w:val="000000"/>
          <w:sz w:val="22"/>
          <w:szCs w:val="22"/>
        </w:rPr>
      </w:pPr>
      <w:r>
        <w:rPr>
          <w:b/>
          <w:bCs/>
          <w:color w:val="000000"/>
          <w:sz w:val="22"/>
          <w:szCs w:val="22"/>
        </w:rPr>
        <w:tab/>
      </w:r>
      <w:r>
        <w:rPr>
          <w:color w:val="000000"/>
          <w:sz w:val="22"/>
          <w:szCs w:val="22"/>
        </w:rPr>
        <w:t>Môžete si vybrať jednu z dvoch možností:</w:t>
      </w:r>
    </w:p>
    <w:p w:rsidR="00A621AE" w:rsidRDefault="00A621AE">
      <w:pPr>
        <w:tabs>
          <w:tab w:val="left" w:pos="284"/>
        </w:tabs>
        <w:autoSpaceDE w:val="0"/>
        <w:autoSpaceDN w:val="0"/>
        <w:adjustRightInd w:val="0"/>
        <w:rPr>
          <w:b/>
          <w:bCs/>
          <w:color w:val="000000"/>
          <w:sz w:val="22"/>
          <w:szCs w:val="22"/>
        </w:rPr>
      </w:pPr>
    </w:p>
    <w:p w:rsidR="00A621AE" w:rsidRDefault="00A621AE">
      <w:pPr>
        <w:numPr>
          <w:ilvl w:val="0"/>
          <w:numId w:val="19"/>
        </w:numPr>
        <w:tabs>
          <w:tab w:val="left" w:pos="180"/>
        </w:tabs>
        <w:autoSpaceDE w:val="0"/>
        <w:autoSpaceDN w:val="0"/>
        <w:adjustRightInd w:val="0"/>
        <w:rPr>
          <w:color w:val="000000"/>
          <w:sz w:val="22"/>
          <w:szCs w:val="22"/>
        </w:rPr>
      </w:pPr>
      <w:r>
        <w:rPr>
          <w:color w:val="000000"/>
          <w:sz w:val="22"/>
          <w:szCs w:val="22"/>
        </w:rPr>
        <w:t>Užite zabudnutú tabletu hneď ako si spomeniete, aj keby to znamenalo, že musíte užiť dve tablety naraz. Pokračujte v užívaní tabliet vo zvyčajnom čase. Namiesto užívania tabliet s placebom z tohto blistra začnite s ďalším blistrom.</w:t>
      </w:r>
    </w:p>
    <w:p w:rsidR="00A621AE" w:rsidRDefault="00A621AE">
      <w:pPr>
        <w:pStyle w:val="BodyText"/>
        <w:tabs>
          <w:tab w:val="left" w:pos="180"/>
        </w:tabs>
        <w:ind w:left="708"/>
      </w:pPr>
      <w:r w:rsidRPr="00883334">
        <w:t>S najväčšou pravdepodobnosťou budete mať krvácanie (krvácanie z</w:t>
      </w:r>
      <w:r w:rsidRPr="00CB43B2">
        <w:t> </w:t>
      </w:r>
      <w:r w:rsidRPr="00883334">
        <w:t xml:space="preserve">vysadenia) na konci druhého blistra, ale počas užívania druhého blistra sa môže vyskytnúť špinenie alebo medzimenštruačné krvácanie. </w:t>
      </w:r>
    </w:p>
    <w:p w:rsidR="00A621AE" w:rsidRDefault="00A621AE">
      <w:pPr>
        <w:pStyle w:val="BodyText"/>
        <w:tabs>
          <w:tab w:val="left" w:pos="180"/>
        </w:tabs>
        <w:ind w:left="708"/>
      </w:pPr>
    </w:p>
    <w:p w:rsidR="00A621AE" w:rsidRDefault="00A621AE">
      <w:pPr>
        <w:numPr>
          <w:ilvl w:val="0"/>
          <w:numId w:val="19"/>
        </w:numPr>
        <w:tabs>
          <w:tab w:val="left" w:pos="180"/>
        </w:tabs>
        <w:autoSpaceDE w:val="0"/>
        <w:autoSpaceDN w:val="0"/>
        <w:adjustRightInd w:val="0"/>
        <w:rPr>
          <w:iCs/>
          <w:color w:val="000000"/>
          <w:sz w:val="22"/>
          <w:szCs w:val="22"/>
        </w:rPr>
      </w:pPr>
      <w:r>
        <w:rPr>
          <w:color w:val="000000"/>
          <w:sz w:val="22"/>
          <w:szCs w:val="22"/>
        </w:rPr>
        <w:t xml:space="preserve">Môžete tiež ukončiť užívanie bielych aktívnych tabliet z tohto blistra a prejsť priamo na 7 dňové obdobie užívania zelených placebo tabliet </w:t>
      </w:r>
      <w:r>
        <w:rPr>
          <w:b/>
          <w:bCs/>
          <w:color w:val="000000"/>
          <w:sz w:val="22"/>
          <w:szCs w:val="22"/>
        </w:rPr>
        <w:t>(zaznamenajte si deň, keď ste zabudli užiť tabletu</w:t>
      </w:r>
      <w:r>
        <w:rPr>
          <w:color w:val="000000"/>
          <w:sz w:val="22"/>
          <w:szCs w:val="22"/>
        </w:rPr>
        <w:t xml:space="preserve">). Ak chcete začať s novým blistrom v deň, s ktorým vždy začínate, užívajte tablety s placebom </w:t>
      </w:r>
      <w:r>
        <w:rPr>
          <w:iCs/>
          <w:color w:val="000000"/>
          <w:sz w:val="22"/>
          <w:szCs w:val="22"/>
        </w:rPr>
        <w:t>menej ako 7 dní.</w:t>
      </w:r>
    </w:p>
    <w:p w:rsidR="00A621AE" w:rsidRDefault="00A621AE">
      <w:pPr>
        <w:tabs>
          <w:tab w:val="left" w:pos="180"/>
        </w:tabs>
        <w:autoSpaceDE w:val="0"/>
        <w:autoSpaceDN w:val="0"/>
        <w:adjustRightInd w:val="0"/>
        <w:ind w:left="720"/>
        <w:rPr>
          <w:iCs/>
          <w:color w:val="000000"/>
          <w:sz w:val="22"/>
          <w:szCs w:val="22"/>
        </w:rPr>
      </w:pPr>
    </w:p>
    <w:p w:rsidR="00A621AE" w:rsidRDefault="00A621AE" w:rsidP="00CD097A">
      <w:pPr>
        <w:tabs>
          <w:tab w:val="left" w:pos="0"/>
        </w:tabs>
        <w:autoSpaceDE w:val="0"/>
        <w:autoSpaceDN w:val="0"/>
        <w:adjustRightInd w:val="0"/>
        <w:ind w:left="284"/>
        <w:rPr>
          <w:color w:val="000000"/>
          <w:sz w:val="22"/>
          <w:szCs w:val="22"/>
        </w:rPr>
      </w:pPr>
      <w:r>
        <w:rPr>
          <w:color w:val="000000"/>
          <w:sz w:val="22"/>
          <w:szCs w:val="22"/>
        </w:rPr>
        <w:t>Ak budete postupovať podľa jedného z týchto dvoch odporúčaní, budete naďalej chránená pred otehotnením.</w:t>
      </w:r>
    </w:p>
    <w:p w:rsidR="00A621AE" w:rsidRDefault="00A621AE">
      <w:pPr>
        <w:tabs>
          <w:tab w:val="left" w:pos="180"/>
        </w:tabs>
        <w:autoSpaceDE w:val="0"/>
        <w:autoSpaceDN w:val="0"/>
        <w:adjustRightInd w:val="0"/>
        <w:rPr>
          <w:color w:val="000000"/>
          <w:sz w:val="22"/>
          <w:szCs w:val="22"/>
        </w:rPr>
      </w:pPr>
    </w:p>
    <w:p w:rsidR="00A621AE" w:rsidRDefault="00A621AE" w:rsidP="00883334">
      <w:pPr>
        <w:pStyle w:val="ListParagraph"/>
        <w:numPr>
          <w:ilvl w:val="0"/>
          <w:numId w:val="34"/>
        </w:numPr>
        <w:autoSpaceDE w:val="0"/>
        <w:autoSpaceDN w:val="0"/>
        <w:adjustRightInd w:val="0"/>
        <w:ind w:left="284" w:hanging="284"/>
        <w:rPr>
          <w:color w:val="000000"/>
          <w:sz w:val="22"/>
          <w:szCs w:val="22"/>
        </w:rPr>
      </w:pPr>
      <w:r w:rsidRPr="00883334">
        <w:rPr>
          <w:b/>
          <w:color w:val="000000"/>
          <w:sz w:val="22"/>
          <w:szCs w:val="22"/>
        </w:rPr>
        <w:lastRenderedPageBreak/>
        <w:t xml:space="preserve">Ak ste zabudli užiť ktorúkoľvek tabletu z blistra </w:t>
      </w:r>
      <w:r w:rsidRPr="000C3F44">
        <w:rPr>
          <w:color w:val="000000"/>
          <w:sz w:val="22"/>
          <w:szCs w:val="22"/>
        </w:rPr>
        <w:t>a nemáte krvácanie počas dní s placebom, môže to znamenať, že ste tehotná. Skôr,</w:t>
      </w:r>
      <w:r>
        <w:rPr>
          <w:color w:val="000000"/>
          <w:sz w:val="22"/>
          <w:szCs w:val="22"/>
        </w:rPr>
        <w:t xml:space="preserve"> ako začnete s ďalším blistrom, musíte navštíviť svojho lekára.</w:t>
      </w:r>
    </w:p>
    <w:p w:rsidR="00A621AE" w:rsidRPr="00D31CCF" w:rsidRDefault="00A621AE" w:rsidP="000C3F44">
      <w:pPr>
        <w:autoSpaceDE w:val="0"/>
        <w:autoSpaceDN w:val="0"/>
        <w:adjustRightInd w:val="0"/>
        <w:rPr>
          <w:color w:val="000000"/>
          <w:sz w:val="22"/>
          <w:szCs w:val="22"/>
        </w:rPr>
      </w:pPr>
    </w:p>
    <w:p w:rsidR="00A621AE" w:rsidRDefault="00A621AE">
      <w:pPr>
        <w:numPr>
          <w:ilvl w:val="12"/>
          <w:numId w:val="0"/>
        </w:numPr>
        <w:ind w:right="-2"/>
        <w:rPr>
          <w:sz w:val="22"/>
          <w:szCs w:val="22"/>
        </w:rPr>
      </w:pPr>
    </w:p>
    <w:tbl>
      <w:tblPr>
        <w:tblW w:w="10161" w:type="dxa"/>
        <w:tblInd w:w="-12" w:type="dxa"/>
        <w:tblLayout w:type="fixed"/>
        <w:tblCellMar>
          <w:left w:w="71" w:type="dxa"/>
          <w:right w:w="71" w:type="dxa"/>
        </w:tblCellMar>
        <w:tblLook w:val="0000" w:firstRow="0" w:lastRow="0" w:firstColumn="0" w:lastColumn="0" w:noHBand="0" w:noVBand="0"/>
      </w:tblPr>
      <w:tblGrid>
        <w:gridCol w:w="2623"/>
        <w:gridCol w:w="430"/>
        <w:gridCol w:w="454"/>
        <w:gridCol w:w="1000"/>
        <w:gridCol w:w="511"/>
        <w:gridCol w:w="440"/>
        <w:gridCol w:w="4678"/>
        <w:gridCol w:w="25"/>
      </w:tblGrid>
      <w:tr w:rsidR="00A621AE" w:rsidRPr="00D31CCF" w:rsidTr="002B31B2">
        <w:tc>
          <w:tcPr>
            <w:tcW w:w="2623" w:type="dxa"/>
            <w:tcBorders>
              <w:top w:val="single" w:sz="4" w:space="0" w:color="000000"/>
              <w:left w:val="single" w:sz="4" w:space="0" w:color="000000"/>
            </w:tcBorders>
          </w:tcPr>
          <w:p w:rsidR="00A621AE" w:rsidRDefault="00A621AE">
            <w:pPr>
              <w:snapToGrid w:val="0"/>
            </w:pPr>
            <w:r>
              <w:rPr>
                <w:sz w:val="22"/>
                <w:szCs w:val="22"/>
              </w:rPr>
              <w:t xml:space="preserve">Viac ako 1 vynechaná biela tableta v 1 blistri </w:t>
            </w:r>
          </w:p>
        </w:tc>
        <w:tc>
          <w:tcPr>
            <w:tcW w:w="430" w:type="dxa"/>
            <w:tcBorders>
              <w:left w:val="single" w:sz="4" w:space="0" w:color="000000"/>
            </w:tcBorders>
          </w:tcPr>
          <w:p w:rsidR="00A621AE" w:rsidRDefault="00A621AE">
            <w:pPr>
              <w:snapToGrid w:val="0"/>
            </w:pPr>
          </w:p>
        </w:tc>
        <w:tc>
          <w:tcPr>
            <w:tcW w:w="454" w:type="dxa"/>
          </w:tcPr>
          <w:p w:rsidR="00A621AE" w:rsidRDefault="00A621AE">
            <w:pPr>
              <w:snapToGrid w:val="0"/>
            </w:pPr>
          </w:p>
        </w:tc>
        <w:tc>
          <w:tcPr>
            <w:tcW w:w="1000" w:type="dxa"/>
          </w:tcPr>
          <w:p w:rsidR="00A621AE" w:rsidRDefault="00A621AE">
            <w:pPr>
              <w:snapToGrid w:val="0"/>
            </w:pPr>
          </w:p>
        </w:tc>
        <w:tc>
          <w:tcPr>
            <w:tcW w:w="511" w:type="dxa"/>
          </w:tcPr>
          <w:p w:rsidR="00A621AE" w:rsidRDefault="00A621AE">
            <w:pPr>
              <w:snapToGrid w:val="0"/>
            </w:pPr>
          </w:p>
        </w:tc>
        <w:tc>
          <w:tcPr>
            <w:tcW w:w="440" w:type="dxa"/>
          </w:tcPr>
          <w:p w:rsidR="00A621AE" w:rsidRDefault="00A621AE">
            <w:pPr>
              <w:snapToGrid w:val="0"/>
            </w:pPr>
          </w:p>
        </w:tc>
        <w:tc>
          <w:tcPr>
            <w:tcW w:w="4703" w:type="dxa"/>
            <w:gridSpan w:val="2"/>
            <w:tcBorders>
              <w:top w:val="single" w:sz="4" w:space="0" w:color="000000"/>
              <w:left w:val="single" w:sz="4" w:space="0" w:color="000000"/>
              <w:right w:val="single" w:sz="4" w:space="0" w:color="000000"/>
            </w:tcBorders>
          </w:tcPr>
          <w:p w:rsidR="00A621AE" w:rsidRDefault="00A621AE">
            <w:pPr>
              <w:snapToGrid w:val="0"/>
            </w:pPr>
            <w:r>
              <w:rPr>
                <w:sz w:val="22"/>
                <w:szCs w:val="22"/>
              </w:rPr>
              <w:t>Poraďte sa so svojím lekárom</w:t>
            </w:r>
          </w:p>
        </w:tc>
      </w:tr>
      <w:tr w:rsidR="00A621AE" w:rsidRPr="00D31CCF" w:rsidTr="002B31B2">
        <w:trPr>
          <w:trHeight w:val="86"/>
        </w:trPr>
        <w:tc>
          <w:tcPr>
            <w:tcW w:w="2623" w:type="dxa"/>
            <w:tcBorders>
              <w:left w:val="single" w:sz="4" w:space="0" w:color="000000"/>
              <w:bottom w:val="single" w:sz="4" w:space="0" w:color="000000"/>
            </w:tcBorders>
          </w:tcPr>
          <w:p w:rsidR="00A621AE" w:rsidRPr="00D31CCF" w:rsidRDefault="00A621AE" w:rsidP="00D31CCF">
            <w:pPr>
              <w:snapToGrid w:val="0"/>
            </w:pPr>
          </w:p>
        </w:tc>
        <w:tc>
          <w:tcPr>
            <w:tcW w:w="430" w:type="dxa"/>
            <w:tcBorders>
              <w:top w:val="single" w:sz="4" w:space="0" w:color="000000"/>
              <w:left w:val="single" w:sz="4" w:space="0" w:color="000000"/>
            </w:tcBorders>
          </w:tcPr>
          <w:p w:rsidR="00A621AE" w:rsidRPr="00D31CCF" w:rsidRDefault="00A621AE" w:rsidP="00D31CCF">
            <w:pPr>
              <w:snapToGrid w:val="0"/>
            </w:pPr>
          </w:p>
        </w:tc>
        <w:tc>
          <w:tcPr>
            <w:tcW w:w="454" w:type="dxa"/>
            <w:tcBorders>
              <w:top w:val="single" w:sz="4" w:space="0" w:color="000000"/>
            </w:tcBorders>
          </w:tcPr>
          <w:p w:rsidR="00A621AE" w:rsidRPr="00D31CCF" w:rsidRDefault="00A621AE" w:rsidP="00D31CCF">
            <w:pPr>
              <w:snapToGrid w:val="0"/>
            </w:pPr>
          </w:p>
        </w:tc>
        <w:tc>
          <w:tcPr>
            <w:tcW w:w="1000" w:type="dxa"/>
            <w:tcBorders>
              <w:top w:val="single" w:sz="4" w:space="0" w:color="000000"/>
            </w:tcBorders>
          </w:tcPr>
          <w:p w:rsidR="00A621AE" w:rsidRPr="00D31CCF" w:rsidRDefault="00A621AE" w:rsidP="00D31CCF">
            <w:pPr>
              <w:snapToGrid w:val="0"/>
            </w:pPr>
          </w:p>
        </w:tc>
        <w:tc>
          <w:tcPr>
            <w:tcW w:w="511" w:type="dxa"/>
            <w:tcBorders>
              <w:top w:val="single" w:sz="4" w:space="0" w:color="000000"/>
            </w:tcBorders>
          </w:tcPr>
          <w:p w:rsidR="00A621AE" w:rsidRPr="00D31CCF" w:rsidRDefault="00A621AE" w:rsidP="00D31CCF">
            <w:pPr>
              <w:snapToGrid w:val="0"/>
            </w:pPr>
          </w:p>
        </w:tc>
        <w:tc>
          <w:tcPr>
            <w:tcW w:w="440" w:type="dxa"/>
            <w:tcBorders>
              <w:top w:val="single" w:sz="4" w:space="0" w:color="000000"/>
            </w:tcBorders>
          </w:tcPr>
          <w:p w:rsidR="00A621AE" w:rsidRPr="00D31CCF" w:rsidRDefault="00A621AE" w:rsidP="00D31CCF">
            <w:pPr>
              <w:snapToGrid w:val="0"/>
            </w:pPr>
          </w:p>
        </w:tc>
        <w:tc>
          <w:tcPr>
            <w:tcW w:w="4703" w:type="dxa"/>
            <w:gridSpan w:val="2"/>
            <w:tcBorders>
              <w:left w:val="single" w:sz="4" w:space="0" w:color="000000"/>
              <w:bottom w:val="single" w:sz="4" w:space="0" w:color="000000"/>
              <w:right w:val="single" w:sz="4" w:space="0" w:color="000000"/>
            </w:tcBorders>
          </w:tcPr>
          <w:p w:rsidR="00A621AE" w:rsidRPr="00D31CCF" w:rsidRDefault="00A621AE" w:rsidP="00D31CCF">
            <w:pPr>
              <w:snapToGrid w:val="0"/>
            </w:pP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678" w:type="dxa"/>
          </w:tcPr>
          <w:p w:rsidR="00A621AE" w:rsidRPr="00D31CCF" w:rsidRDefault="00A621AE" w:rsidP="00D31CCF">
            <w:pPr>
              <w:snapToGrid w:val="0"/>
            </w:pPr>
            <w:r w:rsidRPr="00D31CCF">
              <w:rPr>
                <w:sz w:val="22"/>
                <w:szCs w:val="22"/>
              </w:rPr>
              <w:softHyphen/>
            </w:r>
            <w:r w:rsidRPr="00D31CCF">
              <w:rPr>
                <w:rFonts w:ascii="Cambria Math" w:hAnsi="Cambria Math" w:cs="Cambria Math"/>
                <w:sz w:val="22"/>
                <w:szCs w:val="22"/>
              </w:rPr>
              <w:t>⇑</w:t>
            </w: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A621AE" w:rsidRPr="00D31CCF" w:rsidRDefault="00A621AE" w:rsidP="00D31CCF">
            <w:pPr>
              <w:snapToGrid w:val="0"/>
            </w:pPr>
            <w:r w:rsidRPr="00D31CCF">
              <w:rPr>
                <w:sz w:val="22"/>
                <w:szCs w:val="22"/>
              </w:rPr>
              <w:t>Áno</w:t>
            </w: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678" w:type="dxa"/>
          </w:tcPr>
          <w:p w:rsidR="00A621AE" w:rsidRPr="00D31CCF" w:rsidRDefault="00A621AE" w:rsidP="00D31CCF">
            <w:pPr>
              <w:snapToGrid w:val="0"/>
            </w:pPr>
            <w:r w:rsidRPr="00D31CCF">
              <w:rPr>
                <w:rFonts w:ascii="Cambria Math" w:hAnsi="Cambria Math" w:cs="Cambria Math"/>
                <w:sz w:val="22"/>
                <w:szCs w:val="22"/>
              </w:rPr>
              <w:t>⇑</w:t>
            </w: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bottom w:val="single" w:sz="4" w:space="0" w:color="000000"/>
            </w:tcBorders>
          </w:tcPr>
          <w:p w:rsidR="00A621AE" w:rsidRPr="00D31CCF" w:rsidRDefault="00A621AE" w:rsidP="00D31CCF">
            <w:pPr>
              <w:snapToGrid w:val="0"/>
            </w:pPr>
          </w:p>
        </w:tc>
        <w:tc>
          <w:tcPr>
            <w:tcW w:w="1000" w:type="dxa"/>
            <w:tcBorders>
              <w:top w:val="single" w:sz="4" w:space="0" w:color="000000"/>
              <w:left w:val="single" w:sz="4" w:space="0" w:color="000000"/>
            </w:tcBorders>
          </w:tcPr>
          <w:p w:rsidR="00A621AE" w:rsidRPr="00D31CCF" w:rsidRDefault="00A621AE" w:rsidP="00D31CCF">
            <w:pPr>
              <w:snapToGrid w:val="0"/>
            </w:pPr>
            <w:r w:rsidRPr="00D31CCF">
              <w:rPr>
                <w:sz w:val="22"/>
                <w:szCs w:val="22"/>
              </w:rPr>
              <w:t>1. týždeň</w:t>
            </w:r>
          </w:p>
        </w:tc>
        <w:tc>
          <w:tcPr>
            <w:tcW w:w="511" w:type="dxa"/>
            <w:tcBorders>
              <w:left w:val="single" w:sz="4" w:space="0" w:color="000000"/>
            </w:tcBorders>
          </w:tcPr>
          <w:p w:rsidR="00A621AE" w:rsidRPr="00D31CCF" w:rsidRDefault="00A621AE" w:rsidP="00D31CCF">
            <w:pPr>
              <w:snapToGrid w:val="0"/>
            </w:pPr>
          </w:p>
        </w:tc>
        <w:tc>
          <w:tcPr>
            <w:tcW w:w="440" w:type="dxa"/>
          </w:tcPr>
          <w:p w:rsidR="00A621AE" w:rsidRPr="00D31CCF" w:rsidRDefault="00A621AE" w:rsidP="00D31CCF">
            <w:pPr>
              <w:snapToGrid w:val="0"/>
            </w:pPr>
          </w:p>
        </w:tc>
        <w:tc>
          <w:tcPr>
            <w:tcW w:w="4703" w:type="dxa"/>
            <w:gridSpan w:val="2"/>
            <w:tcBorders>
              <w:top w:val="single" w:sz="4" w:space="0" w:color="000000"/>
              <w:left w:val="single" w:sz="4" w:space="0" w:color="000000"/>
              <w:right w:val="single" w:sz="4" w:space="0" w:color="000000"/>
            </w:tcBorders>
          </w:tcPr>
          <w:p w:rsidR="00A621AE" w:rsidRPr="00D31CCF" w:rsidRDefault="00A621AE" w:rsidP="00D31CCF">
            <w:pPr>
              <w:snapToGrid w:val="0"/>
            </w:pPr>
            <w:r w:rsidRPr="00D31CCF">
              <w:rPr>
                <w:sz w:val="22"/>
                <w:szCs w:val="22"/>
              </w:rPr>
              <w:t>Mali ste v predchádzajúcom týždni pohlavný styk?</w:t>
            </w: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Borders>
              <w:left w:val="single" w:sz="4" w:space="0" w:color="000000"/>
              <w:bottom w:val="single" w:sz="4" w:space="0" w:color="000000"/>
            </w:tcBorders>
          </w:tcPr>
          <w:p w:rsidR="00A621AE" w:rsidRPr="00D31CCF" w:rsidRDefault="00A621AE" w:rsidP="00D31CCF">
            <w:pPr>
              <w:snapToGrid w:val="0"/>
            </w:pPr>
          </w:p>
        </w:tc>
        <w:tc>
          <w:tcPr>
            <w:tcW w:w="511" w:type="dxa"/>
            <w:tcBorders>
              <w:top w:val="single" w:sz="4" w:space="0" w:color="000000"/>
              <w:left w:val="single" w:sz="4" w:space="0" w:color="000000"/>
            </w:tcBorders>
          </w:tcPr>
          <w:p w:rsidR="00A621AE" w:rsidRPr="00D31CCF" w:rsidRDefault="00A621AE" w:rsidP="00D31CCF">
            <w:pPr>
              <w:snapToGrid w:val="0"/>
            </w:pPr>
          </w:p>
        </w:tc>
        <w:tc>
          <w:tcPr>
            <w:tcW w:w="440" w:type="dxa"/>
            <w:tcBorders>
              <w:top w:val="single" w:sz="4" w:space="0" w:color="000000"/>
            </w:tcBorders>
          </w:tcPr>
          <w:p w:rsidR="00A621AE" w:rsidRPr="00D31CCF" w:rsidRDefault="00A621AE" w:rsidP="00D31CCF">
            <w:pPr>
              <w:snapToGrid w:val="0"/>
            </w:pPr>
          </w:p>
        </w:tc>
        <w:tc>
          <w:tcPr>
            <w:tcW w:w="4703" w:type="dxa"/>
            <w:gridSpan w:val="2"/>
            <w:tcBorders>
              <w:left w:val="single" w:sz="4" w:space="0" w:color="000000"/>
              <w:bottom w:val="single" w:sz="4" w:space="0" w:color="000000"/>
              <w:right w:val="single" w:sz="4" w:space="0" w:color="000000"/>
            </w:tcBorders>
          </w:tcPr>
          <w:p w:rsidR="00A621AE" w:rsidRPr="00D31CCF" w:rsidRDefault="00A621AE" w:rsidP="00D31CCF">
            <w:pPr>
              <w:snapToGrid w:val="0"/>
            </w:pP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678" w:type="dxa"/>
          </w:tcPr>
          <w:p w:rsidR="00A621AE" w:rsidRPr="00D31CCF" w:rsidRDefault="00A621AE" w:rsidP="00D31CCF">
            <w:pPr>
              <w:snapToGrid w:val="0"/>
            </w:pPr>
            <w:r w:rsidRPr="00D31CCF">
              <w:rPr>
                <w:rFonts w:ascii="Cambria Math" w:hAnsi="Cambria Math" w:cs="Cambria Math"/>
                <w:sz w:val="22"/>
                <w:szCs w:val="22"/>
              </w:rPr>
              <w:t>⇓</w:t>
            </w: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A621AE" w:rsidRPr="00D31CCF" w:rsidRDefault="00A621AE" w:rsidP="00D31CCF">
            <w:pPr>
              <w:snapToGrid w:val="0"/>
            </w:pPr>
            <w:r w:rsidRPr="00D31CCF">
              <w:rPr>
                <w:sz w:val="22"/>
                <w:szCs w:val="22"/>
              </w:rPr>
              <w:t>Nie</w:t>
            </w: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678" w:type="dxa"/>
          </w:tcPr>
          <w:p w:rsidR="00A621AE" w:rsidRPr="00D31CCF" w:rsidRDefault="00A621AE" w:rsidP="00D31CCF">
            <w:pPr>
              <w:snapToGrid w:val="0"/>
            </w:pPr>
            <w:r w:rsidRPr="00D31CCF">
              <w:rPr>
                <w:rFonts w:ascii="Cambria Math" w:hAnsi="Cambria Math" w:cs="Cambria Math"/>
                <w:sz w:val="22"/>
                <w:szCs w:val="22"/>
              </w:rPr>
              <w:t>⇓</w:t>
            </w: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A621AE" w:rsidRPr="00D31CCF" w:rsidRDefault="00A621AE" w:rsidP="00D31CCF">
            <w:r w:rsidRPr="00D31CCF">
              <w:rPr>
                <w:sz w:val="22"/>
                <w:szCs w:val="22"/>
              </w:rPr>
              <w:t>-  Užite vynechanú tabletu</w:t>
            </w:r>
          </w:p>
          <w:p w:rsidR="00A621AE" w:rsidRPr="00D31CCF" w:rsidRDefault="00A621AE" w:rsidP="00D31CCF">
            <w:r w:rsidRPr="000C3F44">
              <w:rPr>
                <w:sz w:val="22"/>
                <w:szCs w:val="22"/>
              </w:rPr>
              <w:t>-  Nasledujúcich 7 dní používajte bar</w:t>
            </w:r>
            <w:r>
              <w:rPr>
                <w:sz w:val="22"/>
                <w:szCs w:val="22"/>
              </w:rPr>
              <w:t>iérovú</w:t>
            </w:r>
          </w:p>
          <w:p w:rsidR="00A621AE" w:rsidRPr="00D31CCF" w:rsidRDefault="00A621AE" w:rsidP="00D31CCF">
            <w:r>
              <w:rPr>
                <w:sz w:val="22"/>
                <w:szCs w:val="22"/>
              </w:rPr>
              <w:t xml:space="preserve">    antikoncepciu (prezervatív)</w:t>
            </w:r>
          </w:p>
          <w:p w:rsidR="00A621AE" w:rsidRPr="00D31CCF" w:rsidRDefault="00A621AE" w:rsidP="00D31CCF">
            <w:pPr>
              <w:suppressAutoHyphens/>
            </w:pPr>
            <w:r>
              <w:rPr>
                <w:sz w:val="22"/>
                <w:szCs w:val="22"/>
              </w:rPr>
              <w:t>-  Dokončite užívanie tabliet z blistra</w:t>
            </w: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678" w:type="dxa"/>
          </w:tcPr>
          <w:p w:rsidR="00A621AE" w:rsidRPr="00D31CCF" w:rsidRDefault="00A621AE" w:rsidP="00D31CCF">
            <w:pPr>
              <w:snapToGrid w:val="0"/>
            </w:pPr>
          </w:p>
        </w:tc>
      </w:tr>
      <w:tr w:rsidR="00A621AE" w:rsidRPr="00D31CCF" w:rsidTr="002B31B2">
        <w:tc>
          <w:tcPr>
            <w:tcW w:w="2623" w:type="dxa"/>
            <w:tcBorders>
              <w:top w:val="single" w:sz="4" w:space="0" w:color="000000"/>
              <w:left w:val="single" w:sz="4" w:space="0" w:color="000000"/>
            </w:tcBorders>
          </w:tcPr>
          <w:p w:rsidR="00A621AE" w:rsidRPr="00D31CCF" w:rsidRDefault="00A621AE" w:rsidP="00D31CCF">
            <w:pPr>
              <w:snapToGrid w:val="0"/>
            </w:pPr>
            <w:r w:rsidRPr="00D31CCF">
              <w:rPr>
                <w:sz w:val="22"/>
                <w:szCs w:val="22"/>
              </w:rPr>
              <w:t>Len 1 vynechaná biela tableta (užitá s oneskorením viac ako 12 hodín)</w:t>
            </w:r>
          </w:p>
        </w:tc>
        <w:tc>
          <w:tcPr>
            <w:tcW w:w="430" w:type="dxa"/>
            <w:tcBorders>
              <w:left w:val="single" w:sz="4" w:space="0" w:color="000000"/>
            </w:tcBorders>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Borders>
              <w:top w:val="single" w:sz="4" w:space="0" w:color="000000"/>
              <w:left w:val="single" w:sz="4" w:space="0" w:color="000000"/>
            </w:tcBorders>
          </w:tcPr>
          <w:p w:rsidR="00A621AE" w:rsidRPr="00D31CCF" w:rsidRDefault="00A621AE" w:rsidP="00D31CCF">
            <w:pPr>
              <w:snapToGrid w:val="0"/>
            </w:pPr>
            <w:r w:rsidRPr="00D31CCF">
              <w:rPr>
                <w:sz w:val="22"/>
                <w:szCs w:val="22"/>
              </w:rPr>
              <w:t>2. týždeň</w:t>
            </w:r>
          </w:p>
        </w:tc>
        <w:tc>
          <w:tcPr>
            <w:tcW w:w="511" w:type="dxa"/>
            <w:tcBorders>
              <w:left w:val="single" w:sz="4" w:space="0" w:color="000000"/>
            </w:tcBorders>
          </w:tcPr>
          <w:p w:rsidR="00A621AE" w:rsidRPr="000C3F44" w:rsidRDefault="00A621AE" w:rsidP="00D31CCF">
            <w:pPr>
              <w:snapToGrid w:val="0"/>
            </w:pPr>
          </w:p>
        </w:tc>
        <w:tc>
          <w:tcPr>
            <w:tcW w:w="440" w:type="dxa"/>
          </w:tcPr>
          <w:p w:rsidR="00A621AE" w:rsidRPr="000C3F44" w:rsidRDefault="00A621AE" w:rsidP="00D31CCF">
            <w:pPr>
              <w:snapToGrid w:val="0"/>
            </w:pPr>
          </w:p>
        </w:tc>
        <w:tc>
          <w:tcPr>
            <w:tcW w:w="4703" w:type="dxa"/>
            <w:gridSpan w:val="2"/>
            <w:tcBorders>
              <w:top w:val="single" w:sz="4" w:space="0" w:color="000000"/>
              <w:left w:val="single" w:sz="4" w:space="0" w:color="000000"/>
              <w:right w:val="single" w:sz="4" w:space="0" w:color="000000"/>
            </w:tcBorders>
          </w:tcPr>
          <w:p w:rsidR="00A621AE" w:rsidRPr="00D31CCF" w:rsidRDefault="00A621AE" w:rsidP="00D31CCF">
            <w:pPr>
              <w:suppressAutoHyphens/>
              <w:snapToGrid w:val="0"/>
            </w:pPr>
            <w:r>
              <w:rPr>
                <w:sz w:val="22"/>
                <w:szCs w:val="22"/>
              </w:rPr>
              <w:t>-  Užite vynechanú tabletu</w:t>
            </w:r>
          </w:p>
          <w:p w:rsidR="00A621AE" w:rsidRPr="00D31CCF" w:rsidRDefault="00A621AE" w:rsidP="00D31CCF">
            <w:pPr>
              <w:suppressAutoHyphens/>
              <w:snapToGrid w:val="0"/>
            </w:pPr>
            <w:r>
              <w:rPr>
                <w:sz w:val="22"/>
                <w:szCs w:val="22"/>
              </w:rPr>
              <w:t>-  Dokončite užívanie tabliet z blistra</w:t>
            </w:r>
          </w:p>
        </w:tc>
      </w:tr>
      <w:tr w:rsidR="00A621AE" w:rsidRPr="00D31CCF" w:rsidTr="009858A5">
        <w:trPr>
          <w:trHeight w:val="59"/>
        </w:trPr>
        <w:tc>
          <w:tcPr>
            <w:tcW w:w="2623" w:type="dxa"/>
            <w:tcBorders>
              <w:left w:val="single" w:sz="4" w:space="0" w:color="000000"/>
              <w:bottom w:val="single" w:sz="4" w:space="0" w:color="000000"/>
            </w:tcBorders>
          </w:tcPr>
          <w:p w:rsidR="00A621AE" w:rsidRPr="00D31CCF" w:rsidRDefault="00A621AE" w:rsidP="00D31CCF">
            <w:pPr>
              <w:snapToGrid w:val="0"/>
            </w:pPr>
          </w:p>
        </w:tc>
        <w:tc>
          <w:tcPr>
            <w:tcW w:w="430" w:type="dxa"/>
            <w:tcBorders>
              <w:top w:val="single" w:sz="4" w:space="0" w:color="000000"/>
              <w:left w:val="single" w:sz="4" w:space="0" w:color="000000"/>
            </w:tcBorders>
          </w:tcPr>
          <w:p w:rsidR="00A621AE" w:rsidRPr="00D31CCF" w:rsidRDefault="00A621AE" w:rsidP="00D31CCF">
            <w:pPr>
              <w:snapToGrid w:val="0"/>
            </w:pPr>
          </w:p>
        </w:tc>
        <w:tc>
          <w:tcPr>
            <w:tcW w:w="454" w:type="dxa"/>
            <w:tcBorders>
              <w:top w:val="single" w:sz="4" w:space="0" w:color="000000"/>
              <w:left w:val="single" w:sz="4" w:space="0" w:color="000000"/>
            </w:tcBorders>
          </w:tcPr>
          <w:p w:rsidR="00A621AE" w:rsidRPr="00D31CCF" w:rsidRDefault="00A621AE" w:rsidP="00D31CCF">
            <w:pPr>
              <w:snapToGrid w:val="0"/>
            </w:pPr>
          </w:p>
        </w:tc>
        <w:tc>
          <w:tcPr>
            <w:tcW w:w="1000" w:type="dxa"/>
            <w:tcBorders>
              <w:left w:val="single" w:sz="4" w:space="0" w:color="000000"/>
              <w:bottom w:val="single" w:sz="4" w:space="0" w:color="000000"/>
            </w:tcBorders>
          </w:tcPr>
          <w:p w:rsidR="00A621AE" w:rsidRPr="00D31CCF" w:rsidRDefault="00A621AE" w:rsidP="00D31CCF">
            <w:pPr>
              <w:snapToGrid w:val="0"/>
            </w:pPr>
          </w:p>
        </w:tc>
        <w:tc>
          <w:tcPr>
            <w:tcW w:w="511" w:type="dxa"/>
            <w:tcBorders>
              <w:top w:val="single" w:sz="4" w:space="0" w:color="000000"/>
              <w:left w:val="single" w:sz="4" w:space="0" w:color="000000"/>
            </w:tcBorders>
          </w:tcPr>
          <w:p w:rsidR="00A621AE" w:rsidRPr="00D31CCF" w:rsidRDefault="00A621AE" w:rsidP="00D31CCF">
            <w:pPr>
              <w:snapToGrid w:val="0"/>
            </w:pPr>
          </w:p>
        </w:tc>
        <w:tc>
          <w:tcPr>
            <w:tcW w:w="440" w:type="dxa"/>
            <w:tcBorders>
              <w:top w:val="single" w:sz="4" w:space="0" w:color="000000"/>
            </w:tcBorders>
          </w:tcPr>
          <w:p w:rsidR="00A621AE" w:rsidRPr="00D31CCF" w:rsidRDefault="00A621AE" w:rsidP="00D31CCF">
            <w:pPr>
              <w:snapToGrid w:val="0"/>
            </w:pPr>
          </w:p>
        </w:tc>
        <w:tc>
          <w:tcPr>
            <w:tcW w:w="4703" w:type="dxa"/>
            <w:gridSpan w:val="2"/>
            <w:tcBorders>
              <w:left w:val="single" w:sz="4" w:space="0" w:color="000000"/>
              <w:bottom w:val="single" w:sz="4" w:space="0" w:color="000000"/>
              <w:right w:val="single" w:sz="4" w:space="0" w:color="000000"/>
            </w:tcBorders>
          </w:tcPr>
          <w:p w:rsidR="00A621AE" w:rsidRPr="00D31CCF" w:rsidRDefault="00A621AE" w:rsidP="00D31CCF">
            <w:pPr>
              <w:suppressAutoHyphens/>
              <w:snapToGrid w:val="0"/>
            </w:pP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678" w:type="dxa"/>
          </w:tcPr>
          <w:p w:rsidR="00A621AE" w:rsidRPr="00D31CCF" w:rsidRDefault="00A621AE" w:rsidP="00D31CCF">
            <w:pPr>
              <w:snapToGrid w:val="0"/>
            </w:pP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Pr>
          <w:p w:rsidR="00A621AE" w:rsidRPr="00D31CCF" w:rsidRDefault="00A621AE" w:rsidP="00D31CCF">
            <w:pPr>
              <w:snapToGrid w:val="0"/>
            </w:pPr>
          </w:p>
        </w:tc>
        <w:tc>
          <w:tcPr>
            <w:tcW w:w="4703" w:type="dxa"/>
            <w:gridSpan w:val="2"/>
            <w:tcBorders>
              <w:top w:val="single" w:sz="4" w:space="0" w:color="000000"/>
              <w:left w:val="single" w:sz="4" w:space="0" w:color="000000"/>
              <w:right w:val="single" w:sz="4" w:space="0" w:color="000000"/>
            </w:tcBorders>
          </w:tcPr>
          <w:p w:rsidR="00A621AE" w:rsidRPr="00D31CCF" w:rsidRDefault="00A621AE" w:rsidP="00D31CCF">
            <w:pPr>
              <w:suppressAutoHyphens/>
              <w:snapToGrid w:val="0"/>
            </w:pPr>
            <w:r w:rsidRPr="00D31CCF">
              <w:rPr>
                <w:sz w:val="22"/>
                <w:szCs w:val="22"/>
              </w:rPr>
              <w:t>-  Užite vynechanú tabletu</w:t>
            </w:r>
          </w:p>
          <w:p w:rsidR="00A621AE" w:rsidRPr="000C3F44" w:rsidRDefault="00A621AE" w:rsidP="00D31CCF">
            <w:pPr>
              <w:suppressAutoHyphens/>
            </w:pPr>
            <w:r w:rsidRPr="000C3F44">
              <w:rPr>
                <w:sz w:val="22"/>
                <w:szCs w:val="22"/>
              </w:rPr>
              <w:t>-  Dokončite užívanie bielych tabliet z blistra</w:t>
            </w:r>
          </w:p>
          <w:p w:rsidR="00A621AE" w:rsidRPr="00D31CCF" w:rsidRDefault="00A621AE" w:rsidP="00D31CCF">
            <w:pPr>
              <w:suppressAutoHyphens/>
            </w:pPr>
            <w:r>
              <w:rPr>
                <w:sz w:val="22"/>
                <w:szCs w:val="22"/>
              </w:rPr>
              <w:t>-  Zlikvidujte 7 zelených placebo tabliet</w:t>
            </w:r>
          </w:p>
        </w:tc>
      </w:tr>
      <w:tr w:rsidR="00A621AE" w:rsidRPr="00D31CCF" w:rsidTr="002B31B2">
        <w:tc>
          <w:tcPr>
            <w:tcW w:w="2623" w:type="dxa"/>
          </w:tcPr>
          <w:p w:rsidR="00A621AE" w:rsidRPr="00D31CCF" w:rsidRDefault="00A621AE" w:rsidP="00D31CCF">
            <w:pPr>
              <w:snapToGrid w:val="0"/>
              <w:rPr>
                <w:b/>
              </w:rPr>
            </w:pPr>
          </w:p>
        </w:tc>
        <w:tc>
          <w:tcPr>
            <w:tcW w:w="430" w:type="dxa"/>
          </w:tcPr>
          <w:p w:rsidR="00A621AE" w:rsidRPr="00D31CCF" w:rsidRDefault="00A621AE" w:rsidP="00D31CCF">
            <w:pPr>
              <w:snapToGrid w:val="0"/>
              <w:rPr>
                <w:b/>
              </w:rPr>
            </w:pPr>
          </w:p>
        </w:tc>
        <w:tc>
          <w:tcPr>
            <w:tcW w:w="454" w:type="dxa"/>
            <w:tcBorders>
              <w:left w:val="single" w:sz="4" w:space="0" w:color="000000"/>
            </w:tcBorders>
          </w:tcPr>
          <w:p w:rsidR="00A621AE" w:rsidRPr="00D31CCF" w:rsidRDefault="00A621AE" w:rsidP="00D31CCF">
            <w:pPr>
              <w:snapToGrid w:val="0"/>
              <w:rPr>
                <w:b/>
              </w:rPr>
            </w:pPr>
          </w:p>
        </w:tc>
        <w:tc>
          <w:tcPr>
            <w:tcW w:w="1000" w:type="dxa"/>
          </w:tcPr>
          <w:p w:rsidR="00A621AE" w:rsidRPr="00D31CCF" w:rsidRDefault="00A621AE" w:rsidP="00D31CCF">
            <w:pPr>
              <w:snapToGrid w:val="0"/>
              <w:rPr>
                <w:b/>
              </w:rPr>
            </w:pPr>
          </w:p>
        </w:tc>
        <w:tc>
          <w:tcPr>
            <w:tcW w:w="511" w:type="dxa"/>
          </w:tcPr>
          <w:p w:rsidR="00A621AE" w:rsidRPr="00D31CCF" w:rsidRDefault="00A621AE" w:rsidP="00D31CCF">
            <w:pPr>
              <w:snapToGrid w:val="0"/>
              <w:rPr>
                <w:b/>
              </w:rPr>
            </w:pPr>
          </w:p>
        </w:tc>
        <w:tc>
          <w:tcPr>
            <w:tcW w:w="440" w:type="dxa"/>
            <w:tcBorders>
              <w:top w:val="single" w:sz="4" w:space="0" w:color="000000"/>
              <w:left w:val="single" w:sz="4" w:space="0" w:color="000000"/>
            </w:tcBorders>
          </w:tcPr>
          <w:p w:rsidR="00A621AE" w:rsidRPr="00D31CCF" w:rsidRDefault="00A621AE" w:rsidP="00D31CCF">
            <w:pPr>
              <w:snapToGrid w:val="0"/>
              <w:rPr>
                <w:b/>
              </w:rPr>
            </w:pPr>
          </w:p>
        </w:tc>
        <w:tc>
          <w:tcPr>
            <w:tcW w:w="4703" w:type="dxa"/>
            <w:gridSpan w:val="2"/>
            <w:tcBorders>
              <w:left w:val="single" w:sz="4" w:space="0" w:color="000000"/>
              <w:bottom w:val="single" w:sz="4" w:space="0" w:color="000000"/>
              <w:right w:val="single" w:sz="4" w:space="0" w:color="000000"/>
            </w:tcBorders>
          </w:tcPr>
          <w:p w:rsidR="00A621AE" w:rsidRPr="000C3F44" w:rsidRDefault="00A621AE" w:rsidP="00D31CCF">
            <w:pPr>
              <w:suppressAutoHyphens/>
            </w:pPr>
            <w:r w:rsidRPr="00D31CCF">
              <w:rPr>
                <w:sz w:val="22"/>
                <w:szCs w:val="22"/>
              </w:rPr>
              <w:t>-  Začnite s ďalším blistrom</w:t>
            </w:r>
          </w:p>
        </w:tc>
      </w:tr>
      <w:tr w:rsidR="00A621AE" w:rsidRPr="00D31CCF" w:rsidTr="002B31B2">
        <w:trPr>
          <w:gridAfter w:val="1"/>
          <w:wAfter w:w="25" w:type="dxa"/>
        </w:trPr>
        <w:tc>
          <w:tcPr>
            <w:tcW w:w="2623" w:type="dxa"/>
          </w:tcPr>
          <w:p w:rsidR="00A621AE" w:rsidRPr="00D31CCF" w:rsidRDefault="00A621AE" w:rsidP="00D31CCF">
            <w:pPr>
              <w:snapToGrid w:val="0"/>
              <w:rPr>
                <w:b/>
              </w:rPr>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Borders>
              <w:left w:val="single" w:sz="4" w:space="0" w:color="000000"/>
            </w:tcBorders>
          </w:tcPr>
          <w:p w:rsidR="00A621AE" w:rsidRPr="00D31CCF" w:rsidRDefault="00A621AE" w:rsidP="00D31CCF">
            <w:pPr>
              <w:snapToGrid w:val="0"/>
            </w:pPr>
          </w:p>
        </w:tc>
        <w:tc>
          <w:tcPr>
            <w:tcW w:w="4678" w:type="dxa"/>
          </w:tcPr>
          <w:p w:rsidR="00A621AE" w:rsidRPr="00D31CCF" w:rsidRDefault="00A621AE" w:rsidP="00D31CCF">
            <w:pPr>
              <w:snapToGrid w:val="0"/>
            </w:pPr>
          </w:p>
        </w:tc>
      </w:tr>
      <w:tr w:rsidR="00A621AE" w:rsidRPr="00D31CCF" w:rsidTr="002B31B2">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left w:val="single" w:sz="4" w:space="0" w:color="000000"/>
            </w:tcBorders>
          </w:tcPr>
          <w:p w:rsidR="00A621AE" w:rsidRPr="00D31CCF" w:rsidRDefault="00A621AE" w:rsidP="00D31CCF">
            <w:pPr>
              <w:snapToGrid w:val="0"/>
            </w:pPr>
          </w:p>
        </w:tc>
        <w:tc>
          <w:tcPr>
            <w:tcW w:w="1000" w:type="dxa"/>
            <w:tcBorders>
              <w:top w:val="single" w:sz="4" w:space="0" w:color="000000"/>
              <w:left w:val="single" w:sz="4" w:space="0" w:color="000000"/>
            </w:tcBorders>
          </w:tcPr>
          <w:p w:rsidR="00A621AE" w:rsidRPr="00D31CCF" w:rsidRDefault="00A621AE" w:rsidP="00D31CCF">
            <w:pPr>
              <w:snapToGrid w:val="0"/>
            </w:pPr>
            <w:r w:rsidRPr="00D31CCF">
              <w:rPr>
                <w:sz w:val="22"/>
                <w:szCs w:val="22"/>
              </w:rPr>
              <w:t>3. týždeň</w:t>
            </w:r>
          </w:p>
        </w:tc>
        <w:tc>
          <w:tcPr>
            <w:tcW w:w="511" w:type="dxa"/>
            <w:tcBorders>
              <w:left w:val="single" w:sz="4" w:space="0" w:color="000000"/>
            </w:tcBorders>
          </w:tcPr>
          <w:p w:rsidR="00A621AE" w:rsidRPr="00D31CCF" w:rsidRDefault="00A621AE" w:rsidP="00D31CCF">
            <w:pPr>
              <w:snapToGrid w:val="0"/>
            </w:pPr>
          </w:p>
        </w:tc>
        <w:tc>
          <w:tcPr>
            <w:tcW w:w="440" w:type="dxa"/>
            <w:tcBorders>
              <w:left w:val="single" w:sz="4" w:space="0" w:color="000000"/>
            </w:tcBorders>
          </w:tcPr>
          <w:p w:rsidR="00A621AE" w:rsidRPr="00D31CCF" w:rsidRDefault="00A621AE" w:rsidP="00D31CCF">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A621AE" w:rsidRPr="00D31CCF" w:rsidRDefault="00A621AE" w:rsidP="00D31CCF">
            <w:pPr>
              <w:snapToGrid w:val="0"/>
            </w:pPr>
            <w:r w:rsidRPr="00D31CCF">
              <w:rPr>
                <w:sz w:val="22"/>
                <w:szCs w:val="22"/>
              </w:rPr>
              <w:t>Alebo</w:t>
            </w:r>
          </w:p>
        </w:tc>
      </w:tr>
      <w:tr w:rsidR="00A621AE" w:rsidRPr="00D31CCF" w:rsidTr="002B31B2">
        <w:trPr>
          <w:gridAfter w:val="1"/>
          <w:wAfter w:w="25" w:type="dxa"/>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Borders>
              <w:top w:val="single" w:sz="4" w:space="0" w:color="000000"/>
            </w:tcBorders>
          </w:tcPr>
          <w:p w:rsidR="00A621AE" w:rsidRPr="00D31CCF" w:rsidRDefault="00A621AE" w:rsidP="00D31CCF">
            <w:pPr>
              <w:snapToGrid w:val="0"/>
            </w:pPr>
          </w:p>
        </w:tc>
        <w:tc>
          <w:tcPr>
            <w:tcW w:w="1000" w:type="dxa"/>
            <w:tcBorders>
              <w:left w:val="single" w:sz="4" w:space="0" w:color="000000"/>
              <w:bottom w:val="single" w:sz="4" w:space="0" w:color="000000"/>
            </w:tcBorders>
          </w:tcPr>
          <w:p w:rsidR="00A621AE" w:rsidRPr="00D31CCF" w:rsidRDefault="00A621AE" w:rsidP="00D31CCF">
            <w:pPr>
              <w:snapToGrid w:val="0"/>
            </w:pPr>
          </w:p>
        </w:tc>
        <w:tc>
          <w:tcPr>
            <w:tcW w:w="511" w:type="dxa"/>
            <w:tcBorders>
              <w:top w:val="single" w:sz="4" w:space="0" w:color="000000"/>
              <w:left w:val="single" w:sz="4" w:space="0" w:color="000000"/>
            </w:tcBorders>
          </w:tcPr>
          <w:p w:rsidR="00A621AE" w:rsidRPr="00D31CCF" w:rsidRDefault="00A621AE" w:rsidP="00D31CCF">
            <w:pPr>
              <w:snapToGrid w:val="0"/>
            </w:pPr>
          </w:p>
        </w:tc>
        <w:tc>
          <w:tcPr>
            <w:tcW w:w="440" w:type="dxa"/>
            <w:tcBorders>
              <w:left w:val="single" w:sz="4" w:space="0" w:color="000000"/>
            </w:tcBorders>
          </w:tcPr>
          <w:p w:rsidR="00A621AE" w:rsidRPr="00D31CCF" w:rsidRDefault="00A621AE" w:rsidP="00D31CCF">
            <w:pPr>
              <w:snapToGrid w:val="0"/>
            </w:pPr>
          </w:p>
        </w:tc>
        <w:tc>
          <w:tcPr>
            <w:tcW w:w="4678" w:type="dxa"/>
          </w:tcPr>
          <w:p w:rsidR="00A621AE" w:rsidRPr="00D31CCF" w:rsidRDefault="00A621AE" w:rsidP="00D31CCF">
            <w:pPr>
              <w:snapToGrid w:val="0"/>
            </w:pPr>
          </w:p>
        </w:tc>
      </w:tr>
      <w:tr w:rsidR="00A621AE" w:rsidRPr="00D31CCF" w:rsidTr="00DC7218">
        <w:trPr>
          <w:trHeight w:val="676"/>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Borders>
              <w:left w:val="single" w:sz="4" w:space="0" w:color="000000"/>
            </w:tcBorders>
          </w:tcPr>
          <w:p w:rsidR="00A621AE" w:rsidRPr="00D31CCF" w:rsidRDefault="00A621AE" w:rsidP="00D31CCF">
            <w:pPr>
              <w:snapToGrid w:val="0"/>
            </w:pPr>
          </w:p>
        </w:tc>
        <w:tc>
          <w:tcPr>
            <w:tcW w:w="4703" w:type="dxa"/>
            <w:gridSpan w:val="2"/>
            <w:tcBorders>
              <w:top w:val="single" w:sz="4" w:space="0" w:color="000000"/>
              <w:left w:val="single" w:sz="4" w:space="0" w:color="000000"/>
              <w:right w:val="single" w:sz="4" w:space="0" w:color="000000"/>
            </w:tcBorders>
          </w:tcPr>
          <w:p w:rsidR="00A621AE" w:rsidRPr="000C3F44" w:rsidRDefault="00A621AE" w:rsidP="00D31CCF">
            <w:pPr>
              <w:ind w:right="284"/>
            </w:pPr>
            <w:r w:rsidRPr="00D31CCF">
              <w:rPr>
                <w:sz w:val="22"/>
                <w:szCs w:val="22"/>
              </w:rPr>
              <w:t>-  Okamžite ukončite užívanie bielych</w:t>
            </w:r>
            <w:r w:rsidRPr="000C3F44">
              <w:rPr>
                <w:sz w:val="22"/>
                <w:szCs w:val="22"/>
              </w:rPr>
              <w:t xml:space="preserve"> tabliet </w:t>
            </w:r>
          </w:p>
          <w:p w:rsidR="00A621AE" w:rsidRPr="00D31CCF" w:rsidRDefault="00A621AE" w:rsidP="00D31CCF">
            <w:pPr>
              <w:suppressAutoHyphens/>
            </w:pPr>
            <w:r w:rsidRPr="000C3F44">
              <w:rPr>
                <w:sz w:val="22"/>
                <w:szCs w:val="22"/>
              </w:rPr>
              <w:t xml:space="preserve">-  Prejdite priamo na </w:t>
            </w:r>
            <w:r>
              <w:rPr>
                <w:sz w:val="22"/>
                <w:szCs w:val="22"/>
              </w:rPr>
              <w:t>užívanie 7zelených tabliet</w:t>
            </w:r>
          </w:p>
          <w:p w:rsidR="00A621AE" w:rsidRPr="00D31CCF" w:rsidRDefault="00A621AE" w:rsidP="00D31CCF">
            <w:pPr>
              <w:suppressAutoHyphens/>
            </w:pPr>
            <w:r>
              <w:rPr>
                <w:sz w:val="22"/>
                <w:szCs w:val="22"/>
              </w:rPr>
              <w:t>-  Potom začnite užívať nový blister</w:t>
            </w:r>
          </w:p>
          <w:p w:rsidR="00A621AE" w:rsidRPr="00D31CCF" w:rsidRDefault="00A621AE" w:rsidP="00D31CCF">
            <w:pPr>
              <w:suppressAutoHyphens/>
            </w:pPr>
          </w:p>
        </w:tc>
      </w:tr>
      <w:tr w:rsidR="00A621AE" w:rsidRPr="00D31CCF" w:rsidTr="00DC7218">
        <w:trPr>
          <w:trHeight w:val="59"/>
        </w:trPr>
        <w:tc>
          <w:tcPr>
            <w:tcW w:w="2623" w:type="dxa"/>
          </w:tcPr>
          <w:p w:rsidR="00A621AE" w:rsidRPr="00D31CCF" w:rsidRDefault="00A621AE" w:rsidP="00D31CCF">
            <w:pPr>
              <w:snapToGrid w:val="0"/>
            </w:pPr>
          </w:p>
        </w:tc>
        <w:tc>
          <w:tcPr>
            <w:tcW w:w="430" w:type="dxa"/>
          </w:tcPr>
          <w:p w:rsidR="00A621AE" w:rsidRPr="00D31CCF" w:rsidRDefault="00A621AE" w:rsidP="00D31CCF">
            <w:pPr>
              <w:snapToGrid w:val="0"/>
            </w:pPr>
          </w:p>
        </w:tc>
        <w:tc>
          <w:tcPr>
            <w:tcW w:w="454" w:type="dxa"/>
          </w:tcPr>
          <w:p w:rsidR="00A621AE" w:rsidRPr="00D31CCF" w:rsidRDefault="00A621AE" w:rsidP="00D31CCF">
            <w:pPr>
              <w:snapToGrid w:val="0"/>
            </w:pPr>
          </w:p>
        </w:tc>
        <w:tc>
          <w:tcPr>
            <w:tcW w:w="1000" w:type="dxa"/>
          </w:tcPr>
          <w:p w:rsidR="00A621AE" w:rsidRPr="00D31CCF" w:rsidRDefault="00A621AE" w:rsidP="00D31CCF">
            <w:pPr>
              <w:snapToGrid w:val="0"/>
            </w:pPr>
          </w:p>
        </w:tc>
        <w:tc>
          <w:tcPr>
            <w:tcW w:w="511" w:type="dxa"/>
          </w:tcPr>
          <w:p w:rsidR="00A621AE" w:rsidRPr="00D31CCF" w:rsidRDefault="00A621AE" w:rsidP="00D31CCF">
            <w:pPr>
              <w:snapToGrid w:val="0"/>
            </w:pPr>
          </w:p>
        </w:tc>
        <w:tc>
          <w:tcPr>
            <w:tcW w:w="440" w:type="dxa"/>
            <w:tcBorders>
              <w:top w:val="single" w:sz="4" w:space="0" w:color="000000"/>
            </w:tcBorders>
          </w:tcPr>
          <w:p w:rsidR="00A621AE" w:rsidRPr="00D31CCF" w:rsidRDefault="00A621AE" w:rsidP="00D31CCF">
            <w:pPr>
              <w:snapToGrid w:val="0"/>
            </w:pPr>
          </w:p>
        </w:tc>
        <w:tc>
          <w:tcPr>
            <w:tcW w:w="4703" w:type="dxa"/>
            <w:gridSpan w:val="2"/>
            <w:tcBorders>
              <w:left w:val="single" w:sz="4" w:space="0" w:color="000000"/>
              <w:bottom w:val="single" w:sz="4" w:space="0" w:color="000000"/>
              <w:right w:val="single" w:sz="4" w:space="0" w:color="000000"/>
            </w:tcBorders>
          </w:tcPr>
          <w:p w:rsidR="00A621AE" w:rsidRPr="00D31CCF" w:rsidRDefault="00A621AE" w:rsidP="00D31CCF">
            <w:pPr>
              <w:suppressAutoHyphens/>
              <w:snapToGrid w:val="0"/>
            </w:pPr>
          </w:p>
        </w:tc>
      </w:tr>
    </w:tbl>
    <w:p w:rsidR="00A621AE" w:rsidRPr="00D31CCF" w:rsidRDefault="00A621AE" w:rsidP="00D31CCF">
      <w:pPr>
        <w:autoSpaceDE w:val="0"/>
        <w:autoSpaceDN w:val="0"/>
        <w:adjustRightInd w:val="0"/>
        <w:rPr>
          <w:color w:val="000000"/>
          <w:sz w:val="22"/>
          <w:szCs w:val="22"/>
        </w:rPr>
      </w:pP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b/>
          <w:bCs/>
          <w:color w:val="000000"/>
          <w:sz w:val="22"/>
          <w:szCs w:val="22"/>
        </w:rPr>
      </w:pPr>
      <w:r w:rsidRPr="00D31CCF">
        <w:rPr>
          <w:b/>
          <w:bCs/>
          <w:color w:val="000000"/>
          <w:sz w:val="22"/>
          <w:szCs w:val="22"/>
        </w:rPr>
        <w:t>Čo musíte urobiť v prípade žalúdočných a črevných problémov</w:t>
      </w:r>
    </w:p>
    <w:p w:rsidR="00A621AE" w:rsidRPr="00D31CCF" w:rsidRDefault="00A621AE" w:rsidP="00D31CCF">
      <w:pPr>
        <w:autoSpaceDE w:val="0"/>
        <w:autoSpaceDN w:val="0"/>
        <w:adjustRightInd w:val="0"/>
        <w:rPr>
          <w:sz w:val="22"/>
          <w:szCs w:val="22"/>
        </w:rPr>
      </w:pPr>
      <w:r w:rsidRPr="00D31CCF">
        <w:rPr>
          <w:color w:val="000000"/>
          <w:sz w:val="22"/>
          <w:szCs w:val="22"/>
        </w:rPr>
        <w:t xml:space="preserve">V prípade závažných </w:t>
      </w:r>
      <w:r w:rsidRPr="00D31CCF">
        <w:rPr>
          <w:b/>
          <w:bCs/>
          <w:color w:val="000000"/>
          <w:sz w:val="22"/>
          <w:szCs w:val="22"/>
        </w:rPr>
        <w:t xml:space="preserve">žalúdočných a črevných </w:t>
      </w:r>
      <w:r w:rsidRPr="00D31CCF">
        <w:rPr>
          <w:color w:val="000000"/>
          <w:sz w:val="22"/>
          <w:szCs w:val="22"/>
        </w:rPr>
        <w:t>problémov (napr. vracanie alebo hnačka) existuje riziko, že liečivá v tablete sa nemu</w:t>
      </w:r>
      <w:r w:rsidRPr="000C3F44">
        <w:rPr>
          <w:color w:val="000000"/>
          <w:sz w:val="22"/>
          <w:szCs w:val="22"/>
        </w:rPr>
        <w:t xml:space="preserve">sia úplne vstrebať a majú sa použiť dodatočné antikoncepčné opatrenia. Ak vraciate v priebehu 3 - </w:t>
      </w:r>
      <w:r>
        <w:rPr>
          <w:color w:val="000000"/>
          <w:sz w:val="22"/>
          <w:szCs w:val="22"/>
        </w:rPr>
        <w:t xml:space="preserve">4 hodín po užití bielej aktívnej tablety alebo máte silnú hnačku je situácia podobná, ako keď zabudnete užiť tabletu. Po vracaní alebo hnačke musíte čo najskôr užiť ďalšiu aktívnu tabletu z náhradného blistra. Ak je to možné, užite ju </w:t>
      </w:r>
      <w:r>
        <w:rPr>
          <w:iCs/>
          <w:color w:val="000000"/>
          <w:sz w:val="22"/>
          <w:szCs w:val="22"/>
        </w:rPr>
        <w:t>do 12hodín</w:t>
      </w:r>
      <w:r>
        <w:rPr>
          <w:color w:val="000000"/>
          <w:sz w:val="22"/>
          <w:szCs w:val="22"/>
        </w:rPr>
        <w:t xml:space="preserve">od času, keď normálne užívate svoju tabletu. Ak to nie je možné alebo ak už prešlo 12hodín, pokračujte podľa pokynov uvedených v časti „Ak zabudnete užiť </w:t>
      </w:r>
      <w:r>
        <w:rPr>
          <w:sz w:val="22"/>
          <w:szCs w:val="22"/>
        </w:rPr>
        <w:t>Gentilion Daily“.</w:t>
      </w:r>
    </w:p>
    <w:p w:rsidR="00A621AE" w:rsidRPr="00D31CCF" w:rsidRDefault="00A621AE" w:rsidP="00D31CCF">
      <w:pPr>
        <w:autoSpaceDE w:val="0"/>
        <w:autoSpaceDN w:val="0"/>
        <w:adjustRightInd w:val="0"/>
        <w:rPr>
          <w:b/>
          <w:bCs/>
          <w:color w:val="000000"/>
          <w:sz w:val="22"/>
          <w:szCs w:val="22"/>
        </w:rPr>
      </w:pPr>
    </w:p>
    <w:p w:rsidR="00A621AE" w:rsidRPr="00D31CCF" w:rsidRDefault="00A621AE" w:rsidP="00D31CCF">
      <w:pPr>
        <w:autoSpaceDE w:val="0"/>
        <w:autoSpaceDN w:val="0"/>
        <w:adjustRightInd w:val="0"/>
        <w:rPr>
          <w:b/>
          <w:bCs/>
          <w:color w:val="000000"/>
          <w:sz w:val="22"/>
          <w:szCs w:val="22"/>
        </w:rPr>
      </w:pPr>
      <w:r>
        <w:rPr>
          <w:b/>
          <w:bCs/>
          <w:color w:val="000000"/>
          <w:sz w:val="22"/>
          <w:szCs w:val="22"/>
        </w:rPr>
        <w:t>Oddialenie krvácania: čo musíte vedieť</w:t>
      </w:r>
    </w:p>
    <w:p w:rsidR="00A621AE" w:rsidRPr="00D31CCF" w:rsidRDefault="00A621AE" w:rsidP="00D31CCF">
      <w:pPr>
        <w:autoSpaceDE w:val="0"/>
        <w:autoSpaceDN w:val="0"/>
        <w:adjustRightInd w:val="0"/>
        <w:rPr>
          <w:sz w:val="22"/>
          <w:szCs w:val="22"/>
        </w:rPr>
      </w:pPr>
      <w:r>
        <w:rPr>
          <w:color w:val="000000"/>
          <w:sz w:val="22"/>
          <w:szCs w:val="22"/>
        </w:rPr>
        <w:t xml:space="preserve">Hoci sa to neodporúča, môžete oddialiť krvácanie(krvácanie z vysadenia).Urobíte to tak, že namiesto obdobia užívania placebo tabliet z prvého blistra ihneď prejdete na nový blister Gentilionu Daily. </w:t>
      </w:r>
      <w:r>
        <w:rPr>
          <w:color w:val="000000"/>
          <w:sz w:val="22"/>
          <w:szCs w:val="22"/>
        </w:rPr>
        <w:lastRenderedPageBreak/>
        <w:t xml:space="preserve">Počas užívania druhého blistra sa u vás </w:t>
      </w:r>
      <w:r>
        <w:rPr>
          <w:sz w:val="22"/>
          <w:szCs w:val="22"/>
        </w:rPr>
        <w:t>môže vyskytnúť špinenie (kvapky alebo fľaky krvi) alebo medzimenštruačné krvácanie. Po zvyčajnom 7 dňovom období užívania placebo tabliet pokračujte s ďalším blistrom.</w:t>
      </w:r>
    </w:p>
    <w:p w:rsidR="00A621AE" w:rsidRPr="00D31CCF" w:rsidRDefault="00A621AE" w:rsidP="00D31CCF">
      <w:pPr>
        <w:autoSpaceDE w:val="0"/>
        <w:autoSpaceDN w:val="0"/>
        <w:adjustRightInd w:val="0"/>
        <w:rPr>
          <w:color w:val="000000"/>
          <w:sz w:val="22"/>
          <w:szCs w:val="22"/>
        </w:rPr>
      </w:pPr>
    </w:p>
    <w:p w:rsidR="00A621AE" w:rsidRPr="00D31CCF" w:rsidRDefault="00A621AE" w:rsidP="00D31CCF">
      <w:pPr>
        <w:autoSpaceDE w:val="0"/>
        <w:autoSpaceDN w:val="0"/>
        <w:adjustRightInd w:val="0"/>
        <w:rPr>
          <w:b/>
          <w:bCs/>
          <w:iCs/>
          <w:color w:val="000000"/>
          <w:sz w:val="22"/>
          <w:szCs w:val="22"/>
        </w:rPr>
      </w:pPr>
      <w:r>
        <w:rPr>
          <w:b/>
          <w:bCs/>
          <w:iCs/>
          <w:color w:val="000000"/>
          <w:sz w:val="22"/>
          <w:szCs w:val="22"/>
        </w:rPr>
        <w:t>Pred rozhodnutím oddialiť svoju menštruáciu sa poraďte so svojím lekárom.</w:t>
      </w:r>
    </w:p>
    <w:p w:rsidR="00A621AE" w:rsidRPr="00D31CCF" w:rsidRDefault="00A621AE" w:rsidP="00D31CCF">
      <w:pPr>
        <w:autoSpaceDE w:val="0"/>
        <w:autoSpaceDN w:val="0"/>
        <w:adjustRightInd w:val="0"/>
        <w:rPr>
          <w:bCs/>
          <w:iCs/>
          <w:color w:val="000000"/>
          <w:sz w:val="22"/>
          <w:szCs w:val="22"/>
        </w:rPr>
      </w:pPr>
    </w:p>
    <w:p w:rsidR="00A621AE" w:rsidRPr="00D31CCF" w:rsidRDefault="00A621AE" w:rsidP="00D31CCF">
      <w:pPr>
        <w:autoSpaceDE w:val="0"/>
        <w:autoSpaceDN w:val="0"/>
        <w:adjustRightInd w:val="0"/>
        <w:rPr>
          <w:b/>
          <w:bCs/>
          <w:color w:val="000000"/>
          <w:sz w:val="22"/>
          <w:szCs w:val="22"/>
        </w:rPr>
      </w:pPr>
      <w:r>
        <w:rPr>
          <w:b/>
          <w:bCs/>
          <w:color w:val="000000"/>
          <w:sz w:val="22"/>
          <w:szCs w:val="22"/>
        </w:rPr>
        <w:t>Zmena prvého dňa krvácania: čo musíte vedieť</w:t>
      </w:r>
    </w:p>
    <w:p w:rsidR="00A621AE" w:rsidRPr="00D31CCF" w:rsidRDefault="00A621AE" w:rsidP="000C3F44">
      <w:pPr>
        <w:autoSpaceDE w:val="0"/>
        <w:autoSpaceDN w:val="0"/>
        <w:adjustRightInd w:val="0"/>
        <w:rPr>
          <w:sz w:val="22"/>
          <w:szCs w:val="22"/>
        </w:rPr>
      </w:pPr>
      <w:r>
        <w:rPr>
          <w:color w:val="000000"/>
          <w:sz w:val="22"/>
          <w:szCs w:val="22"/>
        </w:rPr>
        <w:t xml:space="preserve">Ak užívate tablety podľa pokynov, potom sa krvácanie začne počas dní užívania placebo tabliet. Ak musíte zmeniť tento deň, urobíte to tak, že skrátite počet dní kedy užívate placebo tablety </w:t>
      </w:r>
      <w:r>
        <w:rPr>
          <w:b/>
          <w:color w:val="000000"/>
          <w:sz w:val="22"/>
          <w:szCs w:val="22"/>
        </w:rPr>
        <w:t>(avšak nikdy nepresiahnite7 dní!)</w:t>
      </w:r>
      <w:r>
        <w:rPr>
          <w:color w:val="000000"/>
          <w:sz w:val="22"/>
          <w:szCs w:val="22"/>
        </w:rPr>
        <w:t xml:space="preserve">. Napríklad ak začnete užívať tablety s placebom v piatok a chcete to zmeniť na utorok (o 3 dni skôr) musíte začať užívanie z nového blistra o 3 dni skôr ako zvyčajne. Ak obdobie užívania placebo tabliet veľmi skrátite (napr. na 3 dni alebo menej) potom počas tohto obdobia nemusíte mať nijaké krvácanie. Následne sa </w:t>
      </w:r>
      <w:r>
        <w:rPr>
          <w:sz w:val="22"/>
          <w:szCs w:val="22"/>
        </w:rPr>
        <w:t>môže u vás vyskytnúť špinenie alebo medzimenštruačné krvácanie.</w:t>
      </w:r>
    </w:p>
    <w:p w:rsidR="00A621AE" w:rsidRPr="00D31CCF" w:rsidRDefault="00A621AE" w:rsidP="000C3F44">
      <w:pPr>
        <w:autoSpaceDE w:val="0"/>
        <w:autoSpaceDN w:val="0"/>
        <w:adjustRightInd w:val="0"/>
        <w:rPr>
          <w:sz w:val="22"/>
          <w:szCs w:val="22"/>
        </w:rPr>
      </w:pPr>
    </w:p>
    <w:p w:rsidR="00A621AE" w:rsidRDefault="00A621AE">
      <w:pPr>
        <w:autoSpaceDE w:val="0"/>
        <w:autoSpaceDN w:val="0"/>
        <w:adjustRightInd w:val="0"/>
        <w:rPr>
          <w:b/>
          <w:bCs/>
          <w:iCs/>
          <w:color w:val="000000"/>
          <w:sz w:val="22"/>
          <w:szCs w:val="22"/>
        </w:rPr>
      </w:pPr>
      <w:r>
        <w:rPr>
          <w:b/>
          <w:bCs/>
          <w:iCs/>
          <w:color w:val="000000"/>
          <w:sz w:val="22"/>
          <w:szCs w:val="22"/>
        </w:rPr>
        <w:t>Ak si nie ste istá, ako máte postupovať, poraďte sa so svojím lekárom.</w:t>
      </w:r>
    </w:p>
    <w:p w:rsidR="00A621AE" w:rsidRDefault="00A621AE">
      <w:pPr>
        <w:autoSpaceDE w:val="0"/>
        <w:autoSpaceDN w:val="0"/>
        <w:adjustRightInd w:val="0"/>
        <w:rPr>
          <w:bCs/>
          <w:iCs/>
          <w:color w:val="000000"/>
          <w:sz w:val="22"/>
          <w:szCs w:val="22"/>
        </w:rPr>
      </w:pPr>
    </w:p>
    <w:p w:rsidR="00A621AE" w:rsidRDefault="00A621AE">
      <w:pPr>
        <w:rPr>
          <w:b/>
          <w:sz w:val="22"/>
          <w:szCs w:val="22"/>
        </w:rPr>
      </w:pPr>
      <w:r>
        <w:rPr>
          <w:b/>
          <w:sz w:val="22"/>
          <w:szCs w:val="22"/>
        </w:rPr>
        <w:t>Ak prestanete užívať Gentilion Daily</w:t>
      </w:r>
    </w:p>
    <w:p w:rsidR="00A621AE" w:rsidRDefault="00A621AE">
      <w:pPr>
        <w:rPr>
          <w:sz w:val="22"/>
          <w:szCs w:val="22"/>
        </w:rPr>
      </w:pPr>
      <w:r>
        <w:rPr>
          <w:sz w:val="22"/>
          <w:szCs w:val="22"/>
        </w:rPr>
        <w:t>Gentilion Daily môžete prestať užívať kedykoľvek chcete. Ak nechcete otehotnieť, poraďte sa so</w:t>
      </w:r>
      <w:r w:rsidR="00B16C2E">
        <w:rPr>
          <w:sz w:val="22"/>
          <w:szCs w:val="22"/>
        </w:rPr>
        <w:t> </w:t>
      </w:r>
      <w:r>
        <w:rPr>
          <w:sz w:val="22"/>
          <w:szCs w:val="22"/>
        </w:rPr>
        <w:t xml:space="preserve">svojím lekárom o iných spoľahlivých metódach antikoncepcie. </w:t>
      </w:r>
    </w:p>
    <w:p w:rsidR="00A621AE" w:rsidRDefault="00A621AE">
      <w:pPr>
        <w:autoSpaceDE w:val="0"/>
        <w:autoSpaceDN w:val="0"/>
        <w:adjustRightInd w:val="0"/>
        <w:rPr>
          <w:iCs/>
          <w:color w:val="000000"/>
          <w:sz w:val="22"/>
          <w:szCs w:val="22"/>
        </w:rPr>
      </w:pPr>
    </w:p>
    <w:p w:rsidR="00A621AE" w:rsidRDefault="00A621AE">
      <w:pPr>
        <w:autoSpaceDE w:val="0"/>
        <w:autoSpaceDN w:val="0"/>
        <w:adjustRightInd w:val="0"/>
        <w:rPr>
          <w:color w:val="000000"/>
          <w:sz w:val="22"/>
          <w:szCs w:val="22"/>
        </w:rPr>
      </w:pPr>
      <w:r>
        <w:rPr>
          <w:iCs/>
          <w:color w:val="000000"/>
          <w:sz w:val="22"/>
          <w:szCs w:val="22"/>
        </w:rPr>
        <w:t>Ak máte akékoľvek ďalšie otázky týkajúce sa použitia tohto lieku, opýtajte sa svojho lekára alebo lekárnika.</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p>
    <w:p w:rsidR="00A621AE" w:rsidRDefault="00A621AE">
      <w:pPr>
        <w:tabs>
          <w:tab w:val="left" w:pos="567"/>
        </w:tabs>
        <w:autoSpaceDE w:val="0"/>
        <w:autoSpaceDN w:val="0"/>
        <w:adjustRightInd w:val="0"/>
        <w:rPr>
          <w:b/>
          <w:color w:val="000000"/>
          <w:sz w:val="22"/>
          <w:szCs w:val="22"/>
        </w:rPr>
      </w:pPr>
      <w:r>
        <w:rPr>
          <w:b/>
          <w:color w:val="000000"/>
          <w:sz w:val="22"/>
          <w:szCs w:val="22"/>
        </w:rPr>
        <w:t>4.</w:t>
      </w:r>
      <w:r>
        <w:rPr>
          <w:b/>
          <w:color w:val="000000"/>
          <w:sz w:val="22"/>
          <w:szCs w:val="22"/>
        </w:rPr>
        <w:tab/>
        <w:t>Možné vedľajšie účinky</w:t>
      </w:r>
    </w:p>
    <w:p w:rsidR="00A621AE" w:rsidRPr="00D31CCF" w:rsidRDefault="00A621AE" w:rsidP="000C3F44">
      <w:pPr>
        <w:autoSpaceDE w:val="0"/>
        <w:autoSpaceDN w:val="0"/>
        <w:adjustRightInd w:val="0"/>
        <w:rPr>
          <w:color w:val="000000"/>
          <w:sz w:val="22"/>
          <w:szCs w:val="22"/>
        </w:rPr>
      </w:pPr>
    </w:p>
    <w:p w:rsidR="00A621AE" w:rsidRPr="00D31CCF" w:rsidRDefault="00A621AE" w:rsidP="000C3F44">
      <w:pPr>
        <w:pStyle w:val="Default"/>
        <w:rPr>
          <w:rFonts w:ascii="Times New Roman" w:hAnsi="Times New Roman" w:cs="Times New Roman"/>
          <w:sz w:val="22"/>
          <w:szCs w:val="22"/>
        </w:rPr>
      </w:pPr>
      <w:r>
        <w:rPr>
          <w:rFonts w:ascii="Times New Roman" w:hAnsi="Times New Roman" w:cs="Times New Roman"/>
          <w:sz w:val="22"/>
          <w:szCs w:val="22"/>
        </w:rPr>
        <w:t xml:space="preserve">Tak ako všetky lieky, aj tento liek 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Gentilionom Daily, povedzte to svojmu lekárovi. </w:t>
      </w:r>
    </w:p>
    <w:p w:rsidR="00A621AE" w:rsidRDefault="00A621AE">
      <w:pPr>
        <w:pStyle w:val="Default"/>
        <w:rPr>
          <w:rFonts w:ascii="Times New Roman" w:hAnsi="Times New Roman" w:cs="Times New Roman"/>
          <w:sz w:val="22"/>
          <w:szCs w:val="22"/>
        </w:rPr>
      </w:pPr>
    </w:p>
    <w:p w:rsidR="00A621AE" w:rsidRDefault="00A621AE">
      <w:pPr>
        <w:autoSpaceDE w:val="0"/>
        <w:autoSpaceDN w:val="0"/>
        <w:adjustRightInd w:val="0"/>
        <w:rPr>
          <w:sz w:val="22"/>
          <w:szCs w:val="22"/>
        </w:rPr>
      </w:pPr>
      <w:r>
        <w:rPr>
          <w:sz w:val="22"/>
          <w:szCs w:val="22"/>
        </w:rPr>
        <w:t xml:space="preserve">Zvýšené riziko vzniku krvných zrazenín v žilách (venózna </w:t>
      </w:r>
      <w:r w:rsidR="00B84E00">
        <w:rPr>
          <w:sz w:val="22"/>
          <w:szCs w:val="22"/>
        </w:rPr>
        <w:t>tromboem</w:t>
      </w:r>
      <w:r>
        <w:rPr>
          <w:sz w:val="22"/>
          <w:szCs w:val="22"/>
        </w:rPr>
        <w:t xml:space="preserve">bólia (VTE)) alebo krvných zrazenín v tepnách (arteriálna </w:t>
      </w:r>
      <w:r w:rsidR="00B84E00">
        <w:rPr>
          <w:sz w:val="22"/>
          <w:szCs w:val="22"/>
        </w:rPr>
        <w:t>tromboem</w:t>
      </w:r>
      <w:r>
        <w:rPr>
          <w:sz w:val="22"/>
          <w:szCs w:val="22"/>
        </w:rPr>
        <w:t>bólia (ATE)) existuje u všetkých žien užívajúcich kombinovanú hormonálnu antikoncepciu. Podrobnejšie informácie o rôznych rizikách vyplývajúcich z</w:t>
      </w:r>
      <w:r w:rsidR="00B16C2E">
        <w:rPr>
          <w:sz w:val="22"/>
          <w:szCs w:val="22"/>
        </w:rPr>
        <w:t> </w:t>
      </w:r>
      <w:r>
        <w:rPr>
          <w:sz w:val="22"/>
          <w:szCs w:val="22"/>
        </w:rPr>
        <w:t>užívania kombinovanej hormonálnej antikoncepcie, pozri časť 2 „Čo potrebujete vedieť predtým, ako užijete Gentilion Daily“.</w:t>
      </w:r>
    </w:p>
    <w:p w:rsidR="00A621AE" w:rsidRDefault="00A621AE">
      <w:pPr>
        <w:autoSpaceDE w:val="0"/>
        <w:autoSpaceDN w:val="0"/>
        <w:adjustRightInd w:val="0"/>
        <w:rPr>
          <w:sz w:val="22"/>
          <w:szCs w:val="22"/>
        </w:rPr>
      </w:pPr>
    </w:p>
    <w:p w:rsidR="00A621AE" w:rsidRDefault="00A621AE">
      <w:pPr>
        <w:numPr>
          <w:ilvl w:val="0"/>
          <w:numId w:val="29"/>
        </w:numPr>
        <w:ind w:left="567" w:right="-29" w:hanging="567"/>
        <w:rPr>
          <w:noProof/>
          <w:sz w:val="22"/>
          <w:szCs w:val="22"/>
        </w:rPr>
      </w:pPr>
      <w:r>
        <w:rPr>
          <w:sz w:val="22"/>
          <w:szCs w:val="22"/>
        </w:rPr>
        <w:t xml:space="preserve">škodlivé krvné zrazeniny v žile alebo tepne, napríklad: </w:t>
      </w:r>
    </w:p>
    <w:p w:rsidR="00A621AE" w:rsidRDefault="00A621AE" w:rsidP="00B16C2E">
      <w:pPr>
        <w:numPr>
          <w:ilvl w:val="1"/>
          <w:numId w:val="29"/>
        </w:numPr>
        <w:autoSpaceDE w:val="0"/>
        <w:autoSpaceDN w:val="0"/>
        <w:adjustRightInd w:val="0"/>
        <w:ind w:left="851" w:hanging="284"/>
        <w:rPr>
          <w:color w:val="000000"/>
          <w:sz w:val="22"/>
          <w:szCs w:val="22"/>
        </w:rPr>
      </w:pPr>
      <w:r>
        <w:rPr>
          <w:sz w:val="22"/>
          <w:szCs w:val="22"/>
        </w:rPr>
        <w:t xml:space="preserve">v nohe alebo chodidle (t.j. DVT), </w:t>
      </w:r>
    </w:p>
    <w:p w:rsidR="00A621AE" w:rsidRDefault="00A621AE" w:rsidP="00B16C2E">
      <w:pPr>
        <w:pStyle w:val="Default"/>
        <w:numPr>
          <w:ilvl w:val="1"/>
          <w:numId w:val="29"/>
        </w:numPr>
        <w:ind w:left="851" w:hanging="284"/>
        <w:rPr>
          <w:rFonts w:ascii="Times New Roman" w:hAnsi="Times New Roman" w:cs="Times New Roman"/>
          <w:sz w:val="22"/>
          <w:szCs w:val="22"/>
        </w:rPr>
      </w:pPr>
      <w:r>
        <w:rPr>
          <w:rFonts w:ascii="Times New Roman" w:hAnsi="Times New Roman" w:cs="Times New Roman"/>
          <w:sz w:val="22"/>
          <w:szCs w:val="22"/>
        </w:rPr>
        <w:t xml:space="preserve">v pľúcach (t.j. PE), </w:t>
      </w:r>
    </w:p>
    <w:p w:rsidR="00A621AE" w:rsidRDefault="00A621AE" w:rsidP="00B16C2E">
      <w:pPr>
        <w:pStyle w:val="Default"/>
        <w:numPr>
          <w:ilvl w:val="1"/>
          <w:numId w:val="29"/>
        </w:numPr>
        <w:ind w:left="851" w:hanging="284"/>
        <w:rPr>
          <w:rFonts w:ascii="Times New Roman" w:hAnsi="Times New Roman" w:cs="Times New Roman"/>
          <w:sz w:val="22"/>
          <w:szCs w:val="22"/>
        </w:rPr>
      </w:pPr>
      <w:r>
        <w:rPr>
          <w:rFonts w:ascii="Times New Roman" w:hAnsi="Times New Roman" w:cs="Times New Roman"/>
          <w:sz w:val="22"/>
          <w:szCs w:val="22"/>
        </w:rPr>
        <w:t xml:space="preserve">srdcový infarkt, </w:t>
      </w:r>
    </w:p>
    <w:p w:rsidR="00A621AE" w:rsidRDefault="00A621AE" w:rsidP="00B16C2E">
      <w:pPr>
        <w:pStyle w:val="Default"/>
        <w:numPr>
          <w:ilvl w:val="1"/>
          <w:numId w:val="29"/>
        </w:numPr>
        <w:ind w:left="851" w:hanging="284"/>
        <w:rPr>
          <w:rFonts w:ascii="Times New Roman" w:hAnsi="Times New Roman" w:cs="Times New Roman"/>
          <w:sz w:val="22"/>
          <w:szCs w:val="22"/>
        </w:rPr>
      </w:pPr>
      <w:r>
        <w:rPr>
          <w:rFonts w:ascii="Times New Roman" w:hAnsi="Times New Roman" w:cs="Times New Roman"/>
          <w:sz w:val="22"/>
          <w:szCs w:val="22"/>
        </w:rPr>
        <w:t xml:space="preserve">cievna mozgová príhoda, </w:t>
      </w:r>
    </w:p>
    <w:p w:rsidR="00A621AE" w:rsidRDefault="00A621AE" w:rsidP="00B16C2E">
      <w:pPr>
        <w:pStyle w:val="Default"/>
        <w:numPr>
          <w:ilvl w:val="1"/>
          <w:numId w:val="29"/>
        </w:numPr>
        <w:ind w:left="851" w:hanging="284"/>
        <w:rPr>
          <w:rFonts w:ascii="Times New Roman" w:hAnsi="Times New Roman" w:cs="Times New Roman"/>
          <w:sz w:val="22"/>
          <w:szCs w:val="22"/>
        </w:rPr>
      </w:pPr>
      <w:r>
        <w:rPr>
          <w:rFonts w:ascii="Times New Roman" w:hAnsi="Times New Roman" w:cs="Times New Roman"/>
          <w:sz w:val="22"/>
          <w:szCs w:val="22"/>
        </w:rPr>
        <w:t xml:space="preserve">malá cievna mozgová príhoda alebo dočasné príznaky podobné cievnej mozgovej príhode, známe ako prechodný ischemický záchvat (TIA), </w:t>
      </w:r>
    </w:p>
    <w:p w:rsidR="00A621AE" w:rsidRDefault="00A621AE" w:rsidP="00B16C2E">
      <w:pPr>
        <w:pStyle w:val="Default"/>
        <w:numPr>
          <w:ilvl w:val="1"/>
          <w:numId w:val="29"/>
        </w:numPr>
        <w:ind w:left="851" w:hanging="284"/>
        <w:rPr>
          <w:rFonts w:ascii="Times New Roman" w:hAnsi="Times New Roman" w:cs="Times New Roman"/>
          <w:sz w:val="22"/>
          <w:szCs w:val="22"/>
        </w:rPr>
      </w:pPr>
      <w:r>
        <w:rPr>
          <w:rFonts w:ascii="Times New Roman" w:hAnsi="Times New Roman" w:cs="Times New Roman"/>
          <w:sz w:val="22"/>
          <w:szCs w:val="22"/>
        </w:rPr>
        <w:t xml:space="preserve">krvné zrazeniny v pečeni, žalúdku/črevách, obličkách alebo oku. </w:t>
      </w:r>
    </w:p>
    <w:p w:rsidR="00A621AE" w:rsidRPr="00D31CCF" w:rsidRDefault="00A621AE" w:rsidP="000C3F44">
      <w:pPr>
        <w:pStyle w:val="Default"/>
        <w:ind w:left="1440"/>
        <w:rPr>
          <w:rFonts w:ascii="Times New Roman" w:hAnsi="Times New Roman" w:cs="Times New Roman"/>
          <w:sz w:val="22"/>
          <w:szCs w:val="22"/>
        </w:rPr>
      </w:pPr>
    </w:p>
    <w:p w:rsidR="00A621AE" w:rsidRPr="00D31CCF" w:rsidRDefault="00A621AE" w:rsidP="000C3F44">
      <w:pPr>
        <w:autoSpaceDE w:val="0"/>
        <w:autoSpaceDN w:val="0"/>
        <w:adjustRightInd w:val="0"/>
        <w:rPr>
          <w:sz w:val="22"/>
          <w:szCs w:val="22"/>
        </w:rPr>
      </w:pPr>
      <w:r>
        <w:rPr>
          <w:sz w:val="22"/>
          <w:szCs w:val="22"/>
        </w:rPr>
        <w:t>Riziko vzniku krvnej zrazeniny môže byť vyššie, ak máte akékoľvek iné stavy, ktoré zvyšujú toto riziko (pre ďalšie informácie o stavoch, ktoré zvyšujú riziko vzniku krvných zrazenín, a príznakoch krvnej zrazeniny pozri časť 2).</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sz w:val="22"/>
          <w:szCs w:val="22"/>
        </w:rPr>
      </w:pPr>
      <w:r>
        <w:rPr>
          <w:sz w:val="22"/>
          <w:szCs w:val="22"/>
        </w:rPr>
        <w:t>Nasledujúce vedľajšie účinky boli spájané s užívaním Gentilionu Daily:</w:t>
      </w:r>
    </w:p>
    <w:p w:rsidR="00A621AE" w:rsidRDefault="00A621AE">
      <w:pPr>
        <w:autoSpaceDE w:val="0"/>
        <w:autoSpaceDN w:val="0"/>
        <w:adjustRightInd w:val="0"/>
        <w:rPr>
          <w:color w:val="000000"/>
          <w:sz w:val="22"/>
          <w:szCs w:val="22"/>
        </w:rPr>
      </w:pPr>
    </w:p>
    <w:p w:rsidR="00A621AE" w:rsidRPr="00CD097A" w:rsidRDefault="00A621AE" w:rsidP="000C3F44">
      <w:pPr>
        <w:autoSpaceDE w:val="0"/>
        <w:autoSpaceDN w:val="0"/>
        <w:adjustRightInd w:val="0"/>
        <w:rPr>
          <w:i/>
          <w:sz w:val="22"/>
          <w:szCs w:val="22"/>
        </w:rPr>
      </w:pPr>
      <w:r w:rsidRPr="00787130">
        <w:rPr>
          <w:b/>
          <w:bCs/>
          <w:color w:val="000000"/>
          <w:sz w:val="22"/>
          <w:szCs w:val="22"/>
        </w:rPr>
        <w:t>Časté vedľajšie účinky</w:t>
      </w:r>
      <w:r w:rsidRPr="00CD097A">
        <w:rPr>
          <w:i/>
          <w:color w:val="000000"/>
          <w:sz w:val="22"/>
          <w:szCs w:val="22"/>
        </w:rPr>
        <w:t xml:space="preserve"> </w:t>
      </w:r>
      <w:r w:rsidRPr="00787130">
        <w:rPr>
          <w:color w:val="000000"/>
          <w:sz w:val="22"/>
          <w:szCs w:val="22"/>
        </w:rPr>
        <w:t>(</w:t>
      </w:r>
      <w:r w:rsidRPr="00787130">
        <w:rPr>
          <w:sz w:val="22"/>
          <w:szCs w:val="22"/>
        </w:rPr>
        <w:t>môžu postihnúť menej ako 1 z 10</w:t>
      </w:r>
      <w:r w:rsidRPr="00787130">
        <w:t xml:space="preserve"> </w:t>
      </w:r>
      <w:r w:rsidRPr="00787130">
        <w:rPr>
          <w:sz w:val="22"/>
          <w:szCs w:val="22"/>
        </w:rPr>
        <w:t>žien</w:t>
      </w:r>
      <w:r w:rsidRPr="00787130">
        <w:rPr>
          <w:color w:val="000000"/>
          <w:sz w:val="22"/>
          <w:szCs w:val="22"/>
        </w:rPr>
        <w:t>):</w:t>
      </w:r>
      <w:r w:rsidRPr="00CD097A">
        <w:rPr>
          <w:i/>
          <w:color w:val="000000"/>
          <w:sz w:val="22"/>
          <w:szCs w:val="22"/>
        </w:rPr>
        <w:t xml:space="preserve"> </w:t>
      </w:r>
    </w:p>
    <w:p w:rsidR="00B16C2E" w:rsidRDefault="00B16C2E" w:rsidP="00B16C2E">
      <w:pPr>
        <w:pStyle w:val="ListParagraph"/>
        <w:numPr>
          <w:ilvl w:val="0"/>
          <w:numId w:val="27"/>
        </w:numPr>
        <w:ind w:left="567" w:hanging="501"/>
        <w:rPr>
          <w:sz w:val="22"/>
          <w:szCs w:val="22"/>
        </w:rPr>
      </w:pPr>
      <w:r>
        <w:rPr>
          <w:sz w:val="22"/>
          <w:szCs w:val="22"/>
        </w:rPr>
        <w:t xml:space="preserve">strata záujmu o sex, </w:t>
      </w:r>
    </w:p>
    <w:p w:rsidR="00B16C2E" w:rsidRDefault="00B16C2E" w:rsidP="00B16C2E">
      <w:pPr>
        <w:pStyle w:val="ListParagraph"/>
        <w:numPr>
          <w:ilvl w:val="0"/>
          <w:numId w:val="27"/>
        </w:numPr>
        <w:ind w:left="567" w:hanging="501"/>
        <w:rPr>
          <w:sz w:val="22"/>
          <w:szCs w:val="22"/>
        </w:rPr>
      </w:pPr>
      <w:r>
        <w:rPr>
          <w:sz w:val="22"/>
          <w:szCs w:val="22"/>
        </w:rPr>
        <w:lastRenderedPageBreak/>
        <w:t xml:space="preserve">depresívne nálady, </w:t>
      </w:r>
    </w:p>
    <w:p w:rsidR="00B16C2E" w:rsidRDefault="00B16C2E" w:rsidP="00B16C2E">
      <w:pPr>
        <w:pStyle w:val="ListParagraph"/>
        <w:numPr>
          <w:ilvl w:val="0"/>
          <w:numId w:val="27"/>
        </w:numPr>
        <w:ind w:left="567" w:hanging="501"/>
        <w:rPr>
          <w:sz w:val="22"/>
          <w:szCs w:val="22"/>
        </w:rPr>
      </w:pPr>
      <w:r>
        <w:rPr>
          <w:sz w:val="22"/>
          <w:szCs w:val="22"/>
        </w:rPr>
        <w:t>podráždenosť,</w:t>
      </w:r>
    </w:p>
    <w:p w:rsidR="00A621AE" w:rsidRDefault="00A621AE" w:rsidP="00883334">
      <w:pPr>
        <w:pStyle w:val="ListParagraph"/>
        <w:numPr>
          <w:ilvl w:val="0"/>
          <w:numId w:val="27"/>
        </w:numPr>
        <w:ind w:left="567" w:hanging="501"/>
        <w:rPr>
          <w:sz w:val="22"/>
          <w:szCs w:val="22"/>
        </w:rPr>
      </w:pPr>
      <w:r w:rsidRPr="000C3F44">
        <w:rPr>
          <w:sz w:val="22"/>
          <w:szCs w:val="22"/>
        </w:rPr>
        <w:t xml:space="preserve">bolesti hlavy, </w:t>
      </w:r>
    </w:p>
    <w:p w:rsidR="00A621AE" w:rsidRDefault="00A621AE" w:rsidP="00883334">
      <w:pPr>
        <w:pStyle w:val="ListParagraph"/>
        <w:numPr>
          <w:ilvl w:val="0"/>
          <w:numId w:val="27"/>
        </w:numPr>
        <w:ind w:left="567" w:hanging="501"/>
        <w:rPr>
          <w:sz w:val="22"/>
          <w:szCs w:val="22"/>
        </w:rPr>
      </w:pPr>
      <w:r>
        <w:rPr>
          <w:sz w:val="22"/>
          <w:szCs w:val="22"/>
        </w:rPr>
        <w:t xml:space="preserve">nervozita, </w:t>
      </w:r>
    </w:p>
    <w:p w:rsidR="00A621AE" w:rsidRDefault="00A621AE" w:rsidP="00883334">
      <w:pPr>
        <w:pStyle w:val="ListParagraph"/>
        <w:numPr>
          <w:ilvl w:val="0"/>
          <w:numId w:val="27"/>
        </w:numPr>
        <w:ind w:left="567" w:hanging="501"/>
        <w:rPr>
          <w:sz w:val="22"/>
          <w:szCs w:val="22"/>
        </w:rPr>
      </w:pPr>
      <w:r>
        <w:rPr>
          <w:sz w:val="22"/>
          <w:szCs w:val="22"/>
        </w:rPr>
        <w:t xml:space="preserve">zlá znášanlivosť kontaktných šošoviek, </w:t>
      </w:r>
    </w:p>
    <w:p w:rsidR="00A621AE" w:rsidRDefault="00A621AE" w:rsidP="00883334">
      <w:pPr>
        <w:pStyle w:val="ListParagraph"/>
        <w:numPr>
          <w:ilvl w:val="0"/>
          <w:numId w:val="27"/>
        </w:numPr>
        <w:ind w:left="567" w:hanging="501"/>
        <w:rPr>
          <w:sz w:val="22"/>
          <w:szCs w:val="22"/>
        </w:rPr>
      </w:pPr>
      <w:r>
        <w:rPr>
          <w:sz w:val="22"/>
          <w:szCs w:val="22"/>
        </w:rPr>
        <w:t xml:space="preserve">poruchy videnia, </w:t>
      </w:r>
    </w:p>
    <w:p w:rsidR="00B16C2E" w:rsidRDefault="00B16C2E" w:rsidP="00B16C2E">
      <w:pPr>
        <w:pStyle w:val="ListParagraph"/>
        <w:numPr>
          <w:ilvl w:val="0"/>
          <w:numId w:val="27"/>
        </w:numPr>
        <w:ind w:left="567" w:hanging="501"/>
        <w:rPr>
          <w:sz w:val="22"/>
          <w:szCs w:val="22"/>
        </w:rPr>
      </w:pPr>
      <w:r>
        <w:rPr>
          <w:sz w:val="22"/>
          <w:szCs w:val="22"/>
        </w:rPr>
        <w:t xml:space="preserve">migréna, </w:t>
      </w:r>
    </w:p>
    <w:p w:rsidR="00A621AE" w:rsidRDefault="00A621AE" w:rsidP="00883334">
      <w:pPr>
        <w:pStyle w:val="ListParagraph"/>
        <w:numPr>
          <w:ilvl w:val="0"/>
          <w:numId w:val="27"/>
        </w:numPr>
        <w:ind w:left="567" w:hanging="501"/>
        <w:rPr>
          <w:sz w:val="22"/>
          <w:szCs w:val="22"/>
        </w:rPr>
      </w:pPr>
      <w:r>
        <w:rPr>
          <w:sz w:val="22"/>
          <w:szCs w:val="22"/>
        </w:rPr>
        <w:t xml:space="preserve">nevoľnosť, </w:t>
      </w:r>
    </w:p>
    <w:p w:rsidR="00CD097A" w:rsidRDefault="00A621AE" w:rsidP="00883334">
      <w:pPr>
        <w:pStyle w:val="ListParagraph"/>
        <w:numPr>
          <w:ilvl w:val="0"/>
          <w:numId w:val="27"/>
        </w:numPr>
        <w:ind w:left="567" w:hanging="501"/>
        <w:rPr>
          <w:sz w:val="22"/>
          <w:szCs w:val="22"/>
        </w:rPr>
      </w:pPr>
      <w:r>
        <w:rPr>
          <w:sz w:val="22"/>
          <w:szCs w:val="22"/>
        </w:rPr>
        <w:t xml:space="preserve">akné, </w:t>
      </w:r>
    </w:p>
    <w:p w:rsidR="00A621AE" w:rsidRDefault="00A621AE" w:rsidP="00883334">
      <w:pPr>
        <w:pStyle w:val="ListParagraph"/>
        <w:numPr>
          <w:ilvl w:val="0"/>
          <w:numId w:val="27"/>
        </w:numPr>
        <w:ind w:left="567" w:hanging="501"/>
        <w:rPr>
          <w:sz w:val="22"/>
          <w:szCs w:val="22"/>
        </w:rPr>
      </w:pPr>
      <w:r>
        <w:rPr>
          <w:sz w:val="22"/>
          <w:szCs w:val="22"/>
        </w:rPr>
        <w:t xml:space="preserve">krvácanie a špinenie medzi menštruáciami môže niekedy nastať počas prvých mesiacov, ale tieto príznaky obvykle vymiznú, keď si vaše telo zvykne na Gentilion Daily. Pokiaľ budú pretrvávať, zosilnia sa, alebo sa znovu objavia, poraďte sa so svojím lekárom. </w:t>
      </w:r>
    </w:p>
    <w:p w:rsidR="00A621AE" w:rsidRDefault="00A621AE" w:rsidP="00883334">
      <w:pPr>
        <w:pStyle w:val="ListParagraph"/>
        <w:numPr>
          <w:ilvl w:val="0"/>
          <w:numId w:val="27"/>
        </w:numPr>
        <w:ind w:left="567" w:hanging="501"/>
        <w:rPr>
          <w:sz w:val="22"/>
          <w:szCs w:val="22"/>
        </w:rPr>
      </w:pPr>
      <w:r>
        <w:rPr>
          <w:sz w:val="22"/>
          <w:szCs w:val="22"/>
        </w:rPr>
        <w:t xml:space="preserve">vynechanie menštruácie, </w:t>
      </w:r>
    </w:p>
    <w:p w:rsidR="00B16C2E" w:rsidRDefault="00A621AE" w:rsidP="00B16C2E">
      <w:pPr>
        <w:pStyle w:val="ListParagraph"/>
        <w:numPr>
          <w:ilvl w:val="0"/>
          <w:numId w:val="27"/>
        </w:numPr>
        <w:ind w:left="567" w:hanging="501"/>
        <w:rPr>
          <w:sz w:val="22"/>
          <w:szCs w:val="22"/>
        </w:rPr>
      </w:pPr>
      <w:r>
        <w:rPr>
          <w:sz w:val="22"/>
          <w:szCs w:val="22"/>
        </w:rPr>
        <w:t>boľavé prsníky,</w:t>
      </w:r>
    </w:p>
    <w:p w:rsidR="00B16C2E" w:rsidRDefault="00B16C2E" w:rsidP="00B16C2E">
      <w:pPr>
        <w:pStyle w:val="ListParagraph"/>
        <w:numPr>
          <w:ilvl w:val="0"/>
          <w:numId w:val="27"/>
        </w:numPr>
        <w:ind w:left="567" w:hanging="501"/>
        <w:rPr>
          <w:sz w:val="22"/>
          <w:szCs w:val="22"/>
        </w:rPr>
      </w:pPr>
      <w:r>
        <w:rPr>
          <w:sz w:val="22"/>
          <w:szCs w:val="22"/>
        </w:rPr>
        <w:t xml:space="preserve">zvýšenie hmotnosti, </w:t>
      </w:r>
    </w:p>
    <w:p w:rsidR="00CD097A" w:rsidRDefault="00CD097A" w:rsidP="00B16C2E">
      <w:pPr>
        <w:pStyle w:val="ListParagraph"/>
        <w:numPr>
          <w:ilvl w:val="0"/>
          <w:numId w:val="27"/>
        </w:numPr>
        <w:ind w:left="567" w:hanging="501"/>
        <w:rPr>
          <w:sz w:val="22"/>
          <w:szCs w:val="22"/>
        </w:rPr>
      </w:pPr>
      <w:r w:rsidRPr="00B16C2E">
        <w:rPr>
          <w:sz w:val="22"/>
          <w:szCs w:val="22"/>
        </w:rPr>
        <w:t>zadržiavanie tekutín</w:t>
      </w:r>
      <w:r w:rsidRPr="006B62A8">
        <w:rPr>
          <w:sz w:val="22"/>
          <w:szCs w:val="22"/>
        </w:rPr>
        <w:t>.</w:t>
      </w:r>
    </w:p>
    <w:p w:rsidR="00A621AE" w:rsidRPr="00D31CCF" w:rsidRDefault="00A621AE" w:rsidP="000C3F44">
      <w:pPr>
        <w:autoSpaceDE w:val="0"/>
        <w:autoSpaceDN w:val="0"/>
        <w:adjustRightInd w:val="0"/>
        <w:rPr>
          <w:color w:val="000000"/>
          <w:sz w:val="22"/>
          <w:szCs w:val="22"/>
        </w:rPr>
      </w:pPr>
    </w:p>
    <w:p w:rsidR="00A621AE" w:rsidRPr="00CD097A" w:rsidRDefault="00A621AE" w:rsidP="000C3F44">
      <w:pPr>
        <w:autoSpaceDE w:val="0"/>
        <w:autoSpaceDN w:val="0"/>
        <w:adjustRightInd w:val="0"/>
        <w:rPr>
          <w:i/>
          <w:sz w:val="22"/>
          <w:szCs w:val="22"/>
        </w:rPr>
      </w:pPr>
      <w:r w:rsidRPr="00787130">
        <w:rPr>
          <w:b/>
          <w:bCs/>
          <w:color w:val="000000"/>
          <w:sz w:val="22"/>
          <w:szCs w:val="22"/>
        </w:rPr>
        <w:t>Menej časté</w:t>
      </w:r>
      <w:r w:rsidRPr="00CD097A">
        <w:rPr>
          <w:bCs/>
          <w:i/>
          <w:color w:val="000000"/>
          <w:sz w:val="22"/>
          <w:szCs w:val="22"/>
        </w:rPr>
        <w:t xml:space="preserve"> </w:t>
      </w:r>
      <w:r w:rsidRPr="00787130">
        <w:rPr>
          <w:color w:val="000000"/>
          <w:sz w:val="22"/>
          <w:szCs w:val="22"/>
        </w:rPr>
        <w:t>(</w:t>
      </w:r>
      <w:r w:rsidRPr="00787130">
        <w:rPr>
          <w:sz w:val="22"/>
          <w:szCs w:val="22"/>
        </w:rPr>
        <w:t>môžu postihnúť menej ako1 zo 100</w:t>
      </w:r>
      <w:r w:rsidRPr="00787130">
        <w:t xml:space="preserve"> </w:t>
      </w:r>
      <w:r w:rsidRPr="00787130">
        <w:rPr>
          <w:sz w:val="22"/>
          <w:szCs w:val="22"/>
        </w:rPr>
        <w:t>žien</w:t>
      </w:r>
      <w:r w:rsidRPr="00787130">
        <w:rPr>
          <w:color w:val="000000"/>
          <w:sz w:val="22"/>
          <w:szCs w:val="22"/>
        </w:rPr>
        <w:t>):</w:t>
      </w:r>
    </w:p>
    <w:p w:rsidR="00A621AE" w:rsidRPr="00D31CCF" w:rsidRDefault="00A621AE" w:rsidP="000C3F44">
      <w:pPr>
        <w:numPr>
          <w:ilvl w:val="0"/>
          <w:numId w:val="28"/>
        </w:numPr>
        <w:ind w:left="567" w:right="-29" w:hanging="567"/>
        <w:rPr>
          <w:noProof/>
          <w:sz w:val="22"/>
          <w:szCs w:val="22"/>
        </w:rPr>
      </w:pPr>
      <w:r w:rsidRPr="000C3F44">
        <w:rPr>
          <w:sz w:val="22"/>
          <w:szCs w:val="22"/>
        </w:rPr>
        <w:t xml:space="preserve">nárast hladiny tukov v krvi, </w:t>
      </w:r>
    </w:p>
    <w:p w:rsidR="00B16C2E" w:rsidRPr="00CD097A" w:rsidRDefault="00B16C2E" w:rsidP="00B16C2E">
      <w:pPr>
        <w:numPr>
          <w:ilvl w:val="0"/>
          <w:numId w:val="28"/>
        </w:numPr>
        <w:ind w:left="567" w:right="-29" w:hanging="567"/>
        <w:rPr>
          <w:color w:val="000000"/>
          <w:sz w:val="22"/>
          <w:szCs w:val="22"/>
        </w:rPr>
      </w:pPr>
      <w:r>
        <w:rPr>
          <w:sz w:val="22"/>
          <w:szCs w:val="22"/>
        </w:rPr>
        <w:t>vysoký krvný tlak,</w:t>
      </w:r>
    </w:p>
    <w:p w:rsidR="00CD097A" w:rsidRDefault="00CD097A" w:rsidP="00B16C2E">
      <w:pPr>
        <w:numPr>
          <w:ilvl w:val="0"/>
          <w:numId w:val="28"/>
        </w:numPr>
        <w:ind w:left="567" w:right="-29" w:hanging="567"/>
        <w:rPr>
          <w:color w:val="000000"/>
          <w:sz w:val="22"/>
          <w:szCs w:val="22"/>
        </w:rPr>
      </w:pPr>
      <w:r>
        <w:rPr>
          <w:sz w:val="22"/>
          <w:szCs w:val="22"/>
        </w:rPr>
        <w:t>vracanie.</w:t>
      </w:r>
    </w:p>
    <w:p w:rsidR="00A621AE" w:rsidRDefault="00A621AE" w:rsidP="00883334">
      <w:pPr>
        <w:ind w:right="-29"/>
        <w:rPr>
          <w:color w:val="000000"/>
          <w:sz w:val="22"/>
          <w:szCs w:val="22"/>
        </w:rPr>
      </w:pPr>
    </w:p>
    <w:p w:rsidR="00A621AE" w:rsidRPr="00CD097A" w:rsidRDefault="00A621AE" w:rsidP="000C3F44">
      <w:pPr>
        <w:autoSpaceDE w:val="0"/>
        <w:autoSpaceDN w:val="0"/>
        <w:adjustRightInd w:val="0"/>
        <w:rPr>
          <w:i/>
          <w:sz w:val="22"/>
          <w:szCs w:val="22"/>
        </w:rPr>
      </w:pPr>
      <w:r w:rsidRPr="00787130">
        <w:rPr>
          <w:b/>
          <w:bCs/>
          <w:color w:val="000000"/>
          <w:sz w:val="22"/>
          <w:szCs w:val="22"/>
        </w:rPr>
        <w:t>Zriedkavé</w:t>
      </w:r>
      <w:r w:rsidRPr="00CD097A">
        <w:rPr>
          <w:bCs/>
          <w:color w:val="000000"/>
          <w:sz w:val="22"/>
          <w:szCs w:val="22"/>
        </w:rPr>
        <w:t xml:space="preserve"> </w:t>
      </w:r>
      <w:r w:rsidRPr="00787130">
        <w:rPr>
          <w:color w:val="000000"/>
          <w:sz w:val="22"/>
          <w:szCs w:val="22"/>
        </w:rPr>
        <w:t>(</w:t>
      </w:r>
      <w:r w:rsidRPr="00787130">
        <w:rPr>
          <w:sz w:val="22"/>
          <w:szCs w:val="22"/>
        </w:rPr>
        <w:t>môžu postihnúť menej ako 1z 1000 žien</w:t>
      </w:r>
      <w:r w:rsidRPr="00787130">
        <w:rPr>
          <w:color w:val="000000"/>
          <w:sz w:val="22"/>
          <w:szCs w:val="22"/>
        </w:rPr>
        <w:t>):</w:t>
      </w:r>
    </w:p>
    <w:p w:rsidR="00A621AE" w:rsidRPr="00D31CCF" w:rsidRDefault="00A621AE" w:rsidP="000C3F44">
      <w:pPr>
        <w:numPr>
          <w:ilvl w:val="0"/>
          <w:numId w:val="29"/>
        </w:numPr>
        <w:ind w:left="567" w:right="-29" w:hanging="567"/>
        <w:rPr>
          <w:noProof/>
          <w:sz w:val="22"/>
          <w:szCs w:val="22"/>
        </w:rPr>
      </w:pPr>
      <w:r w:rsidRPr="000C3F44">
        <w:rPr>
          <w:sz w:val="22"/>
          <w:szCs w:val="22"/>
        </w:rPr>
        <w:t xml:space="preserve">ochorenie pečene, </w:t>
      </w:r>
    </w:p>
    <w:p w:rsidR="00A621AE" w:rsidRDefault="00A621AE">
      <w:pPr>
        <w:numPr>
          <w:ilvl w:val="0"/>
          <w:numId w:val="29"/>
        </w:numPr>
        <w:ind w:left="567" w:right="-29" w:hanging="567"/>
        <w:rPr>
          <w:noProof/>
          <w:sz w:val="22"/>
          <w:szCs w:val="22"/>
        </w:rPr>
      </w:pPr>
      <w:r>
        <w:rPr>
          <w:sz w:val="22"/>
          <w:szCs w:val="22"/>
        </w:rPr>
        <w:t>ochorenie kože a podkožného tkaniva (</w:t>
      </w:r>
      <w:proofErr w:type="spellStart"/>
      <w:r>
        <w:rPr>
          <w:i/>
          <w:sz w:val="22"/>
          <w:szCs w:val="22"/>
        </w:rPr>
        <w:t>lupus</w:t>
      </w:r>
      <w:proofErr w:type="spellEnd"/>
      <w:r>
        <w:rPr>
          <w:i/>
          <w:sz w:val="22"/>
          <w:szCs w:val="22"/>
        </w:rPr>
        <w:t xml:space="preserve"> </w:t>
      </w:r>
      <w:proofErr w:type="spellStart"/>
      <w:r>
        <w:rPr>
          <w:i/>
          <w:sz w:val="22"/>
          <w:szCs w:val="22"/>
        </w:rPr>
        <w:t>erythematosus</w:t>
      </w:r>
      <w:proofErr w:type="spellEnd"/>
      <w:r>
        <w:rPr>
          <w:sz w:val="22"/>
          <w:szCs w:val="22"/>
        </w:rPr>
        <w:t xml:space="preserve">), </w:t>
      </w:r>
    </w:p>
    <w:p w:rsidR="00CD097A" w:rsidRDefault="00A621AE">
      <w:pPr>
        <w:numPr>
          <w:ilvl w:val="0"/>
          <w:numId w:val="29"/>
        </w:numPr>
        <w:ind w:left="567" w:right="-29" w:hanging="567"/>
        <w:rPr>
          <w:noProof/>
          <w:sz w:val="22"/>
          <w:szCs w:val="22"/>
        </w:rPr>
      </w:pPr>
      <w:r>
        <w:rPr>
          <w:sz w:val="22"/>
          <w:szCs w:val="22"/>
        </w:rPr>
        <w:t xml:space="preserve">poruchy stredného ucha, </w:t>
      </w:r>
    </w:p>
    <w:p w:rsidR="00A621AE" w:rsidRDefault="00A621AE">
      <w:pPr>
        <w:numPr>
          <w:ilvl w:val="0"/>
          <w:numId w:val="29"/>
        </w:numPr>
        <w:ind w:left="567" w:right="-29" w:hanging="567"/>
        <w:rPr>
          <w:noProof/>
          <w:sz w:val="22"/>
          <w:szCs w:val="22"/>
        </w:rPr>
      </w:pPr>
      <w:r>
        <w:rPr>
          <w:noProof/>
          <w:sz w:val="22"/>
          <w:szCs w:val="22"/>
        </w:rPr>
        <w:t>trombóza (tvorba krvných zrazenín v cievach)</w:t>
      </w:r>
    </w:p>
    <w:p w:rsidR="00B16C2E" w:rsidRDefault="00B16C2E" w:rsidP="00B16C2E">
      <w:pPr>
        <w:numPr>
          <w:ilvl w:val="0"/>
          <w:numId w:val="29"/>
        </w:numPr>
        <w:ind w:left="567" w:right="-29" w:hanging="567"/>
        <w:rPr>
          <w:noProof/>
          <w:sz w:val="22"/>
          <w:szCs w:val="22"/>
        </w:rPr>
      </w:pPr>
      <w:r>
        <w:rPr>
          <w:sz w:val="22"/>
          <w:szCs w:val="22"/>
        </w:rPr>
        <w:t xml:space="preserve">žlčové kamene, </w:t>
      </w:r>
    </w:p>
    <w:p w:rsidR="00A621AE" w:rsidRDefault="00A621AE">
      <w:pPr>
        <w:numPr>
          <w:ilvl w:val="0"/>
          <w:numId w:val="29"/>
        </w:numPr>
        <w:ind w:left="567" w:right="-29" w:hanging="567"/>
        <w:rPr>
          <w:noProof/>
          <w:sz w:val="22"/>
          <w:szCs w:val="22"/>
        </w:rPr>
      </w:pPr>
      <w:r>
        <w:rPr>
          <w:sz w:val="22"/>
          <w:szCs w:val="22"/>
        </w:rPr>
        <w:t xml:space="preserve">poruchy pigmentácie (sfarbenia kože). Môže nastať aj vtedy, keď Gentilion Daily užívate iba niekoľko mesiacov. Poruchám pigmentácie sa možno vyhnúť obmedzením slnenia. </w:t>
      </w:r>
    </w:p>
    <w:p w:rsidR="00A621AE" w:rsidRDefault="00A621AE">
      <w:pPr>
        <w:numPr>
          <w:ilvl w:val="0"/>
          <w:numId w:val="29"/>
        </w:numPr>
        <w:ind w:left="567" w:right="-29" w:hanging="567"/>
        <w:rPr>
          <w:noProof/>
          <w:sz w:val="22"/>
          <w:szCs w:val="22"/>
        </w:rPr>
      </w:pPr>
      <w:r>
        <w:rPr>
          <w:sz w:val="22"/>
          <w:szCs w:val="22"/>
        </w:rPr>
        <w:t>zmenený výtok z pošvy.</w:t>
      </w:r>
    </w:p>
    <w:p w:rsidR="00A621AE" w:rsidRDefault="00A621AE" w:rsidP="00883334">
      <w:pPr>
        <w:ind w:right="-29"/>
        <w:rPr>
          <w:noProof/>
          <w:sz w:val="22"/>
          <w:szCs w:val="22"/>
        </w:rPr>
      </w:pPr>
    </w:p>
    <w:p w:rsidR="00A621AE" w:rsidRPr="00CD097A" w:rsidRDefault="00A621AE" w:rsidP="000C3F44">
      <w:pPr>
        <w:numPr>
          <w:ilvl w:val="12"/>
          <w:numId w:val="0"/>
        </w:numPr>
        <w:ind w:right="-29"/>
        <w:rPr>
          <w:i/>
          <w:noProof/>
          <w:sz w:val="22"/>
          <w:szCs w:val="22"/>
        </w:rPr>
      </w:pPr>
      <w:r w:rsidRPr="00787130">
        <w:rPr>
          <w:b/>
          <w:noProof/>
          <w:sz w:val="22"/>
          <w:szCs w:val="22"/>
        </w:rPr>
        <w:t>Veľmi zriedkavé</w:t>
      </w:r>
      <w:r w:rsidRPr="00CD097A">
        <w:rPr>
          <w:i/>
          <w:noProof/>
          <w:sz w:val="22"/>
          <w:szCs w:val="22"/>
        </w:rPr>
        <w:t xml:space="preserve"> </w:t>
      </w:r>
      <w:r w:rsidRPr="00CD097A">
        <w:rPr>
          <w:noProof/>
          <w:sz w:val="22"/>
          <w:szCs w:val="22"/>
        </w:rPr>
        <w:t>(môžu postihnúťmenej ako</w:t>
      </w:r>
      <w:r w:rsidRPr="00787130">
        <w:rPr>
          <w:sz w:val="22"/>
          <w:szCs w:val="22"/>
        </w:rPr>
        <w:t>1 z 10 000 žien</w:t>
      </w:r>
      <w:r w:rsidRPr="00787130">
        <w:rPr>
          <w:noProof/>
          <w:sz w:val="22"/>
          <w:szCs w:val="22"/>
        </w:rPr>
        <w:t>):</w:t>
      </w:r>
    </w:p>
    <w:p w:rsidR="00A621AE" w:rsidRPr="00D31CCF" w:rsidRDefault="00A621AE" w:rsidP="000C3F44">
      <w:pPr>
        <w:numPr>
          <w:ilvl w:val="0"/>
          <w:numId w:val="30"/>
        </w:numPr>
        <w:ind w:left="567" w:right="-29" w:hanging="567"/>
        <w:rPr>
          <w:noProof/>
          <w:sz w:val="22"/>
          <w:szCs w:val="22"/>
        </w:rPr>
      </w:pPr>
      <w:r w:rsidRPr="000C3F44">
        <w:rPr>
          <w:sz w:val="22"/>
          <w:szCs w:val="22"/>
        </w:rPr>
        <w:t xml:space="preserve">poruchy pohybu, </w:t>
      </w:r>
    </w:p>
    <w:p w:rsidR="00A621AE" w:rsidRDefault="00A621AE">
      <w:pPr>
        <w:numPr>
          <w:ilvl w:val="0"/>
          <w:numId w:val="30"/>
        </w:numPr>
        <w:ind w:left="567" w:right="-29" w:hanging="567"/>
        <w:rPr>
          <w:noProof/>
          <w:sz w:val="22"/>
          <w:szCs w:val="22"/>
        </w:rPr>
      </w:pPr>
      <w:r>
        <w:rPr>
          <w:sz w:val="22"/>
          <w:szCs w:val="22"/>
        </w:rPr>
        <w:t>ovplyvnenie funkcie podžalúdkovej žľazy (pankreasu).</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b/>
          <w:sz w:val="22"/>
          <w:szCs w:val="22"/>
        </w:rPr>
      </w:pPr>
      <w:r>
        <w:rPr>
          <w:b/>
          <w:sz w:val="22"/>
          <w:szCs w:val="22"/>
        </w:rPr>
        <w:t>Hlásenie vedľajších účinkov</w:t>
      </w:r>
    </w:p>
    <w:p w:rsidR="00A621AE" w:rsidRDefault="00A621AE">
      <w:pPr>
        <w:autoSpaceDE w:val="0"/>
        <w:autoSpaceDN w:val="0"/>
        <w:adjustRightInd w:val="0"/>
        <w:rPr>
          <w:sz w:val="22"/>
          <w:szCs w:val="22"/>
        </w:rPr>
      </w:pPr>
      <w:r>
        <w:rPr>
          <w:noProof/>
          <w:sz w:val="22"/>
          <w:szCs w:val="22"/>
        </w:rPr>
        <w:t>Ak sa u vás vyskytne akýkoľvek vedľajší účinok, obráťte sa na svojho lekára alebo lekárnika. To sa týka aj akýchkoľvek vedľajších účinkov, ktoré nie sú uvedené v tejto písomnej informácii. Vedľajšie účinky môžete hlásiť aj priamo na</w:t>
      </w:r>
      <w:r w:rsidRPr="000C3F44">
        <w:rPr>
          <w:noProof/>
          <w:sz w:val="22"/>
          <w:szCs w:val="22"/>
          <w:highlight w:val="lightGray"/>
        </w:rPr>
        <w:t xml:space="preserve"> národné </w:t>
      </w:r>
      <w:r>
        <w:rPr>
          <w:noProof/>
          <w:sz w:val="22"/>
          <w:szCs w:val="22"/>
          <w:highlight w:val="lightGray"/>
        </w:rPr>
        <w:t>centrum</w:t>
      </w:r>
      <w:r w:rsidRPr="000C3F44">
        <w:rPr>
          <w:noProof/>
          <w:sz w:val="22"/>
          <w:szCs w:val="22"/>
          <w:highlight w:val="lightGray"/>
        </w:rPr>
        <w:t xml:space="preserve"> hlásenia uvedené v </w:t>
      </w:r>
      <w:hyperlink r:id="rId8" w:history="1">
        <w:r w:rsidRPr="00883334">
          <w:rPr>
            <w:rStyle w:val="Hyperlink"/>
            <w:noProof/>
            <w:sz w:val="22"/>
            <w:szCs w:val="22"/>
            <w:highlight w:val="lightGray"/>
          </w:rPr>
          <w:t>Prílohe V</w:t>
        </w:r>
      </w:hyperlink>
      <w:r w:rsidRPr="00883334">
        <w:rPr>
          <w:color w:val="008000"/>
          <w:sz w:val="22"/>
          <w:szCs w:val="22"/>
        </w:rPr>
        <w:t>.</w:t>
      </w:r>
      <w:r w:rsidR="00787130">
        <w:rPr>
          <w:color w:val="008000"/>
          <w:sz w:val="22"/>
          <w:szCs w:val="22"/>
        </w:rPr>
        <w:t xml:space="preserve"> </w:t>
      </w:r>
      <w:r w:rsidRPr="00D31CCF">
        <w:rPr>
          <w:noProof/>
          <w:sz w:val="22"/>
          <w:szCs w:val="22"/>
        </w:rPr>
        <w:t>Hlásením vedľajších účinkov môžete prispieť k získaniu ďalších informácií o bezpečnosti tohto lieku</w:t>
      </w:r>
      <w:r w:rsidRPr="00D31CCF">
        <w:rPr>
          <w:sz w:val="22"/>
          <w:szCs w:val="22"/>
        </w:rPr>
        <w:t>.</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p>
    <w:p w:rsidR="00A621AE" w:rsidRDefault="00A621AE">
      <w:pPr>
        <w:tabs>
          <w:tab w:val="left" w:pos="567"/>
        </w:tabs>
        <w:autoSpaceDE w:val="0"/>
        <w:autoSpaceDN w:val="0"/>
        <w:adjustRightInd w:val="0"/>
        <w:rPr>
          <w:b/>
          <w:bCs/>
          <w:color w:val="000000"/>
          <w:sz w:val="22"/>
          <w:szCs w:val="22"/>
        </w:rPr>
      </w:pPr>
      <w:r w:rsidRPr="00D31CCF">
        <w:rPr>
          <w:b/>
          <w:bCs/>
          <w:color w:val="000000"/>
          <w:sz w:val="22"/>
          <w:szCs w:val="22"/>
        </w:rPr>
        <w:t>5.</w:t>
      </w:r>
      <w:r w:rsidRPr="00D31CCF">
        <w:rPr>
          <w:b/>
          <w:bCs/>
          <w:color w:val="000000"/>
          <w:sz w:val="22"/>
          <w:szCs w:val="22"/>
        </w:rPr>
        <w:tab/>
        <w:t>Ako uchovávať Gentilion Daily</w:t>
      </w:r>
    </w:p>
    <w:p w:rsidR="00A621AE" w:rsidRPr="00D31CCF" w:rsidRDefault="00A621AE" w:rsidP="000C3F44">
      <w:pPr>
        <w:autoSpaceDE w:val="0"/>
        <w:autoSpaceDN w:val="0"/>
        <w:adjustRightInd w:val="0"/>
        <w:rPr>
          <w:i/>
          <w:iCs/>
          <w:color w:val="000000"/>
          <w:sz w:val="22"/>
          <w:szCs w:val="22"/>
        </w:rPr>
      </w:pPr>
    </w:p>
    <w:p w:rsidR="00A621AE" w:rsidRPr="00D31CCF" w:rsidRDefault="00A621AE" w:rsidP="000C3F44">
      <w:pPr>
        <w:autoSpaceDE w:val="0"/>
        <w:autoSpaceDN w:val="0"/>
        <w:adjustRightInd w:val="0"/>
        <w:rPr>
          <w:color w:val="000000"/>
          <w:sz w:val="22"/>
          <w:szCs w:val="22"/>
        </w:rPr>
      </w:pPr>
      <w:r w:rsidRPr="00D31CCF">
        <w:rPr>
          <w:color w:val="000000"/>
          <w:sz w:val="22"/>
          <w:szCs w:val="22"/>
        </w:rPr>
        <w:t>Tento liek uchovávajte mimo dohľadu a dosahu detí.</w:t>
      </w:r>
    </w:p>
    <w:p w:rsidR="00A621AE" w:rsidRDefault="00A621AE">
      <w:pPr>
        <w:autoSpaceDE w:val="0"/>
        <w:autoSpaceDN w:val="0"/>
        <w:adjustRightInd w:val="0"/>
        <w:rPr>
          <w:b/>
          <w:bCs/>
          <w:sz w:val="22"/>
          <w:szCs w:val="22"/>
        </w:rPr>
      </w:pPr>
    </w:p>
    <w:p w:rsidR="00A621AE" w:rsidRDefault="00A621AE">
      <w:pPr>
        <w:autoSpaceDE w:val="0"/>
        <w:autoSpaceDN w:val="0"/>
        <w:adjustRightInd w:val="0"/>
        <w:rPr>
          <w:i/>
          <w:color w:val="000000"/>
          <w:sz w:val="22"/>
          <w:szCs w:val="22"/>
        </w:rPr>
      </w:pPr>
      <w:r w:rsidRPr="000C3F44">
        <w:rPr>
          <w:color w:val="000000"/>
          <w:sz w:val="22"/>
          <w:szCs w:val="22"/>
        </w:rPr>
        <w:t>Nepoužívajte tento liek po dátume exspirácie, ktorý je uvedený na blistri a škatuľke po „EXP“. Dátu</w:t>
      </w:r>
      <w:r w:rsidRPr="00883334">
        <w:rPr>
          <w:color w:val="000000"/>
          <w:sz w:val="22"/>
          <w:szCs w:val="22"/>
        </w:rPr>
        <w:t>m exspirácie sa vzťahuje na posledný deň v danom mesiaci</w:t>
      </w:r>
      <w:r w:rsidRPr="00883334">
        <w:rPr>
          <w:i/>
          <w:color w:val="000000"/>
          <w:sz w:val="22"/>
          <w:szCs w:val="22"/>
        </w:rPr>
        <w:t>.</w:t>
      </w:r>
    </w:p>
    <w:p w:rsidR="00A621AE" w:rsidRDefault="00A621AE">
      <w:pPr>
        <w:autoSpaceDE w:val="0"/>
        <w:autoSpaceDN w:val="0"/>
        <w:adjustRightInd w:val="0"/>
        <w:rPr>
          <w:i/>
          <w:color w:val="000000"/>
          <w:sz w:val="22"/>
          <w:szCs w:val="22"/>
        </w:rPr>
      </w:pPr>
    </w:p>
    <w:p w:rsidR="00A621AE" w:rsidRDefault="00A621AE">
      <w:pPr>
        <w:numPr>
          <w:ilvl w:val="12"/>
          <w:numId w:val="0"/>
        </w:numPr>
        <w:ind w:right="-2"/>
        <w:rPr>
          <w:noProof/>
          <w:sz w:val="22"/>
          <w:szCs w:val="22"/>
        </w:rPr>
      </w:pPr>
      <w:r w:rsidRPr="00883334">
        <w:rPr>
          <w:bCs/>
          <w:sz w:val="22"/>
          <w:szCs w:val="22"/>
        </w:rPr>
        <w:t>Uchovávajte pri teplote do 30</w:t>
      </w:r>
      <w:r>
        <w:rPr>
          <w:bCs/>
          <w:sz w:val="22"/>
          <w:szCs w:val="22"/>
        </w:rPr>
        <w:t> °</w:t>
      </w:r>
      <w:r w:rsidRPr="000C3F44">
        <w:rPr>
          <w:bCs/>
          <w:sz w:val="22"/>
          <w:szCs w:val="22"/>
        </w:rPr>
        <w:t>C.</w:t>
      </w:r>
      <w:r>
        <w:rPr>
          <w:bCs/>
          <w:sz w:val="22"/>
          <w:szCs w:val="22"/>
        </w:rPr>
        <w:t xml:space="preserve"> </w:t>
      </w:r>
      <w:r w:rsidR="00385592">
        <w:rPr>
          <w:bCs/>
          <w:sz w:val="22"/>
          <w:szCs w:val="22"/>
        </w:rPr>
        <w:t>B</w:t>
      </w:r>
      <w:r w:rsidR="00385592" w:rsidRPr="00385592">
        <w:rPr>
          <w:bCs/>
          <w:sz w:val="22"/>
          <w:szCs w:val="22"/>
        </w:rPr>
        <w:t xml:space="preserve">lister </w:t>
      </w:r>
      <w:r w:rsidR="00385592">
        <w:rPr>
          <w:noProof/>
          <w:sz w:val="22"/>
          <w:szCs w:val="22"/>
        </w:rPr>
        <w:t>u</w:t>
      </w:r>
      <w:r w:rsidRPr="000C3F44">
        <w:rPr>
          <w:noProof/>
          <w:sz w:val="22"/>
          <w:szCs w:val="22"/>
        </w:rPr>
        <w:t>chovávajte vo vonkajšom obale na ochranu pred svetlom.</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sidRPr="000C3F44">
        <w:rPr>
          <w:color w:val="000000"/>
          <w:sz w:val="22"/>
          <w:szCs w:val="22"/>
        </w:rPr>
        <w:lastRenderedPageBreak/>
        <w:t>Nelikvidujte lieky</w:t>
      </w:r>
      <w:r w:rsidRPr="00883334">
        <w:rPr>
          <w:color w:val="000000"/>
          <w:sz w:val="22"/>
          <w:szCs w:val="22"/>
        </w:rPr>
        <w:t xml:space="preserve"> odpadovou vodou alebo domovým odpadom. Nepoužitý liek vráťte do lekárne. Tieto opatrenia pomôžu chrániť životné prostredie.</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b/>
          <w:bCs/>
          <w:color w:val="000000"/>
          <w:sz w:val="22"/>
          <w:szCs w:val="22"/>
        </w:rPr>
      </w:pPr>
    </w:p>
    <w:p w:rsidR="00A621AE" w:rsidRDefault="00A621AE">
      <w:pPr>
        <w:tabs>
          <w:tab w:val="left" w:pos="567"/>
        </w:tabs>
        <w:autoSpaceDE w:val="0"/>
        <w:autoSpaceDN w:val="0"/>
        <w:adjustRightInd w:val="0"/>
        <w:rPr>
          <w:b/>
          <w:bCs/>
          <w:color w:val="000000"/>
          <w:sz w:val="22"/>
          <w:szCs w:val="22"/>
        </w:rPr>
      </w:pPr>
      <w:r w:rsidRPr="00883334">
        <w:rPr>
          <w:b/>
          <w:bCs/>
          <w:color w:val="000000"/>
          <w:sz w:val="22"/>
          <w:szCs w:val="22"/>
        </w:rPr>
        <w:t>6.</w:t>
      </w:r>
      <w:r w:rsidRPr="000F6BD4">
        <w:rPr>
          <w:b/>
          <w:bCs/>
          <w:color w:val="000000"/>
          <w:sz w:val="22"/>
          <w:szCs w:val="22"/>
        </w:rPr>
        <w:tab/>
      </w:r>
      <w:r w:rsidRPr="00883334">
        <w:rPr>
          <w:b/>
          <w:bCs/>
          <w:color w:val="000000"/>
          <w:sz w:val="22"/>
          <w:szCs w:val="22"/>
        </w:rPr>
        <w:t>Obsah balenia a ďalšie informácie</w:t>
      </w:r>
    </w:p>
    <w:p w:rsidR="00A621AE" w:rsidRPr="00D31CCF" w:rsidRDefault="00A621AE" w:rsidP="000C3F44">
      <w:pPr>
        <w:autoSpaceDE w:val="0"/>
        <w:autoSpaceDN w:val="0"/>
        <w:adjustRightInd w:val="0"/>
        <w:rPr>
          <w:b/>
          <w:bCs/>
          <w:color w:val="000000"/>
          <w:sz w:val="22"/>
          <w:szCs w:val="22"/>
        </w:rPr>
      </w:pPr>
    </w:p>
    <w:p w:rsidR="00A621AE" w:rsidRPr="00D31CCF" w:rsidRDefault="00A621AE" w:rsidP="000C3F44">
      <w:pPr>
        <w:autoSpaceDE w:val="0"/>
        <w:autoSpaceDN w:val="0"/>
        <w:adjustRightInd w:val="0"/>
        <w:rPr>
          <w:b/>
          <w:bCs/>
          <w:color w:val="000000"/>
          <w:sz w:val="22"/>
          <w:szCs w:val="22"/>
        </w:rPr>
      </w:pPr>
      <w:r w:rsidRPr="00883334">
        <w:rPr>
          <w:b/>
          <w:bCs/>
          <w:color w:val="000000"/>
          <w:sz w:val="22"/>
          <w:szCs w:val="22"/>
        </w:rPr>
        <w:t>Čo Gentilion Daily obsahuje</w:t>
      </w:r>
    </w:p>
    <w:p w:rsidR="00A621AE" w:rsidRDefault="00A621AE">
      <w:pPr>
        <w:autoSpaceDE w:val="0"/>
        <w:autoSpaceDN w:val="0"/>
        <w:adjustRightInd w:val="0"/>
        <w:rPr>
          <w:color w:val="000000"/>
          <w:sz w:val="22"/>
          <w:szCs w:val="22"/>
        </w:rPr>
      </w:pPr>
      <w:r w:rsidRPr="00883334">
        <w:rPr>
          <w:color w:val="000000"/>
          <w:sz w:val="22"/>
          <w:szCs w:val="22"/>
        </w:rPr>
        <w:t xml:space="preserve">Každé balenie Gentilionu Daily obsahuje 28 tabliet, so </w:t>
      </w:r>
      <w:proofErr w:type="spellStart"/>
      <w:r w:rsidRPr="00883334">
        <w:rPr>
          <w:color w:val="000000"/>
          <w:sz w:val="22"/>
          <w:szCs w:val="22"/>
        </w:rPr>
        <w:t>sadou</w:t>
      </w:r>
      <w:proofErr w:type="spellEnd"/>
      <w:r w:rsidRPr="00883334">
        <w:rPr>
          <w:color w:val="000000"/>
          <w:sz w:val="22"/>
          <w:szCs w:val="22"/>
        </w:rPr>
        <w:t xml:space="preserve"> samolepiacich nálepiek, na ktorých sú uvedené dni v</w:t>
      </w:r>
      <w:r w:rsidRPr="000F6BD4">
        <w:rPr>
          <w:color w:val="000000"/>
          <w:sz w:val="22"/>
          <w:szCs w:val="22"/>
        </w:rPr>
        <w:t> </w:t>
      </w:r>
      <w:r w:rsidRPr="00883334">
        <w:rPr>
          <w:color w:val="000000"/>
          <w:sz w:val="22"/>
          <w:szCs w:val="22"/>
        </w:rPr>
        <w:t>týždni.</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color w:val="000000"/>
          <w:sz w:val="22"/>
          <w:szCs w:val="22"/>
        </w:rPr>
      </w:pPr>
      <w:r w:rsidRPr="00883334">
        <w:rPr>
          <w:color w:val="000000"/>
          <w:sz w:val="22"/>
          <w:szCs w:val="22"/>
        </w:rPr>
        <w:t>Každý blister Gentilionu Daily obsahuje 21 bielych aktívnych (účinných) tabliet obsahujúcich 75</w:t>
      </w:r>
      <w:r w:rsidR="00892DC1">
        <w:rPr>
          <w:color w:val="000000"/>
          <w:sz w:val="22"/>
          <w:szCs w:val="22"/>
        </w:rPr>
        <w:t> </w:t>
      </w:r>
      <w:r w:rsidRPr="00883334">
        <w:rPr>
          <w:color w:val="000000"/>
          <w:sz w:val="22"/>
          <w:szCs w:val="22"/>
        </w:rPr>
        <w:t>mikrogramov (0,075 miligramu) gestodénu a</w:t>
      </w:r>
      <w:r w:rsidRPr="000F6BD4">
        <w:rPr>
          <w:color w:val="000000"/>
          <w:sz w:val="22"/>
          <w:szCs w:val="22"/>
        </w:rPr>
        <w:t> </w:t>
      </w:r>
      <w:r w:rsidRPr="00883334">
        <w:rPr>
          <w:color w:val="000000"/>
          <w:sz w:val="22"/>
          <w:szCs w:val="22"/>
        </w:rPr>
        <w:t>30 mikrogramov (0,030 miligramu) etinylestradiolu a</w:t>
      </w:r>
      <w:r w:rsidRPr="000F6BD4">
        <w:rPr>
          <w:color w:val="000000"/>
          <w:sz w:val="22"/>
          <w:szCs w:val="22"/>
        </w:rPr>
        <w:t> </w:t>
      </w:r>
      <w:r w:rsidRPr="00883334">
        <w:rPr>
          <w:color w:val="000000"/>
          <w:sz w:val="22"/>
          <w:szCs w:val="22"/>
        </w:rPr>
        <w:t>7 zelených placebo tabliet, ktoré sú neúčinné (neaktívne).</w:t>
      </w:r>
    </w:p>
    <w:p w:rsidR="00A621AE" w:rsidRDefault="00A621AE">
      <w:pPr>
        <w:autoSpaceDE w:val="0"/>
        <w:autoSpaceDN w:val="0"/>
        <w:adjustRightInd w:val="0"/>
        <w:rPr>
          <w:color w:val="000000"/>
          <w:sz w:val="22"/>
          <w:szCs w:val="22"/>
        </w:rPr>
      </w:pPr>
    </w:p>
    <w:p w:rsidR="00A621AE" w:rsidRDefault="00A621AE">
      <w:pPr>
        <w:ind w:right="-2"/>
        <w:rPr>
          <w:sz w:val="22"/>
          <w:szCs w:val="22"/>
        </w:rPr>
      </w:pPr>
      <w:r w:rsidRPr="00883334">
        <w:rPr>
          <w:noProof/>
          <w:sz w:val="22"/>
          <w:szCs w:val="22"/>
        </w:rPr>
        <w:t xml:space="preserve">Biele aktívne tablety Gentilionu Daily tiež obsahujú ďalšie zložky: monohydrát laktózy (59,12 mg), mikrokryštalickú celulózu, povidón K-30, </w:t>
      </w:r>
      <w:r w:rsidRPr="00883334">
        <w:rPr>
          <w:sz w:val="22"/>
          <w:szCs w:val="22"/>
        </w:rPr>
        <w:t xml:space="preserve">magnéziumstearát a draselnú soľ </w:t>
      </w:r>
      <w:proofErr w:type="spellStart"/>
      <w:r w:rsidRPr="00883334">
        <w:rPr>
          <w:sz w:val="22"/>
          <w:szCs w:val="22"/>
        </w:rPr>
        <w:t>polakrilínu</w:t>
      </w:r>
      <w:proofErr w:type="spellEnd"/>
      <w:r w:rsidRPr="00883334">
        <w:rPr>
          <w:sz w:val="22"/>
          <w:szCs w:val="22"/>
        </w:rPr>
        <w:t>.</w:t>
      </w:r>
    </w:p>
    <w:p w:rsidR="00A621AE" w:rsidRDefault="00A621AE">
      <w:pPr>
        <w:ind w:right="-2"/>
        <w:rPr>
          <w:sz w:val="22"/>
          <w:szCs w:val="22"/>
        </w:rPr>
      </w:pPr>
    </w:p>
    <w:p w:rsidR="00A621AE" w:rsidRDefault="00A621AE">
      <w:pPr>
        <w:ind w:right="-2"/>
        <w:rPr>
          <w:noProof/>
          <w:sz w:val="22"/>
          <w:szCs w:val="22"/>
        </w:rPr>
      </w:pPr>
      <w:r w:rsidRPr="00883334">
        <w:rPr>
          <w:sz w:val="22"/>
          <w:szCs w:val="22"/>
        </w:rPr>
        <w:t xml:space="preserve">Zelené neaktívne tablety obsahujú monohydrát laktózy (55,5 mg), kukuričný škrob, </w:t>
      </w:r>
      <w:r w:rsidRPr="00883334">
        <w:rPr>
          <w:noProof/>
          <w:sz w:val="22"/>
          <w:szCs w:val="22"/>
        </w:rPr>
        <w:t>povidón K-30</w:t>
      </w:r>
      <w:r w:rsidRPr="00883334">
        <w:rPr>
          <w:sz w:val="22"/>
          <w:szCs w:val="22"/>
        </w:rPr>
        <w:t xml:space="preserve">, koloidný oxid kremičitý bezvodý, magnéziumstearát, </w:t>
      </w:r>
      <w:proofErr w:type="spellStart"/>
      <w:r w:rsidRPr="00883334">
        <w:rPr>
          <w:sz w:val="22"/>
          <w:szCs w:val="22"/>
        </w:rPr>
        <w:t>hyp</w:t>
      </w:r>
      <w:r>
        <w:rPr>
          <w:sz w:val="22"/>
          <w:szCs w:val="22"/>
        </w:rPr>
        <w:t>r</w:t>
      </w:r>
      <w:r w:rsidRPr="000C3F44">
        <w:rPr>
          <w:sz w:val="22"/>
          <w:szCs w:val="22"/>
        </w:rPr>
        <w:t>omelózu</w:t>
      </w:r>
      <w:proofErr w:type="spellEnd"/>
      <w:r w:rsidRPr="000C3F44">
        <w:rPr>
          <w:sz w:val="22"/>
          <w:szCs w:val="22"/>
        </w:rPr>
        <w:t xml:space="preserve">, </w:t>
      </w:r>
      <w:proofErr w:type="spellStart"/>
      <w:r w:rsidRPr="000C3F44">
        <w:rPr>
          <w:sz w:val="22"/>
          <w:szCs w:val="22"/>
        </w:rPr>
        <w:t>triacetín</w:t>
      </w:r>
      <w:proofErr w:type="spellEnd"/>
      <w:r w:rsidRPr="000C3F44">
        <w:rPr>
          <w:sz w:val="22"/>
          <w:szCs w:val="22"/>
        </w:rPr>
        <w:t xml:space="preserve">, </w:t>
      </w:r>
      <w:proofErr w:type="spellStart"/>
      <w:r w:rsidRPr="000C3F44">
        <w:rPr>
          <w:sz w:val="22"/>
          <w:szCs w:val="22"/>
        </w:rPr>
        <w:t>polysorbát</w:t>
      </w:r>
      <w:proofErr w:type="spellEnd"/>
      <w:r w:rsidRPr="000C3F44">
        <w:rPr>
          <w:sz w:val="22"/>
          <w:szCs w:val="22"/>
        </w:rPr>
        <w:t xml:space="preserve">, oxid </w:t>
      </w:r>
      <w:proofErr w:type="spellStart"/>
      <w:r w:rsidRPr="000C3F44">
        <w:rPr>
          <w:sz w:val="22"/>
          <w:szCs w:val="22"/>
        </w:rPr>
        <w:t>titaničitý</w:t>
      </w:r>
      <w:proofErr w:type="spellEnd"/>
      <w:r w:rsidRPr="000C3F44">
        <w:rPr>
          <w:sz w:val="22"/>
          <w:szCs w:val="22"/>
        </w:rPr>
        <w:t xml:space="preserve">, FD&amp;C modrý 2 hliníkový lak a žltý oxid </w:t>
      </w:r>
      <w:proofErr w:type="spellStart"/>
      <w:r w:rsidRPr="000C3F44">
        <w:rPr>
          <w:sz w:val="22"/>
          <w:szCs w:val="22"/>
        </w:rPr>
        <w:t>titaničitý</w:t>
      </w:r>
      <w:proofErr w:type="spellEnd"/>
      <w:r w:rsidRPr="000C3F44">
        <w:rPr>
          <w:sz w:val="22"/>
          <w:szCs w:val="22"/>
        </w:rPr>
        <w:t>.</w:t>
      </w:r>
    </w:p>
    <w:p w:rsidR="00A621AE" w:rsidRDefault="00A621AE">
      <w:pPr>
        <w:ind w:right="-2"/>
        <w:rPr>
          <w:noProof/>
          <w:sz w:val="22"/>
          <w:szCs w:val="22"/>
        </w:rPr>
      </w:pPr>
    </w:p>
    <w:p w:rsidR="00A621AE" w:rsidRDefault="00A621AE">
      <w:pPr>
        <w:numPr>
          <w:ilvl w:val="12"/>
          <w:numId w:val="0"/>
        </w:numPr>
        <w:ind w:right="-2"/>
        <w:rPr>
          <w:b/>
          <w:noProof/>
          <w:sz w:val="22"/>
          <w:szCs w:val="22"/>
        </w:rPr>
      </w:pPr>
      <w:r w:rsidRPr="00883334">
        <w:rPr>
          <w:b/>
          <w:noProof/>
          <w:sz w:val="22"/>
          <w:szCs w:val="22"/>
        </w:rPr>
        <w:t>Ako vyzerá Gentilion Daily a</w:t>
      </w:r>
      <w:r w:rsidRPr="000F6BD4">
        <w:rPr>
          <w:b/>
          <w:noProof/>
          <w:sz w:val="22"/>
          <w:szCs w:val="22"/>
        </w:rPr>
        <w:t> </w:t>
      </w:r>
      <w:r w:rsidRPr="00883334">
        <w:rPr>
          <w:b/>
          <w:noProof/>
          <w:sz w:val="22"/>
          <w:szCs w:val="22"/>
        </w:rPr>
        <w:t>obsah balenia</w:t>
      </w:r>
    </w:p>
    <w:p w:rsidR="00A621AE" w:rsidRDefault="00A621AE">
      <w:pPr>
        <w:rPr>
          <w:sz w:val="22"/>
          <w:szCs w:val="22"/>
        </w:rPr>
      </w:pPr>
      <w:r w:rsidRPr="00883334">
        <w:rPr>
          <w:sz w:val="22"/>
          <w:szCs w:val="22"/>
        </w:rPr>
        <w:t>Aktívne tablety: okrúhle biele tablety s</w:t>
      </w:r>
      <w:r w:rsidRPr="000F6BD4">
        <w:rPr>
          <w:sz w:val="22"/>
          <w:szCs w:val="22"/>
        </w:rPr>
        <w:t> </w:t>
      </w:r>
      <w:r w:rsidRPr="00883334">
        <w:rPr>
          <w:sz w:val="22"/>
          <w:szCs w:val="22"/>
        </w:rPr>
        <w:t>priemerom približne 5,7 mm. Biela tableta je označená na</w:t>
      </w:r>
      <w:r w:rsidR="00892DC1">
        <w:rPr>
          <w:sz w:val="22"/>
          <w:szCs w:val="22"/>
        </w:rPr>
        <w:t xml:space="preserve"> </w:t>
      </w:r>
      <w:r w:rsidRPr="00883334">
        <w:rPr>
          <w:sz w:val="22"/>
          <w:szCs w:val="22"/>
        </w:rPr>
        <w:t>jednej strane „C“ a</w:t>
      </w:r>
      <w:r w:rsidRPr="000F6BD4">
        <w:rPr>
          <w:sz w:val="22"/>
          <w:szCs w:val="22"/>
        </w:rPr>
        <w:t> </w:t>
      </w:r>
      <w:r w:rsidRPr="00883334">
        <w:rPr>
          <w:sz w:val="22"/>
          <w:szCs w:val="22"/>
        </w:rPr>
        <w:t>na druhej strane „33“.</w:t>
      </w:r>
    </w:p>
    <w:p w:rsidR="00A621AE" w:rsidRDefault="00A621AE">
      <w:pPr>
        <w:rPr>
          <w:sz w:val="22"/>
          <w:szCs w:val="22"/>
        </w:rPr>
      </w:pPr>
      <w:r w:rsidRPr="00883334">
        <w:rPr>
          <w:sz w:val="22"/>
          <w:szCs w:val="22"/>
        </w:rPr>
        <w:t>Placebo tablety: okrúhle zelené filmom obalené tablety s</w:t>
      </w:r>
      <w:r w:rsidRPr="000F6BD4">
        <w:rPr>
          <w:sz w:val="22"/>
          <w:szCs w:val="22"/>
        </w:rPr>
        <w:t> </w:t>
      </w:r>
      <w:r w:rsidRPr="00883334">
        <w:rPr>
          <w:sz w:val="22"/>
          <w:szCs w:val="22"/>
        </w:rPr>
        <w:t>priemerom približne 5 mm. Zelené tablety</w:t>
      </w:r>
      <w:r w:rsidR="00892DC1">
        <w:rPr>
          <w:sz w:val="22"/>
          <w:szCs w:val="22"/>
        </w:rPr>
        <w:t xml:space="preserve"> </w:t>
      </w:r>
      <w:r w:rsidRPr="00883334">
        <w:rPr>
          <w:sz w:val="22"/>
          <w:szCs w:val="22"/>
        </w:rPr>
        <w:t>nie sú označené.</w:t>
      </w:r>
    </w:p>
    <w:p w:rsidR="00B16C2E" w:rsidRPr="00CD5EB0" w:rsidRDefault="00B16C2E" w:rsidP="00B16C2E">
      <w:pPr>
        <w:rPr>
          <w:sz w:val="22"/>
          <w:szCs w:val="22"/>
        </w:rPr>
      </w:pPr>
      <w:r w:rsidRPr="004329B8">
        <w:rPr>
          <w:sz w:val="22"/>
          <w:szCs w:val="22"/>
        </w:rPr>
        <w:t>Gentilion</w:t>
      </w:r>
      <w:r>
        <w:rPr>
          <w:sz w:val="22"/>
          <w:szCs w:val="22"/>
        </w:rPr>
        <w:t xml:space="preserve"> Daily je dostupný v baleniach po 1, 3 alebo 6 blistroch, každý s obsahom 28 tabliet (21 aktívnych plus 7 placebo tabliet).</w:t>
      </w:r>
      <w:r w:rsidRPr="004329B8">
        <w:t xml:space="preserve"> </w:t>
      </w:r>
    </w:p>
    <w:p w:rsidR="00A621AE" w:rsidRDefault="00A621AE">
      <w:pPr>
        <w:rPr>
          <w:sz w:val="22"/>
          <w:szCs w:val="22"/>
        </w:rPr>
      </w:pPr>
    </w:p>
    <w:p w:rsidR="00A621AE" w:rsidRDefault="00A621AE" w:rsidP="000C3F44">
      <w:pPr>
        <w:autoSpaceDE w:val="0"/>
        <w:autoSpaceDN w:val="0"/>
        <w:adjustRightInd w:val="0"/>
        <w:rPr>
          <w:b/>
          <w:bCs/>
          <w:color w:val="000000"/>
          <w:sz w:val="22"/>
          <w:szCs w:val="22"/>
        </w:rPr>
      </w:pPr>
      <w:r w:rsidRPr="000C3F44">
        <w:rPr>
          <w:b/>
          <w:bCs/>
          <w:color w:val="000000"/>
          <w:sz w:val="22"/>
          <w:szCs w:val="22"/>
        </w:rPr>
        <w:t>Držiteľ rozhodnutia o registrácii a</w:t>
      </w:r>
      <w:r>
        <w:rPr>
          <w:b/>
          <w:bCs/>
          <w:color w:val="000000"/>
          <w:sz w:val="22"/>
          <w:szCs w:val="22"/>
        </w:rPr>
        <w:t> </w:t>
      </w:r>
      <w:r w:rsidRPr="000C3F44">
        <w:rPr>
          <w:b/>
          <w:bCs/>
          <w:color w:val="000000"/>
          <w:sz w:val="22"/>
          <w:szCs w:val="22"/>
        </w:rPr>
        <w:t>výrobca</w:t>
      </w:r>
    </w:p>
    <w:p w:rsidR="00A621AE" w:rsidRPr="000C3F44" w:rsidRDefault="00A621AE" w:rsidP="000C3F44">
      <w:pPr>
        <w:autoSpaceDE w:val="0"/>
        <w:autoSpaceDN w:val="0"/>
        <w:adjustRightInd w:val="0"/>
        <w:rPr>
          <w:b/>
          <w:bCs/>
          <w:color w:val="000000"/>
          <w:sz w:val="22"/>
          <w:szCs w:val="22"/>
        </w:rPr>
      </w:pPr>
    </w:p>
    <w:p w:rsidR="00A621AE" w:rsidRPr="00D31CCF" w:rsidRDefault="00A621AE" w:rsidP="000C3F44">
      <w:pPr>
        <w:autoSpaceDE w:val="0"/>
        <w:autoSpaceDN w:val="0"/>
        <w:adjustRightInd w:val="0"/>
        <w:rPr>
          <w:b/>
          <w:bCs/>
          <w:color w:val="000000"/>
          <w:sz w:val="22"/>
          <w:szCs w:val="22"/>
        </w:rPr>
      </w:pPr>
      <w:r w:rsidRPr="000C3F44">
        <w:rPr>
          <w:b/>
          <w:bCs/>
          <w:color w:val="000000"/>
          <w:sz w:val="22"/>
          <w:szCs w:val="22"/>
        </w:rPr>
        <w:t>Držiteľ rozhodnutia o</w:t>
      </w:r>
      <w:r w:rsidRPr="000F6BD4">
        <w:rPr>
          <w:b/>
          <w:bCs/>
          <w:color w:val="000000"/>
          <w:sz w:val="22"/>
          <w:szCs w:val="22"/>
        </w:rPr>
        <w:t> </w:t>
      </w:r>
      <w:r w:rsidRPr="00883334">
        <w:rPr>
          <w:b/>
          <w:bCs/>
          <w:color w:val="000000"/>
          <w:sz w:val="22"/>
          <w:szCs w:val="22"/>
        </w:rPr>
        <w:t>registrácii</w:t>
      </w:r>
    </w:p>
    <w:p w:rsidR="00A621AE" w:rsidRDefault="00B16C2E">
      <w:pPr>
        <w:autoSpaceDE w:val="0"/>
        <w:autoSpaceDN w:val="0"/>
        <w:adjustRightInd w:val="0"/>
        <w:outlineLvl w:val="0"/>
        <w:rPr>
          <w:sz w:val="22"/>
          <w:szCs w:val="22"/>
        </w:rPr>
      </w:pPr>
      <w:r w:rsidRPr="00883334">
        <w:rPr>
          <w:sz w:val="22"/>
          <w:szCs w:val="22"/>
        </w:rPr>
        <w:t>E</w:t>
      </w:r>
      <w:r>
        <w:rPr>
          <w:sz w:val="22"/>
          <w:szCs w:val="22"/>
        </w:rPr>
        <w:t>gis</w:t>
      </w:r>
      <w:r w:rsidRPr="00883334">
        <w:rPr>
          <w:sz w:val="22"/>
          <w:szCs w:val="22"/>
        </w:rPr>
        <w:t xml:space="preserve"> </w:t>
      </w:r>
      <w:r w:rsidR="00A621AE" w:rsidRPr="00883334">
        <w:rPr>
          <w:sz w:val="22"/>
          <w:szCs w:val="22"/>
        </w:rPr>
        <w:t>Pharmaceuticals PLC</w:t>
      </w:r>
    </w:p>
    <w:p w:rsidR="00A621AE" w:rsidRDefault="00B16C2E">
      <w:pPr>
        <w:autoSpaceDE w:val="0"/>
        <w:autoSpaceDN w:val="0"/>
        <w:adjustRightInd w:val="0"/>
        <w:outlineLvl w:val="0"/>
        <w:rPr>
          <w:sz w:val="22"/>
          <w:szCs w:val="22"/>
        </w:rPr>
      </w:pPr>
      <w:r w:rsidRPr="00883334">
        <w:rPr>
          <w:sz w:val="22"/>
          <w:szCs w:val="22"/>
        </w:rPr>
        <w:t>1106 Budapešť</w:t>
      </w:r>
      <w:r>
        <w:rPr>
          <w:sz w:val="22"/>
          <w:szCs w:val="22"/>
        </w:rPr>
        <w:t xml:space="preserve">, </w:t>
      </w:r>
      <w:proofErr w:type="spellStart"/>
      <w:r w:rsidR="00A621AE" w:rsidRPr="004E3E05">
        <w:rPr>
          <w:sz w:val="22"/>
          <w:szCs w:val="22"/>
        </w:rPr>
        <w:t>Keresztúri</w:t>
      </w:r>
      <w:proofErr w:type="spellEnd"/>
      <w:r w:rsidR="00A621AE" w:rsidRPr="004E3E05">
        <w:rPr>
          <w:sz w:val="22"/>
          <w:szCs w:val="22"/>
        </w:rPr>
        <w:t xml:space="preserve"> </w:t>
      </w:r>
      <w:proofErr w:type="spellStart"/>
      <w:r w:rsidR="00A621AE" w:rsidRPr="004E3E05">
        <w:rPr>
          <w:sz w:val="22"/>
          <w:szCs w:val="22"/>
        </w:rPr>
        <w:t>út</w:t>
      </w:r>
      <w:proofErr w:type="spellEnd"/>
      <w:r w:rsidR="00A621AE" w:rsidRPr="004E3E05">
        <w:rPr>
          <w:sz w:val="22"/>
          <w:szCs w:val="22"/>
        </w:rPr>
        <w:t xml:space="preserve"> 30-38</w:t>
      </w:r>
      <w:r>
        <w:rPr>
          <w:sz w:val="22"/>
          <w:szCs w:val="22"/>
        </w:rPr>
        <w:t>.</w:t>
      </w:r>
    </w:p>
    <w:p w:rsidR="00A621AE" w:rsidRDefault="00A621AE">
      <w:pPr>
        <w:autoSpaceDE w:val="0"/>
        <w:autoSpaceDN w:val="0"/>
        <w:adjustRightInd w:val="0"/>
        <w:outlineLvl w:val="0"/>
        <w:rPr>
          <w:sz w:val="22"/>
          <w:szCs w:val="22"/>
        </w:rPr>
      </w:pPr>
      <w:r w:rsidRPr="00883334">
        <w:rPr>
          <w:sz w:val="22"/>
          <w:szCs w:val="22"/>
        </w:rPr>
        <w:t>Maďarsko</w:t>
      </w:r>
    </w:p>
    <w:p w:rsidR="00A621AE" w:rsidRDefault="00A621AE">
      <w:pPr>
        <w:tabs>
          <w:tab w:val="left" w:pos="-1440"/>
          <w:tab w:val="left" w:pos="-720"/>
        </w:tabs>
        <w:rPr>
          <w:sz w:val="22"/>
          <w:szCs w:val="22"/>
        </w:rPr>
      </w:pPr>
    </w:p>
    <w:p w:rsidR="00A621AE" w:rsidRDefault="00A621AE">
      <w:pPr>
        <w:tabs>
          <w:tab w:val="left" w:pos="567"/>
        </w:tabs>
        <w:suppressAutoHyphens/>
        <w:autoSpaceDE w:val="0"/>
        <w:autoSpaceDN w:val="0"/>
        <w:adjustRightInd w:val="0"/>
        <w:rPr>
          <w:b/>
          <w:caps/>
          <w:sz w:val="22"/>
          <w:szCs w:val="22"/>
        </w:rPr>
      </w:pPr>
      <w:r w:rsidRPr="00883334">
        <w:rPr>
          <w:b/>
          <w:sz w:val="22"/>
          <w:szCs w:val="22"/>
        </w:rPr>
        <w:t>Výrobca</w:t>
      </w:r>
    </w:p>
    <w:p w:rsidR="00A621AE" w:rsidRDefault="00A621AE">
      <w:pPr>
        <w:autoSpaceDE w:val="0"/>
        <w:autoSpaceDN w:val="0"/>
        <w:rPr>
          <w:bCs/>
          <w:sz w:val="22"/>
          <w:szCs w:val="22"/>
        </w:rPr>
      </w:pPr>
      <w:proofErr w:type="spellStart"/>
      <w:r w:rsidRPr="00883334">
        <w:rPr>
          <w:bCs/>
          <w:sz w:val="22"/>
          <w:szCs w:val="22"/>
        </w:rPr>
        <w:t>Laboratorios</w:t>
      </w:r>
      <w:proofErr w:type="spellEnd"/>
      <w:r w:rsidRPr="00883334">
        <w:rPr>
          <w:bCs/>
          <w:sz w:val="22"/>
          <w:szCs w:val="22"/>
        </w:rPr>
        <w:t xml:space="preserve"> León Farma, S.A.</w:t>
      </w:r>
    </w:p>
    <w:p w:rsidR="00A621AE" w:rsidRDefault="00A621AE">
      <w:pPr>
        <w:autoSpaceDE w:val="0"/>
        <w:autoSpaceDN w:val="0"/>
        <w:rPr>
          <w:bCs/>
          <w:sz w:val="22"/>
          <w:szCs w:val="22"/>
        </w:rPr>
      </w:pPr>
      <w:r w:rsidRPr="00883334">
        <w:rPr>
          <w:bCs/>
          <w:sz w:val="22"/>
          <w:szCs w:val="22"/>
        </w:rPr>
        <w:t xml:space="preserve">C/La </w:t>
      </w:r>
      <w:proofErr w:type="spellStart"/>
      <w:r w:rsidRPr="00883334">
        <w:rPr>
          <w:bCs/>
          <w:sz w:val="22"/>
          <w:szCs w:val="22"/>
        </w:rPr>
        <w:t>Vallina</w:t>
      </w:r>
      <w:proofErr w:type="spellEnd"/>
      <w:r w:rsidRPr="00883334">
        <w:rPr>
          <w:bCs/>
          <w:sz w:val="22"/>
          <w:szCs w:val="22"/>
        </w:rPr>
        <w:t xml:space="preserve"> s/n, Pol. Ind. </w:t>
      </w:r>
      <w:proofErr w:type="spellStart"/>
      <w:r w:rsidRPr="00883334">
        <w:rPr>
          <w:bCs/>
          <w:sz w:val="22"/>
          <w:szCs w:val="22"/>
        </w:rPr>
        <w:t>Navatereja</w:t>
      </w:r>
      <w:proofErr w:type="spellEnd"/>
    </w:p>
    <w:p w:rsidR="00A621AE" w:rsidRDefault="00A621AE">
      <w:pPr>
        <w:autoSpaceDE w:val="0"/>
        <w:autoSpaceDN w:val="0"/>
        <w:rPr>
          <w:bCs/>
          <w:sz w:val="22"/>
          <w:szCs w:val="22"/>
        </w:rPr>
      </w:pPr>
      <w:r w:rsidRPr="00883334">
        <w:rPr>
          <w:bCs/>
          <w:sz w:val="22"/>
          <w:szCs w:val="22"/>
        </w:rPr>
        <w:t xml:space="preserve">24008 </w:t>
      </w:r>
      <w:proofErr w:type="spellStart"/>
      <w:r w:rsidRPr="00883334">
        <w:rPr>
          <w:bCs/>
          <w:sz w:val="22"/>
          <w:szCs w:val="22"/>
        </w:rPr>
        <w:t>Navatereja-León</w:t>
      </w:r>
      <w:proofErr w:type="spellEnd"/>
    </w:p>
    <w:p w:rsidR="00A621AE" w:rsidRDefault="00A621AE">
      <w:pPr>
        <w:autoSpaceDE w:val="0"/>
        <w:autoSpaceDN w:val="0"/>
        <w:rPr>
          <w:bCs/>
          <w:sz w:val="22"/>
          <w:szCs w:val="22"/>
        </w:rPr>
      </w:pPr>
      <w:r w:rsidRPr="00883334">
        <w:rPr>
          <w:bCs/>
          <w:sz w:val="22"/>
          <w:szCs w:val="22"/>
        </w:rPr>
        <w:t>Španielsko</w:t>
      </w:r>
    </w:p>
    <w:p w:rsidR="00A621AE" w:rsidRDefault="00A621AE">
      <w:pPr>
        <w:autoSpaceDE w:val="0"/>
        <w:autoSpaceDN w:val="0"/>
        <w:rPr>
          <w:bCs/>
          <w:sz w:val="22"/>
          <w:szCs w:val="22"/>
        </w:rPr>
      </w:pPr>
    </w:p>
    <w:p w:rsidR="00A621AE" w:rsidRPr="00CD097A" w:rsidRDefault="00B16C2E">
      <w:pPr>
        <w:autoSpaceDE w:val="0"/>
        <w:autoSpaceDN w:val="0"/>
        <w:adjustRightInd w:val="0"/>
        <w:rPr>
          <w:color w:val="000000"/>
          <w:sz w:val="22"/>
          <w:szCs w:val="22"/>
          <w:highlight w:val="lightGray"/>
        </w:rPr>
      </w:pPr>
      <w:r w:rsidRPr="00CD097A">
        <w:rPr>
          <w:color w:val="000000"/>
          <w:sz w:val="22"/>
          <w:szCs w:val="22"/>
          <w:highlight w:val="lightGray"/>
        </w:rPr>
        <w:t xml:space="preserve">Egis </w:t>
      </w:r>
      <w:r w:rsidR="00A621AE" w:rsidRPr="00CD097A">
        <w:rPr>
          <w:color w:val="000000"/>
          <w:sz w:val="22"/>
          <w:szCs w:val="22"/>
          <w:highlight w:val="lightGray"/>
        </w:rPr>
        <w:t>Pharmaceuticals PLC</w:t>
      </w:r>
    </w:p>
    <w:p w:rsidR="00CD097A" w:rsidRDefault="00B16C2E">
      <w:pPr>
        <w:autoSpaceDE w:val="0"/>
        <w:autoSpaceDN w:val="0"/>
        <w:adjustRightInd w:val="0"/>
        <w:rPr>
          <w:color w:val="000000"/>
          <w:sz w:val="22"/>
          <w:szCs w:val="22"/>
          <w:highlight w:val="lightGray"/>
        </w:rPr>
      </w:pPr>
      <w:r w:rsidRPr="00CD097A">
        <w:rPr>
          <w:color w:val="000000"/>
          <w:sz w:val="22"/>
          <w:szCs w:val="22"/>
          <w:highlight w:val="lightGray"/>
        </w:rPr>
        <w:t xml:space="preserve">1165 Budapešť, </w:t>
      </w:r>
      <w:proofErr w:type="spellStart"/>
      <w:r w:rsidR="00A621AE" w:rsidRPr="00CD097A">
        <w:rPr>
          <w:color w:val="000000"/>
          <w:sz w:val="22"/>
          <w:szCs w:val="22"/>
          <w:highlight w:val="lightGray"/>
        </w:rPr>
        <w:t>Bökényföldi</w:t>
      </w:r>
      <w:proofErr w:type="spellEnd"/>
      <w:r w:rsidR="00A621AE" w:rsidRPr="00CD097A">
        <w:rPr>
          <w:color w:val="000000"/>
          <w:sz w:val="22"/>
          <w:szCs w:val="22"/>
          <w:highlight w:val="lightGray"/>
        </w:rPr>
        <w:t xml:space="preserve"> </w:t>
      </w:r>
      <w:proofErr w:type="spellStart"/>
      <w:r w:rsidR="00A621AE" w:rsidRPr="00CD097A">
        <w:rPr>
          <w:color w:val="000000"/>
          <w:sz w:val="22"/>
          <w:szCs w:val="22"/>
          <w:highlight w:val="lightGray"/>
        </w:rPr>
        <w:t>út</w:t>
      </w:r>
      <w:proofErr w:type="spellEnd"/>
      <w:r w:rsidR="00A621AE" w:rsidRPr="00CD097A">
        <w:rPr>
          <w:color w:val="000000"/>
          <w:sz w:val="22"/>
          <w:szCs w:val="22"/>
          <w:highlight w:val="lightGray"/>
        </w:rPr>
        <w:t xml:space="preserve"> 118-120</w:t>
      </w:r>
      <w:r w:rsidRPr="00CD097A">
        <w:rPr>
          <w:color w:val="000000"/>
          <w:sz w:val="22"/>
          <w:szCs w:val="22"/>
          <w:highlight w:val="lightGray"/>
        </w:rPr>
        <w:t>.</w:t>
      </w:r>
    </w:p>
    <w:p w:rsidR="00A621AE" w:rsidRDefault="00A621AE">
      <w:pPr>
        <w:autoSpaceDE w:val="0"/>
        <w:autoSpaceDN w:val="0"/>
        <w:adjustRightInd w:val="0"/>
        <w:rPr>
          <w:color w:val="000000"/>
          <w:sz w:val="22"/>
          <w:szCs w:val="22"/>
        </w:rPr>
      </w:pPr>
      <w:r w:rsidRPr="00CD097A">
        <w:rPr>
          <w:color w:val="000000"/>
          <w:sz w:val="22"/>
          <w:szCs w:val="22"/>
          <w:highlight w:val="lightGray"/>
        </w:rPr>
        <w:t>Maďarsko</w:t>
      </w:r>
    </w:p>
    <w:p w:rsidR="00A621AE" w:rsidRDefault="00A621AE">
      <w:pPr>
        <w:autoSpaceDE w:val="0"/>
        <w:autoSpaceDN w:val="0"/>
        <w:adjustRightInd w:val="0"/>
        <w:rPr>
          <w:color w:val="000000"/>
          <w:sz w:val="22"/>
          <w:szCs w:val="22"/>
        </w:rPr>
      </w:pPr>
    </w:p>
    <w:p w:rsidR="00A621AE" w:rsidRDefault="00A621AE">
      <w:pPr>
        <w:autoSpaceDE w:val="0"/>
        <w:autoSpaceDN w:val="0"/>
        <w:adjustRightInd w:val="0"/>
        <w:rPr>
          <w:b/>
          <w:color w:val="000000"/>
          <w:sz w:val="22"/>
          <w:szCs w:val="22"/>
        </w:rPr>
      </w:pPr>
      <w:r w:rsidRPr="00883334">
        <w:rPr>
          <w:b/>
          <w:color w:val="000000"/>
          <w:sz w:val="22"/>
          <w:szCs w:val="22"/>
        </w:rPr>
        <w:t>Liek je schválený v členských štátoch Európskeho hospodárskeho priestoru (EHP) pod nasledovnými názvami:</w:t>
      </w:r>
    </w:p>
    <w:p w:rsidR="00A621AE" w:rsidRDefault="00A621AE">
      <w:pPr>
        <w:autoSpaceDE w:val="0"/>
        <w:autoSpaceDN w:val="0"/>
        <w:adjustRightInd w:val="0"/>
        <w:rPr>
          <w:color w:val="000000"/>
          <w:sz w:val="22"/>
          <w:szCs w:val="22"/>
        </w:rPr>
      </w:pPr>
    </w:p>
    <w:p w:rsidR="00A621AE" w:rsidRDefault="00A621AE">
      <w:pPr>
        <w:pStyle w:val="Heading1"/>
        <w:rPr>
          <w:b w:val="0"/>
        </w:rPr>
      </w:pPr>
      <w:r w:rsidRPr="00883334">
        <w:rPr>
          <w:b w:val="0"/>
        </w:rPr>
        <w:t>Holandsko</w:t>
      </w:r>
      <w:r w:rsidRPr="000F6BD4">
        <w:rPr>
          <w:b w:val="0"/>
        </w:rPr>
        <w:tab/>
      </w:r>
      <w:r w:rsidRPr="000F6BD4">
        <w:rPr>
          <w:b w:val="0"/>
        </w:rPr>
        <w:tab/>
      </w:r>
      <w:r w:rsidRPr="000F6BD4">
        <w:rPr>
          <w:b w:val="0"/>
        </w:rPr>
        <w:tab/>
      </w:r>
      <w:r w:rsidRPr="000F6BD4">
        <w:rPr>
          <w:b w:val="0"/>
        </w:rPr>
        <w:tab/>
      </w:r>
      <w:proofErr w:type="spellStart"/>
      <w:r w:rsidRPr="00883334">
        <w:rPr>
          <w:b w:val="0"/>
        </w:rPr>
        <w:t>Nobabelle</w:t>
      </w:r>
      <w:proofErr w:type="spellEnd"/>
      <w:r w:rsidRPr="00883334">
        <w:rPr>
          <w:b w:val="0"/>
        </w:rPr>
        <w:t xml:space="preserve"> </w:t>
      </w:r>
      <w:proofErr w:type="spellStart"/>
      <w:r w:rsidRPr="00883334">
        <w:rPr>
          <w:b w:val="0"/>
        </w:rPr>
        <w:t>Cala</w:t>
      </w:r>
      <w:proofErr w:type="spellEnd"/>
      <w:r w:rsidRPr="00883334">
        <w:rPr>
          <w:b w:val="0"/>
        </w:rPr>
        <w:t xml:space="preserve"> 0.075 mg/0.030mg </w:t>
      </w:r>
      <w:proofErr w:type="spellStart"/>
      <w:r w:rsidRPr="00883334">
        <w:rPr>
          <w:b w:val="0"/>
        </w:rPr>
        <w:t>tabletten</w:t>
      </w:r>
      <w:proofErr w:type="spellEnd"/>
    </w:p>
    <w:p w:rsidR="00A621AE" w:rsidRDefault="00A621AE">
      <w:pPr>
        <w:rPr>
          <w:sz w:val="22"/>
          <w:szCs w:val="22"/>
        </w:rPr>
      </w:pPr>
      <w:r w:rsidRPr="00883334">
        <w:rPr>
          <w:sz w:val="22"/>
          <w:szCs w:val="22"/>
        </w:rPr>
        <w:t>Česká republika</w:t>
      </w:r>
      <w:r w:rsidRPr="000F6BD4">
        <w:rPr>
          <w:sz w:val="22"/>
          <w:szCs w:val="22"/>
        </w:rPr>
        <w:tab/>
      </w:r>
      <w:r w:rsidRPr="000F6BD4">
        <w:rPr>
          <w:sz w:val="22"/>
          <w:szCs w:val="22"/>
        </w:rPr>
        <w:tab/>
      </w:r>
      <w:r w:rsidRPr="000F6BD4">
        <w:rPr>
          <w:sz w:val="22"/>
          <w:szCs w:val="22"/>
        </w:rPr>
        <w:tab/>
      </w:r>
      <w:r w:rsidRPr="00883334">
        <w:rPr>
          <w:sz w:val="22"/>
          <w:szCs w:val="22"/>
        </w:rPr>
        <w:t>Gentilion Daily 0,075 mg/0,030 mg</w:t>
      </w:r>
    </w:p>
    <w:p w:rsidR="00A621AE" w:rsidRDefault="00A621AE">
      <w:pPr>
        <w:pStyle w:val="Heading1"/>
        <w:rPr>
          <w:b w:val="0"/>
        </w:rPr>
      </w:pPr>
      <w:r w:rsidRPr="00883334">
        <w:rPr>
          <w:b w:val="0"/>
        </w:rPr>
        <w:t>Maďarsko</w:t>
      </w:r>
      <w:r w:rsidRPr="000F6BD4">
        <w:rPr>
          <w:b w:val="0"/>
        </w:rPr>
        <w:tab/>
      </w:r>
      <w:r w:rsidRPr="000F6BD4">
        <w:rPr>
          <w:b w:val="0"/>
        </w:rPr>
        <w:tab/>
      </w:r>
      <w:r w:rsidRPr="000F6BD4">
        <w:rPr>
          <w:b w:val="0"/>
        </w:rPr>
        <w:tab/>
      </w:r>
      <w:r w:rsidRPr="000F6BD4">
        <w:rPr>
          <w:b w:val="0"/>
        </w:rPr>
        <w:tab/>
      </w:r>
      <w:proofErr w:type="spellStart"/>
      <w:r w:rsidRPr="00883334">
        <w:rPr>
          <w:b w:val="0"/>
        </w:rPr>
        <w:t>Nobabelle</w:t>
      </w:r>
      <w:proofErr w:type="spellEnd"/>
      <w:r w:rsidRPr="00883334">
        <w:rPr>
          <w:b w:val="0"/>
        </w:rPr>
        <w:t xml:space="preserve"> Daily </w:t>
      </w:r>
      <w:proofErr w:type="spellStart"/>
      <w:r w:rsidRPr="00883334">
        <w:rPr>
          <w:b w:val="0"/>
        </w:rPr>
        <w:t>tabletta</w:t>
      </w:r>
      <w:proofErr w:type="spellEnd"/>
    </w:p>
    <w:p w:rsidR="00A621AE" w:rsidRDefault="00A621AE">
      <w:pPr>
        <w:rPr>
          <w:sz w:val="22"/>
          <w:szCs w:val="22"/>
        </w:rPr>
      </w:pPr>
      <w:r w:rsidRPr="00883334">
        <w:rPr>
          <w:sz w:val="22"/>
          <w:szCs w:val="22"/>
        </w:rPr>
        <w:t>Poľsko</w:t>
      </w:r>
      <w:r w:rsidRPr="000F6BD4">
        <w:rPr>
          <w:sz w:val="22"/>
          <w:szCs w:val="22"/>
        </w:rPr>
        <w:tab/>
      </w:r>
      <w:r w:rsidRPr="000F6BD4">
        <w:rPr>
          <w:sz w:val="22"/>
          <w:szCs w:val="22"/>
        </w:rPr>
        <w:tab/>
      </w:r>
      <w:r w:rsidRPr="000F6BD4">
        <w:rPr>
          <w:sz w:val="22"/>
          <w:szCs w:val="22"/>
        </w:rPr>
        <w:tab/>
      </w:r>
      <w:r w:rsidRPr="000F6BD4">
        <w:rPr>
          <w:sz w:val="22"/>
          <w:szCs w:val="22"/>
        </w:rPr>
        <w:tab/>
      </w:r>
      <w:r w:rsidRPr="000F6BD4">
        <w:rPr>
          <w:sz w:val="22"/>
          <w:szCs w:val="22"/>
        </w:rPr>
        <w:tab/>
      </w:r>
      <w:proofErr w:type="spellStart"/>
      <w:r w:rsidRPr="00883334">
        <w:rPr>
          <w:sz w:val="22"/>
          <w:szCs w:val="22"/>
        </w:rPr>
        <w:t>Nobabelle</w:t>
      </w:r>
      <w:proofErr w:type="spellEnd"/>
      <w:r w:rsidRPr="00883334">
        <w:rPr>
          <w:sz w:val="22"/>
          <w:szCs w:val="22"/>
        </w:rPr>
        <w:t xml:space="preserve"> Daily</w:t>
      </w:r>
    </w:p>
    <w:p w:rsidR="00A621AE" w:rsidRDefault="00A621AE">
      <w:pPr>
        <w:autoSpaceDE w:val="0"/>
        <w:autoSpaceDN w:val="0"/>
        <w:adjustRightInd w:val="0"/>
        <w:rPr>
          <w:color w:val="000000"/>
          <w:sz w:val="22"/>
          <w:szCs w:val="22"/>
        </w:rPr>
      </w:pPr>
      <w:r w:rsidRPr="00883334">
        <w:rPr>
          <w:sz w:val="22"/>
          <w:szCs w:val="22"/>
        </w:rPr>
        <w:t>Slovenská republika</w:t>
      </w:r>
      <w:r w:rsidRPr="000F6BD4">
        <w:rPr>
          <w:sz w:val="22"/>
          <w:szCs w:val="22"/>
        </w:rPr>
        <w:tab/>
      </w:r>
      <w:r w:rsidRPr="000F6BD4">
        <w:rPr>
          <w:sz w:val="22"/>
          <w:szCs w:val="22"/>
        </w:rPr>
        <w:tab/>
      </w:r>
      <w:r w:rsidRPr="000F6BD4">
        <w:rPr>
          <w:sz w:val="22"/>
          <w:szCs w:val="22"/>
        </w:rPr>
        <w:tab/>
      </w:r>
      <w:r w:rsidRPr="00883334">
        <w:rPr>
          <w:sz w:val="22"/>
          <w:szCs w:val="22"/>
        </w:rPr>
        <w:t>Gentilion Daily 0,075 mg/0,030 mg</w:t>
      </w:r>
    </w:p>
    <w:p w:rsidR="00A621AE" w:rsidRDefault="00A621AE">
      <w:pPr>
        <w:autoSpaceDE w:val="0"/>
        <w:autoSpaceDN w:val="0"/>
        <w:adjustRightInd w:val="0"/>
        <w:rPr>
          <w:b/>
          <w:bCs/>
          <w:color w:val="000000"/>
          <w:sz w:val="22"/>
          <w:szCs w:val="22"/>
        </w:rPr>
      </w:pPr>
    </w:p>
    <w:p w:rsidR="00A621AE" w:rsidRDefault="00A621AE">
      <w:pPr>
        <w:autoSpaceDE w:val="0"/>
        <w:autoSpaceDN w:val="0"/>
        <w:adjustRightInd w:val="0"/>
        <w:rPr>
          <w:b/>
          <w:bCs/>
          <w:color w:val="000000"/>
          <w:sz w:val="22"/>
          <w:szCs w:val="22"/>
        </w:rPr>
      </w:pPr>
    </w:p>
    <w:p w:rsidR="00A621AE" w:rsidRDefault="00A621AE">
      <w:pPr>
        <w:pStyle w:val="Heading1"/>
      </w:pPr>
      <w:r w:rsidRPr="00883334">
        <w:t>Táto písomná informácia bola naposledy aktualizovaná v</w:t>
      </w:r>
      <w:r w:rsidR="006B62A8">
        <w:t> októbri 2018</w:t>
      </w:r>
      <w:r w:rsidRPr="000C3F44">
        <w:t>.</w:t>
      </w:r>
    </w:p>
    <w:p w:rsidR="00A621AE" w:rsidRDefault="00A621AE">
      <w:pPr>
        <w:rPr>
          <w:sz w:val="22"/>
          <w:szCs w:val="22"/>
        </w:rPr>
      </w:pPr>
    </w:p>
    <w:sectPr w:rsidR="00A621AE" w:rsidSect="00CD097A">
      <w:headerReference w:type="default" r:id="rId9"/>
      <w:footerReference w:type="even" r:id="rId10"/>
      <w:footerReference w:type="default" r:id="rId11"/>
      <w:headerReference w:type="first" r:id="rId12"/>
      <w:footerReference w:type="first" r:id="rId13"/>
      <w:pgSz w:w="11907" w:h="16839" w:code="9"/>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92" w:rsidRDefault="00385592">
      <w:r>
        <w:separator/>
      </w:r>
    </w:p>
  </w:endnote>
  <w:endnote w:type="continuationSeparator" w:id="0">
    <w:p w:rsidR="00385592" w:rsidRDefault="0038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92" w:rsidRDefault="00385592" w:rsidP="00951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592" w:rsidRDefault="00385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92" w:rsidRPr="001E6AF0" w:rsidRDefault="00385592" w:rsidP="001E6AF0">
    <w:pPr>
      <w:pStyle w:val="Footer"/>
      <w:jc w:val="center"/>
      <w:rPr>
        <w:sz w:val="18"/>
        <w:szCs w:val="18"/>
      </w:rPr>
    </w:pPr>
    <w:r w:rsidRPr="00B27F83">
      <w:rPr>
        <w:sz w:val="18"/>
        <w:szCs w:val="18"/>
      </w:rPr>
      <w:fldChar w:fldCharType="begin"/>
    </w:r>
    <w:r w:rsidRPr="00883334">
      <w:rPr>
        <w:sz w:val="18"/>
        <w:szCs w:val="18"/>
      </w:rPr>
      <w:instrText xml:space="preserve"> PAGE   </w:instrText>
    </w:r>
    <w:r>
      <w:rPr>
        <w:sz w:val="18"/>
        <w:szCs w:val="18"/>
      </w:rPr>
      <w:instrText>\</w:instrText>
    </w:r>
    <w:r w:rsidRPr="00883334">
      <w:rPr>
        <w:sz w:val="18"/>
        <w:szCs w:val="18"/>
      </w:rPr>
      <w:instrText xml:space="preserve">* MERGEFORMAT </w:instrText>
    </w:r>
    <w:r w:rsidRPr="00B27F83">
      <w:rPr>
        <w:sz w:val="18"/>
        <w:szCs w:val="18"/>
      </w:rPr>
      <w:fldChar w:fldCharType="separate"/>
    </w:r>
    <w:r w:rsidR="00B84E00">
      <w:rPr>
        <w:noProof/>
        <w:sz w:val="18"/>
        <w:szCs w:val="18"/>
      </w:rPr>
      <w:t>4</w:t>
    </w:r>
    <w:r w:rsidRPr="00B27F83">
      <w:rPr>
        <w:sz w:val="18"/>
        <w:szCs w:val="18"/>
      </w:rPr>
      <w:fldChar w:fldCharType="end"/>
    </w:r>
  </w:p>
  <w:p w:rsidR="00385592" w:rsidRDefault="00385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92" w:rsidRPr="00883334" w:rsidRDefault="00385592" w:rsidP="00883334">
    <w:pPr>
      <w:pStyle w:val="Footer"/>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92" w:rsidRDefault="00385592">
      <w:r>
        <w:separator/>
      </w:r>
    </w:p>
  </w:footnote>
  <w:footnote w:type="continuationSeparator" w:id="0">
    <w:p w:rsidR="00385592" w:rsidRDefault="00385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92" w:rsidRDefault="00385592" w:rsidP="00775CA9">
    <w:pPr>
      <w:pStyle w:val="Header"/>
    </w:pPr>
    <w:r w:rsidRPr="00D31CCF">
      <w:rPr>
        <w:sz w:val="18"/>
        <w:szCs w:val="18"/>
        <w:lang w:eastAsia="en-US"/>
      </w:rPr>
      <w:t xml:space="preserve">Príloha č. 2 k notifikácii o zmene, ev. č.: </w:t>
    </w:r>
    <w:r w:rsidR="000D6F52" w:rsidRPr="000D6F52">
      <w:rPr>
        <w:sz w:val="18"/>
        <w:szCs w:val="18"/>
        <w:lang w:eastAsia="en-US"/>
      </w:rPr>
      <w:t>2018/02346-Z1B</w:t>
    </w:r>
  </w:p>
  <w:p w:rsidR="00385592" w:rsidRDefault="00385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92" w:rsidRDefault="0038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30C0845"/>
    <w:multiLevelType w:val="hybridMultilevel"/>
    <w:tmpl w:val="DA1E4E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4D91AC9"/>
    <w:multiLevelType w:val="hybridMultilevel"/>
    <w:tmpl w:val="157A64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561195C"/>
    <w:multiLevelType w:val="hybridMultilevel"/>
    <w:tmpl w:val="49B4EA3E"/>
    <w:lvl w:ilvl="0" w:tplc="13B2D22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6942CE"/>
    <w:multiLevelType w:val="hybridMultilevel"/>
    <w:tmpl w:val="5B9E2E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0B480C9D"/>
    <w:multiLevelType w:val="hybridMultilevel"/>
    <w:tmpl w:val="1E5C2A6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EB56C3C"/>
    <w:multiLevelType w:val="hybridMultilevel"/>
    <w:tmpl w:val="0B9A89F6"/>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nsid w:val="1AD5131D"/>
    <w:multiLevelType w:val="hybridMultilevel"/>
    <w:tmpl w:val="C05E49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15A1ED6"/>
    <w:multiLevelType w:val="hybridMultilevel"/>
    <w:tmpl w:val="138AFE24"/>
    <w:lvl w:ilvl="0" w:tplc="FE14D46E">
      <w:start w:val="2"/>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nsid w:val="29317F29"/>
    <w:multiLevelType w:val="hybridMultilevel"/>
    <w:tmpl w:val="7242D4BE"/>
    <w:lvl w:ilvl="0" w:tplc="041B0003">
      <w:start w:val="1"/>
      <w:numFmt w:val="bullet"/>
      <w:lvlText w:val="o"/>
      <w:lvlJc w:val="left"/>
      <w:pPr>
        <w:tabs>
          <w:tab w:val="num" w:pos="1068"/>
        </w:tabs>
        <w:ind w:left="1068" w:hanging="360"/>
      </w:pPr>
      <w:rPr>
        <w:rFonts w:ascii="Courier New" w:hAnsi="Courier New" w:hint="default"/>
      </w:rPr>
    </w:lvl>
    <w:lvl w:ilvl="1" w:tplc="64EAF43A">
      <w:start w:val="4"/>
      <w:numFmt w:val="bullet"/>
      <w:lvlText w:val="-"/>
      <w:lvlJc w:val="left"/>
      <w:pPr>
        <w:tabs>
          <w:tab w:val="num" w:pos="1788"/>
        </w:tabs>
        <w:ind w:left="1788" w:hanging="360"/>
      </w:pPr>
      <w:rPr>
        <w:rFonts w:ascii="Times New Roman" w:eastAsia="Times New Roman" w:hAnsi="Times New Roman"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1">
    <w:nsid w:val="2A2464AE"/>
    <w:multiLevelType w:val="hybridMultilevel"/>
    <w:tmpl w:val="F7C4C062"/>
    <w:lvl w:ilvl="0" w:tplc="041B0001">
      <w:start w:val="1"/>
      <w:numFmt w:val="bullet"/>
      <w:lvlText w:val=""/>
      <w:lvlJc w:val="left"/>
      <w:pPr>
        <w:ind w:left="773" w:hanging="360"/>
      </w:pPr>
      <w:rPr>
        <w:rFonts w:ascii="Symbol" w:hAnsi="Symbol" w:hint="default"/>
      </w:rPr>
    </w:lvl>
    <w:lvl w:ilvl="1" w:tplc="041B0003">
      <w:start w:val="1"/>
      <w:numFmt w:val="bullet"/>
      <w:lvlText w:val="o"/>
      <w:lvlJc w:val="left"/>
      <w:pPr>
        <w:ind w:left="1493" w:hanging="360"/>
      </w:pPr>
      <w:rPr>
        <w:rFonts w:ascii="Courier New" w:hAnsi="Courier New" w:hint="default"/>
      </w:rPr>
    </w:lvl>
    <w:lvl w:ilvl="2" w:tplc="2A0A2844">
      <w:numFmt w:val="bullet"/>
      <w:lvlText w:val="•"/>
      <w:lvlJc w:val="left"/>
      <w:pPr>
        <w:ind w:left="2213" w:hanging="360"/>
      </w:pPr>
      <w:rPr>
        <w:rFonts w:ascii="Times New Roman" w:eastAsia="Times New Roman" w:hAnsi="Times New Roman"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12">
    <w:nsid w:val="2BE119F6"/>
    <w:multiLevelType w:val="hybridMultilevel"/>
    <w:tmpl w:val="35E874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CA27318"/>
    <w:multiLevelType w:val="hybridMultilevel"/>
    <w:tmpl w:val="D42C203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2CD64B0B"/>
    <w:multiLevelType w:val="hybridMultilevel"/>
    <w:tmpl w:val="6D16510C"/>
    <w:lvl w:ilvl="0" w:tplc="2A0A284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DF95DA1"/>
    <w:multiLevelType w:val="hybridMultilevel"/>
    <w:tmpl w:val="FC6074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30B01B5B"/>
    <w:multiLevelType w:val="multilevel"/>
    <w:tmpl w:val="138AFE24"/>
    <w:lvl w:ilvl="0">
      <w:start w:val="2"/>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8">
    <w:nsid w:val="32DE2554"/>
    <w:multiLevelType w:val="hybridMultilevel"/>
    <w:tmpl w:val="77E89F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34780BDD"/>
    <w:multiLevelType w:val="hybridMultilevel"/>
    <w:tmpl w:val="3A9E3240"/>
    <w:lvl w:ilvl="0" w:tplc="0732575E">
      <w:start w:val="1"/>
      <w:numFmt w:val="decimal"/>
      <w:lvlText w:val="%1."/>
      <w:lvlJc w:val="left"/>
      <w:pPr>
        <w:ind w:left="444" w:hanging="360"/>
      </w:pPr>
      <w:rPr>
        <w:rFonts w:cs="Times New Roman" w:hint="default"/>
      </w:rPr>
    </w:lvl>
    <w:lvl w:ilvl="1" w:tplc="041B0019" w:tentative="1">
      <w:start w:val="1"/>
      <w:numFmt w:val="lowerLetter"/>
      <w:lvlText w:val="%2."/>
      <w:lvlJc w:val="left"/>
      <w:pPr>
        <w:ind w:left="1164" w:hanging="360"/>
      </w:pPr>
      <w:rPr>
        <w:rFonts w:cs="Times New Roman"/>
      </w:rPr>
    </w:lvl>
    <w:lvl w:ilvl="2" w:tplc="041B001B" w:tentative="1">
      <w:start w:val="1"/>
      <w:numFmt w:val="lowerRoman"/>
      <w:lvlText w:val="%3."/>
      <w:lvlJc w:val="right"/>
      <w:pPr>
        <w:ind w:left="1884" w:hanging="180"/>
      </w:pPr>
      <w:rPr>
        <w:rFonts w:cs="Times New Roman"/>
      </w:rPr>
    </w:lvl>
    <w:lvl w:ilvl="3" w:tplc="041B000F" w:tentative="1">
      <w:start w:val="1"/>
      <w:numFmt w:val="decimal"/>
      <w:lvlText w:val="%4."/>
      <w:lvlJc w:val="left"/>
      <w:pPr>
        <w:ind w:left="2604" w:hanging="360"/>
      </w:pPr>
      <w:rPr>
        <w:rFonts w:cs="Times New Roman"/>
      </w:rPr>
    </w:lvl>
    <w:lvl w:ilvl="4" w:tplc="041B0019" w:tentative="1">
      <w:start w:val="1"/>
      <w:numFmt w:val="lowerLetter"/>
      <w:lvlText w:val="%5."/>
      <w:lvlJc w:val="left"/>
      <w:pPr>
        <w:ind w:left="3324" w:hanging="360"/>
      </w:pPr>
      <w:rPr>
        <w:rFonts w:cs="Times New Roman"/>
      </w:rPr>
    </w:lvl>
    <w:lvl w:ilvl="5" w:tplc="041B001B" w:tentative="1">
      <w:start w:val="1"/>
      <w:numFmt w:val="lowerRoman"/>
      <w:lvlText w:val="%6."/>
      <w:lvlJc w:val="right"/>
      <w:pPr>
        <w:ind w:left="4044" w:hanging="180"/>
      </w:pPr>
      <w:rPr>
        <w:rFonts w:cs="Times New Roman"/>
      </w:rPr>
    </w:lvl>
    <w:lvl w:ilvl="6" w:tplc="041B000F" w:tentative="1">
      <w:start w:val="1"/>
      <w:numFmt w:val="decimal"/>
      <w:lvlText w:val="%7."/>
      <w:lvlJc w:val="left"/>
      <w:pPr>
        <w:ind w:left="4764" w:hanging="360"/>
      </w:pPr>
      <w:rPr>
        <w:rFonts w:cs="Times New Roman"/>
      </w:rPr>
    </w:lvl>
    <w:lvl w:ilvl="7" w:tplc="041B0019" w:tentative="1">
      <w:start w:val="1"/>
      <w:numFmt w:val="lowerLetter"/>
      <w:lvlText w:val="%8."/>
      <w:lvlJc w:val="left"/>
      <w:pPr>
        <w:ind w:left="5484" w:hanging="360"/>
      </w:pPr>
      <w:rPr>
        <w:rFonts w:cs="Times New Roman"/>
      </w:rPr>
    </w:lvl>
    <w:lvl w:ilvl="8" w:tplc="041B001B" w:tentative="1">
      <w:start w:val="1"/>
      <w:numFmt w:val="lowerRoman"/>
      <w:lvlText w:val="%9."/>
      <w:lvlJc w:val="right"/>
      <w:pPr>
        <w:ind w:left="6204" w:hanging="180"/>
      </w:pPr>
      <w:rPr>
        <w:rFonts w:cs="Times New Roman"/>
      </w:rPr>
    </w:lvl>
  </w:abstractNum>
  <w:abstractNum w:abstractNumId="20">
    <w:nsid w:val="37C77AF5"/>
    <w:multiLevelType w:val="hybridMultilevel"/>
    <w:tmpl w:val="9C0CF032"/>
    <w:lvl w:ilvl="0" w:tplc="041B0003">
      <w:start w:val="1"/>
      <w:numFmt w:val="bullet"/>
      <w:lvlText w:val="o"/>
      <w:lvlJc w:val="left"/>
      <w:pPr>
        <w:tabs>
          <w:tab w:val="num" w:pos="1068"/>
        </w:tabs>
        <w:ind w:left="1068"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C8173E5"/>
    <w:multiLevelType w:val="hybridMultilevel"/>
    <w:tmpl w:val="E486A7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7DF6A25"/>
    <w:multiLevelType w:val="hybridMultilevel"/>
    <w:tmpl w:val="CB2870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nsid w:val="4E717DC6"/>
    <w:multiLevelType w:val="hybridMultilevel"/>
    <w:tmpl w:val="0330B722"/>
    <w:lvl w:ilvl="0" w:tplc="E6722612">
      <w:start w:val="21"/>
      <w:numFmt w:val="bullet"/>
      <w:lvlText w:val="–"/>
      <w:lvlJc w:val="left"/>
      <w:pPr>
        <w:ind w:left="1776" w:hanging="360"/>
      </w:pPr>
      <w:rPr>
        <w:rFonts w:ascii="Times New Roman" w:eastAsia="Times New Roman" w:hAnsi="Times New Roman" w:hint="default"/>
      </w:rPr>
    </w:lvl>
    <w:lvl w:ilvl="1" w:tplc="041B0003" w:tentative="1">
      <w:start w:val="1"/>
      <w:numFmt w:val="bullet"/>
      <w:lvlText w:val="o"/>
      <w:lvlJc w:val="left"/>
      <w:pPr>
        <w:ind w:left="2496" w:hanging="360"/>
      </w:pPr>
      <w:rPr>
        <w:rFonts w:ascii="Courier New" w:hAnsi="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4">
    <w:nsid w:val="4F25083E"/>
    <w:multiLevelType w:val="hybridMultilevel"/>
    <w:tmpl w:val="A6A47AF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52AD7EE4"/>
    <w:multiLevelType w:val="hybridMultilevel"/>
    <w:tmpl w:val="FCFABE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FFF0959"/>
    <w:multiLevelType w:val="hybridMultilevel"/>
    <w:tmpl w:val="A8CAFF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nsid w:val="61567837"/>
    <w:multiLevelType w:val="hybridMultilevel"/>
    <w:tmpl w:val="57B65B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64DD2C4E"/>
    <w:multiLevelType w:val="hybridMultilevel"/>
    <w:tmpl w:val="F7CE1E7A"/>
    <w:lvl w:ilvl="0" w:tplc="2A0A284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6093C40"/>
    <w:multiLevelType w:val="hybridMultilevel"/>
    <w:tmpl w:val="5E4AA232"/>
    <w:lvl w:ilvl="0" w:tplc="1CD8E61C">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33B64EE"/>
    <w:multiLevelType w:val="hybridMultilevel"/>
    <w:tmpl w:val="85267954"/>
    <w:lvl w:ilvl="0" w:tplc="FBF46848">
      <w:start w:val="1"/>
      <w:numFmt w:val="bullet"/>
      <w:lvlText w:val=""/>
      <w:lvlJc w:val="left"/>
      <w:pPr>
        <w:ind w:left="786" w:hanging="360"/>
      </w:pPr>
      <w:rPr>
        <w:rFonts w:ascii="Symbol" w:eastAsia="Times New Roman" w:hAnsi="Symbol" w:hint="default"/>
        <w:sz w:val="22"/>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nsid w:val="76A864B4"/>
    <w:multiLevelType w:val="hybridMultilevel"/>
    <w:tmpl w:val="1E8662D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7A8E6DD3"/>
    <w:multiLevelType w:val="hybridMultilevel"/>
    <w:tmpl w:val="2F7029A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8"/>
  </w:num>
  <w:num w:numId="3">
    <w:abstractNumId w:val="34"/>
  </w:num>
  <w:num w:numId="4">
    <w:abstractNumId w:val="10"/>
  </w:num>
  <w:num w:numId="5">
    <w:abstractNumId w:val="24"/>
  </w:num>
  <w:num w:numId="6">
    <w:abstractNumId w:val="18"/>
  </w:num>
  <w:num w:numId="7">
    <w:abstractNumId w:val="35"/>
  </w:num>
  <w:num w:numId="8">
    <w:abstractNumId w:val="5"/>
  </w:num>
  <w:num w:numId="9">
    <w:abstractNumId w:val="17"/>
  </w:num>
  <w:num w:numId="10">
    <w:abstractNumId w:val="12"/>
  </w:num>
  <w:num w:numId="11">
    <w:abstractNumId w:val="17"/>
  </w:num>
  <w:num w:numId="12">
    <w:abstractNumId w:val="9"/>
  </w:num>
  <w:num w:numId="13">
    <w:abstractNumId w:val="16"/>
  </w:num>
  <w:num w:numId="14">
    <w:abstractNumId w:val="13"/>
  </w:num>
  <w:num w:numId="15">
    <w:abstractNumId w:val="11"/>
  </w:num>
  <w:num w:numId="16">
    <w:abstractNumId w:val="20"/>
  </w:num>
  <w:num w:numId="17">
    <w:abstractNumId w:val="21"/>
  </w:num>
  <w:num w:numId="18">
    <w:abstractNumId w:val="6"/>
  </w:num>
  <w:num w:numId="19">
    <w:abstractNumId w:val="33"/>
  </w:num>
  <w:num w:numId="20">
    <w:abstractNumId w:val="25"/>
  </w:num>
  <w:num w:numId="21">
    <w:abstractNumId w:val="19"/>
  </w:num>
  <w:num w:numId="22">
    <w:abstractNumId w:val="28"/>
  </w:num>
  <w:num w:numId="23">
    <w:abstractNumId w:val="7"/>
  </w:num>
  <w:num w:numId="24">
    <w:abstractNumId w:val="31"/>
  </w:num>
  <w:num w:numId="25">
    <w:abstractNumId w:val="32"/>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2"/>
  </w:num>
  <w:num w:numId="28">
    <w:abstractNumId w:val="22"/>
  </w:num>
  <w:num w:numId="29">
    <w:abstractNumId w:val="1"/>
  </w:num>
  <w:num w:numId="30">
    <w:abstractNumId w:val="27"/>
  </w:num>
  <w:num w:numId="31">
    <w:abstractNumId w:val="26"/>
  </w:num>
  <w:num w:numId="32">
    <w:abstractNumId w:val="15"/>
  </w:num>
  <w:num w:numId="33">
    <w:abstractNumId w:val="4"/>
  </w:num>
  <w:num w:numId="34">
    <w:abstractNumId w:val="30"/>
  </w:num>
  <w:num w:numId="35">
    <w:abstractNumId w:val="3"/>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41"/>
    <w:rsid w:val="00000E9A"/>
    <w:rsid w:val="0000334F"/>
    <w:rsid w:val="000050EB"/>
    <w:rsid w:val="00006437"/>
    <w:rsid w:val="000100B2"/>
    <w:rsid w:val="000109E7"/>
    <w:rsid w:val="0001130C"/>
    <w:rsid w:val="000153A8"/>
    <w:rsid w:val="00020784"/>
    <w:rsid w:val="000246D2"/>
    <w:rsid w:val="000254AB"/>
    <w:rsid w:val="00025DAD"/>
    <w:rsid w:val="000269C1"/>
    <w:rsid w:val="000315A7"/>
    <w:rsid w:val="000341C3"/>
    <w:rsid w:val="00036BAF"/>
    <w:rsid w:val="00037517"/>
    <w:rsid w:val="00040AAD"/>
    <w:rsid w:val="00042239"/>
    <w:rsid w:val="00042466"/>
    <w:rsid w:val="000441D3"/>
    <w:rsid w:val="00044328"/>
    <w:rsid w:val="00046FC6"/>
    <w:rsid w:val="0004783F"/>
    <w:rsid w:val="00050FF9"/>
    <w:rsid w:val="00061A5D"/>
    <w:rsid w:val="00062727"/>
    <w:rsid w:val="00062F5C"/>
    <w:rsid w:val="000630AF"/>
    <w:rsid w:val="00063B77"/>
    <w:rsid w:val="000644A5"/>
    <w:rsid w:val="00065E03"/>
    <w:rsid w:val="00066067"/>
    <w:rsid w:val="00073349"/>
    <w:rsid w:val="000813A0"/>
    <w:rsid w:val="00085BBD"/>
    <w:rsid w:val="00086680"/>
    <w:rsid w:val="00091177"/>
    <w:rsid w:val="00093B56"/>
    <w:rsid w:val="000951B4"/>
    <w:rsid w:val="00097B00"/>
    <w:rsid w:val="000A31BD"/>
    <w:rsid w:val="000A4771"/>
    <w:rsid w:val="000A5BAB"/>
    <w:rsid w:val="000B3904"/>
    <w:rsid w:val="000B4373"/>
    <w:rsid w:val="000B48CA"/>
    <w:rsid w:val="000B63C6"/>
    <w:rsid w:val="000C28F5"/>
    <w:rsid w:val="000C2CEE"/>
    <w:rsid w:val="000C3F44"/>
    <w:rsid w:val="000C585E"/>
    <w:rsid w:val="000C6987"/>
    <w:rsid w:val="000C71E8"/>
    <w:rsid w:val="000D207B"/>
    <w:rsid w:val="000D237B"/>
    <w:rsid w:val="000D2A0F"/>
    <w:rsid w:val="000D5541"/>
    <w:rsid w:val="000D6F52"/>
    <w:rsid w:val="000E0AE0"/>
    <w:rsid w:val="000E352F"/>
    <w:rsid w:val="000E5A90"/>
    <w:rsid w:val="000E6CD3"/>
    <w:rsid w:val="000F0B68"/>
    <w:rsid w:val="000F3EAF"/>
    <w:rsid w:val="000F5446"/>
    <w:rsid w:val="000F568B"/>
    <w:rsid w:val="000F694E"/>
    <w:rsid w:val="000F6BD4"/>
    <w:rsid w:val="00101CB7"/>
    <w:rsid w:val="0010232D"/>
    <w:rsid w:val="00102958"/>
    <w:rsid w:val="00102FDE"/>
    <w:rsid w:val="0010331A"/>
    <w:rsid w:val="00103FEA"/>
    <w:rsid w:val="00105161"/>
    <w:rsid w:val="00106C74"/>
    <w:rsid w:val="0011157D"/>
    <w:rsid w:val="00111ACF"/>
    <w:rsid w:val="00111E09"/>
    <w:rsid w:val="00115C81"/>
    <w:rsid w:val="00121678"/>
    <w:rsid w:val="00124597"/>
    <w:rsid w:val="00124BE9"/>
    <w:rsid w:val="00125D4E"/>
    <w:rsid w:val="001301FB"/>
    <w:rsid w:val="001333D2"/>
    <w:rsid w:val="001340BA"/>
    <w:rsid w:val="0013722D"/>
    <w:rsid w:val="0013747A"/>
    <w:rsid w:val="0014046B"/>
    <w:rsid w:val="0014473E"/>
    <w:rsid w:val="001500BE"/>
    <w:rsid w:val="00151860"/>
    <w:rsid w:val="00154A94"/>
    <w:rsid w:val="00160B7D"/>
    <w:rsid w:val="00160BEA"/>
    <w:rsid w:val="00161431"/>
    <w:rsid w:val="00164D6A"/>
    <w:rsid w:val="001666CF"/>
    <w:rsid w:val="00166CC5"/>
    <w:rsid w:val="00171434"/>
    <w:rsid w:val="001754B1"/>
    <w:rsid w:val="001762EB"/>
    <w:rsid w:val="00190CDC"/>
    <w:rsid w:val="00192240"/>
    <w:rsid w:val="001930B4"/>
    <w:rsid w:val="001A172C"/>
    <w:rsid w:val="001A1D5F"/>
    <w:rsid w:val="001A383D"/>
    <w:rsid w:val="001A441E"/>
    <w:rsid w:val="001A59AA"/>
    <w:rsid w:val="001A6A5B"/>
    <w:rsid w:val="001A6E44"/>
    <w:rsid w:val="001A706C"/>
    <w:rsid w:val="001B13E4"/>
    <w:rsid w:val="001B15F5"/>
    <w:rsid w:val="001B7F0A"/>
    <w:rsid w:val="001C19D0"/>
    <w:rsid w:val="001D0971"/>
    <w:rsid w:val="001D3877"/>
    <w:rsid w:val="001D430D"/>
    <w:rsid w:val="001D6FAB"/>
    <w:rsid w:val="001D766C"/>
    <w:rsid w:val="001E1E1A"/>
    <w:rsid w:val="001E4405"/>
    <w:rsid w:val="001E504D"/>
    <w:rsid w:val="001E5EEB"/>
    <w:rsid w:val="001E5F0E"/>
    <w:rsid w:val="001E6AF0"/>
    <w:rsid w:val="001E7BC9"/>
    <w:rsid w:val="001F0A19"/>
    <w:rsid w:val="001F4C6C"/>
    <w:rsid w:val="001F7A4E"/>
    <w:rsid w:val="00202FFA"/>
    <w:rsid w:val="002038B5"/>
    <w:rsid w:val="00203F3C"/>
    <w:rsid w:val="002049AF"/>
    <w:rsid w:val="00207C4D"/>
    <w:rsid w:val="00216AB7"/>
    <w:rsid w:val="00221EE9"/>
    <w:rsid w:val="00222A36"/>
    <w:rsid w:val="00225934"/>
    <w:rsid w:val="00230014"/>
    <w:rsid w:val="002310EC"/>
    <w:rsid w:val="002336B7"/>
    <w:rsid w:val="00234D60"/>
    <w:rsid w:val="0023716B"/>
    <w:rsid w:val="00237CCA"/>
    <w:rsid w:val="00242127"/>
    <w:rsid w:val="00242134"/>
    <w:rsid w:val="00244506"/>
    <w:rsid w:val="00256095"/>
    <w:rsid w:val="00256DE4"/>
    <w:rsid w:val="00257E31"/>
    <w:rsid w:val="00260A35"/>
    <w:rsid w:val="00261958"/>
    <w:rsid w:val="00266E9A"/>
    <w:rsid w:val="002712B6"/>
    <w:rsid w:val="00271707"/>
    <w:rsid w:val="00281904"/>
    <w:rsid w:val="00285DE2"/>
    <w:rsid w:val="00286791"/>
    <w:rsid w:val="00290CFB"/>
    <w:rsid w:val="0029427F"/>
    <w:rsid w:val="00297532"/>
    <w:rsid w:val="00297A7B"/>
    <w:rsid w:val="002A01D7"/>
    <w:rsid w:val="002A0281"/>
    <w:rsid w:val="002A32AD"/>
    <w:rsid w:val="002A412C"/>
    <w:rsid w:val="002B1761"/>
    <w:rsid w:val="002B31B2"/>
    <w:rsid w:val="002B53FD"/>
    <w:rsid w:val="002B5673"/>
    <w:rsid w:val="002B7855"/>
    <w:rsid w:val="002B7967"/>
    <w:rsid w:val="002B7F75"/>
    <w:rsid w:val="002C191B"/>
    <w:rsid w:val="002C1B9C"/>
    <w:rsid w:val="002C5341"/>
    <w:rsid w:val="002C697D"/>
    <w:rsid w:val="002D2E5A"/>
    <w:rsid w:val="002D3305"/>
    <w:rsid w:val="002D46B3"/>
    <w:rsid w:val="002D68D4"/>
    <w:rsid w:val="002D6935"/>
    <w:rsid w:val="002E05BA"/>
    <w:rsid w:val="002E077D"/>
    <w:rsid w:val="002E7002"/>
    <w:rsid w:val="002F047D"/>
    <w:rsid w:val="002F2090"/>
    <w:rsid w:val="002F2778"/>
    <w:rsid w:val="002F518F"/>
    <w:rsid w:val="002F5239"/>
    <w:rsid w:val="002F55D4"/>
    <w:rsid w:val="00302106"/>
    <w:rsid w:val="00304F18"/>
    <w:rsid w:val="0030537C"/>
    <w:rsid w:val="00305FCA"/>
    <w:rsid w:val="00306323"/>
    <w:rsid w:val="00307DA2"/>
    <w:rsid w:val="00310224"/>
    <w:rsid w:val="00312429"/>
    <w:rsid w:val="0031282A"/>
    <w:rsid w:val="00312F9B"/>
    <w:rsid w:val="00313E63"/>
    <w:rsid w:val="0031405D"/>
    <w:rsid w:val="00314825"/>
    <w:rsid w:val="00315820"/>
    <w:rsid w:val="00316470"/>
    <w:rsid w:val="003175D5"/>
    <w:rsid w:val="00321E46"/>
    <w:rsid w:val="00322FC0"/>
    <w:rsid w:val="003234A0"/>
    <w:rsid w:val="00325B03"/>
    <w:rsid w:val="0033392F"/>
    <w:rsid w:val="0033490C"/>
    <w:rsid w:val="00334D97"/>
    <w:rsid w:val="00335496"/>
    <w:rsid w:val="003367E4"/>
    <w:rsid w:val="0034083E"/>
    <w:rsid w:val="003421AD"/>
    <w:rsid w:val="00343E36"/>
    <w:rsid w:val="00343FA1"/>
    <w:rsid w:val="0035044D"/>
    <w:rsid w:val="003523B7"/>
    <w:rsid w:val="0035261C"/>
    <w:rsid w:val="00353A4D"/>
    <w:rsid w:val="0035581A"/>
    <w:rsid w:val="00356039"/>
    <w:rsid w:val="003568F5"/>
    <w:rsid w:val="003577D6"/>
    <w:rsid w:val="00364176"/>
    <w:rsid w:val="00364A87"/>
    <w:rsid w:val="0036570A"/>
    <w:rsid w:val="00373178"/>
    <w:rsid w:val="0037424B"/>
    <w:rsid w:val="00374416"/>
    <w:rsid w:val="00382703"/>
    <w:rsid w:val="0038493E"/>
    <w:rsid w:val="00384D84"/>
    <w:rsid w:val="00385592"/>
    <w:rsid w:val="00386B03"/>
    <w:rsid w:val="00387CA0"/>
    <w:rsid w:val="00387F63"/>
    <w:rsid w:val="003952FE"/>
    <w:rsid w:val="003A3566"/>
    <w:rsid w:val="003A3938"/>
    <w:rsid w:val="003A3C91"/>
    <w:rsid w:val="003B01D5"/>
    <w:rsid w:val="003B07C6"/>
    <w:rsid w:val="003B0B3D"/>
    <w:rsid w:val="003C0685"/>
    <w:rsid w:val="003C1E0D"/>
    <w:rsid w:val="003C3CDC"/>
    <w:rsid w:val="003D184F"/>
    <w:rsid w:val="003D32D3"/>
    <w:rsid w:val="003D32EA"/>
    <w:rsid w:val="003D406A"/>
    <w:rsid w:val="003D5564"/>
    <w:rsid w:val="003D55FA"/>
    <w:rsid w:val="003D7AAD"/>
    <w:rsid w:val="003E23B0"/>
    <w:rsid w:val="003E25F4"/>
    <w:rsid w:val="003E3E11"/>
    <w:rsid w:val="003E7AD0"/>
    <w:rsid w:val="003F0061"/>
    <w:rsid w:val="003F0A43"/>
    <w:rsid w:val="003F0C62"/>
    <w:rsid w:val="003F25BC"/>
    <w:rsid w:val="003F2638"/>
    <w:rsid w:val="003F3D03"/>
    <w:rsid w:val="003F437D"/>
    <w:rsid w:val="003F66DA"/>
    <w:rsid w:val="003F7579"/>
    <w:rsid w:val="00400FDB"/>
    <w:rsid w:val="00401091"/>
    <w:rsid w:val="00402A4C"/>
    <w:rsid w:val="00405E0C"/>
    <w:rsid w:val="00407A99"/>
    <w:rsid w:val="004100EF"/>
    <w:rsid w:val="00416149"/>
    <w:rsid w:val="00421CAD"/>
    <w:rsid w:val="00422EC8"/>
    <w:rsid w:val="004274E9"/>
    <w:rsid w:val="00430489"/>
    <w:rsid w:val="004313C5"/>
    <w:rsid w:val="00432306"/>
    <w:rsid w:val="00432C23"/>
    <w:rsid w:val="00433F58"/>
    <w:rsid w:val="00434264"/>
    <w:rsid w:val="00434333"/>
    <w:rsid w:val="0043715A"/>
    <w:rsid w:val="00440602"/>
    <w:rsid w:val="00440741"/>
    <w:rsid w:val="00441536"/>
    <w:rsid w:val="00442541"/>
    <w:rsid w:val="00446E3D"/>
    <w:rsid w:val="00450635"/>
    <w:rsid w:val="00454562"/>
    <w:rsid w:val="00455454"/>
    <w:rsid w:val="00457992"/>
    <w:rsid w:val="0046072F"/>
    <w:rsid w:val="0046159D"/>
    <w:rsid w:val="00464251"/>
    <w:rsid w:val="00467116"/>
    <w:rsid w:val="00471233"/>
    <w:rsid w:val="00474B11"/>
    <w:rsid w:val="0048050A"/>
    <w:rsid w:val="004858F3"/>
    <w:rsid w:val="00486A7A"/>
    <w:rsid w:val="004933A2"/>
    <w:rsid w:val="00493CFA"/>
    <w:rsid w:val="004979BA"/>
    <w:rsid w:val="004A1CB6"/>
    <w:rsid w:val="004A25B5"/>
    <w:rsid w:val="004A4204"/>
    <w:rsid w:val="004A52C6"/>
    <w:rsid w:val="004A5CD7"/>
    <w:rsid w:val="004A68CC"/>
    <w:rsid w:val="004B03D7"/>
    <w:rsid w:val="004B0B67"/>
    <w:rsid w:val="004B3956"/>
    <w:rsid w:val="004B4957"/>
    <w:rsid w:val="004B557E"/>
    <w:rsid w:val="004C01C9"/>
    <w:rsid w:val="004C2290"/>
    <w:rsid w:val="004C4AF2"/>
    <w:rsid w:val="004C4BE6"/>
    <w:rsid w:val="004C52F0"/>
    <w:rsid w:val="004C57E7"/>
    <w:rsid w:val="004C6BC1"/>
    <w:rsid w:val="004D0C2D"/>
    <w:rsid w:val="004D389C"/>
    <w:rsid w:val="004D4196"/>
    <w:rsid w:val="004D6358"/>
    <w:rsid w:val="004E1DDD"/>
    <w:rsid w:val="004E3780"/>
    <w:rsid w:val="004E3E05"/>
    <w:rsid w:val="004E5B28"/>
    <w:rsid w:val="004F1E90"/>
    <w:rsid w:val="004F31BB"/>
    <w:rsid w:val="005019EA"/>
    <w:rsid w:val="00501B62"/>
    <w:rsid w:val="0050272B"/>
    <w:rsid w:val="005128BA"/>
    <w:rsid w:val="00516543"/>
    <w:rsid w:val="00516F9D"/>
    <w:rsid w:val="005221CE"/>
    <w:rsid w:val="00522338"/>
    <w:rsid w:val="0052254D"/>
    <w:rsid w:val="00522F37"/>
    <w:rsid w:val="00533995"/>
    <w:rsid w:val="00537BF9"/>
    <w:rsid w:val="00541B3E"/>
    <w:rsid w:val="00543392"/>
    <w:rsid w:val="00543867"/>
    <w:rsid w:val="00544B6B"/>
    <w:rsid w:val="005462FD"/>
    <w:rsid w:val="0055163A"/>
    <w:rsid w:val="005549B2"/>
    <w:rsid w:val="00554B68"/>
    <w:rsid w:val="00555C43"/>
    <w:rsid w:val="00555F30"/>
    <w:rsid w:val="00561A63"/>
    <w:rsid w:val="00564171"/>
    <w:rsid w:val="00564603"/>
    <w:rsid w:val="005670BC"/>
    <w:rsid w:val="00570932"/>
    <w:rsid w:val="00570D7A"/>
    <w:rsid w:val="0057178C"/>
    <w:rsid w:val="005723A0"/>
    <w:rsid w:val="00574ADF"/>
    <w:rsid w:val="00574B8B"/>
    <w:rsid w:val="00576FFA"/>
    <w:rsid w:val="005821E5"/>
    <w:rsid w:val="00582C26"/>
    <w:rsid w:val="005831D9"/>
    <w:rsid w:val="00585E58"/>
    <w:rsid w:val="005868E9"/>
    <w:rsid w:val="00593CF3"/>
    <w:rsid w:val="00595F2A"/>
    <w:rsid w:val="00597FFC"/>
    <w:rsid w:val="005A1A8D"/>
    <w:rsid w:val="005A27C2"/>
    <w:rsid w:val="005A384D"/>
    <w:rsid w:val="005A52ED"/>
    <w:rsid w:val="005B1056"/>
    <w:rsid w:val="005B22F1"/>
    <w:rsid w:val="005B2A49"/>
    <w:rsid w:val="005B350C"/>
    <w:rsid w:val="005B4589"/>
    <w:rsid w:val="005B5E58"/>
    <w:rsid w:val="005B5F99"/>
    <w:rsid w:val="005B7B26"/>
    <w:rsid w:val="005C0DE1"/>
    <w:rsid w:val="005C7275"/>
    <w:rsid w:val="005D0A51"/>
    <w:rsid w:val="005D1301"/>
    <w:rsid w:val="005D1F8C"/>
    <w:rsid w:val="005D28CA"/>
    <w:rsid w:val="005D76A4"/>
    <w:rsid w:val="005E3954"/>
    <w:rsid w:val="005E3E26"/>
    <w:rsid w:val="005F5C1A"/>
    <w:rsid w:val="00600455"/>
    <w:rsid w:val="00601E18"/>
    <w:rsid w:val="00611D4F"/>
    <w:rsid w:val="00611D8C"/>
    <w:rsid w:val="00613F8F"/>
    <w:rsid w:val="006141A3"/>
    <w:rsid w:val="00614703"/>
    <w:rsid w:val="00617A37"/>
    <w:rsid w:val="00621705"/>
    <w:rsid w:val="00623A79"/>
    <w:rsid w:val="006268B0"/>
    <w:rsid w:val="0062753A"/>
    <w:rsid w:val="00631857"/>
    <w:rsid w:val="0063286B"/>
    <w:rsid w:val="00632887"/>
    <w:rsid w:val="006329A9"/>
    <w:rsid w:val="00632AD6"/>
    <w:rsid w:val="00633CDD"/>
    <w:rsid w:val="006438C0"/>
    <w:rsid w:val="006441F2"/>
    <w:rsid w:val="00644EBE"/>
    <w:rsid w:val="00645ABD"/>
    <w:rsid w:val="006476FB"/>
    <w:rsid w:val="00650B72"/>
    <w:rsid w:val="00654737"/>
    <w:rsid w:val="006613E0"/>
    <w:rsid w:val="006618E8"/>
    <w:rsid w:val="00661D08"/>
    <w:rsid w:val="00664217"/>
    <w:rsid w:val="006645C6"/>
    <w:rsid w:val="00666BA0"/>
    <w:rsid w:val="00667A37"/>
    <w:rsid w:val="00674E4C"/>
    <w:rsid w:val="00674EC7"/>
    <w:rsid w:val="00677E0B"/>
    <w:rsid w:val="00680BD0"/>
    <w:rsid w:val="00681A65"/>
    <w:rsid w:val="00686C6B"/>
    <w:rsid w:val="00690A2E"/>
    <w:rsid w:val="00690AB8"/>
    <w:rsid w:val="00692026"/>
    <w:rsid w:val="00696AB3"/>
    <w:rsid w:val="0069705A"/>
    <w:rsid w:val="006A0BEC"/>
    <w:rsid w:val="006A1CCB"/>
    <w:rsid w:val="006A6C9B"/>
    <w:rsid w:val="006A6D93"/>
    <w:rsid w:val="006B0248"/>
    <w:rsid w:val="006B39DC"/>
    <w:rsid w:val="006B46F9"/>
    <w:rsid w:val="006B4A9C"/>
    <w:rsid w:val="006B62A8"/>
    <w:rsid w:val="006B6553"/>
    <w:rsid w:val="006B67C0"/>
    <w:rsid w:val="006B74DA"/>
    <w:rsid w:val="006C1587"/>
    <w:rsid w:val="006C1B50"/>
    <w:rsid w:val="006C41B8"/>
    <w:rsid w:val="006D3E8A"/>
    <w:rsid w:val="006D4EEF"/>
    <w:rsid w:val="006D57F7"/>
    <w:rsid w:val="006D58CB"/>
    <w:rsid w:val="006E0778"/>
    <w:rsid w:val="006E60D0"/>
    <w:rsid w:val="006F3F9C"/>
    <w:rsid w:val="006F60E0"/>
    <w:rsid w:val="006F66B0"/>
    <w:rsid w:val="006F7FCF"/>
    <w:rsid w:val="007013C8"/>
    <w:rsid w:val="0070638E"/>
    <w:rsid w:val="00706B53"/>
    <w:rsid w:val="007076D4"/>
    <w:rsid w:val="0071043D"/>
    <w:rsid w:val="00713397"/>
    <w:rsid w:val="00717564"/>
    <w:rsid w:val="00721879"/>
    <w:rsid w:val="00721AFE"/>
    <w:rsid w:val="00722F68"/>
    <w:rsid w:val="00723CAB"/>
    <w:rsid w:val="0073058F"/>
    <w:rsid w:val="00734C69"/>
    <w:rsid w:val="00734F64"/>
    <w:rsid w:val="00742431"/>
    <w:rsid w:val="007430DF"/>
    <w:rsid w:val="007513E1"/>
    <w:rsid w:val="00751778"/>
    <w:rsid w:val="0076397B"/>
    <w:rsid w:val="0077012B"/>
    <w:rsid w:val="00775CA9"/>
    <w:rsid w:val="00783EF4"/>
    <w:rsid w:val="00786CFB"/>
    <w:rsid w:val="00787130"/>
    <w:rsid w:val="0078784A"/>
    <w:rsid w:val="007918A2"/>
    <w:rsid w:val="00792143"/>
    <w:rsid w:val="00794E68"/>
    <w:rsid w:val="0079544C"/>
    <w:rsid w:val="00795744"/>
    <w:rsid w:val="007A079B"/>
    <w:rsid w:val="007A31B6"/>
    <w:rsid w:val="007A4051"/>
    <w:rsid w:val="007A5E47"/>
    <w:rsid w:val="007A67F4"/>
    <w:rsid w:val="007A765C"/>
    <w:rsid w:val="007B1B71"/>
    <w:rsid w:val="007B2973"/>
    <w:rsid w:val="007C25BD"/>
    <w:rsid w:val="007C5499"/>
    <w:rsid w:val="007C59AB"/>
    <w:rsid w:val="007D2AA9"/>
    <w:rsid w:val="007D4EEF"/>
    <w:rsid w:val="007E0817"/>
    <w:rsid w:val="007E157D"/>
    <w:rsid w:val="007E165D"/>
    <w:rsid w:val="007E180E"/>
    <w:rsid w:val="007E32C6"/>
    <w:rsid w:val="007E4AA0"/>
    <w:rsid w:val="007E6170"/>
    <w:rsid w:val="007E6AC2"/>
    <w:rsid w:val="007E6E36"/>
    <w:rsid w:val="007E7FA0"/>
    <w:rsid w:val="007F15F6"/>
    <w:rsid w:val="007F2326"/>
    <w:rsid w:val="007F25DD"/>
    <w:rsid w:val="007F41B8"/>
    <w:rsid w:val="007F56AF"/>
    <w:rsid w:val="007F76D6"/>
    <w:rsid w:val="007F7ACF"/>
    <w:rsid w:val="0080213A"/>
    <w:rsid w:val="008053FA"/>
    <w:rsid w:val="0080566B"/>
    <w:rsid w:val="00805BCE"/>
    <w:rsid w:val="00812373"/>
    <w:rsid w:val="00814D42"/>
    <w:rsid w:val="00815797"/>
    <w:rsid w:val="00816EA1"/>
    <w:rsid w:val="008254CD"/>
    <w:rsid w:val="00825CAF"/>
    <w:rsid w:val="008272B5"/>
    <w:rsid w:val="0083106F"/>
    <w:rsid w:val="00832048"/>
    <w:rsid w:val="0083204A"/>
    <w:rsid w:val="00841B9E"/>
    <w:rsid w:val="008424F4"/>
    <w:rsid w:val="0084441E"/>
    <w:rsid w:val="0085280F"/>
    <w:rsid w:val="008529B4"/>
    <w:rsid w:val="008536E3"/>
    <w:rsid w:val="00855C0A"/>
    <w:rsid w:val="008601D0"/>
    <w:rsid w:val="00860E0A"/>
    <w:rsid w:val="00861228"/>
    <w:rsid w:val="0086314B"/>
    <w:rsid w:val="00864A0D"/>
    <w:rsid w:val="00866A7F"/>
    <w:rsid w:val="008679C2"/>
    <w:rsid w:val="00867F26"/>
    <w:rsid w:val="0087063D"/>
    <w:rsid w:val="00872951"/>
    <w:rsid w:val="00876CE1"/>
    <w:rsid w:val="008809BF"/>
    <w:rsid w:val="0088256D"/>
    <w:rsid w:val="00883334"/>
    <w:rsid w:val="00886380"/>
    <w:rsid w:val="00886BAE"/>
    <w:rsid w:val="00886DD9"/>
    <w:rsid w:val="00890009"/>
    <w:rsid w:val="00890A9B"/>
    <w:rsid w:val="00890BC7"/>
    <w:rsid w:val="0089264B"/>
    <w:rsid w:val="00892AEB"/>
    <w:rsid w:val="00892DC1"/>
    <w:rsid w:val="00895D5A"/>
    <w:rsid w:val="008970FC"/>
    <w:rsid w:val="008A1EB6"/>
    <w:rsid w:val="008A4C66"/>
    <w:rsid w:val="008B0334"/>
    <w:rsid w:val="008B271E"/>
    <w:rsid w:val="008B522A"/>
    <w:rsid w:val="008C31CE"/>
    <w:rsid w:val="008D0651"/>
    <w:rsid w:val="008D2352"/>
    <w:rsid w:val="008E1D46"/>
    <w:rsid w:val="008E3B60"/>
    <w:rsid w:val="008F077F"/>
    <w:rsid w:val="008F36DB"/>
    <w:rsid w:val="008F5A31"/>
    <w:rsid w:val="008F6517"/>
    <w:rsid w:val="008F6EC3"/>
    <w:rsid w:val="009021AE"/>
    <w:rsid w:val="00902508"/>
    <w:rsid w:val="009048BA"/>
    <w:rsid w:val="00906ADC"/>
    <w:rsid w:val="0090731C"/>
    <w:rsid w:val="009162B9"/>
    <w:rsid w:val="00916425"/>
    <w:rsid w:val="00920524"/>
    <w:rsid w:val="00920DCA"/>
    <w:rsid w:val="009211BA"/>
    <w:rsid w:val="009236A9"/>
    <w:rsid w:val="00924C67"/>
    <w:rsid w:val="00927D15"/>
    <w:rsid w:val="00927F11"/>
    <w:rsid w:val="00930D86"/>
    <w:rsid w:val="00934907"/>
    <w:rsid w:val="00934ACA"/>
    <w:rsid w:val="0093528F"/>
    <w:rsid w:val="00935ABF"/>
    <w:rsid w:val="00935B05"/>
    <w:rsid w:val="0094053B"/>
    <w:rsid w:val="00941AF6"/>
    <w:rsid w:val="009441AC"/>
    <w:rsid w:val="009454E7"/>
    <w:rsid w:val="009510A9"/>
    <w:rsid w:val="00952A3F"/>
    <w:rsid w:val="00956F53"/>
    <w:rsid w:val="00960FDA"/>
    <w:rsid w:val="009630C9"/>
    <w:rsid w:val="00963516"/>
    <w:rsid w:val="0096575F"/>
    <w:rsid w:val="009676F8"/>
    <w:rsid w:val="00971F65"/>
    <w:rsid w:val="00972FDF"/>
    <w:rsid w:val="009765A7"/>
    <w:rsid w:val="009777A7"/>
    <w:rsid w:val="00982739"/>
    <w:rsid w:val="00982EE4"/>
    <w:rsid w:val="00983BE4"/>
    <w:rsid w:val="0098494F"/>
    <w:rsid w:val="009858A5"/>
    <w:rsid w:val="00987145"/>
    <w:rsid w:val="0099146A"/>
    <w:rsid w:val="00992452"/>
    <w:rsid w:val="00993B9F"/>
    <w:rsid w:val="0099621A"/>
    <w:rsid w:val="009A0454"/>
    <w:rsid w:val="009A1A07"/>
    <w:rsid w:val="009A2553"/>
    <w:rsid w:val="009A25B5"/>
    <w:rsid w:val="009A3295"/>
    <w:rsid w:val="009A527E"/>
    <w:rsid w:val="009A6174"/>
    <w:rsid w:val="009A63CF"/>
    <w:rsid w:val="009B65F2"/>
    <w:rsid w:val="009B69F3"/>
    <w:rsid w:val="009B6A1A"/>
    <w:rsid w:val="009B731A"/>
    <w:rsid w:val="009C032D"/>
    <w:rsid w:val="009C4FAE"/>
    <w:rsid w:val="009C5F5D"/>
    <w:rsid w:val="009C7287"/>
    <w:rsid w:val="009D04B1"/>
    <w:rsid w:val="009D0D79"/>
    <w:rsid w:val="009D2E6C"/>
    <w:rsid w:val="009D4559"/>
    <w:rsid w:val="009E2629"/>
    <w:rsid w:val="009E2D97"/>
    <w:rsid w:val="009E3350"/>
    <w:rsid w:val="00A01BA7"/>
    <w:rsid w:val="00A02451"/>
    <w:rsid w:val="00A028AD"/>
    <w:rsid w:val="00A0304B"/>
    <w:rsid w:val="00A03959"/>
    <w:rsid w:val="00A04A5B"/>
    <w:rsid w:val="00A05A41"/>
    <w:rsid w:val="00A05C3B"/>
    <w:rsid w:val="00A11878"/>
    <w:rsid w:val="00A15D95"/>
    <w:rsid w:val="00A209BD"/>
    <w:rsid w:val="00A2257A"/>
    <w:rsid w:val="00A22C3C"/>
    <w:rsid w:val="00A22D70"/>
    <w:rsid w:val="00A25104"/>
    <w:rsid w:val="00A33160"/>
    <w:rsid w:val="00A335AD"/>
    <w:rsid w:val="00A46E6E"/>
    <w:rsid w:val="00A50661"/>
    <w:rsid w:val="00A50AFE"/>
    <w:rsid w:val="00A52DFE"/>
    <w:rsid w:val="00A550CB"/>
    <w:rsid w:val="00A56E21"/>
    <w:rsid w:val="00A570E6"/>
    <w:rsid w:val="00A621AE"/>
    <w:rsid w:val="00A7104D"/>
    <w:rsid w:val="00A81E44"/>
    <w:rsid w:val="00A82666"/>
    <w:rsid w:val="00A847CE"/>
    <w:rsid w:val="00A86B55"/>
    <w:rsid w:val="00A86D4A"/>
    <w:rsid w:val="00A916CF"/>
    <w:rsid w:val="00A91E24"/>
    <w:rsid w:val="00A943A7"/>
    <w:rsid w:val="00AA654A"/>
    <w:rsid w:val="00AA7B0D"/>
    <w:rsid w:val="00AB2FF0"/>
    <w:rsid w:val="00AC0E03"/>
    <w:rsid w:val="00AC380F"/>
    <w:rsid w:val="00AD05E8"/>
    <w:rsid w:val="00AD07AA"/>
    <w:rsid w:val="00AD0B00"/>
    <w:rsid w:val="00AD7020"/>
    <w:rsid w:val="00AE6E59"/>
    <w:rsid w:val="00AE6F06"/>
    <w:rsid w:val="00AE6F68"/>
    <w:rsid w:val="00AF32FD"/>
    <w:rsid w:val="00AF5703"/>
    <w:rsid w:val="00B0080B"/>
    <w:rsid w:val="00B01274"/>
    <w:rsid w:val="00B01696"/>
    <w:rsid w:val="00B0250F"/>
    <w:rsid w:val="00B114F4"/>
    <w:rsid w:val="00B1197E"/>
    <w:rsid w:val="00B16C2E"/>
    <w:rsid w:val="00B2046A"/>
    <w:rsid w:val="00B24F84"/>
    <w:rsid w:val="00B2566C"/>
    <w:rsid w:val="00B27F83"/>
    <w:rsid w:val="00B31316"/>
    <w:rsid w:val="00B33DDF"/>
    <w:rsid w:val="00B355C8"/>
    <w:rsid w:val="00B35AB0"/>
    <w:rsid w:val="00B41F97"/>
    <w:rsid w:val="00B52061"/>
    <w:rsid w:val="00B55C8F"/>
    <w:rsid w:val="00B56D65"/>
    <w:rsid w:val="00B612DE"/>
    <w:rsid w:val="00B65227"/>
    <w:rsid w:val="00B65F85"/>
    <w:rsid w:val="00B665AB"/>
    <w:rsid w:val="00B70193"/>
    <w:rsid w:val="00B823DA"/>
    <w:rsid w:val="00B83851"/>
    <w:rsid w:val="00B843BD"/>
    <w:rsid w:val="00B84E00"/>
    <w:rsid w:val="00B9148A"/>
    <w:rsid w:val="00B9255F"/>
    <w:rsid w:val="00B92910"/>
    <w:rsid w:val="00B9292C"/>
    <w:rsid w:val="00B936A2"/>
    <w:rsid w:val="00B94873"/>
    <w:rsid w:val="00B977D7"/>
    <w:rsid w:val="00BB6A67"/>
    <w:rsid w:val="00BC22D8"/>
    <w:rsid w:val="00BC36E5"/>
    <w:rsid w:val="00BC53A3"/>
    <w:rsid w:val="00BC6236"/>
    <w:rsid w:val="00BC6841"/>
    <w:rsid w:val="00BC6E25"/>
    <w:rsid w:val="00BD2390"/>
    <w:rsid w:val="00BD7AE3"/>
    <w:rsid w:val="00BE151A"/>
    <w:rsid w:val="00BE1EC1"/>
    <w:rsid w:val="00BE3071"/>
    <w:rsid w:val="00BE34F0"/>
    <w:rsid w:val="00BE3E28"/>
    <w:rsid w:val="00BE56A2"/>
    <w:rsid w:val="00BE648E"/>
    <w:rsid w:val="00BF047F"/>
    <w:rsid w:val="00BF1627"/>
    <w:rsid w:val="00C0238A"/>
    <w:rsid w:val="00C028CA"/>
    <w:rsid w:val="00C03103"/>
    <w:rsid w:val="00C0569C"/>
    <w:rsid w:val="00C140E3"/>
    <w:rsid w:val="00C14415"/>
    <w:rsid w:val="00C24342"/>
    <w:rsid w:val="00C24A79"/>
    <w:rsid w:val="00C30537"/>
    <w:rsid w:val="00C3191B"/>
    <w:rsid w:val="00C32FB1"/>
    <w:rsid w:val="00C4043F"/>
    <w:rsid w:val="00C41FEA"/>
    <w:rsid w:val="00C42C1B"/>
    <w:rsid w:val="00C438DC"/>
    <w:rsid w:val="00C43D3D"/>
    <w:rsid w:val="00C465B0"/>
    <w:rsid w:val="00C47C00"/>
    <w:rsid w:val="00C52367"/>
    <w:rsid w:val="00C54BF2"/>
    <w:rsid w:val="00C55B1E"/>
    <w:rsid w:val="00C55B78"/>
    <w:rsid w:val="00C57F67"/>
    <w:rsid w:val="00C62BB3"/>
    <w:rsid w:val="00C630F2"/>
    <w:rsid w:val="00C638BE"/>
    <w:rsid w:val="00C64E04"/>
    <w:rsid w:val="00C70283"/>
    <w:rsid w:val="00C7159E"/>
    <w:rsid w:val="00C76757"/>
    <w:rsid w:val="00C76B2F"/>
    <w:rsid w:val="00C81D55"/>
    <w:rsid w:val="00C82F18"/>
    <w:rsid w:val="00C83AF2"/>
    <w:rsid w:val="00C86815"/>
    <w:rsid w:val="00C874C7"/>
    <w:rsid w:val="00C95FBF"/>
    <w:rsid w:val="00C97A5D"/>
    <w:rsid w:val="00C97AAC"/>
    <w:rsid w:val="00CA05FF"/>
    <w:rsid w:val="00CA1858"/>
    <w:rsid w:val="00CA754C"/>
    <w:rsid w:val="00CB0486"/>
    <w:rsid w:val="00CB3782"/>
    <w:rsid w:val="00CB43B2"/>
    <w:rsid w:val="00CB498F"/>
    <w:rsid w:val="00CB77A5"/>
    <w:rsid w:val="00CC1321"/>
    <w:rsid w:val="00CC58B8"/>
    <w:rsid w:val="00CC7EAA"/>
    <w:rsid w:val="00CD097A"/>
    <w:rsid w:val="00CD3D54"/>
    <w:rsid w:val="00CD7064"/>
    <w:rsid w:val="00CD77C6"/>
    <w:rsid w:val="00CE174E"/>
    <w:rsid w:val="00CE4DB7"/>
    <w:rsid w:val="00CE6019"/>
    <w:rsid w:val="00CF0D80"/>
    <w:rsid w:val="00CF7A55"/>
    <w:rsid w:val="00D0106E"/>
    <w:rsid w:val="00D04923"/>
    <w:rsid w:val="00D06E77"/>
    <w:rsid w:val="00D10241"/>
    <w:rsid w:val="00D11EB1"/>
    <w:rsid w:val="00D12C8D"/>
    <w:rsid w:val="00D203AE"/>
    <w:rsid w:val="00D21AAE"/>
    <w:rsid w:val="00D235A7"/>
    <w:rsid w:val="00D26060"/>
    <w:rsid w:val="00D26CA5"/>
    <w:rsid w:val="00D31CCF"/>
    <w:rsid w:val="00D333DD"/>
    <w:rsid w:val="00D356A5"/>
    <w:rsid w:val="00D4407D"/>
    <w:rsid w:val="00D44D29"/>
    <w:rsid w:val="00D46909"/>
    <w:rsid w:val="00D4699E"/>
    <w:rsid w:val="00D529B1"/>
    <w:rsid w:val="00D52B64"/>
    <w:rsid w:val="00D577A1"/>
    <w:rsid w:val="00D60348"/>
    <w:rsid w:val="00D60B77"/>
    <w:rsid w:val="00D61304"/>
    <w:rsid w:val="00D62F18"/>
    <w:rsid w:val="00D650CE"/>
    <w:rsid w:val="00D6532F"/>
    <w:rsid w:val="00D6606A"/>
    <w:rsid w:val="00D71919"/>
    <w:rsid w:val="00D725CB"/>
    <w:rsid w:val="00D77038"/>
    <w:rsid w:val="00D77CB9"/>
    <w:rsid w:val="00D8318D"/>
    <w:rsid w:val="00D8387C"/>
    <w:rsid w:val="00D85C6E"/>
    <w:rsid w:val="00D85DA0"/>
    <w:rsid w:val="00D87595"/>
    <w:rsid w:val="00D90569"/>
    <w:rsid w:val="00D939CF"/>
    <w:rsid w:val="00D94891"/>
    <w:rsid w:val="00D9686F"/>
    <w:rsid w:val="00DA034A"/>
    <w:rsid w:val="00DA4691"/>
    <w:rsid w:val="00DA76AC"/>
    <w:rsid w:val="00DB1692"/>
    <w:rsid w:val="00DB1FDC"/>
    <w:rsid w:val="00DB22EC"/>
    <w:rsid w:val="00DB7F39"/>
    <w:rsid w:val="00DC1C31"/>
    <w:rsid w:val="00DC373D"/>
    <w:rsid w:val="00DC4B83"/>
    <w:rsid w:val="00DC62A8"/>
    <w:rsid w:val="00DC6595"/>
    <w:rsid w:val="00DC7218"/>
    <w:rsid w:val="00DD3E6D"/>
    <w:rsid w:val="00DD7612"/>
    <w:rsid w:val="00DE1394"/>
    <w:rsid w:val="00DE18DE"/>
    <w:rsid w:val="00DE3ECB"/>
    <w:rsid w:val="00DE4E9D"/>
    <w:rsid w:val="00DF28A1"/>
    <w:rsid w:val="00DF456A"/>
    <w:rsid w:val="00DF5948"/>
    <w:rsid w:val="00DF6F2F"/>
    <w:rsid w:val="00E02AAF"/>
    <w:rsid w:val="00E04289"/>
    <w:rsid w:val="00E06C9A"/>
    <w:rsid w:val="00E075F8"/>
    <w:rsid w:val="00E113BA"/>
    <w:rsid w:val="00E11985"/>
    <w:rsid w:val="00E12205"/>
    <w:rsid w:val="00E1326C"/>
    <w:rsid w:val="00E14242"/>
    <w:rsid w:val="00E17037"/>
    <w:rsid w:val="00E17431"/>
    <w:rsid w:val="00E20660"/>
    <w:rsid w:val="00E2257C"/>
    <w:rsid w:val="00E25AA8"/>
    <w:rsid w:val="00E25AF4"/>
    <w:rsid w:val="00E315D6"/>
    <w:rsid w:val="00E328D9"/>
    <w:rsid w:val="00E33749"/>
    <w:rsid w:val="00E33DE4"/>
    <w:rsid w:val="00E34A0C"/>
    <w:rsid w:val="00E35E67"/>
    <w:rsid w:val="00E368CC"/>
    <w:rsid w:val="00E36A98"/>
    <w:rsid w:val="00E43F48"/>
    <w:rsid w:val="00E46E17"/>
    <w:rsid w:val="00E478BA"/>
    <w:rsid w:val="00E47FDB"/>
    <w:rsid w:val="00E501DD"/>
    <w:rsid w:val="00E50DB2"/>
    <w:rsid w:val="00E56D78"/>
    <w:rsid w:val="00E57794"/>
    <w:rsid w:val="00E60F5A"/>
    <w:rsid w:val="00E71D01"/>
    <w:rsid w:val="00E72C43"/>
    <w:rsid w:val="00E739DF"/>
    <w:rsid w:val="00E748FD"/>
    <w:rsid w:val="00E776F5"/>
    <w:rsid w:val="00E77FAC"/>
    <w:rsid w:val="00E80970"/>
    <w:rsid w:val="00E81E95"/>
    <w:rsid w:val="00E82149"/>
    <w:rsid w:val="00E87167"/>
    <w:rsid w:val="00E8738B"/>
    <w:rsid w:val="00E9069A"/>
    <w:rsid w:val="00E927BC"/>
    <w:rsid w:val="00E93677"/>
    <w:rsid w:val="00E957F6"/>
    <w:rsid w:val="00EA234B"/>
    <w:rsid w:val="00EA2B08"/>
    <w:rsid w:val="00EB347A"/>
    <w:rsid w:val="00EB411E"/>
    <w:rsid w:val="00EC05F2"/>
    <w:rsid w:val="00EC35EE"/>
    <w:rsid w:val="00EC3C3F"/>
    <w:rsid w:val="00EC4D70"/>
    <w:rsid w:val="00EC62A3"/>
    <w:rsid w:val="00EC6629"/>
    <w:rsid w:val="00ED2070"/>
    <w:rsid w:val="00ED426C"/>
    <w:rsid w:val="00ED5169"/>
    <w:rsid w:val="00ED69BD"/>
    <w:rsid w:val="00EE1D79"/>
    <w:rsid w:val="00EF17BC"/>
    <w:rsid w:val="00EF2A78"/>
    <w:rsid w:val="00EF2D40"/>
    <w:rsid w:val="00EF7678"/>
    <w:rsid w:val="00F01DC2"/>
    <w:rsid w:val="00F04CBC"/>
    <w:rsid w:val="00F05E9F"/>
    <w:rsid w:val="00F112AA"/>
    <w:rsid w:val="00F13931"/>
    <w:rsid w:val="00F2178C"/>
    <w:rsid w:val="00F227A2"/>
    <w:rsid w:val="00F237B0"/>
    <w:rsid w:val="00F23A16"/>
    <w:rsid w:val="00F26EC2"/>
    <w:rsid w:val="00F33332"/>
    <w:rsid w:val="00F35395"/>
    <w:rsid w:val="00F47527"/>
    <w:rsid w:val="00F5080A"/>
    <w:rsid w:val="00F5453F"/>
    <w:rsid w:val="00F5457A"/>
    <w:rsid w:val="00F553CF"/>
    <w:rsid w:val="00F55AF5"/>
    <w:rsid w:val="00F56B55"/>
    <w:rsid w:val="00F60BFA"/>
    <w:rsid w:val="00F626F2"/>
    <w:rsid w:val="00F6284F"/>
    <w:rsid w:val="00F655BF"/>
    <w:rsid w:val="00F65BD8"/>
    <w:rsid w:val="00F71766"/>
    <w:rsid w:val="00F71D37"/>
    <w:rsid w:val="00F73A75"/>
    <w:rsid w:val="00F77480"/>
    <w:rsid w:val="00F862A6"/>
    <w:rsid w:val="00F87E0A"/>
    <w:rsid w:val="00F94C9F"/>
    <w:rsid w:val="00FA07DB"/>
    <w:rsid w:val="00FA22EE"/>
    <w:rsid w:val="00FA7485"/>
    <w:rsid w:val="00FB4204"/>
    <w:rsid w:val="00FB5B4A"/>
    <w:rsid w:val="00FB7015"/>
    <w:rsid w:val="00FD23D6"/>
    <w:rsid w:val="00FD5CD4"/>
    <w:rsid w:val="00FD67A0"/>
    <w:rsid w:val="00FD7623"/>
    <w:rsid w:val="00FE0581"/>
    <w:rsid w:val="00FE16EA"/>
    <w:rsid w:val="00FE2DA0"/>
    <w:rsid w:val="00FE6721"/>
    <w:rsid w:val="00FF10B9"/>
    <w:rsid w:val="00FF420B"/>
    <w:rsid w:val="00FF4D3A"/>
    <w:rsid w:val="00FF5E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b/>
      <w:bCs/>
      <w:color w:val="000000"/>
      <w:sz w:val="22"/>
      <w:szCs w:val="22"/>
    </w:rPr>
  </w:style>
  <w:style w:type="paragraph" w:styleId="Heading6">
    <w:name w:val="heading 6"/>
    <w:basedOn w:val="Normal"/>
    <w:next w:val="Normal"/>
    <w:link w:val="Heading6Char"/>
    <w:uiPriority w:val="99"/>
    <w:qFormat/>
    <w:rsid w:val="00EA2B0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EA2B08"/>
    <w:rPr>
      <w:rFonts w:ascii="Cambria" w:hAnsi="Cambria" w:cs="Times New Roman"/>
      <w:i/>
      <w:iCs/>
      <w:color w:val="243F60"/>
      <w:sz w:val="24"/>
      <w:szCs w:val="24"/>
    </w:rPr>
  </w:style>
  <w:style w:type="paragraph" w:styleId="Title">
    <w:name w:val="Title"/>
    <w:basedOn w:val="Normal"/>
    <w:link w:val="TitleChar"/>
    <w:uiPriority w:val="99"/>
    <w:qFormat/>
    <w:rsid w:val="002C5341"/>
    <w:pPr>
      <w:autoSpaceDE w:val="0"/>
      <w:autoSpaceDN w:val="0"/>
      <w:adjustRightInd w:val="0"/>
      <w:jc w:val="center"/>
    </w:pPr>
    <w:rPr>
      <w:b/>
      <w:bCs/>
      <w:color w:val="000000"/>
      <w:sz w:val="22"/>
      <w:szCs w:val="2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2C5341"/>
    <w:pPr>
      <w:autoSpaceDE w:val="0"/>
      <w:autoSpaceDN w:val="0"/>
      <w:adjustRightInd w:val="0"/>
    </w:pPr>
    <w:rPr>
      <w:color w:val="000000"/>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locked/>
    <w:rsid w:val="002712B6"/>
    <w:rPr>
      <w:rFonts w:cs="Times New Roman"/>
      <w:sz w:val="24"/>
    </w:rPr>
  </w:style>
  <w:style w:type="character" w:styleId="PageNumber">
    <w:name w:val="page number"/>
    <w:basedOn w:val="DefaultParagraphFont"/>
    <w:uiPriority w:val="99"/>
    <w:rsid w:val="009510A9"/>
    <w:rPr>
      <w:rFonts w:cs="Times New Roman"/>
    </w:rPr>
  </w:style>
  <w:style w:type="paragraph" w:styleId="BalloonText">
    <w:name w:val="Balloon Text"/>
    <w:basedOn w:val="Normal"/>
    <w:link w:val="BalloonTextChar"/>
    <w:uiPriority w:val="99"/>
    <w:semiHidden/>
    <w:rsid w:val="002D68D4"/>
    <w:rPr>
      <w:rFonts w:ascii="Tahoma" w:hAnsi="Tahoma"/>
      <w:sz w:val="16"/>
      <w:szCs w:val="16"/>
    </w:rPr>
  </w:style>
  <w:style w:type="character" w:customStyle="1" w:styleId="BalloonTextChar">
    <w:name w:val="Balloon Text Char"/>
    <w:basedOn w:val="DefaultParagraphFont"/>
    <w:link w:val="BalloonText"/>
    <w:uiPriority w:val="99"/>
    <w:semiHidden/>
    <w:locked/>
    <w:rsid w:val="002D68D4"/>
    <w:rPr>
      <w:rFonts w:ascii="Tahoma" w:hAnsi="Tahoma" w:cs="Times New Roman"/>
      <w:sz w:val="16"/>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locked/>
    <w:rsid w:val="00CC58B8"/>
    <w:rPr>
      <w:rFonts w:cs="Times New Roman"/>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3">
    <w:name w:val="Body Text 3"/>
    <w:basedOn w:val="Normal"/>
    <w:link w:val="BodyText3Char"/>
    <w:uiPriority w:val="99"/>
    <w:rsid w:val="009D0D79"/>
    <w:pPr>
      <w:spacing w:after="120"/>
    </w:pPr>
    <w:rPr>
      <w:sz w:val="16"/>
      <w:szCs w:val="16"/>
    </w:rPr>
  </w:style>
  <w:style w:type="character" w:customStyle="1" w:styleId="BodyText3Char">
    <w:name w:val="Body Text 3 Char"/>
    <w:basedOn w:val="DefaultParagraphFont"/>
    <w:link w:val="BodyText3"/>
    <w:uiPriority w:val="99"/>
    <w:locked/>
    <w:rsid w:val="009D0D79"/>
    <w:rPr>
      <w:rFonts w:cs="Times New Roman"/>
      <w:sz w:val="16"/>
    </w:rPr>
  </w:style>
  <w:style w:type="character" w:styleId="Emphasis">
    <w:name w:val="Emphasis"/>
    <w:basedOn w:val="DefaultParagraphFont"/>
    <w:uiPriority w:val="99"/>
    <w:qFormat/>
    <w:rsid w:val="00AA7B0D"/>
    <w:rPr>
      <w:rFonts w:cs="Times New Roman"/>
      <w:b/>
    </w:rPr>
  </w:style>
  <w:style w:type="character" w:styleId="FollowedHyperlink">
    <w:name w:val="FollowedHyperlink"/>
    <w:basedOn w:val="DefaultParagraphFont"/>
    <w:uiPriority w:val="99"/>
    <w:rsid w:val="00061A5D"/>
    <w:rPr>
      <w:rFonts w:cs="Times New Roman"/>
      <w:color w:val="800080"/>
      <w:u w:val="single"/>
    </w:rPr>
  </w:style>
  <w:style w:type="paragraph" w:customStyle="1" w:styleId="Default">
    <w:name w:val="Default"/>
    <w:uiPriority w:val="99"/>
    <w:rsid w:val="0054339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EC4D70"/>
    <w:pPr>
      <w:ind w:left="720"/>
      <w:contextualSpacing/>
    </w:pPr>
  </w:style>
  <w:style w:type="paragraph" w:styleId="Revision">
    <w:name w:val="Revision"/>
    <w:hidden/>
    <w:uiPriority w:val="99"/>
    <w:semiHidden/>
    <w:rsid w:val="00CC58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b/>
      <w:bCs/>
      <w:color w:val="000000"/>
      <w:sz w:val="22"/>
      <w:szCs w:val="22"/>
    </w:rPr>
  </w:style>
  <w:style w:type="paragraph" w:styleId="Heading6">
    <w:name w:val="heading 6"/>
    <w:basedOn w:val="Normal"/>
    <w:next w:val="Normal"/>
    <w:link w:val="Heading6Char"/>
    <w:uiPriority w:val="99"/>
    <w:qFormat/>
    <w:rsid w:val="00EA2B0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EA2B08"/>
    <w:rPr>
      <w:rFonts w:ascii="Cambria" w:hAnsi="Cambria" w:cs="Times New Roman"/>
      <w:i/>
      <w:iCs/>
      <w:color w:val="243F60"/>
      <w:sz w:val="24"/>
      <w:szCs w:val="24"/>
    </w:rPr>
  </w:style>
  <w:style w:type="paragraph" w:styleId="Title">
    <w:name w:val="Title"/>
    <w:basedOn w:val="Normal"/>
    <w:link w:val="TitleChar"/>
    <w:uiPriority w:val="99"/>
    <w:qFormat/>
    <w:rsid w:val="002C5341"/>
    <w:pPr>
      <w:autoSpaceDE w:val="0"/>
      <w:autoSpaceDN w:val="0"/>
      <w:adjustRightInd w:val="0"/>
      <w:jc w:val="center"/>
    </w:pPr>
    <w:rPr>
      <w:b/>
      <w:bCs/>
      <w:color w:val="000000"/>
      <w:sz w:val="22"/>
      <w:szCs w:val="2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2C5341"/>
    <w:pPr>
      <w:autoSpaceDE w:val="0"/>
      <w:autoSpaceDN w:val="0"/>
      <w:adjustRightInd w:val="0"/>
    </w:pPr>
    <w:rPr>
      <w:color w:val="000000"/>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locked/>
    <w:rsid w:val="002712B6"/>
    <w:rPr>
      <w:rFonts w:cs="Times New Roman"/>
      <w:sz w:val="24"/>
    </w:rPr>
  </w:style>
  <w:style w:type="character" w:styleId="PageNumber">
    <w:name w:val="page number"/>
    <w:basedOn w:val="DefaultParagraphFont"/>
    <w:uiPriority w:val="99"/>
    <w:rsid w:val="009510A9"/>
    <w:rPr>
      <w:rFonts w:cs="Times New Roman"/>
    </w:rPr>
  </w:style>
  <w:style w:type="paragraph" w:styleId="BalloonText">
    <w:name w:val="Balloon Text"/>
    <w:basedOn w:val="Normal"/>
    <w:link w:val="BalloonTextChar"/>
    <w:uiPriority w:val="99"/>
    <w:semiHidden/>
    <w:rsid w:val="002D68D4"/>
    <w:rPr>
      <w:rFonts w:ascii="Tahoma" w:hAnsi="Tahoma"/>
      <w:sz w:val="16"/>
      <w:szCs w:val="16"/>
    </w:rPr>
  </w:style>
  <w:style w:type="character" w:customStyle="1" w:styleId="BalloonTextChar">
    <w:name w:val="Balloon Text Char"/>
    <w:basedOn w:val="DefaultParagraphFont"/>
    <w:link w:val="BalloonText"/>
    <w:uiPriority w:val="99"/>
    <w:semiHidden/>
    <w:locked/>
    <w:rsid w:val="002D68D4"/>
    <w:rPr>
      <w:rFonts w:ascii="Tahoma" w:hAnsi="Tahoma" w:cs="Times New Roman"/>
      <w:sz w:val="16"/>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locked/>
    <w:rsid w:val="00CC58B8"/>
    <w:rPr>
      <w:rFonts w:cs="Times New Roman"/>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3">
    <w:name w:val="Body Text 3"/>
    <w:basedOn w:val="Normal"/>
    <w:link w:val="BodyText3Char"/>
    <w:uiPriority w:val="99"/>
    <w:rsid w:val="009D0D79"/>
    <w:pPr>
      <w:spacing w:after="120"/>
    </w:pPr>
    <w:rPr>
      <w:sz w:val="16"/>
      <w:szCs w:val="16"/>
    </w:rPr>
  </w:style>
  <w:style w:type="character" w:customStyle="1" w:styleId="BodyText3Char">
    <w:name w:val="Body Text 3 Char"/>
    <w:basedOn w:val="DefaultParagraphFont"/>
    <w:link w:val="BodyText3"/>
    <w:uiPriority w:val="99"/>
    <w:locked/>
    <w:rsid w:val="009D0D79"/>
    <w:rPr>
      <w:rFonts w:cs="Times New Roman"/>
      <w:sz w:val="16"/>
    </w:rPr>
  </w:style>
  <w:style w:type="character" w:styleId="Emphasis">
    <w:name w:val="Emphasis"/>
    <w:basedOn w:val="DefaultParagraphFont"/>
    <w:uiPriority w:val="99"/>
    <w:qFormat/>
    <w:rsid w:val="00AA7B0D"/>
    <w:rPr>
      <w:rFonts w:cs="Times New Roman"/>
      <w:b/>
    </w:rPr>
  </w:style>
  <w:style w:type="character" w:styleId="FollowedHyperlink">
    <w:name w:val="FollowedHyperlink"/>
    <w:basedOn w:val="DefaultParagraphFont"/>
    <w:uiPriority w:val="99"/>
    <w:rsid w:val="00061A5D"/>
    <w:rPr>
      <w:rFonts w:cs="Times New Roman"/>
      <w:color w:val="800080"/>
      <w:u w:val="single"/>
    </w:rPr>
  </w:style>
  <w:style w:type="paragraph" w:customStyle="1" w:styleId="Default">
    <w:name w:val="Default"/>
    <w:uiPriority w:val="99"/>
    <w:rsid w:val="0054339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EC4D70"/>
    <w:pPr>
      <w:ind w:left="720"/>
      <w:contextualSpacing/>
    </w:pPr>
  </w:style>
  <w:style w:type="paragraph" w:styleId="Revision">
    <w:name w:val="Revision"/>
    <w:hidden/>
    <w:uiPriority w:val="99"/>
    <w:semiHidden/>
    <w:rsid w:val="00CC5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3032">
      <w:marLeft w:val="0"/>
      <w:marRight w:val="0"/>
      <w:marTop w:val="0"/>
      <w:marBottom w:val="0"/>
      <w:divBdr>
        <w:top w:val="none" w:sz="0" w:space="0" w:color="auto"/>
        <w:left w:val="none" w:sz="0" w:space="0" w:color="auto"/>
        <w:bottom w:val="none" w:sz="0" w:space="0" w:color="auto"/>
        <w:right w:val="none" w:sz="0" w:space="0" w:color="auto"/>
      </w:divBdr>
    </w:div>
    <w:div w:id="482353033">
      <w:marLeft w:val="0"/>
      <w:marRight w:val="0"/>
      <w:marTop w:val="0"/>
      <w:marBottom w:val="0"/>
      <w:divBdr>
        <w:top w:val="none" w:sz="0" w:space="0" w:color="auto"/>
        <w:left w:val="none" w:sz="0" w:space="0" w:color="auto"/>
        <w:bottom w:val="none" w:sz="0" w:space="0" w:color="auto"/>
        <w:right w:val="none" w:sz="0" w:space="0" w:color="auto"/>
      </w:divBdr>
    </w:div>
    <w:div w:id="482353034">
      <w:marLeft w:val="0"/>
      <w:marRight w:val="0"/>
      <w:marTop w:val="0"/>
      <w:marBottom w:val="0"/>
      <w:divBdr>
        <w:top w:val="none" w:sz="0" w:space="0" w:color="auto"/>
        <w:left w:val="none" w:sz="0" w:space="0" w:color="auto"/>
        <w:bottom w:val="none" w:sz="0" w:space="0" w:color="auto"/>
        <w:right w:val="none" w:sz="0" w:space="0" w:color="auto"/>
      </w:divBdr>
    </w:div>
    <w:div w:id="482353035">
      <w:marLeft w:val="0"/>
      <w:marRight w:val="0"/>
      <w:marTop w:val="0"/>
      <w:marBottom w:val="0"/>
      <w:divBdr>
        <w:top w:val="none" w:sz="0" w:space="0" w:color="auto"/>
        <w:left w:val="none" w:sz="0" w:space="0" w:color="auto"/>
        <w:bottom w:val="none" w:sz="0" w:space="0" w:color="auto"/>
        <w:right w:val="none" w:sz="0" w:space="0" w:color="auto"/>
      </w:divBdr>
    </w:div>
    <w:div w:id="482353036">
      <w:marLeft w:val="0"/>
      <w:marRight w:val="0"/>
      <w:marTop w:val="0"/>
      <w:marBottom w:val="0"/>
      <w:divBdr>
        <w:top w:val="none" w:sz="0" w:space="0" w:color="auto"/>
        <w:left w:val="none" w:sz="0" w:space="0" w:color="auto"/>
        <w:bottom w:val="none" w:sz="0" w:space="0" w:color="auto"/>
        <w:right w:val="none" w:sz="0" w:space="0" w:color="auto"/>
      </w:divBdr>
    </w:div>
    <w:div w:id="482353037">
      <w:marLeft w:val="0"/>
      <w:marRight w:val="0"/>
      <w:marTop w:val="0"/>
      <w:marBottom w:val="0"/>
      <w:divBdr>
        <w:top w:val="none" w:sz="0" w:space="0" w:color="auto"/>
        <w:left w:val="none" w:sz="0" w:space="0" w:color="auto"/>
        <w:bottom w:val="none" w:sz="0" w:space="0" w:color="auto"/>
        <w:right w:val="none" w:sz="0" w:space="0" w:color="auto"/>
      </w:divBdr>
    </w:div>
    <w:div w:id="482353038">
      <w:marLeft w:val="0"/>
      <w:marRight w:val="0"/>
      <w:marTop w:val="0"/>
      <w:marBottom w:val="0"/>
      <w:divBdr>
        <w:top w:val="none" w:sz="0" w:space="0" w:color="auto"/>
        <w:left w:val="none" w:sz="0" w:space="0" w:color="auto"/>
        <w:bottom w:val="none" w:sz="0" w:space="0" w:color="auto"/>
        <w:right w:val="none" w:sz="0" w:space="0" w:color="auto"/>
      </w:divBdr>
    </w:div>
    <w:div w:id="482353039">
      <w:marLeft w:val="0"/>
      <w:marRight w:val="0"/>
      <w:marTop w:val="0"/>
      <w:marBottom w:val="0"/>
      <w:divBdr>
        <w:top w:val="none" w:sz="0" w:space="0" w:color="auto"/>
        <w:left w:val="none" w:sz="0" w:space="0" w:color="auto"/>
        <w:bottom w:val="none" w:sz="0" w:space="0" w:color="auto"/>
        <w:right w:val="none" w:sz="0" w:space="0" w:color="auto"/>
      </w:divBdr>
    </w:div>
    <w:div w:id="482353040">
      <w:marLeft w:val="0"/>
      <w:marRight w:val="0"/>
      <w:marTop w:val="0"/>
      <w:marBottom w:val="0"/>
      <w:divBdr>
        <w:top w:val="none" w:sz="0" w:space="0" w:color="auto"/>
        <w:left w:val="none" w:sz="0" w:space="0" w:color="auto"/>
        <w:bottom w:val="none" w:sz="0" w:space="0" w:color="auto"/>
        <w:right w:val="none" w:sz="0" w:space="0" w:color="auto"/>
      </w:divBdr>
    </w:div>
    <w:div w:id="482353041">
      <w:marLeft w:val="0"/>
      <w:marRight w:val="0"/>
      <w:marTop w:val="0"/>
      <w:marBottom w:val="0"/>
      <w:divBdr>
        <w:top w:val="none" w:sz="0" w:space="0" w:color="auto"/>
        <w:left w:val="none" w:sz="0" w:space="0" w:color="auto"/>
        <w:bottom w:val="none" w:sz="0" w:space="0" w:color="auto"/>
        <w:right w:val="none" w:sz="0" w:space="0" w:color="auto"/>
      </w:divBdr>
    </w:div>
    <w:div w:id="482353042">
      <w:marLeft w:val="0"/>
      <w:marRight w:val="0"/>
      <w:marTop w:val="0"/>
      <w:marBottom w:val="0"/>
      <w:divBdr>
        <w:top w:val="none" w:sz="0" w:space="0" w:color="auto"/>
        <w:left w:val="none" w:sz="0" w:space="0" w:color="auto"/>
        <w:bottom w:val="none" w:sz="0" w:space="0" w:color="auto"/>
        <w:right w:val="none" w:sz="0" w:space="0" w:color="auto"/>
      </w:divBdr>
    </w:div>
    <w:div w:id="482353043">
      <w:marLeft w:val="0"/>
      <w:marRight w:val="0"/>
      <w:marTop w:val="0"/>
      <w:marBottom w:val="0"/>
      <w:divBdr>
        <w:top w:val="none" w:sz="0" w:space="0" w:color="auto"/>
        <w:left w:val="none" w:sz="0" w:space="0" w:color="auto"/>
        <w:bottom w:val="none" w:sz="0" w:space="0" w:color="auto"/>
        <w:right w:val="none" w:sz="0" w:space="0" w:color="auto"/>
      </w:divBdr>
    </w:div>
    <w:div w:id="482353044">
      <w:marLeft w:val="0"/>
      <w:marRight w:val="0"/>
      <w:marTop w:val="0"/>
      <w:marBottom w:val="0"/>
      <w:divBdr>
        <w:top w:val="none" w:sz="0" w:space="0" w:color="auto"/>
        <w:left w:val="none" w:sz="0" w:space="0" w:color="auto"/>
        <w:bottom w:val="none" w:sz="0" w:space="0" w:color="auto"/>
        <w:right w:val="none" w:sz="0" w:space="0" w:color="auto"/>
      </w:divBdr>
    </w:div>
    <w:div w:id="482353045">
      <w:marLeft w:val="0"/>
      <w:marRight w:val="0"/>
      <w:marTop w:val="0"/>
      <w:marBottom w:val="0"/>
      <w:divBdr>
        <w:top w:val="none" w:sz="0" w:space="0" w:color="auto"/>
        <w:left w:val="none" w:sz="0" w:space="0" w:color="auto"/>
        <w:bottom w:val="none" w:sz="0" w:space="0" w:color="auto"/>
        <w:right w:val="none" w:sz="0" w:space="0" w:color="auto"/>
      </w:divBdr>
    </w:div>
    <w:div w:id="482353046">
      <w:marLeft w:val="0"/>
      <w:marRight w:val="0"/>
      <w:marTop w:val="0"/>
      <w:marBottom w:val="0"/>
      <w:divBdr>
        <w:top w:val="none" w:sz="0" w:space="0" w:color="auto"/>
        <w:left w:val="none" w:sz="0" w:space="0" w:color="auto"/>
        <w:bottom w:val="none" w:sz="0" w:space="0" w:color="auto"/>
        <w:right w:val="none" w:sz="0" w:space="0" w:color="auto"/>
      </w:divBdr>
    </w:div>
    <w:div w:id="482353047">
      <w:marLeft w:val="0"/>
      <w:marRight w:val="0"/>
      <w:marTop w:val="0"/>
      <w:marBottom w:val="0"/>
      <w:divBdr>
        <w:top w:val="none" w:sz="0" w:space="0" w:color="auto"/>
        <w:left w:val="none" w:sz="0" w:space="0" w:color="auto"/>
        <w:bottom w:val="none" w:sz="0" w:space="0" w:color="auto"/>
        <w:right w:val="none" w:sz="0" w:space="0" w:color="auto"/>
      </w:divBdr>
    </w:div>
    <w:div w:id="482353048">
      <w:marLeft w:val="0"/>
      <w:marRight w:val="0"/>
      <w:marTop w:val="0"/>
      <w:marBottom w:val="0"/>
      <w:divBdr>
        <w:top w:val="none" w:sz="0" w:space="0" w:color="auto"/>
        <w:left w:val="none" w:sz="0" w:space="0" w:color="auto"/>
        <w:bottom w:val="none" w:sz="0" w:space="0" w:color="auto"/>
        <w:right w:val="none" w:sz="0" w:space="0" w:color="auto"/>
      </w:divBdr>
    </w:div>
    <w:div w:id="482353049">
      <w:marLeft w:val="0"/>
      <w:marRight w:val="0"/>
      <w:marTop w:val="0"/>
      <w:marBottom w:val="0"/>
      <w:divBdr>
        <w:top w:val="none" w:sz="0" w:space="0" w:color="auto"/>
        <w:left w:val="none" w:sz="0" w:space="0" w:color="auto"/>
        <w:bottom w:val="none" w:sz="0" w:space="0" w:color="auto"/>
        <w:right w:val="none" w:sz="0" w:space="0" w:color="auto"/>
      </w:divBdr>
    </w:div>
    <w:div w:id="482353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5478</Words>
  <Characters>33155</Characters>
  <Application>Microsoft Office Word</Application>
  <DocSecurity>0</DocSecurity>
  <Lines>276</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POUŽÍVATEĽKY</vt:lpstr>
      <vt:lpstr>PÍSOMNÁ INFORMÁCIA PRE POUŽÍVATEĽKY</vt:lpstr>
    </vt:vector>
  </TitlesOfParts>
  <Company>EGIS Slovakia</Company>
  <LinksUpToDate>false</LinksUpToDate>
  <CharactersWithSpaces>38556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VKulisek</dc:creator>
  <cp:lastModifiedBy>Rovna, Katarina SK</cp:lastModifiedBy>
  <cp:revision>5</cp:revision>
  <cp:lastPrinted>2014-07-17T10:51:00Z</cp:lastPrinted>
  <dcterms:created xsi:type="dcterms:W3CDTF">2018-10-25T07:47:00Z</dcterms:created>
  <dcterms:modified xsi:type="dcterms:W3CDTF">2018-10-25T13:20:00Z</dcterms:modified>
</cp:coreProperties>
</file>