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18962" w14:textId="41ADC14B" w:rsidR="008B285C" w:rsidRPr="00AC04D8" w:rsidRDefault="008B285C" w:rsidP="00D30825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</w:pPr>
      <w:bookmarkStart w:id="0" w:name="_GoBack"/>
      <w:bookmarkEnd w:id="0"/>
      <w:r w:rsidRPr="00AC04D8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Písomná informácia pre používateľa</w:t>
      </w:r>
    </w:p>
    <w:p w14:paraId="4BC05BB4" w14:textId="77777777" w:rsidR="00C05F49" w:rsidRPr="00AC04D8" w:rsidRDefault="00C05F49" w:rsidP="00D30825">
      <w:pPr>
        <w:shd w:val="clear" w:color="auto" w:fill="FFFFFF"/>
        <w:ind w:left="10"/>
        <w:jc w:val="center"/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</w:pPr>
    </w:p>
    <w:p w14:paraId="75A59829" w14:textId="77777777" w:rsidR="00CC62C0" w:rsidRPr="00F743F3" w:rsidRDefault="00CC62C0" w:rsidP="00CC62C0">
      <w:pPr>
        <w:shd w:val="clear" w:color="auto" w:fill="FFFFFF"/>
        <w:spacing w:before="5" w:line="230" w:lineRule="exact"/>
        <w:ind w:left="10"/>
        <w:jc w:val="center"/>
        <w:rPr>
          <w:rFonts w:ascii="Times New Roman" w:hAnsi="Times New Roman" w:cs="Times New Roman"/>
          <w:b/>
          <w:color w:val="000000"/>
          <w:spacing w:val="1"/>
          <w:sz w:val="22"/>
          <w:szCs w:val="22"/>
          <w:vertAlign w:val="superscript"/>
        </w:rPr>
      </w:pPr>
      <w:r w:rsidRPr="00F743F3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ProHance</w:t>
      </w:r>
    </w:p>
    <w:p w14:paraId="6CCB414C" w14:textId="77777777" w:rsidR="00CC62C0" w:rsidRDefault="00CC62C0" w:rsidP="00CC62C0">
      <w:pPr>
        <w:shd w:val="clear" w:color="auto" w:fill="FFFFFF"/>
        <w:spacing w:line="235" w:lineRule="exact"/>
        <w:jc w:val="center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F743F3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(</w:t>
      </w:r>
      <w:r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g</w:t>
      </w:r>
      <w:r w:rsidRPr="00F743F3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adoteridol)</w:t>
      </w:r>
    </w:p>
    <w:p w14:paraId="4C94E9BC" w14:textId="77777777" w:rsidR="00CC62C0" w:rsidRPr="00324C71" w:rsidRDefault="00CC62C0" w:rsidP="00CC62C0">
      <w:pPr>
        <w:jc w:val="center"/>
        <w:rPr>
          <w:rFonts w:ascii="Times New Roman" w:hAnsi="Times New Roman" w:cs="Times New Roman"/>
          <w:sz w:val="22"/>
          <w:szCs w:val="22"/>
        </w:rPr>
      </w:pPr>
      <w:r w:rsidRPr="00324C71">
        <w:rPr>
          <w:rFonts w:ascii="Times New Roman" w:hAnsi="Times New Roman" w:cs="Times New Roman"/>
          <w:sz w:val="22"/>
          <w:szCs w:val="22"/>
        </w:rPr>
        <w:t>injekčný roztok</w:t>
      </w:r>
    </w:p>
    <w:p w14:paraId="0BB8B844" w14:textId="77777777" w:rsidR="002D6E9E" w:rsidRPr="00AC04D8" w:rsidRDefault="002D6E9E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4881D20F" w14:textId="77777777" w:rsidR="008B285C" w:rsidRPr="00AC04D8" w:rsidRDefault="008B285C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37645C9F" w14:textId="63A675DE" w:rsidR="008B285C" w:rsidRPr="00AC04D8" w:rsidRDefault="008B285C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AC04D8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Pozorne si prečítajte celú písomnú informáciu predtým, ako začnete používať tento liek, pretože obsahuje pre </w:t>
      </w:r>
      <w:r w:rsidR="00E529C6" w:rsidRPr="00AC04D8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</w:t>
      </w:r>
      <w:r w:rsidRPr="00AC04D8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ás dôležité informácie.</w:t>
      </w:r>
    </w:p>
    <w:p w14:paraId="20420B11" w14:textId="77777777" w:rsidR="008B285C" w:rsidRPr="00C17956" w:rsidRDefault="008B285C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C17956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-</w:t>
      </w:r>
      <w:r w:rsidRPr="00C17956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ab/>
        <w:t>Túto písomnú informáciu si uschovajte. Možno bude potrebné, aby ste si ju znovu prečítali.</w:t>
      </w:r>
    </w:p>
    <w:p w14:paraId="20AF53B5" w14:textId="77777777" w:rsidR="008B285C" w:rsidRPr="00C17956" w:rsidRDefault="008B285C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C17956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-</w:t>
      </w:r>
      <w:r w:rsidRPr="00C17956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ab/>
        <w:t>Ak máte akékoľvek ďalšie otázky, obráťte sa na svojho lekára alebo lekárnika.</w:t>
      </w:r>
    </w:p>
    <w:p w14:paraId="012B1A01" w14:textId="40B4EC97" w:rsidR="008B285C" w:rsidRPr="004863AF" w:rsidRDefault="008B285C" w:rsidP="00D30825">
      <w:pPr>
        <w:shd w:val="clear" w:color="auto" w:fill="FFFFFF"/>
        <w:ind w:left="720"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-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ab/>
        <w:t xml:space="preserve">Tento liek bol predpísaný iba </w:t>
      </w:r>
      <w:r w:rsidR="00E529C6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ám. Nedávajte ho nikomu inému. Môže mu uškodiť, dokonca aj vtedy, ak má rovnaké príznaky ochorenia ako </w:t>
      </w:r>
      <w:r w:rsidR="00E529C6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y.</w:t>
      </w:r>
    </w:p>
    <w:p w14:paraId="6D914445" w14:textId="2FF17684" w:rsidR="008B285C" w:rsidRPr="004863AF" w:rsidRDefault="008B285C" w:rsidP="00D30825">
      <w:pPr>
        <w:shd w:val="clear" w:color="auto" w:fill="FFFFFF"/>
        <w:ind w:left="720"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-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ab/>
        <w:t xml:space="preserve">Ak sa u </w:t>
      </w:r>
      <w:r w:rsidR="00E529C6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ás vyskytne akýkoľvek vedľajší účinok, obráťte sa na svojho lekára alebo </w:t>
      </w:r>
      <w:r w:rsidR="00E529C6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l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ekárnika. To sa týka aj akýchkoľvek vedľajších účinkov, ktoré nie sú uvedené v tejto písomnej informácii pre používateľa. Pozri časť 4.</w:t>
      </w:r>
    </w:p>
    <w:p w14:paraId="78F4F5D6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481A9659" w14:textId="5B7D52DC" w:rsidR="00C05F49" w:rsidRPr="004863AF" w:rsidRDefault="00D30825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V tejto písomnej informácii </w:t>
      </w:r>
      <w:r w:rsidR="00C05F49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sa dozviete:</w:t>
      </w:r>
    </w:p>
    <w:p w14:paraId="3F06BEE1" w14:textId="77777777" w:rsidR="00C05F49" w:rsidRPr="004863AF" w:rsidRDefault="00C05F49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Čo je ProHance a na čo sa používa</w:t>
      </w:r>
    </w:p>
    <w:p w14:paraId="00D5A2D2" w14:textId="77777777" w:rsidR="00C05F49" w:rsidRPr="004863AF" w:rsidRDefault="008B285C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Čo potrebujete vedieť predtým, 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ako použijete ProHance</w:t>
      </w:r>
    </w:p>
    <w:p w14:paraId="1ED4070A" w14:textId="77777777" w:rsidR="00C05F49" w:rsidRPr="004863AF" w:rsidRDefault="00C05F49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Ako používať ProHance</w:t>
      </w:r>
    </w:p>
    <w:p w14:paraId="471EDFAD" w14:textId="77777777" w:rsidR="00C05F49" w:rsidRPr="004863AF" w:rsidRDefault="00C05F49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Možné vedľajšie účinky</w:t>
      </w:r>
    </w:p>
    <w:p w14:paraId="0677DB69" w14:textId="77777777" w:rsidR="00C05F49" w:rsidRPr="004863AF" w:rsidRDefault="00C05F49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Ako uchovávať ProHance</w:t>
      </w:r>
    </w:p>
    <w:p w14:paraId="3F2907FD" w14:textId="77777777" w:rsidR="00C05F49" w:rsidRPr="004863AF" w:rsidRDefault="008B285C" w:rsidP="00D30825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Obsah balenia a ď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alšie informácie</w:t>
      </w:r>
    </w:p>
    <w:p w14:paraId="24243B45" w14:textId="77777777" w:rsidR="00C05F49" w:rsidRPr="00D30825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</w:p>
    <w:p w14:paraId="1D028F0D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0636960E" w14:textId="77777777" w:rsidR="00C05F49" w:rsidRPr="004863AF" w:rsidRDefault="00C05F49" w:rsidP="00D30825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1. </w:t>
      </w:r>
      <w:r w:rsidR="008B285C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ab/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Č</w:t>
      </w:r>
      <w:r w:rsidR="008B285C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o je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8B285C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ProHance a na čo sa používa</w:t>
      </w:r>
    </w:p>
    <w:p w14:paraId="772750A1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3A4D1D8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ProHance je špeciálne farbivo (alebo kontrastná látka), ktoré obsahuje vzácny kov gadolínium. ProHance sa používa pri vyšetrení magnetickou rezonanciou (</w:t>
      </w:r>
      <w:r w:rsidR="00A7491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MRI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), kde zvyšuje kontrast a umožňuje lepšie zobrazenie mozgu, miechy a okolitých tkanív v prípade poškodenia, vrátane poškodení, ktoré môžu viesť k narušeniu </w:t>
      </w:r>
      <w:r w:rsidR="00A7491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hematoencefalickej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bariéry.</w:t>
      </w:r>
    </w:p>
    <w:p w14:paraId="3B71E928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ProHance sa tiež môže použiť na celotelové zobrazenie magnetickou rezonanciou (</w:t>
      </w:r>
      <w:r w:rsidR="00A7491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MRI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) vrátane hlavy, krku, panvy, pečene, prsníkov, kostry, svalov a okolitých tkanív (napr. pri diagnostike nádorov).</w:t>
      </w:r>
    </w:p>
    <w:p w14:paraId="1C0A70B6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Tento liek je len na diagnostické použitie</w:t>
      </w:r>
      <w:r w:rsidR="00A7491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u dospelých a detí vo veku od 6 mesiacov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.</w:t>
      </w:r>
    </w:p>
    <w:p w14:paraId="5792AD0A" w14:textId="77777777" w:rsidR="00C05F49" w:rsidRPr="004863AF" w:rsidRDefault="00C05F49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bCs/>
          <w:iCs/>
          <w:color w:val="000000"/>
          <w:spacing w:val="-2"/>
          <w:sz w:val="22"/>
          <w:szCs w:val="22"/>
        </w:rPr>
      </w:pPr>
    </w:p>
    <w:p w14:paraId="310537F1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303FF430" w14:textId="77777777" w:rsidR="00C05F49" w:rsidRPr="004863AF" w:rsidRDefault="00C05F49" w:rsidP="00D30825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2. </w:t>
      </w:r>
      <w:r w:rsidR="008B285C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ab/>
        <w:t xml:space="preserve">Čo potrebujete vedieť predtým, ako použijete 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ProHance</w:t>
      </w:r>
    </w:p>
    <w:p w14:paraId="2087B4E6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11339EC5" w14:textId="41855612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ProHance </w:t>
      </w:r>
      <w:r w:rsidR="00856DF2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2D6E9E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bude podaný len v nemocnici alebo na klinike, kde je vyškolený zdravotnícky personál a vybavenie na zvládnutie alergických reakcií. </w:t>
      </w:r>
    </w:p>
    <w:p w14:paraId="045E9C6C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3CA39F3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Nepoužívajte ProHance</w:t>
      </w:r>
    </w:p>
    <w:p w14:paraId="6C1F1156" w14:textId="3343D984" w:rsidR="00C05F49" w:rsidRPr="004863AF" w:rsidRDefault="008B285C" w:rsidP="00D30825">
      <w:pPr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ak 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ste alergický</w:t>
      </w:r>
      <w:r w:rsidR="00856DF2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(á)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na gadoteridol alebo na iné kontrastné látky obsahujúce gadolínium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alebo na ktorúkoľvek z ďalších zložiek tohto lieku (uvedených v časti 6)</w:t>
      </w:r>
      <w:r w:rsidR="00856DF2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.</w:t>
      </w:r>
    </w:p>
    <w:p w14:paraId="7EE8F7B7" w14:textId="77777777" w:rsidR="008B285C" w:rsidRPr="004863AF" w:rsidRDefault="008B285C" w:rsidP="00D30825">
      <w:pPr>
        <w:shd w:val="clear" w:color="auto" w:fill="FFFFFF"/>
        <w:ind w:firstLine="142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4A7421D7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ProHance sa nemá podávať deťom mladším ako 6 mesiacov.</w:t>
      </w:r>
    </w:p>
    <w:p w14:paraId="64430068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iCs/>
          <w:color w:val="000000"/>
          <w:spacing w:val="-2"/>
          <w:sz w:val="22"/>
          <w:szCs w:val="22"/>
        </w:rPr>
      </w:pPr>
    </w:p>
    <w:p w14:paraId="797384AC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Upozornenia a opatrenia</w:t>
      </w:r>
    </w:p>
    <w:p w14:paraId="5FB5B417" w14:textId="77777777" w:rsidR="00C05F49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Predtým, ako začnete používať Pr</w:t>
      </w:r>
      <w:r w:rsidR="00FB63E3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o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Hance, obráťte sa na svojho lekára, ak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:</w:t>
      </w:r>
    </w:p>
    <w:p w14:paraId="58CACF10" w14:textId="4CFC62C9" w:rsidR="00C05F49" w:rsidRPr="004863AF" w:rsidRDefault="00C05F49" w:rsidP="00D30825">
      <w:pPr>
        <w:numPr>
          <w:ilvl w:val="0"/>
          <w:numId w:val="5"/>
        </w:numPr>
        <w:shd w:val="clear" w:color="auto" w:fill="FFFFFF"/>
        <w:ind w:left="709" w:hanging="709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sa liečite alebo ste sa v minulosti liečili na astmu</w:t>
      </w:r>
    </w:p>
    <w:p w14:paraId="77768A8D" w14:textId="40C64074" w:rsidR="00C05F49" w:rsidRPr="004863AF" w:rsidRDefault="00856DF2" w:rsidP="00D30825">
      <w:pPr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aše obličky nepracujú správne</w:t>
      </w:r>
    </w:p>
    <w:p w14:paraId="19AE3916" w14:textId="6DD228E7" w:rsidR="00C05F49" w:rsidRPr="004863AF" w:rsidRDefault="00856DF2" w:rsidP="00D30825">
      <w:pPr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ám nedávno transplantovali pečeň, alebo očakávate, že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2D6E9E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ám 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ju budú čoskoro transplantovať</w:t>
      </w:r>
    </w:p>
    <w:p w14:paraId="4BD0D031" w14:textId="565BB236" w:rsidR="001D4C2E" w:rsidRPr="004863AF" w:rsidRDefault="001D4C2E" w:rsidP="00D30825">
      <w:pPr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máte v anamnéze epilepsiu alebo mozgové lézie</w:t>
      </w:r>
    </w:p>
    <w:p w14:paraId="24CFC16B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513BE2A3" w14:textId="4402801D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lastRenderedPageBreak/>
        <w:t>Pred tým, ako sa lekár rozhodne použiť ProHance</w:t>
      </w:r>
      <w:r w:rsidR="004025BB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,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sa môže rozhodnúť vykonať krvné testy, aby preveril, nakoľko správne </w:t>
      </w:r>
      <w:r w:rsidR="00856DF2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2D6E9E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aše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obličky pracujú, najmä ak ste vo veku 65 rokov alebo starší.</w:t>
      </w:r>
    </w:p>
    <w:p w14:paraId="1DCB3333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</w:pPr>
    </w:p>
    <w:p w14:paraId="1777DB7C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Deti </w:t>
      </w:r>
    </w:p>
    <w:p w14:paraId="6C2BEC9D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  <w:t>Dojčatá</w:t>
      </w:r>
    </w:p>
    <w:p w14:paraId="6C212CF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Pretože funkcia obličiek nie je u dojčiat do 1 roku plne vyvinutá, ProHance sa má u 6- až 12-mesačných pacientov používať iba po dôkladnom zvážení zo strany lekára.</w:t>
      </w:r>
    </w:p>
    <w:p w14:paraId="4FC62358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7F46C24E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Iné lieky a ProHance</w:t>
      </w:r>
    </w:p>
    <w:p w14:paraId="58991449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Nie sú hlásené žiadne reakcie medzi ProHance a inými liekmi.</w:t>
      </w:r>
    </w:p>
    <w:p w14:paraId="03AC085E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79C9BB70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Ak </w:t>
      </w:r>
      <w:r w:rsidR="00B47BC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teraz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užívate alebo ste v poslednom čase užívali</w:t>
      </w:r>
      <w:r w:rsidR="00B47BC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, či práve budete užívať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</w:t>
      </w:r>
      <w:r w:rsidR="00B47BC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ďalšie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lieky,</w:t>
      </w:r>
      <w:r w:rsidR="00B47BCB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 povedzte to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, svojmu lekárovi alebo lekárnikovi.</w:t>
      </w:r>
    </w:p>
    <w:p w14:paraId="4B28A7DB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71BC533F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Tehotenstvo a dojčenie</w:t>
      </w:r>
    </w:p>
    <w:p w14:paraId="60D29E28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Skôr ako začnete užívať akýkoľvek liek, poraďte sa so svojim lekárom alebo lekárnikom.</w:t>
      </w:r>
    </w:p>
    <w:p w14:paraId="0B0A518E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25E77314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  <w:t>Tehotenstvo</w:t>
      </w:r>
    </w:p>
    <w:p w14:paraId="3B368C79" w14:textId="77777777" w:rsidR="00C05F49" w:rsidRPr="004863AF" w:rsidRDefault="00B47BCB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, pretože ak</w:t>
      </w:r>
      <w:r w:rsidR="00C05F49" w:rsidRPr="004863AF">
        <w:rPr>
          <w:rFonts w:ascii="Times New Roman" w:hAnsi="Times New Roman" w:cs="Times New Roman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to</w:t>
      </w:r>
      <w:r w:rsidR="00C05F49" w:rsidRPr="004863AF">
        <w:rPr>
          <w:rFonts w:ascii="Times New Roman" w:hAnsi="Times New Roman" w:cs="Times New Roman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C05F49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nie je úplne nevyhnutné, ProHance sa nemá používať počas tehotenstva.</w:t>
      </w:r>
    </w:p>
    <w:p w14:paraId="36B7DF5D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4700D1B8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i/>
          <w:color w:val="000000"/>
          <w:spacing w:val="-2"/>
          <w:sz w:val="22"/>
          <w:szCs w:val="22"/>
        </w:rPr>
        <w:t>Dojčenie</w:t>
      </w:r>
    </w:p>
    <w:p w14:paraId="057A5F02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Ak dojčíte alebo chcete začať dojčiť, povedzte to svojmu lekárovi. Váš lekár prediskutuje, či máte v dojčení pokračovať alebo dojčenie prerušiť na obdobie 24 hodín po podaní ProHance.</w:t>
      </w:r>
    </w:p>
    <w:p w14:paraId="429B7710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</w:p>
    <w:p w14:paraId="61338883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Vedenie vozid</w:t>
      </w:r>
      <w:r w:rsidR="00B47BCB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iel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a obsluha strojov</w:t>
      </w:r>
    </w:p>
    <w:p w14:paraId="1108F26B" w14:textId="3B1A8B9C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Nie sú k dispozícii žiadne informácie o účinkoch ProHance na vedenie vozidla, použitie nástrojov alebo obsluhu strojov. Poraďte sa so svojím lekárom, či môžete viesť </w:t>
      </w:r>
      <w:r w:rsidR="00BC0AF8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vozidlá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a či je pre </w:t>
      </w:r>
      <w:r w:rsidR="00856DF2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ás </w:t>
      </w:r>
      <w:r w:rsidRPr="004863AF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bezpečné používať nástroje alebo obsluhovať stroje.</w:t>
      </w:r>
    </w:p>
    <w:p w14:paraId="1F48AAC5" w14:textId="77777777" w:rsidR="00DF30DF" w:rsidRPr="004863AF" w:rsidRDefault="00DF30DF" w:rsidP="004863AF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41CC0E60" w14:textId="046AB34C" w:rsidR="00DF30DF" w:rsidRPr="004863AF" w:rsidRDefault="00DF30DF" w:rsidP="004863A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Prípravok Pro</w:t>
      </w:r>
      <w:r w:rsidR="004025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H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ance obsahuje sodík</w:t>
      </w:r>
    </w:p>
    <w:p w14:paraId="4C50454D" w14:textId="77777777" w:rsidR="00DF30DF" w:rsidRPr="004863AF" w:rsidRDefault="00DF30DF" w:rsidP="00AC04D8">
      <w:pPr>
        <w:numPr>
          <w:ilvl w:val="12"/>
          <w:numId w:val="0"/>
        </w:numPr>
        <w:ind w:right="-2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C04D8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>Tento liek obsahuje menej ako 1 mmol sodíka (23 mg) v jednotke dávkovania, t.j. v</w:t>
      </w:r>
      <w:r w:rsidRPr="00C17956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 podstate </w:t>
      </w:r>
      <w:r w:rsidRPr="00135634"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  <w:t xml:space="preserve">zanedbateľné množstvo sodíka. </w:t>
      </w:r>
    </w:p>
    <w:p w14:paraId="3E7F7F4D" w14:textId="77777777" w:rsidR="00C05F49" w:rsidRPr="00D30825" w:rsidRDefault="00C05F49" w:rsidP="00D30825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2"/>
        </w:rPr>
      </w:pPr>
    </w:p>
    <w:p w14:paraId="3C438F21" w14:textId="77777777" w:rsidR="00C05F49" w:rsidRPr="00D30825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2"/>
          <w:sz w:val="22"/>
          <w:szCs w:val="22"/>
        </w:rPr>
      </w:pPr>
    </w:p>
    <w:p w14:paraId="06D6BCE2" w14:textId="77777777" w:rsidR="00C05F49" w:rsidRPr="004863AF" w:rsidRDefault="00C05F49" w:rsidP="00D30825">
      <w:pPr>
        <w:shd w:val="clear" w:color="auto" w:fill="FFFFFF"/>
        <w:ind w:left="567" w:hanging="557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C1795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3. </w:t>
      </w:r>
      <w:r w:rsidR="00B47BCB" w:rsidRPr="00C1795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ab/>
      </w:r>
      <w:r w:rsidRPr="00135634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A</w:t>
      </w:r>
      <w:r w:rsidR="00B47BCB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ko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B47BCB"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používať</w:t>
      </w:r>
      <w:r w:rsidRPr="004863AF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ProHance</w:t>
      </w:r>
    </w:p>
    <w:p w14:paraId="7718E00C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</w:p>
    <w:p w14:paraId="1058242C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6"/>
          <w:sz w:val="22"/>
          <w:szCs w:val="22"/>
        </w:rPr>
      </w:pPr>
      <w:r w:rsidRPr="004863AF">
        <w:rPr>
          <w:rFonts w:ascii="Times New Roman" w:hAnsi="Times New Roman" w:cs="Times New Roman"/>
          <w:b/>
          <w:color w:val="000000"/>
          <w:spacing w:val="6"/>
          <w:sz w:val="22"/>
          <w:szCs w:val="22"/>
        </w:rPr>
        <w:t>Dávkovanie</w:t>
      </w:r>
    </w:p>
    <w:p w14:paraId="2070708C" w14:textId="3FD3A405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ProHance sa podáva do žily, zvyčajne do oblasti hornej končatiny, tesne pred </w:t>
      </w:r>
      <w:r w:rsidR="00A7491B"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MRI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vyšetrením. Množstvo látky v mililitroch, ktoré sa </w:t>
      </w:r>
      <w:r w:rsidR="00856DF2"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podá, závisí od </w:t>
      </w:r>
      <w:r w:rsidR="00856DF2"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ašej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hmotnosti.</w:t>
      </w:r>
    </w:p>
    <w:p w14:paraId="149A660E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</w:pPr>
    </w:p>
    <w:p w14:paraId="0249ED99" w14:textId="77777777" w:rsidR="00C05F49" w:rsidRPr="004863AF" w:rsidRDefault="00C05F49" w:rsidP="00D30825">
      <w:pPr>
        <w:shd w:val="clear" w:color="auto" w:fill="FFFFFF"/>
        <w:tabs>
          <w:tab w:val="left" w:pos="990"/>
        </w:tabs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Zvyčajná  dávka pre dospelých pri </w:t>
      </w:r>
      <w:r w:rsidR="00A7491B" w:rsidRPr="004863AF">
        <w:rPr>
          <w:rFonts w:ascii="Times New Roman" w:hAnsi="Times New Roman" w:cs="Times New Roman"/>
          <w:i/>
          <w:color w:val="000000"/>
          <w:spacing w:val="-1"/>
          <w:sz w:val="22"/>
          <w:szCs w:val="22"/>
        </w:rPr>
        <w:t>MRI</w:t>
      </w:r>
      <w:r w:rsidRPr="004863AF">
        <w:rPr>
          <w:rFonts w:ascii="Times New Roman" w:hAnsi="Times New Roman" w:cs="Times New Roman"/>
          <w:i/>
          <w:color w:val="000000"/>
          <w:spacing w:val="-1"/>
          <w:sz w:val="22"/>
          <w:szCs w:val="22"/>
        </w:rPr>
        <w:t xml:space="preserve"> vyšetrení mozgu a miechy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je 0,2 – 0,6 ml/kg, pre deti (staršie ako 2 roky) je zvyčajná dávka 0,2 ml/kg.</w:t>
      </w:r>
    </w:p>
    <w:p w14:paraId="692CB72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Zvyčajná dávka pre dospelých pri </w:t>
      </w:r>
      <w:r w:rsidRPr="004863AF">
        <w:rPr>
          <w:rFonts w:ascii="Times New Roman" w:hAnsi="Times New Roman" w:cs="Times New Roman"/>
          <w:i/>
          <w:color w:val="000000"/>
          <w:spacing w:val="-1"/>
          <w:sz w:val="22"/>
          <w:szCs w:val="22"/>
        </w:rPr>
        <w:t xml:space="preserve">celotelovom vyšetrení </w:t>
      </w:r>
      <w:r w:rsidR="00A7491B" w:rsidRPr="004863AF">
        <w:rPr>
          <w:rFonts w:ascii="Times New Roman" w:hAnsi="Times New Roman" w:cs="Times New Roman"/>
          <w:i/>
          <w:color w:val="000000"/>
          <w:spacing w:val="-1"/>
          <w:sz w:val="22"/>
          <w:szCs w:val="22"/>
        </w:rPr>
        <w:t>MRI</w:t>
      </w:r>
      <w:r w:rsidRPr="004863AF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 xml:space="preserve">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>je 0,2 ml/kg.</w:t>
      </w:r>
    </w:p>
    <w:p w14:paraId="737A882A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3EC6AAEB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 xml:space="preserve">Použitie u detí </w:t>
      </w:r>
    </w:p>
    <w:p w14:paraId="6697D65B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Dojčatá staršie ako 6 mesiacov do 1 roka veku</w:t>
      </w:r>
    </w:p>
    <w:p w14:paraId="6A074ADB" w14:textId="3548360C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Pretože funkcia obličiek nie je u dojčiat do 1 roku plne vyvinutá, ProHance sa má u týchto pacientov používať iba po dôkladnom zvážení zo strany lekára. Dojčatá smú počas vyšetreni</w:t>
      </w:r>
      <w:r w:rsidR="004025BB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a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dostať iba jednu dávku ProHance a v priebehu nasledujúcich aspoň 7 dní nesmú dostať ďalšiu injekciu. </w:t>
      </w:r>
    </w:p>
    <w:p w14:paraId="34CF9FAE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U detí mladších ako 6 mesiacov sa používanie na celotelovú </w:t>
      </w:r>
      <w:r w:rsidR="00A7491B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MRI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neodporúča.</w:t>
      </w:r>
    </w:p>
    <w:p w14:paraId="1C2DB42C" w14:textId="77777777" w:rsidR="00B47BCB" w:rsidRPr="004863AF" w:rsidRDefault="00B47BCB" w:rsidP="00D3082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</w:p>
    <w:p w14:paraId="2065CD49" w14:textId="77777777" w:rsidR="00C05F49" w:rsidRPr="004863AF" w:rsidRDefault="00C05F49" w:rsidP="00D30825">
      <w:pPr>
        <w:keepNext/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Dávkovanie u osobitných skupín pacientov</w:t>
      </w:r>
    </w:p>
    <w:p w14:paraId="7C812010" w14:textId="2E4E4938" w:rsidR="00C05F49" w:rsidRPr="004863AF" w:rsidRDefault="00C05F49" w:rsidP="00D30825">
      <w:pPr>
        <w:keepNext/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U pacientov so závažnými problémami obličiek alebo u pacientov, ktorým nedávno transplantovali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lastRenderedPageBreak/>
        <w:t>pečeň alebo u tých, ktorí očakávajú, že im ju budú čoskoro transplantovať, sa použitie ProHance neodporúča. Ak sa však použitie vyžaduje, máte počas vyšetreni</w:t>
      </w:r>
      <w:r w:rsidR="004025BB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a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dostať iba jednu dávku ProHance a v priebehu nasledujúcich aspoň 7 dní nesmiete dostať ďalšiu injekciu.</w:t>
      </w:r>
    </w:p>
    <w:p w14:paraId="00B80F03" w14:textId="77777777" w:rsidR="00BC0AF8" w:rsidRPr="004863AF" w:rsidRDefault="00BC0AF8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302489AF" w14:textId="77777777" w:rsidR="00C05F49" w:rsidRPr="004863AF" w:rsidRDefault="00A7491B" w:rsidP="00D30825">
      <w:pPr>
        <w:shd w:val="clear" w:color="auto" w:fill="FFFFFF"/>
        <w:tabs>
          <w:tab w:val="left" w:pos="2520"/>
        </w:tabs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MRI</w:t>
      </w:r>
    </w:p>
    <w:p w14:paraId="04C2BCC5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Starší pacienti</w:t>
      </w:r>
    </w:p>
    <w:p w14:paraId="3DD08767" w14:textId="11CE6B94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Ak máte 65 rokov a viac, nie je potrebné upravovať </w:t>
      </w:r>
      <w:r w:rsidR="00856DF2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ašu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dávku, ale môžu </w:t>
      </w:r>
      <w:r w:rsidR="00856DF2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vykonať krvné testy, aby sa zistilo, nakoľko správne </w:t>
      </w:r>
      <w:r w:rsidR="00856DF2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aše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obličky pracujú.</w:t>
      </w:r>
    </w:p>
    <w:p w14:paraId="03E75499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</w:p>
    <w:p w14:paraId="5CA52907" w14:textId="59D9D4F4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 xml:space="preserve">Ak </w:t>
      </w:r>
      <w:r w:rsidR="00856DF2"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bola podaná vyššia dávka ProHance ako je odporúčané</w:t>
      </w:r>
    </w:p>
    <w:p w14:paraId="4723DB44" w14:textId="2BF136F4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Nakoľko je ProHance podávaný lekárom alebo zdravotnou sestrou, je málo pravdepodobné, že </w:t>
      </w:r>
      <w:r w:rsidR="00856DF2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bude podaný vo vyššej dávke. Ak si ale myslíte, že </w:t>
      </w:r>
      <w:r w:rsidR="00856DF2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bola podaná vyššia dávka, ihneď informujte svojho lekára alebo zdravotnú sestru. Nemocnica alebo klinika, kde </w:t>
      </w:r>
      <w:r w:rsidR="004025BB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</w:t>
      </w:r>
      <w:r w:rsidR="00BC0AF8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ám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podávajú ProHance, je dostatočne vybavená na liečbu možných následkov predávkovania.</w:t>
      </w:r>
    </w:p>
    <w:p w14:paraId="459FA4DB" w14:textId="77777777" w:rsidR="00271A9F" w:rsidRPr="004863AF" w:rsidRDefault="00271A9F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188447A4" w14:textId="77777777" w:rsidR="00BC0AF8" w:rsidRPr="004863AF" w:rsidRDefault="00BC0AF8" w:rsidP="00D30825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25BD2F81" w14:textId="77777777" w:rsidR="00C05F49" w:rsidRPr="004863AF" w:rsidRDefault="00C05F49" w:rsidP="00D30825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 xml:space="preserve">4. </w:t>
      </w:r>
      <w:r w:rsidR="00B47BCB"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ab/>
      </w:r>
      <w:r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M</w:t>
      </w:r>
      <w:r w:rsidR="00B47BCB" w:rsidRPr="004863AF"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  <w:t>ožné vedľajšie účinky</w:t>
      </w:r>
    </w:p>
    <w:p w14:paraId="65D421EE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</w:p>
    <w:p w14:paraId="16269EE6" w14:textId="77777777" w:rsidR="00C05F49" w:rsidRPr="00D30825" w:rsidRDefault="00C05F49" w:rsidP="00D30825">
      <w:pPr>
        <w:jc w:val="both"/>
        <w:rPr>
          <w:rFonts w:ascii="Times New Roman" w:hAnsi="Times New Roman"/>
          <w:sz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Tak ako všetky lieky, aj </w:t>
      </w:r>
      <w:r w:rsidR="00021A8B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tento </w:t>
      </w:r>
      <w:r w:rsidR="000970A9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liek</w:t>
      </w:r>
      <w:r w:rsidR="00021A8B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môže spôsobovať vedľajšie účinky, hoci sa neprejavia u každého. </w:t>
      </w:r>
    </w:p>
    <w:p w14:paraId="62AAA58F" w14:textId="77777777" w:rsidR="00C05F49" w:rsidRPr="00AC04D8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AC04D8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Vedľajšie účinky sa môžu vyskytnúť s určitou frekvenciou a sú definované nasledovne:</w:t>
      </w:r>
    </w:p>
    <w:p w14:paraId="479E4E25" w14:textId="77777777" w:rsidR="00C05F49" w:rsidRPr="00C17956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1F28AA33" w14:textId="77777777" w:rsidR="00C05F49" w:rsidRPr="00135634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135634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Veľmi časté (postihujú viac ako 1 používateľa z 10)</w:t>
      </w:r>
    </w:p>
    <w:p w14:paraId="76162850" w14:textId="77777777" w:rsidR="00C05F49" w:rsidRPr="004863AF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Časté (postihujú 1 až 10 používateľov zo 100)</w:t>
      </w:r>
    </w:p>
    <w:p w14:paraId="4B157155" w14:textId="77777777" w:rsidR="00C05F49" w:rsidRPr="004863AF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Menej časté (postihujú 1 až 10 používateľov z 1 000)</w:t>
      </w:r>
    </w:p>
    <w:p w14:paraId="10A9B5DB" w14:textId="77777777" w:rsidR="00C05F49" w:rsidRPr="004863AF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Zriedkavé (postihujú 1 až 10 používateľov z 10 000)</w:t>
      </w:r>
    </w:p>
    <w:p w14:paraId="59B23C38" w14:textId="77777777" w:rsidR="00C05F49" w:rsidRPr="004863AF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Veľmi zriedkavé (postihujú menej ako 1 používateľa z 10 000)</w:t>
      </w:r>
    </w:p>
    <w:p w14:paraId="25BD09E3" w14:textId="77777777" w:rsidR="00C05F49" w:rsidRPr="004863AF" w:rsidRDefault="00C05F49" w:rsidP="00D30825">
      <w:pPr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Neznáme (z dostupných údajov)</w:t>
      </w:r>
    </w:p>
    <w:p w14:paraId="6030FF43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52BD9736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Časté:</w:t>
      </w:r>
    </w:p>
    <w:p w14:paraId="4E5EE5B5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Celkový pocit choroby</w:t>
      </w:r>
    </w:p>
    <w:p w14:paraId="299F2A98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5A31DAE4" w14:textId="5FD5E82F" w:rsidR="00C05F49" w:rsidRPr="00AC04D8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Menej časté</w:t>
      </w:r>
      <w:r w:rsidR="00AC04D8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:</w:t>
      </w:r>
    </w:p>
    <w:p w14:paraId="45A73638" w14:textId="2C394019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C17956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Bolesť hlavy, zmeny citlivosti (napr. pocit pálenia a pichania v rukách a nohách), závraty, zmeny chuti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</w:t>
      </w:r>
    </w:p>
    <w:p w14:paraId="3AD7D092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Slzenie</w:t>
      </w:r>
    </w:p>
    <w:p w14:paraId="04693CCC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Sčervenanie, nízky tlak krvi</w:t>
      </w:r>
    </w:p>
    <w:p w14:paraId="544E03B9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Sucho v ústach, vracanie</w:t>
      </w:r>
    </w:p>
    <w:p w14:paraId="4FF1B117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Pocit na svrbenie, kožná vyrážka, svrbenie</w:t>
      </w:r>
    </w:p>
    <w:p w14:paraId="062393E1" w14:textId="77777777" w:rsidR="00C05F49" w:rsidRPr="004863AF" w:rsidRDefault="001D4C2E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Reakcia v mieste vpichu</w:t>
      </w:r>
      <w:r w:rsidR="00946824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 (spôsobená únikom liečiva mimo žilu)</w:t>
      </w: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, b</w:t>
      </w:r>
      <w:r w:rsidR="00C05F49"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olesť v mieste podania injekcie</w:t>
      </w:r>
    </w:p>
    <w:p w14:paraId="1DECCE05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Zvýšená tepová frekvencia</w:t>
      </w:r>
    </w:p>
    <w:p w14:paraId="20A860E6" w14:textId="77777777" w:rsidR="00C05F49" w:rsidRPr="004863AF" w:rsidRDefault="00C05F49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Únava</w:t>
      </w:r>
    </w:p>
    <w:p w14:paraId="769A0B2D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0EABC353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Zriedkavé:</w:t>
      </w:r>
    </w:p>
    <w:p w14:paraId="6E70F1EF" w14:textId="77777777" w:rsidR="001D4C2E" w:rsidRPr="004863AF" w:rsidRDefault="001D4C2E" w:rsidP="00D30825">
      <w:pPr>
        <w:widowControl/>
        <w:numPr>
          <w:ilvl w:val="0"/>
          <w:numId w:val="2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Reakcie z precitlivenosti (bežne hlásené príznaky sú: pocit zovretia a škriabania v hrdle, ťažkosti s dýchaním, nepríjemný pocit na hrudníku, návaly tepla, ťažkosti s prehĺtaním, pocit pálenia, opuch hrdla a nízky tlak krvi)</w:t>
      </w:r>
    </w:p>
    <w:p w14:paraId="7DFE5329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Úzkosť</w:t>
      </w:r>
    </w:p>
    <w:p w14:paraId="20C9371F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Zmätok, narušená koordinácia pohybov, záchvat hnevu</w:t>
      </w:r>
    </w:p>
    <w:p w14:paraId="6254510A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Zvonenie v ušiach</w:t>
      </w:r>
    </w:p>
    <w:p w14:paraId="57B5CFFD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Zmeny v tepovej frekvencii</w:t>
      </w:r>
    </w:p>
    <w:p w14:paraId="74F8F134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Zovretie hrdla, skrátený dych, nádcha, kašeľ, dočasná strata dychu, sťažené dýchanie</w:t>
      </w:r>
    </w:p>
    <w:p w14:paraId="0D4A3EFF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Bolesť brucha, opuch jazyka, svrbenie okolo úst, zápal ďasien, hnačka</w:t>
      </w:r>
    </w:p>
    <w:p w14:paraId="745F6DB6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Opuch tváre</w:t>
      </w:r>
    </w:p>
    <w:p w14:paraId="0C00DE59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lastRenderedPageBreak/>
        <w:t>Stuhnutie svalov</w:t>
      </w:r>
    </w:p>
    <w:p w14:paraId="185EC04B" w14:textId="77777777" w:rsidR="00C05F49" w:rsidRPr="004863AF" w:rsidRDefault="00C05F49" w:rsidP="00D30825">
      <w:pPr>
        <w:widowControl/>
        <w:numPr>
          <w:ilvl w:val="0"/>
          <w:numId w:val="3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Bolesť na hrudníku, horúčka</w:t>
      </w:r>
    </w:p>
    <w:p w14:paraId="0603CD6C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5AEC6959" w14:textId="77777777" w:rsidR="00C05F49" w:rsidRPr="004863AF" w:rsidRDefault="00C05F49" w:rsidP="00D30825">
      <w:pPr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Neznáme:</w:t>
      </w:r>
    </w:p>
    <w:p w14:paraId="3A924F41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Porucha vedomia</w:t>
      </w:r>
    </w:p>
    <w:p w14:paraId="19F734E0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Bezvedomie</w:t>
      </w:r>
    </w:p>
    <w:p w14:paraId="3BB43B0F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Zástava srdca</w:t>
      </w:r>
    </w:p>
    <w:p w14:paraId="0C4A8572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Zástava dýchania, tekutina v pľúcach </w:t>
      </w:r>
    </w:p>
    <w:p w14:paraId="21EE1579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 xml:space="preserve">Zlyhanie obličiek </w:t>
      </w:r>
    </w:p>
    <w:p w14:paraId="45BA7921" w14:textId="77777777" w:rsidR="00C05F49" w:rsidRPr="004863AF" w:rsidRDefault="00C05F49" w:rsidP="00D30825">
      <w:pPr>
        <w:widowControl/>
        <w:numPr>
          <w:ilvl w:val="0"/>
          <w:numId w:val="4"/>
        </w:numPr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Vazovagálna reakcia (časté príznaky - celkový pocit choroby, závraty, nadmerné potenie. Vo vážnych prípadoch sa môže vyskytnúť zblednutie, nadmerné potenie, spomalenie tepovej frekvencie a strata vedomia ako aj ďalšie príznaky - strach alebo úzkosť, nepokoj, slabosť a nadmerné slinenie).</w:t>
      </w:r>
    </w:p>
    <w:p w14:paraId="1DC5CD58" w14:textId="77777777" w:rsidR="00C05F49" w:rsidRPr="004863AF" w:rsidRDefault="00C05F49" w:rsidP="00D30825">
      <w:pPr>
        <w:widowControl/>
        <w:autoSpaceDE/>
        <w:autoSpaceDN/>
        <w:adjustRightInd/>
        <w:ind w:left="360"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</w:p>
    <w:p w14:paraId="48636117" w14:textId="77777777" w:rsidR="00C05F49" w:rsidRPr="004863AF" w:rsidRDefault="00C05F49" w:rsidP="00D30825">
      <w:pPr>
        <w:widowControl/>
        <w:autoSpaceDE/>
        <w:autoSpaceDN/>
        <w:adjustRightInd/>
        <w:ind w:right="-2"/>
        <w:jc w:val="both"/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iCs/>
          <w:color w:val="000000"/>
          <w:spacing w:val="-1"/>
          <w:sz w:val="22"/>
          <w:szCs w:val="22"/>
        </w:rPr>
        <w:t>Hlásili sa prípady nefrogénnej systémovej fibrózy (ktorá zapríčiňuje stvrdnutie kože a môže mať vplyv taktiež na mäkké tkanivo a vnútorné orgány), väčšina z nich bola u pacientov, ktorí dostali ProHance spolu s inou kontrastnou látkou obsahujúcou gadolínium.</w:t>
      </w:r>
    </w:p>
    <w:p w14:paraId="27908B1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3"/>
          <w:sz w:val="22"/>
          <w:szCs w:val="22"/>
        </w:rPr>
      </w:pPr>
    </w:p>
    <w:p w14:paraId="6F33F19A" w14:textId="77777777" w:rsidR="00CA36B9" w:rsidRPr="004863AF" w:rsidRDefault="00CA36B9" w:rsidP="00D30825">
      <w:pPr>
        <w:pStyle w:val="Normlnywebov"/>
        <w:spacing w:before="0"/>
        <w:jc w:val="both"/>
        <w:rPr>
          <w:b/>
          <w:sz w:val="22"/>
          <w:szCs w:val="22"/>
          <w:lang w:val="sk-SK"/>
        </w:rPr>
      </w:pPr>
      <w:r w:rsidRPr="004863AF">
        <w:rPr>
          <w:b/>
          <w:sz w:val="22"/>
          <w:szCs w:val="22"/>
          <w:u w:val="single"/>
          <w:lang w:val="sk-SK"/>
        </w:rPr>
        <w:t>Hlásenie vedľajších účinkov</w:t>
      </w:r>
    </w:p>
    <w:p w14:paraId="36C88666" w14:textId="557F825A" w:rsidR="00CA36B9" w:rsidRPr="00AC04D8" w:rsidRDefault="00CA36B9" w:rsidP="00D30825">
      <w:pPr>
        <w:jc w:val="both"/>
        <w:rPr>
          <w:rFonts w:ascii="Times New Roman" w:hAnsi="Times New Roman" w:cs="Times New Roman"/>
          <w:sz w:val="22"/>
          <w:szCs w:val="22"/>
        </w:rPr>
      </w:pPr>
      <w:r w:rsidRPr="004863AF">
        <w:rPr>
          <w:rFonts w:ascii="Times New Roman" w:hAnsi="Times New Roman" w:cs="Times New Roman"/>
          <w:sz w:val="22"/>
          <w:szCs w:val="22"/>
        </w:rPr>
        <w:t xml:space="preserve">Ak sa u </w:t>
      </w:r>
      <w:r w:rsidR="004025BB">
        <w:rPr>
          <w:rFonts w:ascii="Times New Roman" w:hAnsi="Times New Roman" w:cs="Times New Roman"/>
          <w:sz w:val="22"/>
          <w:szCs w:val="22"/>
        </w:rPr>
        <w:t>V</w:t>
      </w:r>
      <w:r w:rsidRPr="004863AF">
        <w:rPr>
          <w:rFonts w:ascii="Times New Roman" w:hAnsi="Times New Roman" w:cs="Times New Roman"/>
          <w:sz w:val="22"/>
          <w:szCs w:val="22"/>
        </w:rPr>
        <w:t>ás vyskytne akýkoľvek vedľajší účinok, obráťte sa na svojho lekára alebo lekárnika. To sa týka aj akýchkoľvek vedľajších účinkov, ktoré nie sú uvedené v tejto písomnej informácii pre používateľa. Vedľajšie účinky môžete hlásiť aj priamo</w:t>
      </w:r>
      <w:r w:rsidR="004863AF">
        <w:rPr>
          <w:rFonts w:ascii="Times New Roman" w:hAnsi="Times New Roman" w:cs="Times New Roman"/>
          <w:sz w:val="22"/>
          <w:szCs w:val="22"/>
        </w:rPr>
        <w:t xml:space="preserve"> na </w:t>
      </w:r>
      <w:r w:rsidRPr="00D30825">
        <w:rPr>
          <w:rFonts w:ascii="Times New Roman" w:hAnsi="Times New Roman" w:cs="Times New Roman"/>
          <w:sz w:val="22"/>
          <w:szCs w:val="22"/>
          <w:highlight w:val="lightGray"/>
        </w:rPr>
        <w:t xml:space="preserve">národné </w:t>
      </w:r>
      <w:r w:rsidR="004863AF" w:rsidRPr="00D30825">
        <w:rPr>
          <w:rFonts w:ascii="Times New Roman" w:hAnsi="Times New Roman" w:cs="Times New Roman"/>
          <w:sz w:val="22"/>
          <w:szCs w:val="22"/>
          <w:highlight w:val="lightGray"/>
        </w:rPr>
        <w:t>centrum</w:t>
      </w:r>
      <w:r w:rsidRPr="00D30825">
        <w:rPr>
          <w:rFonts w:ascii="Times New Roman" w:hAnsi="Times New Roman" w:cs="Times New Roman"/>
          <w:sz w:val="22"/>
          <w:szCs w:val="22"/>
          <w:highlight w:val="lightGray"/>
        </w:rPr>
        <w:t xml:space="preserve"> hlásenia uvedené v</w:t>
      </w:r>
      <w:r w:rsidR="00D30825">
        <w:rPr>
          <w:rFonts w:ascii="Times New Roman" w:hAnsi="Times New Roman" w:cs="Times New Roman"/>
          <w:sz w:val="22"/>
          <w:szCs w:val="22"/>
          <w:highlight w:val="lightGray"/>
        </w:rPr>
        <w:t> </w:t>
      </w:r>
      <w:hyperlink r:id="rId9" w:history="1">
        <w:r w:rsidRPr="00D3082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</w:t>
        </w:r>
        <w:r w:rsidR="00D3082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 </w:t>
        </w:r>
        <w:r w:rsidRPr="00D3082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V</w:t>
        </w:r>
      </w:hyperlink>
      <w:r w:rsidRPr="00D30825">
        <w:rPr>
          <w:rFonts w:ascii="Times New Roman" w:hAnsi="Times New Roman" w:cs="Times New Roman"/>
          <w:sz w:val="22"/>
          <w:szCs w:val="22"/>
          <w:highlight w:val="lightGray"/>
        </w:rPr>
        <w:t>.</w:t>
      </w:r>
      <w:r w:rsidRPr="00AC04D8">
        <w:rPr>
          <w:rFonts w:ascii="Times New Roman" w:hAnsi="Times New Roman" w:cs="Times New Roman"/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45D8CECC" w14:textId="77777777" w:rsidR="00C05F49" w:rsidRPr="00C17956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2"/>
          <w:szCs w:val="22"/>
        </w:rPr>
      </w:pPr>
    </w:p>
    <w:p w14:paraId="2982367C" w14:textId="77777777" w:rsidR="00C05F49" w:rsidRPr="00135634" w:rsidRDefault="00C05F49" w:rsidP="00D3082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5"/>
          <w:sz w:val="22"/>
          <w:szCs w:val="22"/>
        </w:rPr>
      </w:pPr>
    </w:p>
    <w:p w14:paraId="03710CBD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5. </w:t>
      </w:r>
      <w:r w:rsidR="00B47BCB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ab/>
      </w: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 w:rsidR="00B47BCB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ko Uchovávať</w:t>
      </w: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ProHance</w:t>
      </w:r>
    </w:p>
    <w:p w14:paraId="23027266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</w:p>
    <w:p w14:paraId="2FEB6E53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Nebudete musieť uchovávať tento liek. Váš lekár v nemocnici alebo lekárnik vie, ako uchovávať ProHance. </w:t>
      </w:r>
    </w:p>
    <w:p w14:paraId="75F433A0" w14:textId="77777777" w:rsidR="00C05F49" w:rsidRPr="00AC04D8" w:rsidRDefault="00DC42D1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Tento l</w:t>
      </w:r>
      <w:r w:rsidR="00C05F49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iek sa uchováva mimo dohľadu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 a dosahu </w:t>
      </w:r>
      <w:r w:rsidR="00C05F49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 detí, pri teplote 15 </w:t>
      </w:r>
      <w:r w:rsidR="00C05F49" w:rsidRPr="00D30825">
        <w:rPr>
          <w:rFonts w:ascii="Times New Roman" w:hAnsi="Times New Roman"/>
          <w:sz w:val="22"/>
        </w:rPr>
        <w:t xml:space="preserve">– </w:t>
      </w:r>
      <w:r w:rsidR="00C05F49" w:rsidRPr="00AC04D8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30 °C , chránený pred svetlom a mrazom.</w:t>
      </w:r>
    </w:p>
    <w:p w14:paraId="346D7A49" w14:textId="77777777" w:rsidR="00C05F49" w:rsidRPr="00C17956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66F9116B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135634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Nepoužívajte 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tento liek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po dátume exspirácie, ktorý je uvedený na škatuli a injekčnej liekovke/naplnenej injekčnej striekačke po EXP. Dátum exspirácie sa vzťahuje na posledný deň v mesiaci. </w:t>
      </w:r>
    </w:p>
    <w:p w14:paraId="7C1E19F9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29D75913" w14:textId="77777777" w:rsidR="00DC42D1" w:rsidRPr="004863AF" w:rsidRDefault="00DC42D1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Nelikvidujte lieky odpadovou vodou alebo domovým odpadom. Nepoužitý liek vráťte do lekárne. Tieto opatrenia pomôžu chrániť životné prostredie</w:t>
      </w:r>
      <w:r w:rsidR="00856DF2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.</w:t>
      </w:r>
    </w:p>
    <w:p w14:paraId="4580EBDE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7DE585CD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694B07BA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6.</w:t>
      </w:r>
      <w:r w:rsidR="00686B42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</w:t>
      </w:r>
      <w:r w:rsidR="00DC42D1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ab/>
        <w:t>Obsah balenia a ďalšie informácie</w:t>
      </w:r>
    </w:p>
    <w:p w14:paraId="7E7446F4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</w:p>
    <w:p w14:paraId="4DD2FD6B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Čo ProHance obsahuje</w:t>
      </w:r>
    </w:p>
    <w:p w14:paraId="3250D899" w14:textId="4C253FD5" w:rsidR="00C05F49" w:rsidRPr="004863AF" w:rsidRDefault="00C05F49" w:rsidP="00D30825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Liečivo je gadoteridol 279,3 mg/ml (čo zodpovedá 0,5 mmol gadoteridolu/ml)</w:t>
      </w:r>
      <w:r w:rsidR="00AB741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.</w:t>
      </w:r>
    </w:p>
    <w:p w14:paraId="6292408B" w14:textId="77777777" w:rsidR="00C05F49" w:rsidRPr="004863AF" w:rsidRDefault="00C05F49" w:rsidP="00D30825">
      <w:pPr>
        <w:numPr>
          <w:ilvl w:val="0"/>
          <w:numId w:val="10"/>
        </w:numPr>
        <w:shd w:val="clear" w:color="auto" w:fill="FFFFFF"/>
        <w:ind w:hanging="720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Ďalšie zložky sú: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vápenatá soľ kalteridolu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,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trometamol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,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kyselina chlorovodíková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,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hydroxid sodný</w:t>
      </w:r>
      <w:r w:rsidR="00DC42D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, 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voda</w:t>
      </w:r>
      <w:r w:rsidR="00AB7411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.</w:t>
      </w:r>
    </w:p>
    <w:p w14:paraId="1FC301F8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172F4909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Ako vyzerá ProHance a obsah balenia</w:t>
      </w:r>
    </w:p>
    <w:p w14:paraId="0C118BC1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ProHance je sterilný vodný roztok (číry, bezfarebný až žltkastý) na vnútrožilovú injekciu. </w:t>
      </w:r>
    </w:p>
    <w:p w14:paraId="182B2868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ProHance je dodávaný v injekčných liekovkách s obsahom 5 ml, 10 ml, 15 ml, 17 ml alebo 20 ml injekčného roztoku a naplnených  injekčných striekačkách s obsahom 10 ml, 15 ml alebo 17 ml  injekčného roztoku.</w:t>
      </w:r>
    </w:p>
    <w:p w14:paraId="4AB9E796" w14:textId="77777777" w:rsidR="00C05F49" w:rsidRPr="004863AF" w:rsidRDefault="007F4378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Na trh nemusia byť uvedené</w:t>
      </w:r>
      <w:r w:rsidR="00C05F49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 všetky veľkosti balenia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.</w:t>
      </w:r>
    </w:p>
    <w:p w14:paraId="58F63C1C" w14:textId="77777777" w:rsidR="00271A9F" w:rsidRPr="004863AF" w:rsidRDefault="00271A9F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796CD71C" w14:textId="1756AFBE" w:rsidR="00C05F49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lastRenderedPageBreak/>
        <w:t>Držiteľ rozhodnutia o</w:t>
      </w:r>
      <w:r w:rsidR="00686B42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 </w:t>
      </w: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registrácii</w:t>
      </w:r>
      <w:r w:rsidR="00686B42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 xml:space="preserve"> a</w:t>
      </w:r>
      <w:r w:rsidR="00D30825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 </w:t>
      </w:r>
      <w:r w:rsidR="00686B42"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výrobca</w:t>
      </w:r>
    </w:p>
    <w:p w14:paraId="41DDDFD8" w14:textId="77777777" w:rsidR="00D30825" w:rsidRPr="004863AF" w:rsidRDefault="00D30825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</w:p>
    <w:p w14:paraId="5F853E50" w14:textId="77777777" w:rsidR="00686B42" w:rsidRPr="004863AF" w:rsidRDefault="00686B42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Držiteľ rozhodnutia o registrácii</w:t>
      </w:r>
    </w:p>
    <w:p w14:paraId="15B467B2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Bracco Imaging Deutschland GmbH</w:t>
      </w:r>
    </w:p>
    <w:p w14:paraId="44FAC8F8" w14:textId="77777777" w:rsidR="00C05F49" w:rsidRPr="004863AF" w:rsidRDefault="00C05F49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3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3"/>
          <w:sz w:val="22"/>
          <w:szCs w:val="22"/>
        </w:rPr>
        <w:t>Max-Stromeyer-Strasse 116</w:t>
      </w:r>
    </w:p>
    <w:p w14:paraId="63FC9980" w14:textId="77777777" w:rsidR="00C05F49" w:rsidRPr="004863AF" w:rsidRDefault="00C05F49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3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3"/>
          <w:sz w:val="22"/>
          <w:szCs w:val="22"/>
        </w:rPr>
        <w:t>D-78467 Konstanz</w:t>
      </w:r>
    </w:p>
    <w:p w14:paraId="6C99A14F" w14:textId="77777777" w:rsidR="00CD1CB2" w:rsidRPr="004863AF" w:rsidRDefault="00CD1CB2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3"/>
          <w:sz w:val="22"/>
          <w:szCs w:val="22"/>
        </w:rPr>
        <w:t>Nemecko</w:t>
      </w:r>
    </w:p>
    <w:p w14:paraId="5CCE3D6C" w14:textId="77777777" w:rsidR="00C05F49" w:rsidRPr="004863AF" w:rsidRDefault="00C05F49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Tel.: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ab/>
        <w:t>07531  / 84-0</w:t>
      </w:r>
    </w:p>
    <w:p w14:paraId="6F173D76" w14:textId="77777777" w:rsidR="00C05F49" w:rsidRPr="004863AF" w:rsidRDefault="00C05F49" w:rsidP="00D30825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Fax: </w:t>
      </w:r>
      <w:r w:rsidRPr="004863AF">
        <w:rPr>
          <w:rFonts w:ascii="Times New Roman" w:hAnsi="Times New Roman" w:cs="Times New Roman"/>
          <w:color w:val="000000"/>
          <w:spacing w:val="-1"/>
          <w:sz w:val="22"/>
          <w:szCs w:val="22"/>
        </w:rPr>
        <w:tab/>
        <w:t>07531 / 84-4240</w:t>
      </w:r>
    </w:p>
    <w:p w14:paraId="63FEC452" w14:textId="77777777" w:rsidR="00C05F49" w:rsidRPr="00D30825" w:rsidRDefault="00C05F49" w:rsidP="00D30825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2"/>
        </w:rPr>
      </w:pPr>
    </w:p>
    <w:p w14:paraId="3FBE6C89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Výrobca</w:t>
      </w:r>
    </w:p>
    <w:p w14:paraId="07568915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Bracco Imaging S.p.A.</w:t>
      </w:r>
    </w:p>
    <w:p w14:paraId="1DD59EC8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Bioindustry Park</w:t>
      </w:r>
    </w:p>
    <w:p w14:paraId="27392251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Via Ribes, 5</w:t>
      </w:r>
    </w:p>
    <w:p w14:paraId="55E65817" w14:textId="4C0EACA3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10010 Colleretto Giacosa (TO)</w:t>
      </w:r>
    </w:p>
    <w:p w14:paraId="00CE3BF5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Taliansko</w:t>
      </w:r>
    </w:p>
    <w:p w14:paraId="02DED211" w14:textId="77777777" w:rsidR="00686B42" w:rsidRPr="004863AF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392D8229" w14:textId="77777777" w:rsidR="00686B42" w:rsidRPr="00D30825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/>
          <w:color w:val="000000"/>
          <w:spacing w:val="-3"/>
          <w:sz w:val="22"/>
          <w:highlight w:val="lightGray"/>
        </w:rPr>
      </w:pPr>
      <w:r w:rsidRPr="00D30825">
        <w:rPr>
          <w:rFonts w:ascii="Times New Roman" w:hAnsi="Times New Roman"/>
          <w:color w:val="000000"/>
          <w:spacing w:val="-3"/>
          <w:sz w:val="22"/>
          <w:highlight w:val="lightGray"/>
        </w:rPr>
        <w:t>BIPSO GmbH</w:t>
      </w:r>
    </w:p>
    <w:p w14:paraId="21E735C6" w14:textId="77777777" w:rsidR="00686B42" w:rsidRPr="00D30825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/>
          <w:color w:val="000000"/>
          <w:spacing w:val="-3"/>
          <w:sz w:val="22"/>
          <w:highlight w:val="lightGray"/>
        </w:rPr>
      </w:pPr>
      <w:r w:rsidRPr="00D30825">
        <w:rPr>
          <w:rFonts w:ascii="Times New Roman" w:hAnsi="Times New Roman"/>
          <w:color w:val="000000"/>
          <w:spacing w:val="-3"/>
          <w:sz w:val="22"/>
          <w:highlight w:val="lightGray"/>
        </w:rPr>
        <w:t>Robert-Gerwig-Str.4</w:t>
      </w:r>
    </w:p>
    <w:p w14:paraId="3E06B41D" w14:textId="6A01D662" w:rsidR="00686B42" w:rsidRPr="00D30825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/>
          <w:color w:val="000000"/>
          <w:spacing w:val="-3"/>
          <w:sz w:val="22"/>
          <w:highlight w:val="lightGray"/>
        </w:rPr>
      </w:pPr>
      <w:r w:rsidRPr="00D30825">
        <w:rPr>
          <w:rFonts w:ascii="Times New Roman" w:hAnsi="Times New Roman"/>
          <w:color w:val="000000"/>
          <w:spacing w:val="-3"/>
          <w:sz w:val="22"/>
          <w:highlight w:val="lightGray"/>
        </w:rPr>
        <w:t>78224 Singen</w:t>
      </w:r>
    </w:p>
    <w:p w14:paraId="22388571" w14:textId="77777777" w:rsidR="00E546EC" w:rsidRPr="00AC04D8" w:rsidRDefault="00686B42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  <w:r w:rsidRPr="00D30825">
        <w:rPr>
          <w:rFonts w:ascii="Times New Roman" w:hAnsi="Times New Roman"/>
          <w:color w:val="000000"/>
          <w:spacing w:val="-3"/>
          <w:sz w:val="22"/>
          <w:highlight w:val="lightGray"/>
        </w:rPr>
        <w:t>Nemecko</w:t>
      </w:r>
    </w:p>
    <w:p w14:paraId="6D640FC6" w14:textId="77777777" w:rsidR="00E546EC" w:rsidRDefault="00E546EC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</w:p>
    <w:p w14:paraId="73A0D886" w14:textId="77777777" w:rsidR="00D30825" w:rsidRPr="00C17956" w:rsidRDefault="00D30825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</w:p>
    <w:p w14:paraId="32BE02F6" w14:textId="29A0DC47" w:rsidR="00E546EC" w:rsidRPr="00AC04D8" w:rsidRDefault="00E546EC" w:rsidP="00D30825">
      <w:pPr>
        <w:pBdr>
          <w:bottom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135634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Táto písomná informácia bola naposledy aktualizovaná</w:t>
      </w:r>
      <w:r w:rsidR="00AC04D8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 </w:t>
      </w:r>
      <w:r w:rsidR="004863AF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v 1</w:t>
      </w:r>
      <w:r w:rsidR="00F4183F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1</w:t>
      </w:r>
      <w:r w:rsidR="004863AF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/2018. </w:t>
      </w:r>
    </w:p>
    <w:p w14:paraId="3E845DBA" w14:textId="77777777" w:rsidR="00C05F49" w:rsidRPr="00C17956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770C718C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135634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Nasledujúca informácia je určená len pre lekárov a zdravotníckych p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racovníkov:</w:t>
      </w:r>
    </w:p>
    <w:p w14:paraId="336D04EA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786264FD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Pred podaním ProHance sa odporúča, aby sa všetci pacienti podrobili skríningu dysfunkcie obličiek pomocou laboratórnych vyšetrení.</w:t>
      </w:r>
    </w:p>
    <w:p w14:paraId="71C931E5" w14:textId="48183C54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U pacientov s akútnym alebo chronickým ťažkým poškodením funkcie obličiek (GFR &lt; 30 ml/min/1,73 m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  <w:vertAlign w:val="superscript"/>
        </w:rPr>
        <w:t>2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) sú hlásenia o nefrogénnej systémovej fibróze (NSF) spojenej s používaním niektorých iných kontrastných látok obsahujúcich gadolínium. Pacienti, ktorí podstupujú transplantáciu pečene, sú vystavení osobitnému riziku, pretože výskyt akútneho renálneho zlyhania je v tejto skupine vysoký. Keďže pri používaní ProHance existuje možnosť výskytu NSF, u pacientov s ťažkým poškodením funkcie obličiek a u pacientov v perioperačnom období transplantácie pečene sa treba jeho použitiu vyhnúť, pokiaľ nie je diagnostická informácia nevyhnutná a nedá sa získať nekontrastným zobrazovaním </w:t>
      </w:r>
      <w:r w:rsidR="00A7491B"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MRI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 xml:space="preserve">. Ak je potrebné použiť ProHance, dávka nesmie prekročiť 0,1 mmol/kg telesnej hmotnosti. Počas vyšetrenia </w:t>
      </w:r>
      <w:r w:rsidR="004025BB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s</w:t>
      </w: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a nesmie použiť viac ako jedna dávka. Z dôvodu chýbajúcich informácií o opakovanom podávaní sa injekcie ProHance nesmú opakovať pokiaľ nie je interval medzi injekciami minimálne 7 dní.</w:t>
      </w:r>
    </w:p>
    <w:p w14:paraId="4E8C2549" w14:textId="77777777" w:rsidR="00C05F49" w:rsidRPr="004863AF" w:rsidRDefault="00C05F49" w:rsidP="00D3082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717F4E8A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863AF">
        <w:rPr>
          <w:rFonts w:ascii="Times New Roman" w:hAnsi="Times New Roman" w:cs="Times New Roman"/>
          <w:sz w:val="22"/>
          <w:szCs w:val="22"/>
        </w:rPr>
        <w:t>Z dôvodu nevyvinutej funkcie obličiek u dojčiat do 1 roka sa má ProHance použiť u týchto pacientov iba po starostlivom zvážení a dávka nesmie prekročiť 0,1 mmol/kg telesnej hmotnosti. Počas vyšetrenia sa nesmie použiť viac ako jedna dávka. Z dôvodu chýbajúcich informácií o opakovanom podávaní sa injekcie ProHance nesmú opakovať, pokiaľ nie je interval medzi injekciami minimálne 7 dní.</w:t>
      </w:r>
    </w:p>
    <w:p w14:paraId="3BF4E8FD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D9AF845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63AF">
        <w:rPr>
          <w:rFonts w:ascii="Times New Roman" w:hAnsi="Times New Roman" w:cs="Times New Roman"/>
          <w:sz w:val="22"/>
          <w:szCs w:val="22"/>
          <w:lang w:eastAsia="en-US"/>
        </w:rPr>
        <w:t xml:space="preserve">Keďže u starších pacientov môže byť renálny klírens ProHance poškodený, je osobitne dôležité pacientov vo veku 65 rokov a starších podrobiť skríningu dysfunkcie obličiek. </w:t>
      </w:r>
    </w:p>
    <w:p w14:paraId="7D33380B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0F9FB0D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63AF">
        <w:rPr>
          <w:rFonts w:ascii="Times New Roman" w:hAnsi="Times New Roman" w:cs="Times New Roman"/>
          <w:sz w:val="22"/>
          <w:szCs w:val="22"/>
          <w:lang w:eastAsia="en-US"/>
        </w:rPr>
        <w:t>Hemodialýza krátko po podaní ProHance môže byť prospešná na odstránenie ProHance z organizmu. Neexistujú dôkazy, ktoré podporujú zavedenie hemodialýzy na prevenciu alebo na liečbu NSF u pacientov, u ktorých sa doposiaľ hemodialýza nevykonávala.</w:t>
      </w:r>
    </w:p>
    <w:p w14:paraId="012101B6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A4B4A61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  <w:r w:rsidRPr="004863AF"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  <w:t>ProHance sa nemá používať počas gravidity pokiaľ si klinický stav ženy nevyžaduje použitie gadoteridolu.</w:t>
      </w:r>
    </w:p>
    <w:p w14:paraId="65714BF8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63AF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Pokračovanie v dojčení alebo prerušenie dojčenia na obdobie 24 hodín po podaní ProHance má byť na uvážení lekára a dojčiacej matky.</w:t>
      </w:r>
    </w:p>
    <w:p w14:paraId="467C6181" w14:textId="77777777" w:rsidR="00C05F49" w:rsidRPr="004863AF" w:rsidRDefault="00C05F49" w:rsidP="00D30825">
      <w:pPr>
        <w:shd w:val="clear" w:color="auto" w:fill="FFFFFF"/>
        <w:tabs>
          <w:tab w:val="left" w:pos="8789"/>
        </w:tabs>
        <w:jc w:val="both"/>
        <w:rPr>
          <w:rFonts w:ascii="Times New Roman" w:hAnsi="Times New Roman" w:cs="Times New Roman"/>
          <w:bCs/>
          <w:color w:val="000000"/>
          <w:spacing w:val="-3"/>
          <w:sz w:val="22"/>
          <w:szCs w:val="22"/>
        </w:rPr>
      </w:pPr>
    </w:p>
    <w:p w14:paraId="2CB567BC" w14:textId="77777777" w:rsidR="00C05F49" w:rsidRPr="004863AF" w:rsidRDefault="00C05F49" w:rsidP="00D30825">
      <w:pPr>
        <w:tabs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63AF">
        <w:rPr>
          <w:rFonts w:ascii="Times New Roman" w:hAnsi="Times New Roman" w:cs="Times New Roman"/>
          <w:sz w:val="22"/>
          <w:szCs w:val="22"/>
          <w:lang w:eastAsia="en-US"/>
        </w:rPr>
        <w:t>Na záznam z vyšetrenia pacienta sa má nalepiť odlepovací označovací štítok z injekčných</w:t>
      </w:r>
    </w:p>
    <w:p w14:paraId="465950EB" w14:textId="77777777" w:rsidR="00C05F49" w:rsidRPr="00D30825" w:rsidRDefault="00C05F49" w:rsidP="00D30825">
      <w:pPr>
        <w:jc w:val="both"/>
        <w:rPr>
          <w:rFonts w:ascii="Times New Roman" w:hAnsi="Times New Roman"/>
          <w:sz w:val="22"/>
        </w:rPr>
      </w:pPr>
      <w:r w:rsidRPr="004863AF">
        <w:rPr>
          <w:rFonts w:ascii="Times New Roman" w:hAnsi="Times New Roman" w:cs="Times New Roman"/>
          <w:sz w:val="22"/>
          <w:szCs w:val="22"/>
          <w:lang w:eastAsia="en-US"/>
        </w:rPr>
        <w:t>liekoviek/injekčných striekačiek, aby bolo možné presne zaznamenať, ktorá kontrastná látka obsahujúca gadolínium sa použila. Má sa zaznamenať aj použitá dávka.</w:t>
      </w:r>
      <w:r w:rsidR="00021A8B" w:rsidRPr="004863A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C80164" w:rsidRPr="004863AF">
        <w:rPr>
          <w:rFonts w:ascii="Times New Roman" w:hAnsi="Times New Roman" w:cs="Times New Roman"/>
          <w:sz w:val="22"/>
          <w:szCs w:val="22"/>
        </w:rPr>
        <w:t>V prípade vedenia elektronickej dokumentácie pacienta, musí byť do záznamu zaznačený názov lieku, číslo šarže a použitá dávka lieku.</w:t>
      </w:r>
    </w:p>
    <w:sectPr w:rsidR="00C05F49" w:rsidRPr="00D30825" w:rsidSect="00D30825">
      <w:headerReference w:type="default" r:id="rId10"/>
      <w:footerReference w:type="even" r:id="rId11"/>
      <w:footerReference w:type="default" r:id="rId12"/>
      <w:headerReference w:type="first" r:id="rId13"/>
      <w:pgSz w:w="11909" w:h="16834"/>
      <w:pgMar w:top="1418" w:right="1418" w:bottom="1418" w:left="1418" w:header="709" w:footer="709" w:gutter="0"/>
      <w:cols w:space="6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B4E1D" w14:textId="77777777" w:rsidR="004863AF" w:rsidRDefault="004863AF" w:rsidP="00333DD3">
      <w:r>
        <w:separator/>
      </w:r>
    </w:p>
  </w:endnote>
  <w:endnote w:type="continuationSeparator" w:id="0">
    <w:p w14:paraId="071AA6C9" w14:textId="77777777" w:rsidR="004863AF" w:rsidRDefault="004863AF" w:rsidP="00333DD3">
      <w:r>
        <w:continuationSeparator/>
      </w:r>
    </w:p>
  </w:endnote>
  <w:endnote w:type="continuationNotice" w:id="1">
    <w:p w14:paraId="6E99F9F0" w14:textId="77777777" w:rsidR="004863AF" w:rsidRDefault="00486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214FF" w14:textId="77777777" w:rsidR="00835B89" w:rsidRDefault="00835B89">
    <w:pPr>
      <w:pStyle w:val="Pta"/>
      <w:framePr w:wrap="around" w:vAnchor="text" w:hAnchor="margin" w:xAlign="right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  <w:noProof/>
      </w:rPr>
      <w:t>4</w:t>
    </w:r>
    <w:r>
      <w:rPr>
        <w:rStyle w:val="slostrany"/>
        <w:rFonts w:cs="Arial"/>
      </w:rPr>
      <w:fldChar w:fldCharType="end"/>
    </w:r>
  </w:p>
  <w:p w14:paraId="786C5B5E" w14:textId="77777777" w:rsidR="00835B89" w:rsidRDefault="00835B8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833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B5AD150" w14:textId="5A8B4FF5" w:rsidR="004863AF" w:rsidRPr="00D30825" w:rsidRDefault="004863AF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082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082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082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D65B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3082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8E4E79" w14:textId="77777777" w:rsidR="00835B89" w:rsidRDefault="00835B8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06819" w14:textId="77777777" w:rsidR="004863AF" w:rsidRDefault="004863AF" w:rsidP="00333DD3">
      <w:r>
        <w:separator/>
      </w:r>
    </w:p>
  </w:footnote>
  <w:footnote w:type="continuationSeparator" w:id="0">
    <w:p w14:paraId="29970950" w14:textId="77777777" w:rsidR="004863AF" w:rsidRDefault="004863AF" w:rsidP="00333DD3">
      <w:r>
        <w:continuationSeparator/>
      </w:r>
    </w:p>
  </w:footnote>
  <w:footnote w:type="continuationNotice" w:id="1">
    <w:p w14:paraId="4F942270" w14:textId="77777777" w:rsidR="004863AF" w:rsidRDefault="004863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390B3" w14:textId="77D8DE3F" w:rsidR="004863AF" w:rsidRPr="00D30825" w:rsidRDefault="004863AF">
    <w:pPr>
      <w:pStyle w:val="Hlavika"/>
      <w:rPr>
        <w:rFonts w:ascii="Times New Roman" w:hAnsi="Times New Roman" w:cs="Times New Roman"/>
        <w:sz w:val="18"/>
        <w:szCs w:val="18"/>
      </w:rPr>
    </w:pPr>
    <w:r w:rsidRPr="00D30825">
      <w:rPr>
        <w:rFonts w:ascii="Times New Roman" w:hAnsi="Times New Roman" w:cs="Times New Roman"/>
        <w:sz w:val="18"/>
        <w:szCs w:val="18"/>
      </w:rPr>
      <w:t xml:space="preserve">Príloha č. </w:t>
    </w:r>
    <w:r w:rsidR="00AD65B8">
      <w:rPr>
        <w:rFonts w:ascii="Times New Roman" w:hAnsi="Times New Roman" w:cs="Times New Roman"/>
        <w:sz w:val="18"/>
        <w:szCs w:val="18"/>
      </w:rPr>
      <w:t>1</w:t>
    </w:r>
    <w:r w:rsidRPr="00D30825">
      <w:rPr>
        <w:rFonts w:ascii="Times New Roman" w:hAnsi="Times New Roman" w:cs="Times New Roman"/>
        <w:sz w:val="18"/>
        <w:szCs w:val="18"/>
      </w:rPr>
      <w:t xml:space="preserve"> k notifikácii o zmene, ev.č.: 2018/00551-ZIB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F5ECE" w14:textId="5FD9E8FA" w:rsidR="002D6E9E" w:rsidRPr="003D578A" w:rsidRDefault="002D6E9E" w:rsidP="002D6E9E">
    <w:pPr>
      <w:pStyle w:val="Hlavika"/>
      <w:rPr>
        <w:rFonts w:ascii="Times New Roman" w:hAnsi="Times New Roman" w:cs="Times New Roman"/>
        <w:sz w:val="18"/>
        <w:szCs w:val="18"/>
      </w:rPr>
    </w:pPr>
    <w:r w:rsidRPr="003D578A">
      <w:rPr>
        <w:rFonts w:ascii="Times New Roman" w:hAnsi="Times New Roman" w:cs="Times New Roman"/>
        <w:sz w:val="18"/>
        <w:szCs w:val="18"/>
      </w:rPr>
      <w:t>Schválený text k rozhodnutiu o zmene, ev.č.</w:t>
    </w:r>
    <w:r w:rsidR="00E529C6">
      <w:rPr>
        <w:rFonts w:ascii="Times New Roman" w:hAnsi="Times New Roman" w:cs="Times New Roman"/>
        <w:sz w:val="18"/>
        <w:szCs w:val="18"/>
      </w:rPr>
      <w:t xml:space="preserve">: </w:t>
    </w:r>
    <w:r w:rsidR="00E529C6" w:rsidRPr="00E529C6">
      <w:rPr>
        <w:rFonts w:ascii="Times New Roman" w:hAnsi="Times New Roman" w:cs="Times New Roman"/>
        <w:sz w:val="18"/>
        <w:szCs w:val="18"/>
      </w:rPr>
      <w:t>2018/00551-Z1B</w:t>
    </w:r>
  </w:p>
  <w:p w14:paraId="33A2C0C5" w14:textId="77777777" w:rsidR="002D6E9E" w:rsidRPr="00501D01" w:rsidRDefault="002D6E9E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34C"/>
    <w:multiLevelType w:val="hybridMultilevel"/>
    <w:tmpl w:val="D83E4F1E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1216"/>
    <w:multiLevelType w:val="hybridMultilevel"/>
    <w:tmpl w:val="D53A9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15840"/>
    <w:multiLevelType w:val="hybridMultilevel"/>
    <w:tmpl w:val="9AA6417C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B0A87"/>
    <w:multiLevelType w:val="hybridMultilevel"/>
    <w:tmpl w:val="09A4248C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64272"/>
    <w:multiLevelType w:val="hybridMultilevel"/>
    <w:tmpl w:val="4D701394"/>
    <w:lvl w:ilvl="0" w:tplc="B3B2607E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5">
    <w:nsid w:val="53B05DB0"/>
    <w:multiLevelType w:val="hybridMultilevel"/>
    <w:tmpl w:val="03181274"/>
    <w:lvl w:ilvl="0" w:tplc="9F2CFAB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5B72BA"/>
    <w:multiLevelType w:val="hybridMultilevel"/>
    <w:tmpl w:val="2F648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D840DA"/>
    <w:multiLevelType w:val="hybridMultilevel"/>
    <w:tmpl w:val="45DC5E6C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30297"/>
    <w:multiLevelType w:val="hybridMultilevel"/>
    <w:tmpl w:val="09FA3EBC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E5687"/>
    <w:multiLevelType w:val="hybridMultilevel"/>
    <w:tmpl w:val="5AD4DC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C9"/>
    <w:rsid w:val="00021A8B"/>
    <w:rsid w:val="00022EC5"/>
    <w:rsid w:val="0003116B"/>
    <w:rsid w:val="00056035"/>
    <w:rsid w:val="000970A9"/>
    <w:rsid w:val="000C7B08"/>
    <w:rsid w:val="00110DED"/>
    <w:rsid w:val="00135634"/>
    <w:rsid w:val="0014336E"/>
    <w:rsid w:val="001B2723"/>
    <w:rsid w:val="001D4C2E"/>
    <w:rsid w:val="0023034C"/>
    <w:rsid w:val="00271A9F"/>
    <w:rsid w:val="00290F02"/>
    <w:rsid w:val="00292918"/>
    <w:rsid w:val="002C199D"/>
    <w:rsid w:val="002D6E9E"/>
    <w:rsid w:val="002E4529"/>
    <w:rsid w:val="00324C71"/>
    <w:rsid w:val="003250DD"/>
    <w:rsid w:val="00333DD3"/>
    <w:rsid w:val="00355F44"/>
    <w:rsid w:val="003A6494"/>
    <w:rsid w:val="003D5C7D"/>
    <w:rsid w:val="004025BB"/>
    <w:rsid w:val="004155B4"/>
    <w:rsid w:val="00440327"/>
    <w:rsid w:val="004466D7"/>
    <w:rsid w:val="00450481"/>
    <w:rsid w:val="004737F3"/>
    <w:rsid w:val="004863AF"/>
    <w:rsid w:val="00496939"/>
    <w:rsid w:val="004C1FFD"/>
    <w:rsid w:val="00501D01"/>
    <w:rsid w:val="00565518"/>
    <w:rsid w:val="005724B1"/>
    <w:rsid w:val="005757FB"/>
    <w:rsid w:val="005975AD"/>
    <w:rsid w:val="005F1EDA"/>
    <w:rsid w:val="006041F1"/>
    <w:rsid w:val="006240E6"/>
    <w:rsid w:val="00644F85"/>
    <w:rsid w:val="006520F6"/>
    <w:rsid w:val="00686B42"/>
    <w:rsid w:val="006C3BDB"/>
    <w:rsid w:val="006D3455"/>
    <w:rsid w:val="006E61B0"/>
    <w:rsid w:val="007828D4"/>
    <w:rsid w:val="00784181"/>
    <w:rsid w:val="007A475A"/>
    <w:rsid w:val="007B0038"/>
    <w:rsid w:val="007F4378"/>
    <w:rsid w:val="00835B89"/>
    <w:rsid w:val="00837732"/>
    <w:rsid w:val="00856DF2"/>
    <w:rsid w:val="008B285C"/>
    <w:rsid w:val="00946824"/>
    <w:rsid w:val="0099584C"/>
    <w:rsid w:val="009A184F"/>
    <w:rsid w:val="009A66E4"/>
    <w:rsid w:val="00A42320"/>
    <w:rsid w:val="00A7491B"/>
    <w:rsid w:val="00AA3B8D"/>
    <w:rsid w:val="00AB5344"/>
    <w:rsid w:val="00AB7411"/>
    <w:rsid w:val="00AC04D8"/>
    <w:rsid w:val="00AD58FA"/>
    <w:rsid w:val="00AD65B8"/>
    <w:rsid w:val="00AE7D2B"/>
    <w:rsid w:val="00B47BCB"/>
    <w:rsid w:val="00BC0AF8"/>
    <w:rsid w:val="00BE7C08"/>
    <w:rsid w:val="00C05F49"/>
    <w:rsid w:val="00C17956"/>
    <w:rsid w:val="00C42448"/>
    <w:rsid w:val="00C80164"/>
    <w:rsid w:val="00C8071B"/>
    <w:rsid w:val="00CA0A41"/>
    <w:rsid w:val="00CA36B9"/>
    <w:rsid w:val="00CC62C0"/>
    <w:rsid w:val="00CD1CB2"/>
    <w:rsid w:val="00D2415D"/>
    <w:rsid w:val="00D30825"/>
    <w:rsid w:val="00D633FC"/>
    <w:rsid w:val="00D73229"/>
    <w:rsid w:val="00DC42D1"/>
    <w:rsid w:val="00DF30DF"/>
    <w:rsid w:val="00E1586D"/>
    <w:rsid w:val="00E322E7"/>
    <w:rsid w:val="00E529C6"/>
    <w:rsid w:val="00E546EC"/>
    <w:rsid w:val="00E666F5"/>
    <w:rsid w:val="00EA76B3"/>
    <w:rsid w:val="00EB1EA7"/>
    <w:rsid w:val="00EF51D6"/>
    <w:rsid w:val="00F4183F"/>
    <w:rsid w:val="00F743F3"/>
    <w:rsid w:val="00FB63E3"/>
    <w:rsid w:val="00F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A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D1AC9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D1AC9"/>
    <w:rPr>
      <w:rFonts w:ascii="Times New Roman" w:hAnsi="Times New Roman" w:cs="Times New Roman"/>
      <w:b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rsid w:val="00FD1AC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D1AC9"/>
    <w:rPr>
      <w:rFonts w:ascii="Arial" w:hAnsi="Arial" w:cs="Arial"/>
      <w:sz w:val="20"/>
      <w:szCs w:val="20"/>
      <w:lang w:val="sk-SK" w:eastAsia="sk-SK"/>
    </w:rPr>
  </w:style>
  <w:style w:type="character" w:styleId="slostrany">
    <w:name w:val="page number"/>
    <w:uiPriority w:val="99"/>
    <w:rsid w:val="00FD1AC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10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10DED"/>
    <w:rPr>
      <w:rFonts w:ascii="Tahoma" w:hAnsi="Tahoma" w:cs="Tahoma"/>
      <w:sz w:val="16"/>
      <w:szCs w:val="16"/>
      <w:lang w:val="sk-SK" w:eastAsia="sk-SK"/>
    </w:rPr>
  </w:style>
  <w:style w:type="paragraph" w:styleId="Normlnywebov">
    <w:name w:val="Normal (Web)"/>
    <w:basedOn w:val="Normlny"/>
    <w:semiHidden/>
    <w:unhideWhenUsed/>
    <w:rsid w:val="00CA36B9"/>
    <w:pPr>
      <w:widowControl/>
      <w:autoSpaceDE/>
      <w:autoSpaceDN/>
      <w:adjustRightInd/>
      <w:spacing w:before="18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textovprepojenie">
    <w:name w:val="Hyperlink"/>
    <w:rsid w:val="00CA36B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28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285C"/>
    <w:rPr>
      <w:rFonts w:ascii="Arial" w:eastAsia="Times New Roman" w:hAnsi="Arial" w:cs="Arial"/>
    </w:rPr>
  </w:style>
  <w:style w:type="character" w:styleId="Odkaznakomentr">
    <w:name w:val="annotation reference"/>
    <w:uiPriority w:val="99"/>
    <w:semiHidden/>
    <w:unhideWhenUsed/>
    <w:rsid w:val="00022E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2EC5"/>
  </w:style>
  <w:style w:type="character" w:customStyle="1" w:styleId="TextkomentraChar">
    <w:name w:val="Text komentára Char"/>
    <w:link w:val="Textkomentra"/>
    <w:uiPriority w:val="99"/>
    <w:semiHidden/>
    <w:rsid w:val="00022EC5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2E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22EC5"/>
    <w:rPr>
      <w:rFonts w:ascii="Arial" w:eastAsia="Times New Roman" w:hAnsi="Arial" w:cs="Arial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2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A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D1AC9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D1AC9"/>
    <w:rPr>
      <w:rFonts w:ascii="Times New Roman" w:hAnsi="Times New Roman" w:cs="Times New Roman"/>
      <w:b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rsid w:val="00FD1AC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D1AC9"/>
    <w:rPr>
      <w:rFonts w:ascii="Arial" w:hAnsi="Arial" w:cs="Arial"/>
      <w:sz w:val="20"/>
      <w:szCs w:val="20"/>
      <w:lang w:val="sk-SK" w:eastAsia="sk-SK"/>
    </w:rPr>
  </w:style>
  <w:style w:type="character" w:styleId="slostrany">
    <w:name w:val="page number"/>
    <w:uiPriority w:val="99"/>
    <w:rsid w:val="00FD1AC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110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10DED"/>
    <w:rPr>
      <w:rFonts w:ascii="Tahoma" w:hAnsi="Tahoma" w:cs="Tahoma"/>
      <w:sz w:val="16"/>
      <w:szCs w:val="16"/>
      <w:lang w:val="sk-SK" w:eastAsia="sk-SK"/>
    </w:rPr>
  </w:style>
  <w:style w:type="paragraph" w:styleId="Normlnywebov">
    <w:name w:val="Normal (Web)"/>
    <w:basedOn w:val="Normlny"/>
    <w:semiHidden/>
    <w:unhideWhenUsed/>
    <w:rsid w:val="00CA36B9"/>
    <w:pPr>
      <w:widowControl/>
      <w:autoSpaceDE/>
      <w:autoSpaceDN/>
      <w:adjustRightInd/>
      <w:spacing w:before="18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textovprepojenie">
    <w:name w:val="Hyperlink"/>
    <w:rsid w:val="00CA36B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28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285C"/>
    <w:rPr>
      <w:rFonts w:ascii="Arial" w:eastAsia="Times New Roman" w:hAnsi="Arial" w:cs="Arial"/>
    </w:rPr>
  </w:style>
  <w:style w:type="character" w:styleId="Odkaznakomentr">
    <w:name w:val="annotation reference"/>
    <w:uiPriority w:val="99"/>
    <w:semiHidden/>
    <w:unhideWhenUsed/>
    <w:rsid w:val="00022E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2EC5"/>
  </w:style>
  <w:style w:type="character" w:customStyle="1" w:styleId="TextkomentraChar">
    <w:name w:val="Text komentára Char"/>
    <w:link w:val="Textkomentra"/>
    <w:uiPriority w:val="99"/>
    <w:semiHidden/>
    <w:rsid w:val="00022EC5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2E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22EC5"/>
    <w:rPr>
      <w:rFonts w:ascii="Arial" w:eastAsia="Times New Roman" w:hAnsi="Arial" w:cs="Arial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2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ACA3-D35C-4DDC-BF36-8BB0A7E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10847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Nycomed GmbH</Company>
  <LinksUpToDate>false</LinksUpToDate>
  <CharactersWithSpaces>12676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uq2480</dc:creator>
  <cp:lastModifiedBy>Natalia </cp:lastModifiedBy>
  <cp:revision>3</cp:revision>
  <cp:lastPrinted>2018-10-19T07:52:00Z</cp:lastPrinted>
  <dcterms:created xsi:type="dcterms:W3CDTF">2018-10-19T07:47:00Z</dcterms:created>
  <dcterms:modified xsi:type="dcterms:W3CDTF">2018-10-19T07:53:00Z</dcterms:modified>
</cp:coreProperties>
</file>