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058686" w14:textId="77777777" w:rsidR="00BB06C8" w:rsidRPr="00B96D19" w:rsidRDefault="00BB06C8" w:rsidP="007262A1">
      <w:pPr>
        <w:pStyle w:val="SPCaPILhlavika"/>
        <w:spacing w:after="0"/>
        <w:rPr>
          <w:lang w:val="sk-SK"/>
        </w:rPr>
      </w:pPr>
      <w:r w:rsidRPr="00B96D19">
        <w:rPr>
          <w:lang w:val="sk-SK"/>
        </w:rPr>
        <w:t>P</w:t>
      </w:r>
      <w:r w:rsidR="00851AB6" w:rsidRPr="00B96D19">
        <w:rPr>
          <w:lang w:val="sk-SK"/>
        </w:rPr>
        <w:t>ísomná informácia pre používateľa</w:t>
      </w:r>
    </w:p>
    <w:p w14:paraId="7A067D92" w14:textId="77777777" w:rsidR="001F7FDF" w:rsidRPr="00B96D19" w:rsidRDefault="001F7FDF" w:rsidP="007262A1">
      <w:pPr>
        <w:pStyle w:val="SPCaPILhlavika"/>
        <w:spacing w:after="0"/>
        <w:rPr>
          <w:lang w:val="sk-SK"/>
        </w:rPr>
      </w:pPr>
    </w:p>
    <w:p w14:paraId="660C4166" w14:textId="5783E2D6" w:rsidR="00562B66" w:rsidRPr="00B96D19" w:rsidRDefault="00851AB6" w:rsidP="00562B66">
      <w:pPr>
        <w:autoSpaceDE w:val="0"/>
        <w:autoSpaceDN w:val="0"/>
        <w:adjustRightInd w:val="0"/>
        <w:jc w:val="center"/>
        <w:rPr>
          <w:b/>
          <w:color w:val="000000"/>
          <w:lang w:val="sk-SK" w:eastAsia="el-GR"/>
        </w:rPr>
      </w:pPr>
      <w:r w:rsidRPr="00B96D19">
        <w:rPr>
          <w:b/>
          <w:color w:val="000000"/>
          <w:lang w:val="sk-SK" w:eastAsia="el-GR"/>
        </w:rPr>
        <w:t>Cefazol</w:t>
      </w:r>
      <w:r w:rsidR="00851942">
        <w:rPr>
          <w:b/>
          <w:color w:val="000000"/>
          <w:lang w:val="sk-SK" w:eastAsia="el-GR"/>
        </w:rPr>
        <w:t>í</w:t>
      </w:r>
      <w:r w:rsidRPr="00B96D19">
        <w:rPr>
          <w:b/>
          <w:color w:val="000000"/>
          <w:lang w:val="sk-SK" w:eastAsia="el-GR"/>
        </w:rPr>
        <w:t>n Noridem 1</w:t>
      </w:r>
      <w:r w:rsidR="00F173A7" w:rsidRPr="00B96D19">
        <w:rPr>
          <w:b/>
          <w:color w:val="000000"/>
          <w:lang w:val="sk-SK" w:eastAsia="el-GR"/>
        </w:rPr>
        <w:t xml:space="preserve"> </w:t>
      </w:r>
      <w:r w:rsidRPr="00B96D19">
        <w:rPr>
          <w:b/>
          <w:color w:val="000000"/>
          <w:lang w:val="sk-SK" w:eastAsia="el-GR"/>
        </w:rPr>
        <w:t>g prášok na injekčný/infúzny roztok</w:t>
      </w:r>
    </w:p>
    <w:p w14:paraId="7F35CD87" w14:textId="79A20C9F" w:rsidR="00BB06C8" w:rsidRPr="00B96D19" w:rsidRDefault="00851AB6" w:rsidP="00562B66">
      <w:pPr>
        <w:pStyle w:val="SPCaPILhlavika"/>
        <w:spacing w:after="0"/>
        <w:rPr>
          <w:b w:val="0"/>
          <w:lang w:val="sk-SK"/>
        </w:rPr>
      </w:pPr>
      <w:r w:rsidRPr="00B96D19">
        <w:rPr>
          <w:color w:val="000000"/>
          <w:lang w:val="sk-SK" w:eastAsia="el-GR"/>
        </w:rPr>
        <w:t>Cefazol</w:t>
      </w:r>
      <w:r w:rsidR="00851942">
        <w:rPr>
          <w:color w:val="000000"/>
          <w:lang w:val="sk-SK" w:eastAsia="el-GR"/>
        </w:rPr>
        <w:t>í</w:t>
      </w:r>
      <w:r w:rsidRPr="00B96D19">
        <w:rPr>
          <w:color w:val="000000"/>
          <w:lang w:val="sk-SK" w:eastAsia="el-GR"/>
        </w:rPr>
        <w:t>n Noridem 2</w:t>
      </w:r>
      <w:r w:rsidR="00F173A7" w:rsidRPr="00B96D19">
        <w:rPr>
          <w:color w:val="000000"/>
          <w:lang w:val="sk-SK" w:eastAsia="el-GR"/>
        </w:rPr>
        <w:t xml:space="preserve"> </w:t>
      </w:r>
      <w:r w:rsidRPr="00B96D19">
        <w:rPr>
          <w:color w:val="000000"/>
          <w:lang w:val="sk-SK" w:eastAsia="el-GR"/>
        </w:rPr>
        <w:t xml:space="preserve">g prášok na </w:t>
      </w:r>
      <w:r w:rsidR="00E6129D" w:rsidRPr="00B96D19">
        <w:rPr>
          <w:color w:val="000000"/>
          <w:lang w:val="sk-SK" w:eastAsia="el-GR"/>
        </w:rPr>
        <w:t>injekčný/</w:t>
      </w:r>
      <w:r w:rsidRPr="00B96D19">
        <w:rPr>
          <w:color w:val="000000"/>
          <w:lang w:val="sk-SK" w:eastAsia="el-GR"/>
        </w:rPr>
        <w:t>infúzny roztok</w:t>
      </w:r>
    </w:p>
    <w:p w14:paraId="4E1AAE53" w14:textId="77777777" w:rsidR="00E10452" w:rsidRDefault="00E10452" w:rsidP="00667033">
      <w:pPr>
        <w:pStyle w:val="Normlndobloku"/>
        <w:jc w:val="center"/>
      </w:pPr>
    </w:p>
    <w:p w14:paraId="709E90C6" w14:textId="77777777" w:rsidR="00851AB6" w:rsidRPr="00B96D19" w:rsidRDefault="00911120" w:rsidP="00667033">
      <w:pPr>
        <w:pStyle w:val="Normlndobloku"/>
        <w:jc w:val="center"/>
      </w:pPr>
      <w:r w:rsidRPr="00B96D19">
        <w:t>cefazolín</w:t>
      </w:r>
      <w:r w:rsidRPr="000A2067">
        <w:t xml:space="preserve"> </w:t>
      </w:r>
      <w:r w:rsidRPr="00B96D19">
        <w:t>(ako sodná soľ cefazolínu)</w:t>
      </w:r>
    </w:p>
    <w:p w14:paraId="0E24E7FB" w14:textId="77777777" w:rsidR="006C364B" w:rsidRPr="00B96D19" w:rsidRDefault="006C364B" w:rsidP="007262A1">
      <w:pPr>
        <w:pStyle w:val="SPCaPILhlavika"/>
        <w:spacing w:after="0"/>
        <w:jc w:val="left"/>
        <w:rPr>
          <w:b w:val="0"/>
          <w:lang w:val="sk-SK"/>
        </w:rPr>
      </w:pPr>
    </w:p>
    <w:p w14:paraId="38E438F6" w14:textId="77777777" w:rsidR="00BE3314" w:rsidRPr="00B96D19" w:rsidRDefault="00911120">
      <w:pPr>
        <w:pStyle w:val="Styl2"/>
      </w:pPr>
      <w:r w:rsidRPr="00B96D19">
        <w:t>Pozorne si prečítajte celú písomnú informáciu predtým, ako začnete používať tento liek, pretože obsahuje pre vás dôležité informácie.</w:t>
      </w:r>
    </w:p>
    <w:p w14:paraId="266A18B9" w14:textId="77777777" w:rsidR="00851AB6" w:rsidRPr="00B96D19" w:rsidRDefault="00911120" w:rsidP="000A2067">
      <w:pPr>
        <w:pStyle w:val="Normlndoblokusodrkami"/>
      </w:pPr>
      <w:r w:rsidRPr="00B96D19">
        <w:t>Túto písomnú informáciu si uschovajte. Možno bude potrebné, aby ste si ju znovu prečítali.</w:t>
      </w:r>
    </w:p>
    <w:p w14:paraId="4F434580" w14:textId="77777777" w:rsidR="00851AB6" w:rsidRPr="00B96D19" w:rsidRDefault="00911120" w:rsidP="000A2067">
      <w:pPr>
        <w:pStyle w:val="Normlndoblokusodrkami"/>
      </w:pPr>
      <w:r w:rsidRPr="00B96D19">
        <w:t>Ak máte akékoľvek ďalšie otázky, obráťte sa na svojho lekára alebo lekárnika.</w:t>
      </w:r>
    </w:p>
    <w:p w14:paraId="62CE2699" w14:textId="77777777" w:rsidR="00851AB6" w:rsidRPr="00B96D19" w:rsidRDefault="00851AB6" w:rsidP="000A2067">
      <w:pPr>
        <w:pStyle w:val="Normlndoblokusodrkami"/>
      </w:pPr>
      <w:r w:rsidRPr="00B96D19">
        <w:t>Tento liek bol predpísaný iba vám. Nedávajte ho nikomu inému. Môže mu uškodiť, dokonca aj vtedy, ak má rovnaké prejavy ochorenia ako vy.</w:t>
      </w:r>
    </w:p>
    <w:p w14:paraId="19ABB964" w14:textId="77777777" w:rsidR="00851AB6" w:rsidRPr="00B96D19" w:rsidRDefault="00911120" w:rsidP="000A2067">
      <w:pPr>
        <w:pStyle w:val="Normlndoblokusodrkami"/>
      </w:pPr>
      <w:r w:rsidRPr="00B96D19">
        <w:t>Ak sa u vás vyskytne akýkoľvek vedľajší účinok, obráťte sa na svojho lekára alebo lekárnika. To sa týka aj akýchkoľvek vedľajších účinkov, ktoré nie sú uvedené v tejto písomnej informácii. Pozri časť 4.</w:t>
      </w:r>
    </w:p>
    <w:p w14:paraId="6BF3E3D4" w14:textId="77777777" w:rsidR="00BE3314" w:rsidRPr="00B96D19" w:rsidRDefault="00BE3314" w:rsidP="00667033">
      <w:pPr>
        <w:pStyle w:val="Normlndobloku"/>
      </w:pPr>
    </w:p>
    <w:p w14:paraId="06782631" w14:textId="16883293" w:rsidR="00BE3314" w:rsidRPr="00667033" w:rsidRDefault="00911120" w:rsidP="00667033">
      <w:pPr>
        <w:pStyle w:val="Normlndobloku"/>
        <w:rPr>
          <w:lang w:eastAsia="el-GR"/>
        </w:rPr>
      </w:pPr>
      <w:r w:rsidRPr="00667033">
        <w:t xml:space="preserve">Názov vášho lieku je </w:t>
      </w:r>
      <w:r w:rsidR="00851AB6" w:rsidRPr="00C66829">
        <w:rPr>
          <w:b/>
          <w:lang w:eastAsia="el-GR"/>
        </w:rPr>
        <w:t>Cefazol</w:t>
      </w:r>
      <w:r w:rsidR="00851942">
        <w:rPr>
          <w:b/>
          <w:lang w:eastAsia="el-GR"/>
        </w:rPr>
        <w:t>í</w:t>
      </w:r>
      <w:r w:rsidR="00851AB6" w:rsidRPr="00C66829">
        <w:rPr>
          <w:b/>
          <w:lang w:eastAsia="el-GR"/>
        </w:rPr>
        <w:t>n Noridem 1</w:t>
      </w:r>
      <w:r w:rsidR="00F173A7" w:rsidRPr="00C66829">
        <w:rPr>
          <w:b/>
          <w:lang w:eastAsia="el-GR"/>
        </w:rPr>
        <w:t xml:space="preserve"> </w:t>
      </w:r>
      <w:r w:rsidR="00851AB6" w:rsidRPr="00C66829">
        <w:rPr>
          <w:b/>
          <w:lang w:eastAsia="el-GR"/>
        </w:rPr>
        <w:t>g prášok na injekčný/infúzny roztok</w:t>
      </w:r>
      <w:r w:rsidR="00851AB6" w:rsidRPr="00667033">
        <w:rPr>
          <w:lang w:eastAsia="el-GR"/>
        </w:rPr>
        <w:t xml:space="preserve"> a </w:t>
      </w:r>
      <w:r w:rsidR="00851AB6" w:rsidRPr="00C66829">
        <w:rPr>
          <w:b/>
          <w:lang w:eastAsia="el-GR"/>
        </w:rPr>
        <w:t>Cefazol</w:t>
      </w:r>
      <w:r w:rsidR="00851942">
        <w:rPr>
          <w:b/>
          <w:lang w:eastAsia="el-GR"/>
        </w:rPr>
        <w:t>í</w:t>
      </w:r>
      <w:r w:rsidRPr="00C66829">
        <w:rPr>
          <w:b/>
          <w:lang w:eastAsia="el-GR"/>
        </w:rPr>
        <w:t>n Noridem 2</w:t>
      </w:r>
      <w:r w:rsidR="00F173A7" w:rsidRPr="00C66829">
        <w:rPr>
          <w:b/>
          <w:lang w:eastAsia="el-GR"/>
        </w:rPr>
        <w:t xml:space="preserve"> </w:t>
      </w:r>
      <w:r w:rsidRPr="00C66829">
        <w:rPr>
          <w:b/>
          <w:lang w:eastAsia="el-GR"/>
        </w:rPr>
        <w:t xml:space="preserve">g prášok na </w:t>
      </w:r>
      <w:r w:rsidR="0046395D" w:rsidRPr="00C66829">
        <w:rPr>
          <w:b/>
          <w:color w:val="000000"/>
          <w:lang w:eastAsia="el-GR"/>
        </w:rPr>
        <w:t>injekčný/</w:t>
      </w:r>
      <w:r w:rsidR="00851AB6" w:rsidRPr="00C66829">
        <w:rPr>
          <w:b/>
          <w:lang w:eastAsia="el-GR"/>
        </w:rPr>
        <w:t>infúzny roztok</w:t>
      </w:r>
      <w:r w:rsidR="00851AB6" w:rsidRPr="00667033">
        <w:rPr>
          <w:lang w:eastAsia="el-GR"/>
        </w:rPr>
        <w:t xml:space="preserve">. Vo zvyšnej časti tejto písomnej informácie je názov lieku uvedený ako </w:t>
      </w:r>
      <w:r w:rsidR="00851AB6" w:rsidRPr="00C66829">
        <w:rPr>
          <w:b/>
          <w:lang w:eastAsia="el-GR"/>
        </w:rPr>
        <w:t>Cefazol</w:t>
      </w:r>
      <w:r w:rsidR="00851942">
        <w:rPr>
          <w:b/>
          <w:lang w:eastAsia="el-GR"/>
        </w:rPr>
        <w:t>í</w:t>
      </w:r>
      <w:r w:rsidR="00851AB6" w:rsidRPr="00C66829">
        <w:rPr>
          <w:b/>
          <w:lang w:eastAsia="el-GR"/>
        </w:rPr>
        <w:t>n Noridem</w:t>
      </w:r>
      <w:r w:rsidR="00851AB6" w:rsidRPr="00667033">
        <w:rPr>
          <w:lang w:eastAsia="el-GR"/>
        </w:rPr>
        <w:t>.</w:t>
      </w:r>
    </w:p>
    <w:p w14:paraId="4A5DE81D" w14:textId="77777777" w:rsidR="00BE3314" w:rsidRPr="00B96D19" w:rsidRDefault="00BE3314" w:rsidP="00667033">
      <w:pPr>
        <w:pStyle w:val="Normlndobloku"/>
      </w:pPr>
    </w:p>
    <w:p w14:paraId="0F9E70DD" w14:textId="77777777" w:rsidR="00BE3314" w:rsidRPr="00B96D19" w:rsidRDefault="00911120">
      <w:pPr>
        <w:pStyle w:val="Styl2"/>
      </w:pPr>
      <w:r w:rsidRPr="00B96D19">
        <w:t>V tejto písomnej informácii sa dozviete:</w:t>
      </w:r>
    </w:p>
    <w:p w14:paraId="4C5C76F9" w14:textId="0208E508" w:rsidR="00851AB6" w:rsidRPr="00B96D19" w:rsidRDefault="00911120" w:rsidP="00667033">
      <w:pPr>
        <w:pStyle w:val="Normlndobloku"/>
      </w:pPr>
      <w:r w:rsidRPr="00B96D19">
        <w:t>1.</w:t>
      </w:r>
      <w:r w:rsidRPr="00B96D19">
        <w:tab/>
        <w:t>Čo je Cefazol</w:t>
      </w:r>
      <w:r w:rsidR="00851942">
        <w:t>í</w:t>
      </w:r>
      <w:r w:rsidRPr="00B96D19">
        <w:t>n Noridem a na čo sa používa</w:t>
      </w:r>
    </w:p>
    <w:p w14:paraId="124CFA23" w14:textId="2A471D27" w:rsidR="00851AB6" w:rsidRPr="00B96D19" w:rsidRDefault="00911120" w:rsidP="00667033">
      <w:pPr>
        <w:pStyle w:val="Normlndobloku"/>
      </w:pPr>
      <w:r w:rsidRPr="00B96D19">
        <w:t>2.</w:t>
      </w:r>
      <w:r w:rsidRPr="00B96D19">
        <w:tab/>
        <w:t>Čo potrebujete vedieť predtým, ako použijete Cefazol</w:t>
      </w:r>
      <w:r w:rsidR="00851942">
        <w:t>í</w:t>
      </w:r>
      <w:r w:rsidRPr="00B96D19">
        <w:t>n Noridem</w:t>
      </w:r>
    </w:p>
    <w:p w14:paraId="2E24D5BA" w14:textId="05363252" w:rsidR="00851AB6" w:rsidRPr="00B96D19" w:rsidRDefault="00911120" w:rsidP="00667033">
      <w:pPr>
        <w:pStyle w:val="Normlndobloku"/>
      </w:pPr>
      <w:r w:rsidRPr="00B96D19">
        <w:t>3.</w:t>
      </w:r>
      <w:r w:rsidRPr="00B96D19">
        <w:tab/>
        <w:t>Ako používať Cefazol</w:t>
      </w:r>
      <w:r w:rsidR="00851942">
        <w:t>í</w:t>
      </w:r>
      <w:r w:rsidRPr="00B96D19">
        <w:t>n Noridem</w:t>
      </w:r>
      <w:r w:rsidRPr="00B96D19">
        <w:tab/>
      </w:r>
    </w:p>
    <w:p w14:paraId="5627FF36" w14:textId="77777777" w:rsidR="00851AB6" w:rsidRPr="00B96D19" w:rsidRDefault="00911120" w:rsidP="00667033">
      <w:pPr>
        <w:pStyle w:val="Normlndobloku"/>
      </w:pPr>
      <w:r w:rsidRPr="00B96D19">
        <w:t>4.</w:t>
      </w:r>
      <w:r w:rsidRPr="00B96D19">
        <w:tab/>
        <w:t>Možné vedľajšie účinky</w:t>
      </w:r>
    </w:p>
    <w:p w14:paraId="57768EC3" w14:textId="0B353368" w:rsidR="00851AB6" w:rsidRPr="00B96D19" w:rsidRDefault="00911120" w:rsidP="00667033">
      <w:pPr>
        <w:pStyle w:val="Normlndobloku"/>
      </w:pPr>
      <w:r w:rsidRPr="00B96D19">
        <w:t>5.</w:t>
      </w:r>
      <w:r w:rsidRPr="00B96D19">
        <w:tab/>
        <w:t>Ako uchovávať Cefazol</w:t>
      </w:r>
      <w:r w:rsidR="00851942">
        <w:t>í</w:t>
      </w:r>
      <w:r w:rsidRPr="00B96D19">
        <w:t>n Noridem</w:t>
      </w:r>
    </w:p>
    <w:p w14:paraId="7A4FA800" w14:textId="77777777" w:rsidR="00851AB6" w:rsidRPr="00B96D19" w:rsidRDefault="00911120" w:rsidP="00667033">
      <w:pPr>
        <w:pStyle w:val="Normlndobloku"/>
      </w:pPr>
      <w:r w:rsidRPr="00B96D19">
        <w:t>6.</w:t>
      </w:r>
      <w:r w:rsidRPr="00B96D19">
        <w:tab/>
        <w:t>Obsah balenia a ďalšie informácie</w:t>
      </w:r>
    </w:p>
    <w:p w14:paraId="5CED0E0C" w14:textId="77777777" w:rsidR="00BE3314" w:rsidRPr="00B96D19" w:rsidRDefault="00BE3314" w:rsidP="00667033">
      <w:pPr>
        <w:pStyle w:val="Normlndobloku"/>
      </w:pPr>
    </w:p>
    <w:p w14:paraId="0D40BA8E" w14:textId="77777777" w:rsidR="00BE3314" w:rsidRPr="00B96D19" w:rsidRDefault="00BE3314" w:rsidP="00667033">
      <w:pPr>
        <w:pStyle w:val="Normlndobloku"/>
      </w:pPr>
    </w:p>
    <w:p w14:paraId="0741850C" w14:textId="1301D86D" w:rsidR="00BB06C8" w:rsidRPr="00B96D19" w:rsidRDefault="00851AB6" w:rsidP="007262A1">
      <w:pPr>
        <w:pStyle w:val="Styl1"/>
        <w:spacing w:before="0" w:after="0"/>
        <w:rPr>
          <w:lang w:val="sk-SK"/>
        </w:rPr>
      </w:pPr>
      <w:r w:rsidRPr="00B96D19">
        <w:rPr>
          <w:lang w:val="sk-SK"/>
        </w:rPr>
        <w:t>Č</w:t>
      </w:r>
      <w:r w:rsidRPr="00B96D19">
        <w:rPr>
          <w:caps w:val="0"/>
          <w:lang w:val="sk-SK"/>
        </w:rPr>
        <w:t>o je Cefazol</w:t>
      </w:r>
      <w:r w:rsidR="00851942">
        <w:rPr>
          <w:caps w:val="0"/>
          <w:lang w:val="sk-SK"/>
        </w:rPr>
        <w:t>í</w:t>
      </w:r>
      <w:r w:rsidRPr="00B96D19">
        <w:rPr>
          <w:caps w:val="0"/>
          <w:lang w:val="sk-SK"/>
        </w:rPr>
        <w:t>n Noridem</w:t>
      </w:r>
      <w:r w:rsidRPr="00B96D19">
        <w:rPr>
          <w:lang w:val="sk-SK"/>
        </w:rPr>
        <w:t xml:space="preserve"> </w:t>
      </w:r>
      <w:r w:rsidRPr="00B96D19">
        <w:rPr>
          <w:caps w:val="0"/>
          <w:lang w:val="sk-SK"/>
        </w:rPr>
        <w:t>a na čo sa používa</w:t>
      </w:r>
    </w:p>
    <w:p w14:paraId="7799DE52" w14:textId="77777777" w:rsidR="001F7FDF" w:rsidRPr="00B96D19" w:rsidRDefault="001F7FDF">
      <w:pPr>
        <w:pStyle w:val="Styl1"/>
        <w:numPr>
          <w:ilvl w:val="0"/>
          <w:numId w:val="0"/>
        </w:numPr>
        <w:spacing w:before="0" w:after="0"/>
        <w:ind w:left="357"/>
        <w:rPr>
          <w:lang w:val="sk-SK"/>
        </w:rPr>
      </w:pPr>
    </w:p>
    <w:p w14:paraId="64F2DC22" w14:textId="48D8978D" w:rsidR="00BE3314" w:rsidRPr="00B96D19" w:rsidRDefault="00911120" w:rsidP="00667033">
      <w:pPr>
        <w:pStyle w:val="Normlndobloku"/>
      </w:pPr>
      <w:r w:rsidRPr="00B96D19">
        <w:t>Tento liek obsahuje liečivo cefazolín, čo je antibiotikum. Cefazol</w:t>
      </w:r>
      <w:r w:rsidR="00851942">
        <w:t>í</w:t>
      </w:r>
      <w:r w:rsidRPr="00B96D19">
        <w:t>n Noridem je určený na liečbu bakteriálnych infekcií vyvolaných baktériami citlivými na cefazolín, napr.:</w:t>
      </w:r>
    </w:p>
    <w:p w14:paraId="53F3F75E" w14:textId="77777777" w:rsidR="00851AB6" w:rsidRPr="00B96D19" w:rsidRDefault="00911120" w:rsidP="000A2067">
      <w:pPr>
        <w:pStyle w:val="Normlndoblokusodrkami"/>
      </w:pPr>
      <w:r w:rsidRPr="00B96D19">
        <w:t>infekcie kože a mäkkých tkanív</w:t>
      </w:r>
    </w:p>
    <w:p w14:paraId="5165A405" w14:textId="77777777" w:rsidR="00851AB6" w:rsidRPr="00B96D19" w:rsidRDefault="00911120" w:rsidP="000A2067">
      <w:pPr>
        <w:pStyle w:val="Normlndoblokusodrkami"/>
      </w:pPr>
      <w:r w:rsidRPr="00B96D19">
        <w:t>infekcie kostí a kĺbov</w:t>
      </w:r>
      <w:r w:rsidR="00374F01">
        <w:t>.</w:t>
      </w:r>
    </w:p>
    <w:p w14:paraId="4352299C" w14:textId="77777777" w:rsidR="00BE3314" w:rsidRPr="00B96D19" w:rsidRDefault="00BE3314" w:rsidP="00667033">
      <w:pPr>
        <w:pStyle w:val="Normlndobloku"/>
      </w:pPr>
    </w:p>
    <w:p w14:paraId="42131EB0" w14:textId="77777777" w:rsidR="00BE3314" w:rsidRPr="00B96D19" w:rsidRDefault="00911120" w:rsidP="00667033">
      <w:pPr>
        <w:pStyle w:val="Normlndobloku"/>
      </w:pPr>
      <w:r w:rsidRPr="00B96D19">
        <w:t>Cefazolín je tiež možné použiť pred, počas alebo po operácii ako ochranu pred možnými infekciami.</w:t>
      </w:r>
    </w:p>
    <w:p w14:paraId="728D17AE" w14:textId="77777777" w:rsidR="00BE3314" w:rsidRPr="00B96D19" w:rsidRDefault="00BE3314" w:rsidP="00667033">
      <w:pPr>
        <w:pStyle w:val="Normlndobloku"/>
      </w:pPr>
    </w:p>
    <w:p w14:paraId="29D274EF" w14:textId="77777777" w:rsidR="00BE3314" w:rsidRPr="00B96D19" w:rsidRDefault="00BE3314" w:rsidP="00667033">
      <w:pPr>
        <w:pStyle w:val="Normlndobloku"/>
      </w:pPr>
    </w:p>
    <w:p w14:paraId="09DCBF15" w14:textId="383AE0C7" w:rsidR="00BB06C8" w:rsidRPr="00B96D19" w:rsidRDefault="00851AB6" w:rsidP="007262A1">
      <w:pPr>
        <w:pStyle w:val="Styl1"/>
        <w:spacing w:before="0" w:after="0"/>
        <w:rPr>
          <w:lang w:val="sk-SK"/>
        </w:rPr>
      </w:pPr>
      <w:r w:rsidRPr="00B96D19">
        <w:rPr>
          <w:lang w:val="sk-SK"/>
        </w:rPr>
        <w:t>Č</w:t>
      </w:r>
      <w:r w:rsidRPr="00B96D19">
        <w:rPr>
          <w:caps w:val="0"/>
          <w:lang w:val="sk-SK"/>
        </w:rPr>
        <w:t>o</w:t>
      </w:r>
      <w:r w:rsidRPr="00B96D19">
        <w:rPr>
          <w:lang w:val="sk-SK"/>
        </w:rPr>
        <w:t xml:space="preserve"> </w:t>
      </w:r>
      <w:r w:rsidRPr="00B96D19">
        <w:rPr>
          <w:caps w:val="0"/>
          <w:lang w:val="sk-SK"/>
        </w:rPr>
        <w:t>potrebujete vedieť predtým, ako použijete Cefazol</w:t>
      </w:r>
      <w:r w:rsidR="00851942">
        <w:rPr>
          <w:caps w:val="0"/>
          <w:lang w:val="sk-SK"/>
        </w:rPr>
        <w:t>í</w:t>
      </w:r>
      <w:r w:rsidRPr="00B96D19">
        <w:rPr>
          <w:caps w:val="0"/>
          <w:lang w:val="sk-SK"/>
        </w:rPr>
        <w:t>n Noridem</w:t>
      </w:r>
    </w:p>
    <w:p w14:paraId="749B3C54" w14:textId="77777777" w:rsidR="009202A0" w:rsidRPr="00B96D19" w:rsidRDefault="009202A0">
      <w:pPr>
        <w:pStyle w:val="Styl1"/>
        <w:numPr>
          <w:ilvl w:val="0"/>
          <w:numId w:val="0"/>
        </w:numPr>
        <w:spacing w:before="0" w:after="0"/>
        <w:ind w:left="357"/>
        <w:rPr>
          <w:lang w:val="sk-SK"/>
        </w:rPr>
      </w:pPr>
    </w:p>
    <w:p w14:paraId="02664919" w14:textId="45CE02FE" w:rsidR="00BE3314" w:rsidRPr="00B96D19" w:rsidRDefault="00911120">
      <w:pPr>
        <w:pStyle w:val="Styl2"/>
      </w:pPr>
      <w:r w:rsidRPr="00B96D19">
        <w:t>Nepoužívajte Cefazol</w:t>
      </w:r>
      <w:r w:rsidR="00851942">
        <w:t>í</w:t>
      </w:r>
      <w:r w:rsidRPr="00B96D19">
        <w:t>n Noridem</w:t>
      </w:r>
    </w:p>
    <w:p w14:paraId="290EEAD2" w14:textId="77777777" w:rsidR="00851AB6" w:rsidRPr="00B96D19" w:rsidRDefault="00911120" w:rsidP="000A2067">
      <w:pPr>
        <w:pStyle w:val="Normlndoblokusodrkami"/>
      </w:pPr>
      <w:r w:rsidRPr="00B96D19">
        <w:t>ak ste alergický na cefazolín alebo na ktorúkoľvek</w:t>
      </w:r>
      <w:r w:rsidR="00B96D19" w:rsidRPr="00B96D19">
        <w:t xml:space="preserve"> </w:t>
      </w:r>
      <w:r w:rsidRPr="00B96D19">
        <w:t>z ďalších zložiek tohto lieku (uvedených v časti 6).</w:t>
      </w:r>
    </w:p>
    <w:p w14:paraId="3C53509C" w14:textId="77777777" w:rsidR="00851AB6" w:rsidRPr="00B96D19" w:rsidRDefault="00911120" w:rsidP="000A2067">
      <w:pPr>
        <w:pStyle w:val="Normlndoblokusodrkami"/>
      </w:pPr>
      <w:r w:rsidRPr="00B96D19">
        <w:t xml:space="preserve">ak ste alergický (precitlivený) na ktorékoľvek cefalosporínové antibiotikum.  </w:t>
      </w:r>
    </w:p>
    <w:p w14:paraId="634844BD" w14:textId="0B5595CE" w:rsidR="00851AB6" w:rsidRPr="00B96D19" w:rsidRDefault="00911120" w:rsidP="000A2067">
      <w:pPr>
        <w:pStyle w:val="Normlndoblokusodrkami"/>
      </w:pPr>
      <w:r w:rsidRPr="00B96D19">
        <w:t>ak ste v minulosti prekonali závažnú alergickú reakciu (z precitlivenosti) na ktorýkoľvek iný typ betalaktámového antibiotika (penicilín</w:t>
      </w:r>
      <w:r w:rsidR="00473D7A">
        <w:t>y</w:t>
      </w:r>
      <w:r w:rsidRPr="00B96D19">
        <w:t>, monobakt</w:t>
      </w:r>
      <w:r w:rsidR="00473D7A">
        <w:t>á</w:t>
      </w:r>
      <w:r w:rsidRPr="00B96D19">
        <w:t>m</w:t>
      </w:r>
      <w:r w:rsidR="00473D7A">
        <w:t>y</w:t>
      </w:r>
      <w:r w:rsidRPr="00B96D19">
        <w:t xml:space="preserve"> a karbapeném</w:t>
      </w:r>
      <w:r w:rsidR="00473D7A">
        <w:t>y</w:t>
      </w:r>
      <w:r w:rsidRPr="00B96D19">
        <w:t>).</w:t>
      </w:r>
    </w:p>
    <w:p w14:paraId="6681FF38" w14:textId="77777777" w:rsidR="00BE3314" w:rsidRPr="00B96D19" w:rsidRDefault="00BE3314" w:rsidP="00667033">
      <w:pPr>
        <w:pStyle w:val="Normlndobloku"/>
      </w:pPr>
    </w:p>
    <w:p w14:paraId="2428EB26" w14:textId="77777777" w:rsidR="00BE3314" w:rsidRPr="00B96D19" w:rsidRDefault="00851AB6">
      <w:pPr>
        <w:pStyle w:val="Styl2"/>
      </w:pPr>
      <w:r w:rsidRPr="00B96D19">
        <w:t>Upozornenia a opatrenia</w:t>
      </w:r>
    </w:p>
    <w:p w14:paraId="50D1E88C" w14:textId="6D60B6E8" w:rsidR="00851AB6" w:rsidRPr="00B96D19" w:rsidRDefault="00851AB6" w:rsidP="00851AB6">
      <w:pPr>
        <w:pStyle w:val="Styl2"/>
        <w:rPr>
          <w:b w:val="0"/>
        </w:rPr>
      </w:pPr>
      <w:r w:rsidRPr="00B96D19">
        <w:rPr>
          <w:b w:val="0"/>
        </w:rPr>
        <w:t>Predtým, ako začnete používať Cefazol</w:t>
      </w:r>
      <w:r w:rsidR="00851942">
        <w:rPr>
          <w:b w:val="0"/>
        </w:rPr>
        <w:t>í</w:t>
      </w:r>
      <w:r w:rsidRPr="00B96D19">
        <w:rPr>
          <w:b w:val="0"/>
        </w:rPr>
        <w:t>n Noridem, obráťte sa na svojho lekára alebo lekárnika, ak:</w:t>
      </w:r>
    </w:p>
    <w:p w14:paraId="1FD3113D" w14:textId="77777777" w:rsidR="00BE3314" w:rsidRPr="00B96D19" w:rsidRDefault="00BE3314" w:rsidP="00667033">
      <w:pPr>
        <w:pStyle w:val="Normlndobloku"/>
      </w:pPr>
    </w:p>
    <w:p w14:paraId="7F49047C" w14:textId="21074197" w:rsidR="00851AB6" w:rsidRPr="00B96D19" w:rsidRDefault="00851AB6" w:rsidP="000A2067">
      <w:pPr>
        <w:pStyle w:val="Normlndoblokusodrkami"/>
      </w:pPr>
      <w:r w:rsidRPr="00B96D19">
        <w:t xml:space="preserve">ste náchylný na alergické reakcie (napr. sennú nádchu alebo bronchiálnu astmu), </w:t>
      </w:r>
      <w:r w:rsidR="00473D7A">
        <w:t>ke</w:t>
      </w:r>
      <w:r w:rsidR="000B652D">
        <w:t>ď</w:t>
      </w:r>
      <w:r w:rsidR="00473D7A">
        <w:t>že</w:t>
      </w:r>
      <w:r w:rsidRPr="00B96D19">
        <w:t xml:space="preserve"> je vtedy </w:t>
      </w:r>
      <w:r w:rsidR="008E3B08" w:rsidRPr="00B96D19">
        <w:t xml:space="preserve">zvýšené </w:t>
      </w:r>
      <w:r w:rsidRPr="00B96D19">
        <w:t xml:space="preserve">riziko </w:t>
      </w:r>
      <w:r w:rsidR="008E3B08">
        <w:t xml:space="preserve">vzniku </w:t>
      </w:r>
      <w:r w:rsidRPr="00B96D19">
        <w:t>závažnej alergickej reakcie na Cefazol</w:t>
      </w:r>
      <w:r w:rsidR="00851942">
        <w:t>í</w:t>
      </w:r>
      <w:r w:rsidRPr="00B96D19">
        <w:t xml:space="preserve">n Noridem. </w:t>
      </w:r>
    </w:p>
    <w:p w14:paraId="2F3DF326" w14:textId="01211882" w:rsidR="00851AB6" w:rsidRPr="00B96D19" w:rsidRDefault="00851AB6" w:rsidP="000A2067">
      <w:pPr>
        <w:pStyle w:val="Normlndoblokusodrkami"/>
      </w:pPr>
      <w:r w:rsidRPr="00B96D19">
        <w:t>ste v minulosti mali alergickú re</w:t>
      </w:r>
      <w:r w:rsidR="008E3B08">
        <w:t>akciu na iné beta</w:t>
      </w:r>
      <w:r w:rsidRPr="00B96D19">
        <w:t xml:space="preserve">laktámové antibiotiká (napr. penicilíny), </w:t>
      </w:r>
      <w:r w:rsidR="000B652D">
        <w:t>keď</w:t>
      </w:r>
      <w:r w:rsidR="00473D7A">
        <w:t>že</w:t>
      </w:r>
      <w:r w:rsidRPr="00B96D19">
        <w:t xml:space="preserve"> aj vtedy je zvýšené riziko </w:t>
      </w:r>
      <w:r w:rsidR="008E3B08">
        <w:t xml:space="preserve">vzniku </w:t>
      </w:r>
      <w:r w:rsidRPr="00B96D19">
        <w:t>alergickej reakcie na Cefazol</w:t>
      </w:r>
      <w:r w:rsidR="00851942">
        <w:t>í</w:t>
      </w:r>
      <w:r w:rsidRPr="00B96D19">
        <w:t>n Noridem.</w:t>
      </w:r>
    </w:p>
    <w:p w14:paraId="76A5B412" w14:textId="77777777" w:rsidR="00851AB6" w:rsidRPr="00B96D19" w:rsidRDefault="00851AB6" w:rsidP="000A2067">
      <w:pPr>
        <w:pStyle w:val="Normlndoblokusodrkami"/>
      </w:pPr>
      <w:r w:rsidRPr="00B96D19">
        <w:t>máte poruchu funkcie obličiek alebo pečene.</w:t>
      </w:r>
    </w:p>
    <w:p w14:paraId="4DFA0A61" w14:textId="77777777" w:rsidR="00851AB6" w:rsidRPr="00B96D19" w:rsidRDefault="00851AB6" w:rsidP="000A2067">
      <w:pPr>
        <w:pStyle w:val="Normlndoblokusodrkami"/>
      </w:pPr>
      <w:r w:rsidRPr="00B96D19">
        <w:lastRenderedPageBreak/>
        <w:t>máte poruchu zrá</w:t>
      </w:r>
      <w:r w:rsidR="008E3B08">
        <w:t>žanlivosti krvi (napr. hemofíliu</w:t>
      </w:r>
      <w:r w:rsidRPr="00B96D19">
        <w:t>) alebo váš súčasný stav môže viesť k takejto poruche (</w:t>
      </w:r>
      <w:r w:rsidRPr="00AC1A49">
        <w:t xml:space="preserve">výživa </w:t>
      </w:r>
      <w:r w:rsidR="000B652D" w:rsidRPr="00AC1A49">
        <w:t xml:space="preserve">podávaná </w:t>
      </w:r>
      <w:r w:rsidRPr="00AC1A49">
        <w:t>do žily</w:t>
      </w:r>
      <w:r w:rsidRPr="00B96D19">
        <w:t>, podvýživa, ochorenie pečene a obličiek, zníženie počtu krvných doštičiek, čo zvyšuje riziko krvácania alebo tvorby modrín [trombocytopénia], podávanie liekov na predchádzanie tvorby krvných zrazenín [antikoagulanciá</w:t>
      </w:r>
      <w:r w:rsidR="008E3B08">
        <w:t>,</w:t>
      </w:r>
      <w:r w:rsidRPr="00B96D19">
        <w:t xml:space="preserve"> ako je heparín]).  </w:t>
      </w:r>
    </w:p>
    <w:p w14:paraId="0C6CFE30" w14:textId="77777777" w:rsidR="00851AB6" w:rsidRPr="00B96D19" w:rsidRDefault="00851AB6" w:rsidP="000A2067">
      <w:pPr>
        <w:pStyle w:val="Normlndoblokusodrkami"/>
      </w:pPr>
      <w:r w:rsidRPr="00B96D19">
        <w:t>máte ochorenie, ktoré môže spôsobiť krvácanie (napr. vredy žalúdka a dvanástnika).</w:t>
      </w:r>
    </w:p>
    <w:p w14:paraId="4C602DD6" w14:textId="6DB5E1FB" w:rsidR="00851AB6" w:rsidRPr="00B96D19" w:rsidRDefault="00851AB6" w:rsidP="000A2067">
      <w:pPr>
        <w:pStyle w:val="Normlndoblokusodrkami"/>
      </w:pPr>
      <w:r w:rsidRPr="00B96D19">
        <w:t>máte silnú a dlhotrvajúcu hnačku v priebehu liečby alebo po liečbe Cefazol</w:t>
      </w:r>
      <w:r w:rsidR="00851942">
        <w:t>í</w:t>
      </w:r>
      <w:r w:rsidRPr="00B96D19">
        <w:t>nom Noridem</w:t>
      </w:r>
      <w:r w:rsidR="008E3B08">
        <w:t>. V </w:t>
      </w:r>
      <w:r w:rsidRPr="00B96D19">
        <w:t>takom</w:t>
      </w:r>
      <w:r w:rsidR="008E3B08">
        <w:t>to</w:t>
      </w:r>
      <w:r w:rsidRPr="00B96D19">
        <w:t xml:space="preserve"> prípade sa okamžite obráťte na svojho lekára. </w:t>
      </w:r>
    </w:p>
    <w:p w14:paraId="20CB3FA3" w14:textId="77777777" w:rsidR="00BE3314" w:rsidRPr="00B96D19" w:rsidRDefault="00BE3314" w:rsidP="00667033">
      <w:pPr>
        <w:pStyle w:val="Normlndobloku"/>
      </w:pPr>
    </w:p>
    <w:p w14:paraId="30552256" w14:textId="77777777" w:rsidR="00BE3314" w:rsidRPr="00B96D19" w:rsidRDefault="00911120" w:rsidP="00667033">
      <w:pPr>
        <w:pStyle w:val="Normlndobloku"/>
      </w:pPr>
      <w:r w:rsidRPr="00B96D19">
        <w:t>Neužívajte žiadne lieky proti hnačke bez toho, aby ste sa poradili so svojím lekárom.</w:t>
      </w:r>
    </w:p>
    <w:p w14:paraId="4D131A14" w14:textId="77777777" w:rsidR="00BE3314" w:rsidRPr="00B96D19" w:rsidRDefault="00BE3314" w:rsidP="00667033">
      <w:pPr>
        <w:pStyle w:val="Normlndobloku"/>
      </w:pPr>
    </w:p>
    <w:p w14:paraId="70DC4D20" w14:textId="77777777" w:rsidR="00BE3314" w:rsidRPr="00B96D19" w:rsidRDefault="00911120">
      <w:pPr>
        <w:pStyle w:val="Styl2"/>
      </w:pPr>
      <w:r w:rsidRPr="00B96D19">
        <w:t>Deti</w:t>
      </w:r>
    </w:p>
    <w:p w14:paraId="4E87B8FD" w14:textId="75AB4135" w:rsidR="00BE3314" w:rsidRPr="00B96D19" w:rsidRDefault="00911120" w:rsidP="00667033">
      <w:pPr>
        <w:pStyle w:val="Normlndobloku"/>
      </w:pPr>
      <w:r w:rsidRPr="00B96D19">
        <w:t xml:space="preserve">Cefazolín sa nemá používať u novorodencov a dojčiat </w:t>
      </w:r>
      <w:r w:rsidR="0055120B">
        <w:t xml:space="preserve">vo veku </w:t>
      </w:r>
      <w:r w:rsidRPr="00B96D19">
        <w:t xml:space="preserve">do 1 mesiaca, pretože bezpečnosť </w:t>
      </w:r>
      <w:r w:rsidR="00EF2FB8">
        <w:t>po</w:t>
      </w:r>
      <w:r w:rsidRPr="00B96D19">
        <w:t>užívania nebola pre túto skupinu doteraz stanovená.</w:t>
      </w:r>
    </w:p>
    <w:p w14:paraId="47D09F32" w14:textId="77777777" w:rsidR="00BE3314" w:rsidRPr="00B96D19" w:rsidRDefault="00BE3314" w:rsidP="00667033">
      <w:pPr>
        <w:pStyle w:val="Normlndobloku"/>
      </w:pPr>
    </w:p>
    <w:p w14:paraId="29782079" w14:textId="45F190B4" w:rsidR="00BE3314" w:rsidRPr="00B96D19" w:rsidRDefault="00911120">
      <w:pPr>
        <w:pStyle w:val="Styl2"/>
      </w:pPr>
      <w:r w:rsidRPr="00B96D19">
        <w:t>Iné lieky a Cefazol</w:t>
      </w:r>
      <w:r w:rsidR="00851942">
        <w:t>í</w:t>
      </w:r>
      <w:r w:rsidRPr="00B96D19">
        <w:t>n Noridem</w:t>
      </w:r>
    </w:p>
    <w:p w14:paraId="00829D99" w14:textId="77777777" w:rsidR="00BE3314" w:rsidRPr="00B96D19" w:rsidRDefault="00911120" w:rsidP="00667033">
      <w:pPr>
        <w:pStyle w:val="Normlndobloku"/>
      </w:pPr>
      <w:r w:rsidRPr="00B96D19">
        <w:t>Ak teraz užívate alebo ste v poslednom čase užívali, či práve budete užívať ďalšie lieky, vrátane liekov, ktorých výdaj je viazaný na lekársky predpis, povedzte to svojmu lekárovi alebo lekárnikovi.</w:t>
      </w:r>
    </w:p>
    <w:p w14:paraId="2DE4AFAE" w14:textId="77777777" w:rsidR="00744D70" w:rsidRPr="00B96D19" w:rsidRDefault="00744D70" w:rsidP="007262A1">
      <w:pPr>
        <w:pStyle w:val="Styl3"/>
        <w:spacing w:after="0"/>
        <w:jc w:val="left"/>
        <w:rPr>
          <w:lang w:val="sk-SK"/>
        </w:rPr>
      </w:pPr>
    </w:p>
    <w:p w14:paraId="3934696C" w14:textId="77777777" w:rsidR="00744D70" w:rsidRPr="00B96D19" w:rsidRDefault="00911120" w:rsidP="007262A1">
      <w:pPr>
        <w:pStyle w:val="Styl3"/>
        <w:spacing w:after="0"/>
        <w:jc w:val="left"/>
        <w:rPr>
          <w:u w:val="none"/>
          <w:lang w:val="sk-SK"/>
        </w:rPr>
      </w:pPr>
      <w:r w:rsidRPr="00B96D19">
        <w:rPr>
          <w:u w:val="none"/>
          <w:lang w:val="sk-SK"/>
        </w:rPr>
        <w:t>Lekár bude obzvlášť opatrný, ak užívate ktorýkoľvek z nasledujúcich liekov:</w:t>
      </w:r>
    </w:p>
    <w:p w14:paraId="2ABD36F4" w14:textId="77777777" w:rsidR="00851AB6" w:rsidRPr="00B96D19" w:rsidRDefault="00851AB6" w:rsidP="00A836BB">
      <w:pPr>
        <w:pStyle w:val="Normlndoblokusodrkami"/>
      </w:pPr>
    </w:p>
    <w:p w14:paraId="37F20136" w14:textId="77777777" w:rsidR="00851AB6" w:rsidRPr="00B96D19" w:rsidRDefault="00851AB6" w:rsidP="000A2067">
      <w:pPr>
        <w:pStyle w:val="Normlndoblokusodrkami"/>
      </w:pPr>
      <w:r w:rsidRPr="00B96D19">
        <w:rPr>
          <w:b/>
        </w:rPr>
        <w:t>Antikoagulanciá</w:t>
      </w:r>
      <w:r w:rsidRPr="00B96D19">
        <w:t xml:space="preserve"> </w:t>
      </w:r>
      <w:r w:rsidRPr="00B96D19">
        <w:rPr>
          <w:b/>
        </w:rPr>
        <w:t>(lieky na predchádzanie</w:t>
      </w:r>
      <w:r w:rsidRPr="00B96D19">
        <w:t xml:space="preserve"> </w:t>
      </w:r>
      <w:r w:rsidRPr="00B96D19">
        <w:rPr>
          <w:b/>
        </w:rPr>
        <w:t>tvorby krvných zrazenín):</w:t>
      </w:r>
      <w:r w:rsidRPr="00B96D19">
        <w:t xml:space="preserve"> Cefazolín môže veľmi zriedkavo viesť k poruchám zrážanlivosti krvi. Preto pri súbežom užívaní cefazolínu a liekov na predchádzanie tvorby krvných zrazenín (napr. heparín</w:t>
      </w:r>
      <w:r w:rsidR="00E66554">
        <w:t>u</w:t>
      </w:r>
      <w:r w:rsidRPr="00B96D19">
        <w:t>) je potrebné pozorné a pravidelné sledovanie koagulačných faktorov.</w:t>
      </w:r>
    </w:p>
    <w:p w14:paraId="5A2554E6" w14:textId="77777777" w:rsidR="00851AB6" w:rsidRPr="00B96D19" w:rsidRDefault="00851AB6" w:rsidP="000A2067">
      <w:pPr>
        <w:pStyle w:val="Normlndoblokusodrkami"/>
      </w:pPr>
      <w:r w:rsidRPr="00B96D19">
        <w:rPr>
          <w:b/>
        </w:rPr>
        <w:t>Probenecid</w:t>
      </w:r>
      <w:r w:rsidRPr="00B96D19">
        <w:t xml:space="preserve"> (liek na liečbu ochorení kĺbov a dny). </w:t>
      </w:r>
    </w:p>
    <w:p w14:paraId="6536E50D" w14:textId="5F492C5F" w:rsidR="00851AB6" w:rsidRPr="00B96D19" w:rsidRDefault="00851AB6" w:rsidP="000A2067">
      <w:pPr>
        <w:pStyle w:val="Normlndoblokusodrkami"/>
      </w:pPr>
      <w:r w:rsidRPr="00B96D19">
        <w:rPr>
          <w:b/>
        </w:rPr>
        <w:t>Lieky, ktoré môžu poškodiť obličky:</w:t>
      </w:r>
      <w:r w:rsidRPr="00B96D19">
        <w:t xml:space="preserve"> Cefazolín môže zvýrazniť škodlivý účinok niektorých antibiotík (aminoglykozidy) a liekov, ktoré zvyšujú tvorbu moču (diuretiká, napr. furosemid) v obličkách. Súbežné používanie Cefazol</w:t>
      </w:r>
      <w:r w:rsidR="00851942">
        <w:t>í</w:t>
      </w:r>
      <w:r w:rsidRPr="00B96D19">
        <w:t>nu Noridem a niektorého z týchto liekov si vyžaduje pravidelné sledovanie funkcie obličiek, najmä u pacientov s ochorením obličiek.</w:t>
      </w:r>
    </w:p>
    <w:p w14:paraId="05FE1A57" w14:textId="77777777" w:rsidR="00851AB6" w:rsidRPr="00B96D19" w:rsidRDefault="00851AB6" w:rsidP="00667033">
      <w:pPr>
        <w:pStyle w:val="Normlndobloku"/>
      </w:pPr>
    </w:p>
    <w:p w14:paraId="00451D54" w14:textId="77777777" w:rsidR="00BE3314" w:rsidRPr="00B96D19" w:rsidRDefault="00911120">
      <w:pPr>
        <w:pStyle w:val="Styl2"/>
      </w:pPr>
      <w:r w:rsidRPr="00B96D19">
        <w:t>Tehotenstvo a dojčenie</w:t>
      </w:r>
    </w:p>
    <w:p w14:paraId="7682C8F3" w14:textId="77777777" w:rsidR="00BE3314" w:rsidRPr="00B96D19" w:rsidRDefault="00911120" w:rsidP="00667033">
      <w:pPr>
        <w:pStyle w:val="Normlndobloku"/>
      </w:pPr>
      <w:r w:rsidRPr="00B96D19">
        <w:t>Ak ste tehotná alebo dojčíte, ak si myslíte, že ste tehotná alebo ak plánujete otehotnieť, poraďte sa so svojím lekárom alebo lekárnikom predtým, ako začnete používať tento liek.</w:t>
      </w:r>
    </w:p>
    <w:p w14:paraId="1263FD48" w14:textId="77777777" w:rsidR="008D0658" w:rsidRPr="00B96D19" w:rsidRDefault="008D0658" w:rsidP="007262A1">
      <w:pPr>
        <w:pStyle w:val="Styl3"/>
        <w:spacing w:after="0"/>
        <w:jc w:val="left"/>
        <w:rPr>
          <w:lang w:val="sk-SK"/>
        </w:rPr>
      </w:pPr>
    </w:p>
    <w:p w14:paraId="20F85D58" w14:textId="77777777" w:rsidR="00BB06C8" w:rsidRPr="00667033" w:rsidRDefault="00851AB6" w:rsidP="007262A1">
      <w:pPr>
        <w:pStyle w:val="Styl3"/>
        <w:spacing w:after="0"/>
        <w:jc w:val="left"/>
        <w:rPr>
          <w:b/>
          <w:lang w:val="sk-SK"/>
        </w:rPr>
      </w:pPr>
      <w:r w:rsidRPr="00667033">
        <w:rPr>
          <w:b/>
          <w:lang w:val="sk-SK"/>
        </w:rPr>
        <w:t>Tehotenstvo</w:t>
      </w:r>
    </w:p>
    <w:p w14:paraId="7321B68F" w14:textId="77777777" w:rsidR="00BE3314" w:rsidRPr="00B96D19" w:rsidRDefault="00911120" w:rsidP="00667033">
      <w:pPr>
        <w:pStyle w:val="Normlndobloku"/>
      </w:pPr>
      <w:r w:rsidRPr="00B96D19">
        <w:t xml:space="preserve">Cefazolín prechádza cez placentu a môže ovplyvniť nenarodené dieťa. Preto, ak ste tehotná, lekár vám predpíše cefazolín, </w:t>
      </w:r>
      <w:r w:rsidR="0055120B">
        <w:t xml:space="preserve">len </w:t>
      </w:r>
      <w:r w:rsidRPr="00B96D19">
        <w:t xml:space="preserve">ak je to </w:t>
      </w:r>
      <w:r w:rsidR="0055120B">
        <w:t xml:space="preserve">jednoznačne </w:t>
      </w:r>
      <w:r w:rsidRPr="00B96D19">
        <w:t>nevyhnutné a po starostlivom zvážení prínosov a rizík.</w:t>
      </w:r>
    </w:p>
    <w:p w14:paraId="6F6571A0" w14:textId="77777777" w:rsidR="008D0658" w:rsidRPr="00B96D19" w:rsidRDefault="008D0658" w:rsidP="007262A1">
      <w:pPr>
        <w:pStyle w:val="Styl3"/>
        <w:spacing w:after="0"/>
        <w:jc w:val="left"/>
        <w:rPr>
          <w:lang w:val="sk-SK"/>
        </w:rPr>
      </w:pPr>
    </w:p>
    <w:p w14:paraId="21C4F3B3" w14:textId="77777777" w:rsidR="00BB06C8" w:rsidRPr="00667033" w:rsidRDefault="00851AB6" w:rsidP="007262A1">
      <w:pPr>
        <w:pStyle w:val="Styl3"/>
        <w:spacing w:after="0"/>
        <w:jc w:val="left"/>
        <w:rPr>
          <w:b/>
          <w:lang w:val="sk-SK"/>
        </w:rPr>
      </w:pPr>
      <w:r w:rsidRPr="00667033">
        <w:rPr>
          <w:b/>
          <w:lang w:val="sk-SK"/>
        </w:rPr>
        <w:t>Dojčenie</w:t>
      </w:r>
    </w:p>
    <w:p w14:paraId="1BC5D526" w14:textId="15381055" w:rsidR="00BE3314" w:rsidRPr="00B96D19" w:rsidRDefault="00911120" w:rsidP="00667033">
      <w:pPr>
        <w:pStyle w:val="Normlndobloku"/>
      </w:pPr>
      <w:r w:rsidRPr="00B96D19">
        <w:t>Cefazolín prechádza v malých množstvách do materského mlieka. Z tohto dôvodu sa má dojčenie počas liečby Cefazol</w:t>
      </w:r>
      <w:r w:rsidR="00851942">
        <w:t>í</w:t>
      </w:r>
      <w:r w:rsidRPr="00B96D19">
        <w:t>nom Noridem</w:t>
      </w:r>
      <w:r w:rsidR="00F96B37">
        <w:t xml:space="preserve"> </w:t>
      </w:r>
      <w:r w:rsidR="00F96B37" w:rsidRPr="00B96D19">
        <w:t>ukončiť</w:t>
      </w:r>
      <w:r w:rsidRPr="00B96D19">
        <w:t>.</w:t>
      </w:r>
    </w:p>
    <w:p w14:paraId="0F8ED259" w14:textId="77777777" w:rsidR="00BE3314" w:rsidRPr="00B96D19" w:rsidRDefault="00BE3314" w:rsidP="00667033">
      <w:pPr>
        <w:pStyle w:val="Normlndobloku"/>
      </w:pPr>
    </w:p>
    <w:p w14:paraId="75285501" w14:textId="77777777" w:rsidR="00BE3314" w:rsidRPr="00B96D19" w:rsidRDefault="00911120">
      <w:pPr>
        <w:pStyle w:val="Styl2"/>
      </w:pPr>
      <w:r w:rsidRPr="00B96D19">
        <w:t>Vedenie vozidiel a obsluha strojov</w:t>
      </w:r>
    </w:p>
    <w:p w14:paraId="2751FBCE" w14:textId="22D73BDC" w:rsidR="00BE3314" w:rsidRPr="00B96D19" w:rsidRDefault="00911120" w:rsidP="00667033">
      <w:pPr>
        <w:pStyle w:val="Normlndobloku"/>
      </w:pPr>
      <w:r w:rsidRPr="00B96D19">
        <w:t>Cefazol</w:t>
      </w:r>
      <w:r w:rsidR="00851942">
        <w:t>í</w:t>
      </w:r>
      <w:r w:rsidRPr="00B96D19">
        <w:t>n Noridem nemá žiadny alebo má zanedbateľný vplyv na schopnosť viesť vozidlá a obsluhovať stroje.</w:t>
      </w:r>
    </w:p>
    <w:p w14:paraId="0F35CBCE" w14:textId="77777777" w:rsidR="00BE3314" w:rsidRPr="00B96D19" w:rsidRDefault="00BE3314" w:rsidP="00667033">
      <w:pPr>
        <w:pStyle w:val="Normlndobloku"/>
      </w:pPr>
    </w:p>
    <w:p w14:paraId="1DD859A2" w14:textId="36203C7E" w:rsidR="00BE3314" w:rsidRPr="00B96D19" w:rsidRDefault="00911120">
      <w:pPr>
        <w:pStyle w:val="Styl2"/>
      </w:pPr>
      <w:r w:rsidRPr="00B96D19">
        <w:t>Cefazol</w:t>
      </w:r>
      <w:r w:rsidR="00851942">
        <w:t>í</w:t>
      </w:r>
      <w:r w:rsidRPr="00B96D19">
        <w:t>n Noridem obsahuje sodík</w:t>
      </w:r>
    </w:p>
    <w:p w14:paraId="0FF34D62" w14:textId="77777777" w:rsidR="00B527A4" w:rsidRPr="00B96D19" w:rsidRDefault="00851AB6" w:rsidP="00B527A4">
      <w:pPr>
        <w:widowControl w:val="0"/>
        <w:tabs>
          <w:tab w:val="left" w:pos="567"/>
        </w:tabs>
        <w:contextualSpacing/>
        <w:rPr>
          <w:rFonts w:eastAsia="Calibri"/>
          <w:lang w:val="sk-SK"/>
        </w:rPr>
      </w:pPr>
      <w:r w:rsidRPr="00B96D19">
        <w:rPr>
          <w:rFonts w:eastAsia="Calibri"/>
          <w:lang w:val="sk-SK"/>
        </w:rPr>
        <w:t xml:space="preserve">1 g </w:t>
      </w:r>
      <w:r w:rsidR="0055120B">
        <w:rPr>
          <w:rFonts w:eastAsia="Calibri"/>
          <w:lang w:val="sk-SK"/>
        </w:rPr>
        <w:t xml:space="preserve">injekčná </w:t>
      </w:r>
      <w:r w:rsidRPr="00B96D19">
        <w:rPr>
          <w:rFonts w:eastAsia="Calibri"/>
          <w:lang w:val="sk-SK"/>
        </w:rPr>
        <w:t xml:space="preserve">liekovka: tento liek obsahuje 50,6 mg sodíka (hlavná zložka kuchynskej soli) v každej </w:t>
      </w:r>
      <w:r w:rsidR="0055120B">
        <w:rPr>
          <w:rFonts w:eastAsia="Calibri"/>
          <w:lang w:val="sk-SK"/>
        </w:rPr>
        <w:t xml:space="preserve">injekčnej </w:t>
      </w:r>
      <w:r w:rsidRPr="00B96D19">
        <w:rPr>
          <w:rFonts w:eastAsia="Calibri"/>
          <w:lang w:val="sk-SK"/>
        </w:rPr>
        <w:t>liekovke. To predstavuje 2,5% odporúčanej maximálnej dennej dávky sodíka prijatého v potrave u dospelých.</w:t>
      </w:r>
    </w:p>
    <w:p w14:paraId="03EC5E8E" w14:textId="77777777" w:rsidR="00851AB6" w:rsidRPr="00B96D19" w:rsidRDefault="00851AB6" w:rsidP="00851AB6">
      <w:pPr>
        <w:rPr>
          <w:lang w:val="sk-SK"/>
        </w:rPr>
      </w:pPr>
      <w:r w:rsidRPr="00B96D19">
        <w:rPr>
          <w:rFonts w:eastAsia="Calibri"/>
          <w:lang w:val="sk-SK"/>
        </w:rPr>
        <w:t xml:space="preserve">2 g </w:t>
      </w:r>
      <w:r w:rsidR="0055120B">
        <w:rPr>
          <w:rFonts w:eastAsia="Calibri"/>
          <w:lang w:val="sk-SK"/>
        </w:rPr>
        <w:t xml:space="preserve">injekčná </w:t>
      </w:r>
      <w:r w:rsidRPr="00B96D19">
        <w:rPr>
          <w:rFonts w:eastAsia="Calibri"/>
          <w:lang w:val="sk-SK"/>
        </w:rPr>
        <w:t xml:space="preserve">liekovka: tento liek obsahuje 101,2 mg sodíka (hlavná zložka kuchynskej soli) v každej </w:t>
      </w:r>
      <w:r w:rsidR="0055120B">
        <w:rPr>
          <w:rFonts w:eastAsia="Calibri"/>
          <w:lang w:val="sk-SK"/>
        </w:rPr>
        <w:t xml:space="preserve">injekčnej </w:t>
      </w:r>
      <w:r w:rsidRPr="00B96D19">
        <w:rPr>
          <w:rFonts w:eastAsia="Calibri"/>
          <w:lang w:val="sk-SK"/>
        </w:rPr>
        <w:t>liekovke. To predstavuje 5% odporúčanej maximálnej dennej dávky sodíka prijatého v potrave u dospelých.</w:t>
      </w:r>
    </w:p>
    <w:p w14:paraId="1DF418AC" w14:textId="77777777" w:rsidR="00851AB6" w:rsidRPr="00B96D19" w:rsidRDefault="00851AB6" w:rsidP="00851AB6">
      <w:pPr>
        <w:rPr>
          <w:lang w:val="sk-SK"/>
        </w:rPr>
      </w:pPr>
    </w:p>
    <w:p w14:paraId="386342F8" w14:textId="77777777" w:rsidR="00BE3314" w:rsidRPr="00B96D19" w:rsidRDefault="00BE3314" w:rsidP="00667033">
      <w:pPr>
        <w:pStyle w:val="Normlndobloku"/>
      </w:pPr>
    </w:p>
    <w:p w14:paraId="530CFEAE" w14:textId="0DBD71E3" w:rsidR="00BB06C8" w:rsidRPr="00B96D19" w:rsidRDefault="00851AB6" w:rsidP="007262A1">
      <w:pPr>
        <w:pStyle w:val="Styl1"/>
        <w:spacing w:before="0" w:after="0"/>
        <w:rPr>
          <w:lang w:val="sk-SK"/>
        </w:rPr>
      </w:pPr>
      <w:r w:rsidRPr="00B96D19">
        <w:rPr>
          <w:lang w:val="sk-SK"/>
        </w:rPr>
        <w:lastRenderedPageBreak/>
        <w:t>A</w:t>
      </w:r>
      <w:r w:rsidRPr="00B96D19">
        <w:rPr>
          <w:caps w:val="0"/>
          <w:lang w:val="sk-SK"/>
        </w:rPr>
        <w:t>ko používať Cefazol</w:t>
      </w:r>
      <w:r w:rsidR="00851942">
        <w:rPr>
          <w:caps w:val="0"/>
          <w:lang w:val="sk-SK"/>
        </w:rPr>
        <w:t>í</w:t>
      </w:r>
      <w:r w:rsidRPr="00B96D19">
        <w:rPr>
          <w:caps w:val="0"/>
          <w:lang w:val="sk-SK"/>
        </w:rPr>
        <w:t>n Noridem</w:t>
      </w:r>
    </w:p>
    <w:p w14:paraId="34934A34" w14:textId="77777777" w:rsidR="009202A0" w:rsidRPr="00B96D19" w:rsidRDefault="009202A0">
      <w:pPr>
        <w:pStyle w:val="Styl1"/>
        <w:numPr>
          <w:ilvl w:val="0"/>
          <w:numId w:val="0"/>
        </w:numPr>
        <w:spacing w:before="0" w:after="0"/>
        <w:ind w:left="357"/>
        <w:rPr>
          <w:lang w:val="sk-SK"/>
        </w:rPr>
      </w:pPr>
    </w:p>
    <w:p w14:paraId="11928370" w14:textId="77777777" w:rsidR="00BE3314" w:rsidRPr="000A2067" w:rsidRDefault="00851AB6" w:rsidP="00667033">
      <w:pPr>
        <w:pStyle w:val="Normlndobloku"/>
        <w:rPr>
          <w:b/>
        </w:rPr>
      </w:pPr>
      <w:r w:rsidRPr="000A2067">
        <w:rPr>
          <w:b/>
        </w:rPr>
        <w:t>Podávanie:</w:t>
      </w:r>
    </w:p>
    <w:p w14:paraId="3CC90B4C" w14:textId="6021FBD9" w:rsidR="00BE3314" w:rsidRPr="00B96D19" w:rsidRDefault="00911120" w:rsidP="00667033">
      <w:pPr>
        <w:pStyle w:val="Normlndobloku"/>
      </w:pPr>
      <w:r w:rsidRPr="00B96D19">
        <w:t>Cefazol</w:t>
      </w:r>
      <w:r w:rsidR="00851942">
        <w:t>í</w:t>
      </w:r>
      <w:r w:rsidRPr="00B96D19">
        <w:t>n Noridem vám vždy podá zdravotnícky personál. Podáva sa buď ako injekcia alebo infúzia (</w:t>
      </w:r>
      <w:r w:rsidRPr="003E7899">
        <w:t>do žily</w:t>
      </w:r>
      <w:r w:rsidRPr="00B96D19">
        <w:t>) po zriedení, alebo do svalu (</w:t>
      </w:r>
      <w:r w:rsidR="004342F0">
        <w:t>intramuskulárne</w:t>
      </w:r>
      <w:r w:rsidRPr="00B96D19">
        <w:t>) ako hlboká vnútrosvalová injekcia.</w:t>
      </w:r>
    </w:p>
    <w:p w14:paraId="07C33183" w14:textId="12C7AEDE" w:rsidR="00BE3314" w:rsidRPr="00B96D19" w:rsidRDefault="00911120" w:rsidP="00667033">
      <w:pPr>
        <w:pStyle w:val="Normlndobloku"/>
      </w:pPr>
      <w:r w:rsidRPr="00B96D19">
        <w:t>Lekár vás informuje o potrebnej dĺžke trvania a častosti podávania Cefazol</w:t>
      </w:r>
      <w:r w:rsidR="00851942">
        <w:t>í</w:t>
      </w:r>
      <w:r w:rsidRPr="00B96D19">
        <w:t>nu Noridem.</w:t>
      </w:r>
    </w:p>
    <w:p w14:paraId="664F2C54" w14:textId="77777777" w:rsidR="00BE3314" w:rsidRPr="00B96D19" w:rsidRDefault="00BE3314" w:rsidP="00667033">
      <w:pPr>
        <w:pStyle w:val="Normlndobloku"/>
      </w:pPr>
    </w:p>
    <w:p w14:paraId="06648622" w14:textId="77777777" w:rsidR="00BB06C8" w:rsidRPr="00B96D19" w:rsidRDefault="00851AB6" w:rsidP="007262A1">
      <w:pPr>
        <w:pStyle w:val="Styl3"/>
        <w:spacing w:after="0"/>
        <w:jc w:val="left"/>
        <w:rPr>
          <w:u w:val="none"/>
          <w:lang w:val="sk-SK"/>
        </w:rPr>
      </w:pPr>
      <w:r w:rsidRPr="00B96D19">
        <w:rPr>
          <w:b/>
          <w:u w:val="none"/>
          <w:lang w:val="sk-SK"/>
        </w:rPr>
        <w:t>Odporúčané dávky sú:</w:t>
      </w:r>
    </w:p>
    <w:p w14:paraId="597A843E" w14:textId="77777777" w:rsidR="00F53D88" w:rsidRPr="00B96D19" w:rsidRDefault="00F53D88" w:rsidP="007262A1">
      <w:pPr>
        <w:pStyle w:val="Styl3"/>
        <w:spacing w:after="0"/>
        <w:jc w:val="left"/>
        <w:rPr>
          <w:u w:val="none"/>
          <w:lang w:val="sk-SK"/>
        </w:rPr>
      </w:pPr>
    </w:p>
    <w:p w14:paraId="4C3019B6" w14:textId="77777777" w:rsidR="00BB06C8" w:rsidRPr="00B96D19" w:rsidRDefault="00851AB6" w:rsidP="007262A1">
      <w:pPr>
        <w:pStyle w:val="Styl3"/>
        <w:spacing w:after="0"/>
        <w:jc w:val="left"/>
        <w:rPr>
          <w:b/>
          <w:u w:val="none"/>
          <w:lang w:val="sk-SK"/>
        </w:rPr>
      </w:pPr>
      <w:r w:rsidRPr="00B96D19">
        <w:rPr>
          <w:b/>
          <w:u w:val="none"/>
          <w:lang w:val="sk-SK"/>
        </w:rPr>
        <w:t>Dospelí pacienti s normálnou funkciou obličiek</w:t>
      </w:r>
    </w:p>
    <w:p w14:paraId="6C573720" w14:textId="77777777" w:rsidR="00BF0582" w:rsidRPr="00B96D19" w:rsidRDefault="00BF0582" w:rsidP="007262A1">
      <w:pPr>
        <w:pStyle w:val="Styl3"/>
        <w:spacing w:after="0"/>
        <w:jc w:val="left"/>
        <w:rPr>
          <w:lang w:val="sk-SK"/>
        </w:rPr>
      </w:pPr>
    </w:p>
    <w:p w14:paraId="68EAC8EC" w14:textId="77777777" w:rsidR="00851AB6" w:rsidRPr="00B96D19" w:rsidRDefault="00851AB6" w:rsidP="000A2067">
      <w:pPr>
        <w:pStyle w:val="Normlndoblokusodrkami"/>
      </w:pPr>
      <w:r w:rsidRPr="00B96D19">
        <w:t>Infekcie spôsobené baktériami citlivými na tento liek:</w:t>
      </w:r>
    </w:p>
    <w:p w14:paraId="122B0125" w14:textId="77777777" w:rsidR="00851AB6" w:rsidRPr="00B96D19" w:rsidRDefault="00851AB6" w:rsidP="00A836BB">
      <w:pPr>
        <w:pStyle w:val="Normlndoblokusodrkami"/>
      </w:pPr>
      <w:r w:rsidRPr="00B96D19">
        <w:t>1</w:t>
      </w:r>
      <w:r w:rsidR="00667033">
        <w:t>–</w:t>
      </w:r>
      <w:r w:rsidRPr="00B96D19">
        <w:t xml:space="preserve">2 g denne, rozdelené do 2 - 3 dávok. </w:t>
      </w:r>
    </w:p>
    <w:p w14:paraId="16D7A224" w14:textId="77777777" w:rsidR="00851AB6" w:rsidRPr="00B96D19" w:rsidRDefault="00851AB6" w:rsidP="000A2067">
      <w:pPr>
        <w:pStyle w:val="Normlndoblokusodrkami"/>
      </w:pPr>
      <w:r w:rsidRPr="00B96D19">
        <w:t>Infekcie spôsobené baktériami menej citlivými na tento liek:</w:t>
      </w:r>
    </w:p>
    <w:p w14:paraId="6973ED4F" w14:textId="77777777" w:rsidR="00851AB6" w:rsidRPr="00B96D19" w:rsidRDefault="00851AB6" w:rsidP="00A836BB">
      <w:pPr>
        <w:pStyle w:val="Normlndoblokusodrkami"/>
      </w:pPr>
      <w:r w:rsidRPr="00B96D19">
        <w:t>3</w:t>
      </w:r>
      <w:r w:rsidR="00667033">
        <w:t>–</w:t>
      </w:r>
      <w:r w:rsidRPr="00B96D19">
        <w:t xml:space="preserve">4 g denne, rozdelené do 3 - 4 dávok. </w:t>
      </w:r>
    </w:p>
    <w:p w14:paraId="1F63CC50" w14:textId="77777777" w:rsidR="00BE3314" w:rsidRPr="00B96D19" w:rsidRDefault="00BE3314" w:rsidP="00667033">
      <w:pPr>
        <w:pStyle w:val="Normlndobloku"/>
      </w:pPr>
    </w:p>
    <w:p w14:paraId="52A1E005" w14:textId="77777777" w:rsidR="00BE3314" w:rsidRPr="00B96D19" w:rsidRDefault="00911120" w:rsidP="00667033">
      <w:pPr>
        <w:pStyle w:val="Normlndobloku"/>
      </w:pPr>
      <w:r w:rsidRPr="00B96D19">
        <w:t>Je možné zvýšiť dennú dávku až na 6 g v troch alebo štyroch rovnakých dávkach.</w:t>
      </w:r>
    </w:p>
    <w:p w14:paraId="271BFA2F" w14:textId="77777777" w:rsidR="00C816E1" w:rsidRDefault="00C816E1" w:rsidP="007262A1">
      <w:pPr>
        <w:pStyle w:val="Styl3"/>
        <w:spacing w:after="0"/>
        <w:jc w:val="left"/>
        <w:rPr>
          <w:b/>
          <w:u w:val="none"/>
          <w:lang w:val="sk-SK"/>
        </w:rPr>
      </w:pPr>
    </w:p>
    <w:p w14:paraId="775992CB" w14:textId="77777777" w:rsidR="00BB06C8" w:rsidRPr="00B96D19" w:rsidRDefault="00851AB6" w:rsidP="007262A1">
      <w:pPr>
        <w:pStyle w:val="Styl3"/>
        <w:spacing w:after="0"/>
        <w:jc w:val="left"/>
        <w:rPr>
          <w:b/>
          <w:u w:val="none"/>
          <w:lang w:val="sk-SK"/>
        </w:rPr>
      </w:pPr>
      <w:r w:rsidRPr="00B96D19">
        <w:rPr>
          <w:b/>
          <w:u w:val="none"/>
          <w:lang w:val="sk-SK"/>
        </w:rPr>
        <w:t>Použitie u detí a dospievajúcich</w:t>
      </w:r>
    </w:p>
    <w:p w14:paraId="42617F04" w14:textId="77777777" w:rsidR="00343410" w:rsidRPr="00B96D19" w:rsidRDefault="00343410" w:rsidP="007262A1">
      <w:pPr>
        <w:pStyle w:val="Styl3"/>
        <w:spacing w:after="0"/>
        <w:jc w:val="left"/>
        <w:rPr>
          <w:b/>
          <w:u w:val="none"/>
          <w:lang w:val="sk-SK"/>
        </w:rPr>
      </w:pPr>
    </w:p>
    <w:p w14:paraId="31528D4D" w14:textId="118C37DE" w:rsidR="00343410" w:rsidRPr="00B96D19" w:rsidRDefault="00C816E1" w:rsidP="007262A1">
      <w:pPr>
        <w:pStyle w:val="Styl3"/>
        <w:spacing w:after="0"/>
        <w:jc w:val="left"/>
        <w:rPr>
          <w:b/>
          <w:u w:val="none"/>
          <w:lang w:val="sk-SK"/>
        </w:rPr>
      </w:pPr>
      <w:r>
        <w:rPr>
          <w:b/>
          <w:u w:val="none"/>
          <w:lang w:val="sk-SK"/>
        </w:rPr>
        <w:t>Predčasne narodené</w:t>
      </w:r>
      <w:r w:rsidR="00911120" w:rsidRPr="00B96D19">
        <w:rPr>
          <w:b/>
          <w:u w:val="none"/>
          <w:lang w:val="sk-SK"/>
        </w:rPr>
        <w:t xml:space="preserve"> deti a deti mladšie ako jeden mesiac:</w:t>
      </w:r>
    </w:p>
    <w:p w14:paraId="47039C70" w14:textId="77777777" w:rsidR="00343410" w:rsidRPr="00B96D19" w:rsidRDefault="00343410" w:rsidP="007262A1">
      <w:pPr>
        <w:pStyle w:val="Styl3"/>
        <w:spacing w:after="0"/>
        <w:jc w:val="left"/>
        <w:rPr>
          <w:b/>
          <w:u w:val="none"/>
          <w:lang w:val="sk-SK"/>
        </w:rPr>
      </w:pPr>
    </w:p>
    <w:p w14:paraId="709549E1" w14:textId="77777777" w:rsidR="00343410" w:rsidRPr="00B96D19" w:rsidRDefault="00911120" w:rsidP="00667033">
      <w:pPr>
        <w:pStyle w:val="Normlndobloku"/>
      </w:pPr>
      <w:r w:rsidRPr="00B96D19">
        <w:t>Bezpečnosť použitia u detí mladších ako jeden mesiac nebola stanovená.</w:t>
      </w:r>
    </w:p>
    <w:p w14:paraId="2A402ABC" w14:textId="77777777" w:rsidR="00BE3314" w:rsidRPr="00B96D19" w:rsidRDefault="00BE3314" w:rsidP="00667033">
      <w:pPr>
        <w:pStyle w:val="Normlndobloku"/>
      </w:pPr>
    </w:p>
    <w:p w14:paraId="7AB43AA5" w14:textId="77777777" w:rsidR="00BE3314" w:rsidRPr="00667033" w:rsidRDefault="00911120" w:rsidP="00667033">
      <w:pPr>
        <w:pStyle w:val="Normlndobloku"/>
        <w:rPr>
          <w:b/>
        </w:rPr>
      </w:pPr>
      <w:r w:rsidRPr="00667033">
        <w:rPr>
          <w:b/>
        </w:rPr>
        <w:t>Deti staršie ako jeden mesiac</w:t>
      </w:r>
    </w:p>
    <w:p w14:paraId="6F3ACFAA" w14:textId="77777777" w:rsidR="00343410" w:rsidRPr="00B96D19" w:rsidRDefault="00851AB6" w:rsidP="000A2067">
      <w:pPr>
        <w:pStyle w:val="Normlndoblokusodrkami"/>
      </w:pPr>
      <w:r w:rsidRPr="00B96D19">
        <w:t>Infekcie spôsobené baktériami citlivými na tento liek:</w:t>
      </w:r>
    </w:p>
    <w:p w14:paraId="3E3D932F" w14:textId="4B48027C" w:rsidR="00343410" w:rsidRPr="00B96D19" w:rsidRDefault="00851AB6" w:rsidP="000A2067">
      <w:pPr>
        <w:pStyle w:val="Normlndoblokusodrkami"/>
      </w:pPr>
      <w:r w:rsidRPr="00B96D19">
        <w:t>25</w:t>
      </w:r>
      <w:r w:rsidR="00667033">
        <w:t>–</w:t>
      </w:r>
      <w:r w:rsidRPr="00B96D19">
        <w:t>50 mg/kg telesnej hmotnosti/deň, rozdelené do 2</w:t>
      </w:r>
      <w:r w:rsidR="00667033">
        <w:t>–</w:t>
      </w:r>
      <w:r w:rsidRPr="00B96D19">
        <w:t>4 jedno</w:t>
      </w:r>
      <w:r w:rsidR="00C816E1">
        <w:t>razových</w:t>
      </w:r>
      <w:r w:rsidRPr="00B96D19">
        <w:t xml:space="preserve"> dávok, každých 6, 8 alebo 12 hodín. </w:t>
      </w:r>
    </w:p>
    <w:p w14:paraId="5B44579A" w14:textId="77777777" w:rsidR="00343410" w:rsidRPr="00B96D19" w:rsidRDefault="00851AB6" w:rsidP="000A2067">
      <w:pPr>
        <w:pStyle w:val="Normlndoblokusodrkami"/>
      </w:pPr>
      <w:r w:rsidRPr="00B96D19">
        <w:t>Infekcie spôsobené baktériami menej citlivými na tento liek:</w:t>
      </w:r>
    </w:p>
    <w:p w14:paraId="67E18D81" w14:textId="249429C9" w:rsidR="00343410" w:rsidRPr="00B96D19" w:rsidRDefault="00667033" w:rsidP="00A836BB">
      <w:pPr>
        <w:pStyle w:val="Normlndoblokusodrkami"/>
      </w:pPr>
      <w:r>
        <w:t>A</w:t>
      </w:r>
      <w:r w:rsidR="00851AB6" w:rsidRPr="00B96D19">
        <w:t>ž do 100 mg/kg telesnej hmotnosti/deň, rozdelené do 3</w:t>
      </w:r>
      <w:r>
        <w:t>–</w:t>
      </w:r>
      <w:r w:rsidR="00851AB6" w:rsidRPr="00B96D19">
        <w:t xml:space="preserve">4 </w:t>
      </w:r>
      <w:r w:rsidR="00C816E1">
        <w:t>jednorazových</w:t>
      </w:r>
      <w:r w:rsidR="00851AB6" w:rsidRPr="00B96D19">
        <w:t xml:space="preserve"> dávok, každých 6</w:t>
      </w:r>
      <w:r>
        <w:t>–</w:t>
      </w:r>
      <w:r w:rsidR="00851AB6" w:rsidRPr="00B96D19">
        <w:t xml:space="preserve">8 hodín. </w:t>
      </w:r>
    </w:p>
    <w:p w14:paraId="52FE708B" w14:textId="77777777" w:rsidR="00343410" w:rsidRPr="00B96D19" w:rsidRDefault="00343410" w:rsidP="00667033">
      <w:pPr>
        <w:pStyle w:val="Normlndobloku"/>
      </w:pPr>
    </w:p>
    <w:p w14:paraId="063066CE" w14:textId="77777777" w:rsidR="00BE3314" w:rsidRPr="00B96D19" w:rsidRDefault="00911120" w:rsidP="00667033">
      <w:pPr>
        <w:pStyle w:val="Normlndobloku"/>
      </w:pPr>
      <w:r w:rsidRPr="00B96D19">
        <w:t xml:space="preserve">Tento liek sa neodporúča u detí mladších ako jeden mesiac. </w:t>
      </w:r>
    </w:p>
    <w:p w14:paraId="09E4AC4E" w14:textId="77777777" w:rsidR="00BE3314" w:rsidRPr="00B96D19" w:rsidRDefault="00BE3314" w:rsidP="00667033">
      <w:pPr>
        <w:pStyle w:val="Normlndobloku"/>
      </w:pPr>
    </w:p>
    <w:p w14:paraId="24B2DA0B" w14:textId="77777777" w:rsidR="003D2497" w:rsidRPr="00B96D19" w:rsidRDefault="00851AB6" w:rsidP="003D2497">
      <w:pPr>
        <w:pStyle w:val="Styl3"/>
        <w:spacing w:after="0"/>
        <w:jc w:val="left"/>
        <w:rPr>
          <w:b/>
          <w:u w:val="none"/>
          <w:lang w:val="sk-SK"/>
        </w:rPr>
      </w:pPr>
      <w:r w:rsidRPr="00B96D19">
        <w:rPr>
          <w:b/>
          <w:u w:val="none"/>
          <w:lang w:val="sk-SK"/>
        </w:rPr>
        <w:t>Starší pacienti</w:t>
      </w:r>
    </w:p>
    <w:p w14:paraId="7C63AA30" w14:textId="77777777" w:rsidR="003D2497" w:rsidRPr="00B96D19" w:rsidRDefault="00911120" w:rsidP="00667033">
      <w:pPr>
        <w:pStyle w:val="Normlndobloku"/>
      </w:pPr>
      <w:r w:rsidRPr="00B96D19">
        <w:t>U starších pacientov s normálnou funkciou obličiek nie je potrebná úprava dávkovania.</w:t>
      </w:r>
    </w:p>
    <w:p w14:paraId="1684FD9C" w14:textId="77777777" w:rsidR="00BE3314" w:rsidRPr="00B96D19" w:rsidRDefault="00BE3314" w:rsidP="00667033">
      <w:pPr>
        <w:pStyle w:val="Normlndobloku"/>
      </w:pPr>
    </w:p>
    <w:p w14:paraId="0701FB0E" w14:textId="77777777" w:rsidR="00BE3314" w:rsidRPr="000A2067" w:rsidRDefault="00851AB6" w:rsidP="00667033">
      <w:pPr>
        <w:pStyle w:val="Normlndobloku"/>
        <w:rPr>
          <w:b/>
        </w:rPr>
      </w:pPr>
      <w:r w:rsidRPr="000A2067">
        <w:rPr>
          <w:b/>
        </w:rPr>
        <w:t>Odporúčania pre osobitné dávkovanie</w:t>
      </w:r>
    </w:p>
    <w:p w14:paraId="7208F018" w14:textId="77777777" w:rsidR="00BE3314" w:rsidRPr="00B96D19" w:rsidRDefault="00BE3314" w:rsidP="00667033">
      <w:pPr>
        <w:pStyle w:val="Normlndobloku"/>
      </w:pPr>
    </w:p>
    <w:p w14:paraId="5BEFC8C5" w14:textId="77777777" w:rsidR="00BE3314" w:rsidRPr="00667033" w:rsidRDefault="00851AB6" w:rsidP="00667033">
      <w:pPr>
        <w:pStyle w:val="Normlndobloku"/>
        <w:rPr>
          <w:u w:val="single"/>
        </w:rPr>
      </w:pPr>
      <w:r w:rsidRPr="00667033">
        <w:rPr>
          <w:u w:val="single"/>
        </w:rPr>
        <w:t>Predchádzanie infekciám pri chirurgických zákrokoch</w:t>
      </w:r>
    </w:p>
    <w:p w14:paraId="18F617BE" w14:textId="77777777" w:rsidR="00BE3314" w:rsidRPr="00B96D19" w:rsidRDefault="00911120" w:rsidP="00667033">
      <w:pPr>
        <w:pStyle w:val="Normlndobloku"/>
      </w:pPr>
      <w:r w:rsidRPr="00B96D19">
        <w:t>1 g cefazolínu 30</w:t>
      </w:r>
      <w:r w:rsidR="00667033">
        <w:t>–</w:t>
      </w:r>
      <w:r w:rsidRPr="00B96D19">
        <w:t>60 minút pred operáciou.</w:t>
      </w:r>
    </w:p>
    <w:p w14:paraId="33F99643" w14:textId="77777777" w:rsidR="00BE3314" w:rsidRPr="00B96D19" w:rsidRDefault="00911120" w:rsidP="00667033">
      <w:pPr>
        <w:pStyle w:val="Normlndobloku"/>
      </w:pPr>
      <w:r w:rsidRPr="00B96D19">
        <w:t>Dodatočných 0,5</w:t>
      </w:r>
      <w:r w:rsidR="00667033">
        <w:t>–</w:t>
      </w:r>
      <w:r w:rsidRPr="00B96D19">
        <w:t>1 g cefazolínu počas operácie v prípade dlhých chirurgických zákrokov (2 hodiny a dlhšie).</w:t>
      </w:r>
    </w:p>
    <w:p w14:paraId="090651B3" w14:textId="77777777" w:rsidR="00BE3314" w:rsidRPr="00B96D19" w:rsidRDefault="00BE3314" w:rsidP="00667033">
      <w:pPr>
        <w:pStyle w:val="Normlndobloku"/>
      </w:pPr>
    </w:p>
    <w:p w14:paraId="5278ECD5" w14:textId="77777777" w:rsidR="00BE3314" w:rsidRPr="00667033" w:rsidRDefault="00851AB6" w:rsidP="00667033">
      <w:pPr>
        <w:pStyle w:val="Normlndobloku"/>
        <w:rPr>
          <w:u w:val="single"/>
        </w:rPr>
      </w:pPr>
      <w:r w:rsidRPr="00667033">
        <w:rPr>
          <w:u w:val="single"/>
        </w:rPr>
        <w:t xml:space="preserve">Pacienti s poruchou funkcie obličiek </w:t>
      </w:r>
    </w:p>
    <w:p w14:paraId="0422990D" w14:textId="77777777" w:rsidR="00851AB6" w:rsidRPr="00B96D19" w:rsidRDefault="00911120" w:rsidP="00667033">
      <w:pPr>
        <w:pStyle w:val="Normlndobloku"/>
      </w:pPr>
      <w:r w:rsidRPr="00B96D19">
        <w:t xml:space="preserve">U pacientov s poruchou funkcie obličiek je vylučovanie cefazolínu spomalené. Z tohto dôvodu vám lekár upraví dávku podľa závažnosti poruchy funkcie obličiek buď znížením udržiavacej dávky alebo predĺžením intervalu dávkovania. </w:t>
      </w:r>
    </w:p>
    <w:p w14:paraId="3E5629E4" w14:textId="77777777" w:rsidR="00BE3314" w:rsidRPr="00B96D19" w:rsidRDefault="00BE3314" w:rsidP="00667033">
      <w:pPr>
        <w:pStyle w:val="Normlndobloku"/>
      </w:pPr>
    </w:p>
    <w:p w14:paraId="0A91E314" w14:textId="77777777" w:rsidR="00BB06C8" w:rsidRPr="00B96D19" w:rsidRDefault="00851AB6" w:rsidP="007262A1">
      <w:pPr>
        <w:pStyle w:val="Styl3"/>
        <w:spacing w:after="0"/>
        <w:jc w:val="left"/>
        <w:rPr>
          <w:b/>
          <w:u w:val="none"/>
          <w:lang w:val="sk-SK"/>
        </w:rPr>
      </w:pPr>
      <w:r w:rsidRPr="00B96D19">
        <w:rPr>
          <w:b/>
          <w:u w:val="none"/>
          <w:lang w:val="sk-SK"/>
        </w:rPr>
        <w:t xml:space="preserve">Dĺžka </w:t>
      </w:r>
      <w:r w:rsidR="00911120" w:rsidRPr="00B96D19">
        <w:rPr>
          <w:b/>
          <w:u w:val="none"/>
          <w:lang w:val="sk-SK"/>
        </w:rPr>
        <w:t xml:space="preserve">trvania </w:t>
      </w:r>
      <w:r w:rsidRPr="00B96D19">
        <w:rPr>
          <w:b/>
          <w:u w:val="none"/>
          <w:lang w:val="sk-SK"/>
        </w:rPr>
        <w:t>liečby</w:t>
      </w:r>
    </w:p>
    <w:p w14:paraId="19C1222D" w14:textId="77777777" w:rsidR="00BE3314" w:rsidRPr="00B96D19" w:rsidRDefault="00911120" w:rsidP="00667033">
      <w:pPr>
        <w:pStyle w:val="Normlndobloku"/>
      </w:pPr>
      <w:r w:rsidRPr="00B96D19">
        <w:t xml:space="preserve">Dĺžka trvania liečby záleží od závažnosti infekcie a zároveň na vašom vyliečení sa z choroby. </w:t>
      </w:r>
    </w:p>
    <w:p w14:paraId="2148DCC2" w14:textId="77777777" w:rsidR="00BE3314" w:rsidRPr="00B96D19" w:rsidRDefault="00BE3314" w:rsidP="00667033">
      <w:pPr>
        <w:pStyle w:val="Normlndobloku"/>
      </w:pPr>
    </w:p>
    <w:p w14:paraId="0349D21A" w14:textId="3F271D73" w:rsidR="00BE3314" w:rsidRPr="00B96D19" w:rsidRDefault="00911120">
      <w:pPr>
        <w:pStyle w:val="Styl2"/>
      </w:pPr>
      <w:r w:rsidRPr="00B96D19">
        <w:t xml:space="preserve">Ak </w:t>
      </w:r>
      <w:r w:rsidR="00E80726">
        <w:t>dostanete</w:t>
      </w:r>
      <w:r w:rsidRPr="00B96D19">
        <w:t xml:space="preserve"> viac Cefazol</w:t>
      </w:r>
      <w:r w:rsidR="00851942">
        <w:t>í</w:t>
      </w:r>
      <w:r w:rsidRPr="00B96D19">
        <w:t xml:space="preserve">nu Noridem, </w:t>
      </w:r>
      <w:r w:rsidRPr="00E80726">
        <w:t>ako má</w:t>
      </w:r>
      <w:r w:rsidR="00E80726">
        <w:t>te</w:t>
      </w:r>
    </w:p>
    <w:p w14:paraId="420DD7D5" w14:textId="5AA1A608" w:rsidR="00BE3314" w:rsidRPr="00B96D19" w:rsidRDefault="00E80726" w:rsidP="00667033">
      <w:pPr>
        <w:pStyle w:val="Normlndobloku"/>
      </w:pPr>
      <w:r>
        <w:t>Keďže</w:t>
      </w:r>
      <w:r w:rsidR="00911120" w:rsidRPr="00B96D19">
        <w:t xml:space="preserve"> vám liek podá lekár alebo zdravotná sestra, je nepravdepodobné, že vám bude poda</w:t>
      </w:r>
      <w:r w:rsidR="007458D0">
        <w:t>né</w:t>
      </w:r>
      <w:r w:rsidR="00911120" w:rsidRPr="00B96D19">
        <w:t xml:space="preserve"> viac lieku, ako má byť. </w:t>
      </w:r>
    </w:p>
    <w:p w14:paraId="281DDC8D" w14:textId="77777777" w:rsidR="00BE3314" w:rsidRPr="00B96D19" w:rsidRDefault="00911120" w:rsidP="00667033">
      <w:pPr>
        <w:pStyle w:val="Normlndobloku"/>
      </w:pPr>
      <w:r w:rsidRPr="00B96D19">
        <w:t xml:space="preserve">Príznaky predávkovania sú bolesť hlavy, závrat (vertigo), pocit pichania a mravčenia na koži (parestézia), nepokoj (agitácia), samovoľné zášklby svalu alebo skupiny svalov (myoklónia) a kŕče </w:t>
      </w:r>
      <w:r w:rsidRPr="00B96D19">
        <w:lastRenderedPageBreak/>
        <w:t xml:space="preserve">(spazmy). Ak sa u vám objaví akýkoľvek z týchto príznakov, okamžite vyhľadajte svojho lekára. </w:t>
      </w:r>
      <w:r w:rsidR="007458D0">
        <w:t>V </w:t>
      </w:r>
      <w:r w:rsidRPr="00B96D19">
        <w:t>naliehavých prípadoch musí váš lekár prijať potrebné opatrenia na liečbu príznakov predávkovania.</w:t>
      </w:r>
    </w:p>
    <w:p w14:paraId="1CA2D35C" w14:textId="77777777" w:rsidR="00BE3314" w:rsidRPr="00B96D19" w:rsidRDefault="00BE3314" w:rsidP="00667033">
      <w:pPr>
        <w:pStyle w:val="Normlndobloku"/>
      </w:pPr>
    </w:p>
    <w:p w14:paraId="2D932480" w14:textId="066B7845" w:rsidR="00BE3314" w:rsidRPr="00B96D19" w:rsidRDefault="00911120">
      <w:pPr>
        <w:pStyle w:val="Styl2"/>
      </w:pPr>
      <w:r w:rsidRPr="00B96D19">
        <w:t>Ak vynecháte dávku Cefazol</w:t>
      </w:r>
      <w:r w:rsidR="00851942">
        <w:t>í</w:t>
      </w:r>
      <w:r w:rsidRPr="00B96D19">
        <w:t>nu Noridem</w:t>
      </w:r>
    </w:p>
    <w:p w14:paraId="00EBFF32" w14:textId="4D34D1C1" w:rsidR="00BE3314" w:rsidRPr="00B96D19" w:rsidRDefault="00911120" w:rsidP="00667033">
      <w:pPr>
        <w:pStyle w:val="Normlndobloku"/>
      </w:pPr>
      <w:r w:rsidRPr="00B96D19">
        <w:t>Nesmie sa podať dvoj</w:t>
      </w:r>
      <w:r w:rsidR="008A1149">
        <w:t>násobná</w:t>
      </w:r>
      <w:r w:rsidRPr="00B96D19">
        <w:t xml:space="preserve"> dávka, aby sa nahradila </w:t>
      </w:r>
      <w:r w:rsidR="008A1149">
        <w:t>vynechaná</w:t>
      </w:r>
      <w:r w:rsidRPr="00B96D19">
        <w:t xml:space="preserve"> dávka. </w:t>
      </w:r>
      <w:r w:rsidR="008A1149">
        <w:t>Vynechaná</w:t>
      </w:r>
      <w:r w:rsidRPr="00B96D19">
        <w:t xml:space="preserve"> dávka sa má podať pred ďalšou pravidelnou dávkou</w:t>
      </w:r>
      <w:r w:rsidR="007458D0">
        <w:t>,</w:t>
      </w:r>
      <w:r w:rsidRPr="00B96D19">
        <w:t xml:space="preserve"> iba ak </w:t>
      </w:r>
      <w:r w:rsidR="008A1149">
        <w:t>ostáva</w:t>
      </w:r>
      <w:r w:rsidRPr="00B96D19">
        <w:t xml:space="preserve"> do ďalšej pravidelnej dávky </w:t>
      </w:r>
      <w:r w:rsidRPr="00AC1A49">
        <w:t>dostato</w:t>
      </w:r>
      <w:r w:rsidR="008A1149" w:rsidRPr="00AC1A49">
        <w:t xml:space="preserve">k </w:t>
      </w:r>
      <w:r w:rsidR="008A1149" w:rsidRPr="003E7899">
        <w:t>času</w:t>
      </w:r>
      <w:r w:rsidRPr="00853637">
        <w:t>.</w:t>
      </w:r>
    </w:p>
    <w:p w14:paraId="78A9D995" w14:textId="77777777" w:rsidR="00BE3314" w:rsidRPr="00B96D19" w:rsidRDefault="00BE3314" w:rsidP="00667033">
      <w:pPr>
        <w:pStyle w:val="Normlndobloku"/>
      </w:pPr>
    </w:p>
    <w:p w14:paraId="270D20B8" w14:textId="7E5FB3C6" w:rsidR="00BE3314" w:rsidRPr="00B96D19" w:rsidRDefault="00911120">
      <w:pPr>
        <w:pStyle w:val="Styl2"/>
      </w:pPr>
      <w:r w:rsidRPr="00B96D19">
        <w:t>Ak je liečba Cefazol</w:t>
      </w:r>
      <w:r w:rsidR="00851942">
        <w:t>í</w:t>
      </w:r>
      <w:r w:rsidRPr="00B96D19">
        <w:t xml:space="preserve">nom Noridem prerušená alebo predčasne ukončená </w:t>
      </w:r>
    </w:p>
    <w:p w14:paraId="3DACEDF6" w14:textId="77777777" w:rsidR="00BE3314" w:rsidRPr="00B96D19" w:rsidRDefault="00911120" w:rsidP="00667033">
      <w:pPr>
        <w:pStyle w:val="Normlndobloku"/>
      </w:pPr>
      <w:r w:rsidRPr="00B96D19">
        <w:t>Nízka dávka, nepravidelné podávanie alebo predčasné ukončenie liečby môže ohroziť výsledok liečby alebo viesť k návratu ochorenia, ktorého liečba je náročnejšia. Dodržiavajte pokyny lekára.</w:t>
      </w:r>
    </w:p>
    <w:p w14:paraId="2E31DC45" w14:textId="77777777" w:rsidR="00BE3314" w:rsidRPr="00B96D19" w:rsidRDefault="00BE3314" w:rsidP="00667033">
      <w:pPr>
        <w:pStyle w:val="Normlndobloku"/>
      </w:pPr>
    </w:p>
    <w:p w14:paraId="49DC1E1B" w14:textId="77777777" w:rsidR="00BE3314" w:rsidRPr="00B96D19" w:rsidRDefault="00911120" w:rsidP="00667033">
      <w:pPr>
        <w:pStyle w:val="Normlndobloku"/>
      </w:pPr>
      <w:r w:rsidRPr="00B96D19">
        <w:t>Ak máte akékoľvek ďalšie otázky týkajúce sa použitia tohto lieku, opýtajte sa svojho lekára alebo lekárnika.</w:t>
      </w:r>
    </w:p>
    <w:p w14:paraId="1C7BBFE3" w14:textId="77777777" w:rsidR="00BE3314" w:rsidRPr="00B96D19" w:rsidRDefault="00BE3314" w:rsidP="00667033">
      <w:pPr>
        <w:pStyle w:val="Normlndobloku"/>
      </w:pPr>
    </w:p>
    <w:p w14:paraId="527D2548" w14:textId="77777777" w:rsidR="00BE3314" w:rsidRPr="00B96D19" w:rsidRDefault="00BE3314" w:rsidP="00667033">
      <w:pPr>
        <w:pStyle w:val="Normlndobloku"/>
      </w:pPr>
    </w:p>
    <w:p w14:paraId="260C0F61" w14:textId="77777777" w:rsidR="00BB06C8" w:rsidRPr="00B96D19" w:rsidRDefault="00851AB6" w:rsidP="007262A1">
      <w:pPr>
        <w:pStyle w:val="Styl1"/>
        <w:spacing w:before="0" w:after="0"/>
        <w:rPr>
          <w:lang w:val="sk-SK"/>
        </w:rPr>
      </w:pPr>
      <w:r w:rsidRPr="00B96D19">
        <w:rPr>
          <w:lang w:val="sk-SK"/>
        </w:rPr>
        <w:t xml:space="preserve"> M</w:t>
      </w:r>
      <w:r w:rsidRPr="00B96D19">
        <w:rPr>
          <w:caps w:val="0"/>
          <w:lang w:val="sk-SK"/>
        </w:rPr>
        <w:t>ožné vedľajšie účinky</w:t>
      </w:r>
    </w:p>
    <w:p w14:paraId="37B6B602" w14:textId="77777777" w:rsidR="009202A0" w:rsidRPr="00B96D19" w:rsidRDefault="009202A0">
      <w:pPr>
        <w:pStyle w:val="Styl1"/>
        <w:numPr>
          <w:ilvl w:val="0"/>
          <w:numId w:val="0"/>
        </w:numPr>
        <w:spacing w:before="0" w:after="0"/>
        <w:ind w:left="357"/>
        <w:rPr>
          <w:lang w:val="sk-SK"/>
        </w:rPr>
      </w:pPr>
    </w:p>
    <w:p w14:paraId="77714649" w14:textId="77777777" w:rsidR="00BE3314" w:rsidRPr="00B96D19" w:rsidRDefault="00911120" w:rsidP="00667033">
      <w:pPr>
        <w:pStyle w:val="Normlndobloku"/>
      </w:pPr>
      <w:r w:rsidRPr="00B96D19">
        <w:t>Tak ako všetky lieky, aj tento liek môže spôsobovať vedľajšie účinky, hoci sa neprejavia u každého.</w:t>
      </w:r>
    </w:p>
    <w:p w14:paraId="4FA25D5F" w14:textId="77777777" w:rsidR="00BE3314" w:rsidRPr="00B96D19" w:rsidRDefault="00BE3314" w:rsidP="00667033">
      <w:pPr>
        <w:pStyle w:val="Normlndobloku"/>
      </w:pPr>
    </w:p>
    <w:p w14:paraId="22E4F349" w14:textId="77777777" w:rsidR="00BE3314" w:rsidRPr="000A2067" w:rsidRDefault="00851AB6" w:rsidP="00667033">
      <w:pPr>
        <w:pStyle w:val="Normlndobloku"/>
        <w:rPr>
          <w:b/>
        </w:rPr>
      </w:pPr>
      <w:r w:rsidRPr="000A2067">
        <w:rPr>
          <w:b/>
        </w:rPr>
        <w:t>Ukončite používanie lieku a okamžite sa poraďte s lekárom, a</w:t>
      </w:r>
      <w:r w:rsidR="007458D0" w:rsidRPr="000A2067">
        <w:rPr>
          <w:b/>
        </w:rPr>
        <w:t>k spozorujete ktorýkoľvek z </w:t>
      </w:r>
      <w:r w:rsidRPr="000A2067">
        <w:rPr>
          <w:b/>
        </w:rPr>
        <w:t xml:space="preserve">týchto príznakov: </w:t>
      </w:r>
    </w:p>
    <w:p w14:paraId="4455EEF7" w14:textId="77777777" w:rsidR="00851AB6" w:rsidRPr="00B96D19" w:rsidRDefault="00851AB6" w:rsidP="00851AB6">
      <w:pPr>
        <w:pStyle w:val="Styl2"/>
      </w:pPr>
    </w:p>
    <w:p w14:paraId="2FBD6375" w14:textId="3880AAE4" w:rsidR="00BE3314" w:rsidRPr="00B96D19" w:rsidRDefault="00911120">
      <w:pPr>
        <w:pStyle w:val="Styl2"/>
      </w:pPr>
      <w:r w:rsidRPr="00B96D19">
        <w:t xml:space="preserve">Menej časté: môžu postihovať </w:t>
      </w:r>
      <w:r w:rsidR="005B337B">
        <w:t>menej ako</w:t>
      </w:r>
      <w:r w:rsidRPr="00B96D19">
        <w:t xml:space="preserve"> 1 zo 100 osôb</w:t>
      </w:r>
    </w:p>
    <w:p w14:paraId="0F9D3E4C" w14:textId="3B28BF53" w:rsidR="00851AB6" w:rsidRPr="00B96D19" w:rsidRDefault="00911120" w:rsidP="000A2067">
      <w:pPr>
        <w:pStyle w:val="Normlndoblokusodrkami"/>
      </w:pPr>
      <w:r w:rsidRPr="00B96D19">
        <w:t>začervenanie kože (erytém), rozsiahly výsev kožnej vyrážky (multiformný erytém</w:t>
      </w:r>
      <w:r w:rsidR="007458D0">
        <w:t xml:space="preserve"> aleb</w:t>
      </w:r>
      <w:r w:rsidRPr="00B96D19">
        <w:t>o exantém), žihľavka (červený, svrbiaci hrbolatý kožný výsev)</w:t>
      </w:r>
      <w:r w:rsidR="008A1149">
        <w:t xml:space="preserve"> na povrchu kože (urtikária)</w:t>
      </w:r>
      <w:r w:rsidRPr="00B96D19">
        <w:t>, horúčka, opuch pod kožou (angioedém) a/alebo opuch tkanív pľúc s možn</w:t>
      </w:r>
      <w:r w:rsidR="007458D0">
        <w:t>ým</w:t>
      </w:r>
      <w:r w:rsidRPr="00B96D19">
        <w:t xml:space="preserve"> kašľ</w:t>
      </w:r>
      <w:r w:rsidR="007458D0">
        <w:t>om</w:t>
      </w:r>
      <w:r w:rsidRPr="00B96D19">
        <w:t xml:space="preserve"> a ťažkos</w:t>
      </w:r>
      <w:r w:rsidR="007458D0">
        <w:t>ťami</w:t>
      </w:r>
      <w:r w:rsidRPr="00B96D19">
        <w:t xml:space="preserve"> s dýchaním (intersticiálna pneumónia alebo pneumonitída), </w:t>
      </w:r>
      <w:r w:rsidR="008A1149">
        <w:t>keďže</w:t>
      </w:r>
      <w:r w:rsidRPr="00B96D19">
        <w:t xml:space="preserve"> tieto vedľajšie účinky</w:t>
      </w:r>
      <w:r w:rsidR="007458D0">
        <w:t xml:space="preserve"> môžu </w:t>
      </w:r>
      <w:r w:rsidRPr="00B96D19">
        <w:t>naznačovať alergickú reakciu na tento liek.</w:t>
      </w:r>
    </w:p>
    <w:p w14:paraId="1E6BA554" w14:textId="77777777" w:rsidR="00BE3314" w:rsidRPr="00B96D19" w:rsidRDefault="00BE3314" w:rsidP="00667033">
      <w:pPr>
        <w:pStyle w:val="Normlndobloku"/>
      </w:pPr>
    </w:p>
    <w:p w14:paraId="22B25871" w14:textId="2540AC78" w:rsidR="00BE3314" w:rsidRPr="00B96D19" w:rsidRDefault="00911120">
      <w:pPr>
        <w:pStyle w:val="Styl2"/>
      </w:pPr>
      <w:r w:rsidRPr="00B96D19">
        <w:t xml:space="preserve">Zriedkavé: môžu postihovať </w:t>
      </w:r>
      <w:r w:rsidR="005B337B">
        <w:t>menej ako</w:t>
      </w:r>
      <w:r w:rsidRPr="00B96D19">
        <w:t xml:space="preserve"> 1 z 1 000 osôb</w:t>
      </w:r>
    </w:p>
    <w:p w14:paraId="2EF7A11F" w14:textId="77777777" w:rsidR="00851AB6" w:rsidRPr="00B96D19" w:rsidRDefault="00911120" w:rsidP="000A2067">
      <w:pPr>
        <w:pStyle w:val="Normlndoblokusodrkami"/>
      </w:pPr>
      <w:r w:rsidRPr="00B96D19">
        <w:t>žltačka (žlté sfarbenie kože a očných bielok)</w:t>
      </w:r>
    </w:p>
    <w:p w14:paraId="6CECF355" w14:textId="77777777" w:rsidR="00851AB6" w:rsidRPr="00B96D19" w:rsidRDefault="00851AB6" w:rsidP="000A2067">
      <w:pPr>
        <w:pStyle w:val="Normlndoblokusodrkami"/>
      </w:pPr>
      <w:r w:rsidRPr="00B96D19">
        <w:t xml:space="preserve">závažná kožná vyrážka s návalmi tepla, horúčkou, pľuzgiermi alebo </w:t>
      </w:r>
      <w:r w:rsidR="007458D0">
        <w:t>vred</w:t>
      </w:r>
      <w:r w:rsidRPr="00B96D19">
        <w:t>mi (Stevens</w:t>
      </w:r>
      <w:r w:rsidR="008A1149">
        <w:t>ov</w:t>
      </w:r>
      <w:r w:rsidRPr="00B96D19">
        <w:t>-Johnsonov syndróm) alebo závažná vyr</w:t>
      </w:r>
      <w:r w:rsidR="007458D0">
        <w:t>ážka so za</w:t>
      </w:r>
      <w:r w:rsidRPr="00B96D19">
        <w:t>červenaním, odlupovaním a opuchom kože ako pri popálení (toxická epidermálna nekrolýza).</w:t>
      </w:r>
    </w:p>
    <w:p w14:paraId="593FF23F" w14:textId="77777777" w:rsidR="00BE3314" w:rsidRPr="00B96D19" w:rsidRDefault="00BE3314" w:rsidP="00667033">
      <w:pPr>
        <w:pStyle w:val="Normlndobloku"/>
      </w:pPr>
    </w:p>
    <w:p w14:paraId="053D4A29" w14:textId="3D253EDA" w:rsidR="00BE3314" w:rsidRPr="00B96D19" w:rsidRDefault="00911120">
      <w:pPr>
        <w:pStyle w:val="Styl2"/>
      </w:pPr>
      <w:r w:rsidRPr="00B96D19">
        <w:t xml:space="preserve">Veľmi zriedkavé: môžu postihovať </w:t>
      </w:r>
      <w:r w:rsidR="005B337B">
        <w:t>menej ako</w:t>
      </w:r>
      <w:r w:rsidRPr="00B96D19">
        <w:t xml:space="preserve"> 1 z 10 000 osôb</w:t>
      </w:r>
    </w:p>
    <w:p w14:paraId="1B52B042" w14:textId="7DDADB23" w:rsidR="00BE3314" w:rsidRDefault="00911120" w:rsidP="000A2067">
      <w:pPr>
        <w:pStyle w:val="Normlndobloku"/>
        <w:numPr>
          <w:ilvl w:val="0"/>
          <w:numId w:val="12"/>
        </w:numPr>
      </w:pPr>
      <w:r w:rsidRPr="00B96D19">
        <w:t xml:space="preserve">závažná </w:t>
      </w:r>
      <w:r w:rsidR="007458D0">
        <w:t>alergická reakcia (anafylaktický</w:t>
      </w:r>
      <w:r w:rsidRPr="00B96D19">
        <w:t xml:space="preserve"> šok) s</w:t>
      </w:r>
      <w:r w:rsidR="005B337B">
        <w:t> ťažkosťami s</w:t>
      </w:r>
      <w:r w:rsidRPr="00B96D19">
        <w:t xml:space="preserve"> dýchaním, opuchom hrdla, tváre, očných viečok alebo pier, zvýšenou srdcovou frekvenciou a poklesom krvného tlaku. </w:t>
      </w:r>
      <w:r w:rsidR="007458D0">
        <w:t>Táto reakcia</w:t>
      </w:r>
      <w:r w:rsidRPr="00B96D19">
        <w:t xml:space="preserve"> sa môže začať prejavova</w:t>
      </w:r>
      <w:r w:rsidR="007458D0">
        <w:t>ť krátko po p</w:t>
      </w:r>
      <w:r w:rsidRPr="00B96D19">
        <w:t xml:space="preserve">rvom použití lieku alebo s oneskorením. </w:t>
      </w:r>
    </w:p>
    <w:p w14:paraId="4E4091A4" w14:textId="77777777" w:rsidR="005B337B" w:rsidRPr="00B96D19" w:rsidRDefault="005B337B" w:rsidP="00667033">
      <w:pPr>
        <w:pStyle w:val="Normlndobloku"/>
      </w:pPr>
    </w:p>
    <w:p w14:paraId="1E202D3A" w14:textId="77777777" w:rsidR="00BE3314" w:rsidRPr="00B96D19" w:rsidRDefault="00911120">
      <w:pPr>
        <w:pStyle w:val="Styl2"/>
      </w:pPr>
      <w:r w:rsidRPr="00B96D19">
        <w:t>Nasledujúce vedľajšie účinky boli hlásené s neznámou častosťou výskytu:</w:t>
      </w:r>
    </w:p>
    <w:p w14:paraId="5373CC15" w14:textId="711ECFCE" w:rsidR="00851AB6" w:rsidRPr="00B96D19" w:rsidRDefault="00911120" w:rsidP="000A2067">
      <w:pPr>
        <w:pStyle w:val="Normlndoblokusodrkami"/>
      </w:pPr>
      <w:r w:rsidRPr="00B96D19">
        <w:t xml:space="preserve">silné a časté hnačky, občas </w:t>
      </w:r>
      <w:r w:rsidR="005B337B">
        <w:t>obsahujúce</w:t>
      </w:r>
      <w:r w:rsidRPr="00B96D19">
        <w:t xml:space="preserve"> krv, čo môže naznačovať vážnejší stav (pseudomembranózna kolitída).</w:t>
      </w:r>
    </w:p>
    <w:p w14:paraId="1C691C72" w14:textId="77777777" w:rsidR="00BE3314" w:rsidRPr="00B96D19" w:rsidRDefault="00BE3314" w:rsidP="00667033">
      <w:pPr>
        <w:pStyle w:val="Normlndobloku"/>
      </w:pPr>
    </w:p>
    <w:p w14:paraId="0774FA97" w14:textId="77777777" w:rsidR="00BE3314" w:rsidRPr="00B96D19" w:rsidRDefault="00851AB6">
      <w:pPr>
        <w:pStyle w:val="Styl2"/>
        <w:rPr>
          <w:b w:val="0"/>
          <w:u w:val="single"/>
        </w:rPr>
      </w:pPr>
      <w:r w:rsidRPr="00B96D19">
        <w:rPr>
          <w:b w:val="0"/>
          <w:u w:val="single"/>
        </w:rPr>
        <w:t>Nasledujúce vedľajšie účinky</w:t>
      </w:r>
      <w:r w:rsidR="00911120" w:rsidRPr="00B96D19">
        <w:rPr>
          <w:b w:val="0"/>
          <w:u w:val="single"/>
        </w:rPr>
        <w:t xml:space="preserve"> sa môžu </w:t>
      </w:r>
      <w:r w:rsidR="005B337B">
        <w:rPr>
          <w:b w:val="0"/>
          <w:u w:val="single"/>
        </w:rPr>
        <w:t xml:space="preserve">tiež </w:t>
      </w:r>
      <w:r w:rsidR="00911120" w:rsidRPr="00B96D19">
        <w:rPr>
          <w:b w:val="0"/>
          <w:u w:val="single"/>
        </w:rPr>
        <w:t>prejaviť počas používania liekov s obsahom cefazolínu</w:t>
      </w:r>
      <w:r w:rsidRPr="00B96D19">
        <w:rPr>
          <w:b w:val="0"/>
          <w:u w:val="single"/>
        </w:rPr>
        <w:t>:</w:t>
      </w:r>
    </w:p>
    <w:p w14:paraId="2DBE16AC" w14:textId="77777777" w:rsidR="00BE3314" w:rsidRPr="00B96D19" w:rsidRDefault="00BE3314" w:rsidP="00667033">
      <w:pPr>
        <w:pStyle w:val="Normlndobloku"/>
      </w:pPr>
    </w:p>
    <w:p w14:paraId="70789794" w14:textId="46170BF8" w:rsidR="00BE3314" w:rsidRPr="00B96D19" w:rsidRDefault="00911120">
      <w:pPr>
        <w:pStyle w:val="Styl2"/>
      </w:pPr>
      <w:r w:rsidRPr="00B96D19">
        <w:t xml:space="preserve">Časté: môžu postihovať </w:t>
      </w:r>
      <w:r w:rsidR="005B337B">
        <w:t>menej ako</w:t>
      </w:r>
      <w:r w:rsidRPr="00B96D19">
        <w:t xml:space="preserve"> 1 z 10 osôb</w:t>
      </w:r>
    </w:p>
    <w:p w14:paraId="5D5BF376" w14:textId="77777777" w:rsidR="00851AB6" w:rsidRPr="00B96D19" w:rsidRDefault="00911120" w:rsidP="000A2067">
      <w:pPr>
        <w:pStyle w:val="Normlndoblokusodrkami"/>
      </w:pPr>
      <w:r w:rsidRPr="00B96D19">
        <w:t xml:space="preserve">mierne poruchy tráviaceho traktu (strata chuti do jedla, hnačka, nevoľnosť, vracanie, silná a častá hnačka). Tieto vedľajšie účinky zvyčajne vymiznú po pár dňoch. </w:t>
      </w:r>
    </w:p>
    <w:p w14:paraId="2B97E8E2" w14:textId="7D3305ED" w:rsidR="00851AB6" w:rsidRPr="00B96D19" w:rsidRDefault="00911120" w:rsidP="000A2067">
      <w:pPr>
        <w:pStyle w:val="Normlndoblokusodrkami"/>
      </w:pPr>
      <w:r w:rsidRPr="00B96D19">
        <w:t xml:space="preserve">injekcia do svalu môže spôsobiť bolesť v mieste vpichu, niekedy so </w:t>
      </w:r>
      <w:r w:rsidR="005B337B">
        <w:t>s</w:t>
      </w:r>
      <w:r w:rsidRPr="00B96D19">
        <w:t>tvrdnutím kože a mäkkých tkanív v mieste podania injekcie.</w:t>
      </w:r>
    </w:p>
    <w:p w14:paraId="7DCDF8F8" w14:textId="77777777" w:rsidR="00851AB6" w:rsidRPr="00B96D19" w:rsidRDefault="00851AB6" w:rsidP="00667033">
      <w:pPr>
        <w:pStyle w:val="Normlndobloku"/>
      </w:pPr>
    </w:p>
    <w:p w14:paraId="61D53E40" w14:textId="29775753" w:rsidR="00851AB6" w:rsidRPr="00B96D19" w:rsidRDefault="00851AB6" w:rsidP="00851AB6">
      <w:pPr>
        <w:pStyle w:val="Styl2"/>
      </w:pPr>
      <w:r w:rsidRPr="00B96D19">
        <w:t xml:space="preserve">Menej časté: môžu postihovať </w:t>
      </w:r>
      <w:r w:rsidR="005B337B">
        <w:t>menej ako</w:t>
      </w:r>
      <w:r w:rsidRPr="00B96D19">
        <w:t xml:space="preserve"> 1 zo 100 osôb</w:t>
      </w:r>
    </w:p>
    <w:p w14:paraId="4CC1F657" w14:textId="625DD94D" w:rsidR="00851AB6" w:rsidRPr="00B96D19" w:rsidRDefault="00911120" w:rsidP="000A2067">
      <w:pPr>
        <w:pStyle w:val="Normlndoblokusodrkami"/>
      </w:pPr>
      <w:r w:rsidRPr="00B96D19">
        <w:t xml:space="preserve">kvasinková infekcia sliznice </w:t>
      </w:r>
      <w:r w:rsidR="004568BF" w:rsidRPr="00B96D19">
        <w:t xml:space="preserve">ústnej </w:t>
      </w:r>
      <w:r w:rsidRPr="00B96D19">
        <w:t>dutiny (hrubé biele alebo krémov</w:t>
      </w:r>
      <w:r w:rsidR="003856B2">
        <w:t>o-sfarbené</w:t>
      </w:r>
      <w:r w:rsidRPr="00B96D19">
        <w:t xml:space="preserve"> nánosy v ústach a na jazyku).</w:t>
      </w:r>
    </w:p>
    <w:p w14:paraId="48144052" w14:textId="45664A1F" w:rsidR="00851AB6" w:rsidRPr="00B96D19" w:rsidRDefault="005B337B" w:rsidP="000A2067">
      <w:pPr>
        <w:pStyle w:val="Normlndoblokusodrkami"/>
      </w:pPr>
      <w:r>
        <w:t>záchvaty/</w:t>
      </w:r>
      <w:r w:rsidR="00911120" w:rsidRPr="00B96D19">
        <w:t>kŕče u pacientov s poruchou funkcie obličiek.</w:t>
      </w:r>
    </w:p>
    <w:p w14:paraId="4BF46606" w14:textId="77777777" w:rsidR="00851AB6" w:rsidRPr="00B96D19" w:rsidRDefault="00851AB6" w:rsidP="000A2067">
      <w:pPr>
        <w:pStyle w:val="Normlndoblokusodrkami"/>
      </w:pPr>
      <w:r w:rsidRPr="00B96D19">
        <w:lastRenderedPageBreak/>
        <w:t>opuch žily spôsobený vytvorením krvnej zrazeniny po podaní injekcie do svalu (tromboflebitída).</w:t>
      </w:r>
    </w:p>
    <w:p w14:paraId="79FAE505" w14:textId="77777777" w:rsidR="00851AB6" w:rsidRPr="00B96D19" w:rsidRDefault="00851AB6" w:rsidP="00A836BB">
      <w:pPr>
        <w:pStyle w:val="Normlndoblokusodrkami"/>
      </w:pPr>
    </w:p>
    <w:p w14:paraId="2930DFC9" w14:textId="0036575D" w:rsidR="00851AB6" w:rsidRPr="00A836BB" w:rsidRDefault="00851AB6" w:rsidP="00A836BB">
      <w:pPr>
        <w:pStyle w:val="Normlndoblokusodrkami"/>
      </w:pPr>
      <w:r w:rsidRPr="00A836BB">
        <w:t xml:space="preserve">Zriedkavé: môžu postihovať </w:t>
      </w:r>
      <w:r w:rsidR="003856B2">
        <w:t>menej ako</w:t>
      </w:r>
      <w:r w:rsidRPr="00A836BB">
        <w:t xml:space="preserve"> 1 z 1 000 osôb</w:t>
      </w:r>
    </w:p>
    <w:p w14:paraId="5305FC4F" w14:textId="77777777" w:rsidR="000D1439" w:rsidRPr="00B96D19" w:rsidRDefault="00911120" w:rsidP="000A2067">
      <w:pPr>
        <w:pStyle w:val="Normlndoblokusodrkami"/>
      </w:pPr>
      <w:r w:rsidRPr="00B96D19">
        <w:t>bakteriálna infekcia mužských alebo ženských pohlavných orgánov s príznakmi ako sú svrbenie, začervenanie, opuch a výtok u žien (genitálna kandidóza, monoliáza, vaginitída).</w:t>
      </w:r>
    </w:p>
    <w:p w14:paraId="27AD37D2" w14:textId="77777777" w:rsidR="000D1439" w:rsidRPr="00B96D19" w:rsidRDefault="00911120" w:rsidP="000A2067">
      <w:pPr>
        <w:pStyle w:val="Normlndoblokusodrkami"/>
      </w:pPr>
      <w:r w:rsidRPr="00B96D19">
        <w:t>zvýšenie alebo zníženie hladiny cukru v krvi (hyperglykémia alebo hypoglykémia).</w:t>
      </w:r>
    </w:p>
    <w:p w14:paraId="3B4333F4" w14:textId="77777777" w:rsidR="00851AB6" w:rsidRPr="00B96D19" w:rsidRDefault="004568BF" w:rsidP="000A2067">
      <w:pPr>
        <w:pStyle w:val="Normlndoblokusodrkami"/>
      </w:pPr>
      <w:r>
        <w:t>zvratné</w:t>
      </w:r>
      <w:r w:rsidR="00911120" w:rsidRPr="00B96D19">
        <w:t xml:space="preserve"> nezvyčajné výsledky krvných testov vrátane zníženia alebo zvýšenia počtu červených alebo bielych krvných buniek (leukopénia, granulocytopénia, neutropénia, trombocytopénia, leukocytóza, granulocytóza, monocytóza, lymfocytopénia, bazofília a eozinofília), čo môže sp</w:t>
      </w:r>
      <w:r>
        <w:t>ô</w:t>
      </w:r>
      <w:r w:rsidR="00911120" w:rsidRPr="00B96D19">
        <w:t>sobiť krvácanie, ľahkú tvorbu modrín a/alebo zmenu farby kože (potvrdené krv</w:t>
      </w:r>
      <w:r>
        <w:t>n</w:t>
      </w:r>
      <w:r w:rsidR="00911120" w:rsidRPr="00B96D19">
        <w:t>ým testom).</w:t>
      </w:r>
    </w:p>
    <w:p w14:paraId="1C2CE81E" w14:textId="3FC244EE" w:rsidR="006F3597" w:rsidRPr="00B96D19" w:rsidRDefault="00911120" w:rsidP="000A2067">
      <w:pPr>
        <w:pStyle w:val="Normlndoblokusodrkami"/>
      </w:pPr>
      <w:r w:rsidRPr="00B96D19">
        <w:t xml:space="preserve">pocity závratu, únava a celkový pocit </w:t>
      </w:r>
      <w:r w:rsidR="006E27DB">
        <w:t>choroby</w:t>
      </w:r>
      <w:r w:rsidRPr="00B96D19">
        <w:t>.</w:t>
      </w:r>
    </w:p>
    <w:p w14:paraId="01D17D86" w14:textId="77777777" w:rsidR="006F3597" w:rsidRPr="00B96D19" w:rsidRDefault="00911120" w:rsidP="000A2067">
      <w:pPr>
        <w:pStyle w:val="Normlndoblokusodrkami"/>
      </w:pPr>
      <w:r w:rsidRPr="00B96D19">
        <w:t>bolesť na hrudníku, nadbytok tekutiny v pľúcach, dýchavičnosť, kašeľ, upchaný nos (rinitída).</w:t>
      </w:r>
    </w:p>
    <w:p w14:paraId="5CC9411D" w14:textId="3808E162" w:rsidR="00900DCD" w:rsidRPr="00B96D19" w:rsidRDefault="00911120" w:rsidP="000A2067">
      <w:pPr>
        <w:pStyle w:val="Normlndoblokusodrkami"/>
      </w:pPr>
      <w:r w:rsidRPr="00B96D19">
        <w:t>problémy s pečeňou (ako je prechodné zvýšenie hladiny alkalickej fosfatá</w:t>
      </w:r>
      <w:r w:rsidR="004568BF">
        <w:t>zy alebo prechodn</w:t>
      </w:r>
      <w:r w:rsidR="006E27DB">
        <w:t>ý</w:t>
      </w:r>
      <w:r w:rsidR="004568BF">
        <w:t xml:space="preserve"> </w:t>
      </w:r>
      <w:r w:rsidR="006E27DB">
        <w:t>zápal pečene</w:t>
      </w:r>
      <w:r w:rsidR="004568BF">
        <w:t>) s</w:t>
      </w:r>
      <w:r w:rsidRPr="00B96D19">
        <w:t xml:space="preserve"> príznakmi</w:t>
      </w:r>
      <w:r w:rsidR="004568BF">
        <w:t>,</w:t>
      </w:r>
      <w:r w:rsidRPr="00B96D19">
        <w:t xml:space="preserve"> ako je zvýšenie hladiny pečeňových enzýmov (alaníntransamináza (ALT), aspartáttransamináza (AST), gamaglutamyltranspeptidáza (gama-GT</w:t>
      </w:r>
      <w:r w:rsidR="004568BF">
        <w:t>)</w:t>
      </w:r>
      <w:r w:rsidRPr="00B96D19">
        <w:t>, laktátdehydrogenáza (LDH)</w:t>
      </w:r>
      <w:r w:rsidR="004568BF">
        <w:t>)</w:t>
      </w:r>
      <w:r w:rsidRPr="00B96D19">
        <w:t xml:space="preserve"> a bilirubínu (produkt rozpadu krvných buniek) v žlči alebo moči (zistené krvným testom).</w:t>
      </w:r>
    </w:p>
    <w:p w14:paraId="2FD3E1A9" w14:textId="77777777" w:rsidR="00BE3314" w:rsidRPr="00B96D19" w:rsidRDefault="00911120" w:rsidP="000A2067">
      <w:pPr>
        <w:pStyle w:val="Normlndoblokusodrkami"/>
      </w:pPr>
      <w:r w:rsidRPr="00B96D19">
        <w:t xml:space="preserve">problémy s obličkami (nefrotoxicita, intersticiálna nefritída, </w:t>
      </w:r>
      <w:r w:rsidR="009A0F55">
        <w:t>bližšie neurčená</w:t>
      </w:r>
      <w:r w:rsidRPr="00B96D19">
        <w:t xml:space="preserve"> nefropatia, proteinúria) s príznakmi</w:t>
      </w:r>
      <w:r w:rsidR="009A0F55">
        <w:t>,</w:t>
      </w:r>
      <w:r w:rsidRPr="00B96D19">
        <w:t xml:space="preserve"> ako sú opuch obličky a zvýšenie hladiny dusíka v tele, čo možno zistiť testom z moču; príznaky sa väčšinou vyskytujú iba u pacientov používajúcich cefazolín súbežne s inými liekmi, ktoré môžu spôsobiť problémy s obličkami.</w:t>
      </w:r>
    </w:p>
    <w:p w14:paraId="6E84DEFE" w14:textId="77777777" w:rsidR="00851AB6" w:rsidRPr="00B96D19" w:rsidRDefault="00911120" w:rsidP="00A836BB">
      <w:pPr>
        <w:pStyle w:val="Normlndoblokusodrkami"/>
      </w:pPr>
      <w:r w:rsidRPr="00B96D19">
        <w:t xml:space="preserve"> </w:t>
      </w:r>
    </w:p>
    <w:p w14:paraId="7A6BA4DD" w14:textId="47BB4219" w:rsidR="00BE3314" w:rsidRPr="00B96D19" w:rsidRDefault="00911120">
      <w:pPr>
        <w:pStyle w:val="Styl2"/>
      </w:pPr>
      <w:r w:rsidRPr="00B96D19">
        <w:t xml:space="preserve">Veľmi zriedkavé: môžu postihovať </w:t>
      </w:r>
      <w:r w:rsidR="006E27DB">
        <w:t>menej ako</w:t>
      </w:r>
      <w:r w:rsidRPr="00B96D19">
        <w:t xml:space="preserve"> 1 z 10 000 osôb</w:t>
      </w:r>
    </w:p>
    <w:p w14:paraId="0EA0B663" w14:textId="77777777" w:rsidR="002638D8" w:rsidRPr="00B96D19" w:rsidRDefault="00851AB6" w:rsidP="000A2067">
      <w:pPr>
        <w:pStyle w:val="Normlndoblokusodrkami"/>
      </w:pPr>
      <w:r w:rsidRPr="00B96D19">
        <w:t>svrbenie konečníka a pohlavných orgánov (pruritus).</w:t>
      </w:r>
    </w:p>
    <w:p w14:paraId="4681B06F" w14:textId="77777777" w:rsidR="00851AB6" w:rsidRPr="00B96D19" w:rsidRDefault="00851AB6" w:rsidP="000A2067">
      <w:pPr>
        <w:pStyle w:val="Normlndoblokusodrkami"/>
      </w:pPr>
      <w:r w:rsidRPr="00B96D19">
        <w:t xml:space="preserve">porucha zrážanlivosti krvi, čo môže viesť k zvýšenému krvácaniu. Stav sa môže upraviť </w:t>
      </w:r>
      <w:r w:rsidR="008709DC">
        <w:t xml:space="preserve">pri </w:t>
      </w:r>
      <w:r w:rsidRPr="00B96D19">
        <w:t>zvýšen</w:t>
      </w:r>
      <w:r w:rsidR="008709DC">
        <w:t>om príjme</w:t>
      </w:r>
      <w:r w:rsidRPr="00B96D19">
        <w:t xml:space="preserve"> vitamínu K, čo treba potvrdiť</w:t>
      </w:r>
      <w:r w:rsidR="008709DC">
        <w:t xml:space="preserve"> </w:t>
      </w:r>
      <w:r w:rsidRPr="00B96D19">
        <w:t>krvným testom (pozri časť 2).</w:t>
      </w:r>
    </w:p>
    <w:p w14:paraId="785A5C33" w14:textId="35ADC33C" w:rsidR="00851AB6" w:rsidRPr="00B96D19" w:rsidRDefault="00851AB6" w:rsidP="000A2067">
      <w:pPr>
        <w:pStyle w:val="Normlndoblokusodrkami"/>
      </w:pPr>
      <w:r w:rsidRPr="00B96D19">
        <w:t>poruchy spánku vrátane nočných mô</w:t>
      </w:r>
      <w:r w:rsidR="008709DC">
        <w:t>r</w:t>
      </w:r>
      <w:r w:rsidR="009261F0" w:rsidRPr="00B96D19">
        <w:t xml:space="preserve"> a</w:t>
      </w:r>
      <w:r w:rsidRPr="00B96D19">
        <w:t xml:space="preserve"> nespavos</w:t>
      </w:r>
      <w:r w:rsidR="006E27DB">
        <w:t>ti</w:t>
      </w:r>
      <w:r w:rsidR="009261F0" w:rsidRPr="00B96D19">
        <w:t xml:space="preserve"> (insomnia).</w:t>
      </w:r>
    </w:p>
    <w:p w14:paraId="3D90147A" w14:textId="4789191B" w:rsidR="00851AB6" w:rsidRPr="00B96D19" w:rsidRDefault="009261F0" w:rsidP="000A2067">
      <w:pPr>
        <w:pStyle w:val="Normlndoblokusodrkami"/>
      </w:pPr>
      <w:r w:rsidRPr="00B96D19">
        <w:t>pocity nervozity alebo úzkosti</w:t>
      </w:r>
      <w:r w:rsidR="00851AB6" w:rsidRPr="00B96D19">
        <w:t xml:space="preserve">, ospalosť, slabosť, návaly tepla, poruchy </w:t>
      </w:r>
      <w:r w:rsidR="001E5850">
        <w:t>far</w:t>
      </w:r>
      <w:r w:rsidR="006E27DB">
        <w:t>ebného videnia</w:t>
      </w:r>
      <w:r w:rsidR="00851AB6" w:rsidRPr="00B96D19">
        <w:t xml:space="preserve">, </w:t>
      </w:r>
      <w:r w:rsidRPr="00B96D19">
        <w:t>závrat a</w:t>
      </w:r>
      <w:r w:rsidR="001E5850">
        <w:t> </w:t>
      </w:r>
      <w:r w:rsidR="00851AB6" w:rsidRPr="00B96D19">
        <w:t>epilept</w:t>
      </w:r>
      <w:r w:rsidRPr="00B96D19">
        <w:t>ické záchvaty</w:t>
      </w:r>
      <w:r w:rsidR="00851AB6" w:rsidRPr="00B96D19">
        <w:t xml:space="preserve"> (</w:t>
      </w:r>
      <w:r w:rsidRPr="00B96D19">
        <w:t>mimovoľné rýchle a opakujúce sa sťahy a uvoľnenie svalstva</w:t>
      </w:r>
      <w:r w:rsidR="00851AB6" w:rsidRPr="00B96D19">
        <w:t>)</w:t>
      </w:r>
      <w:r w:rsidRPr="00B96D19">
        <w:t>.</w:t>
      </w:r>
    </w:p>
    <w:p w14:paraId="5B6E6136" w14:textId="77777777" w:rsidR="00851AB6" w:rsidRPr="00B96D19" w:rsidRDefault="00851AB6" w:rsidP="00667033">
      <w:pPr>
        <w:pStyle w:val="Normlndobloku"/>
      </w:pPr>
    </w:p>
    <w:p w14:paraId="34944D1A" w14:textId="77777777" w:rsidR="00BE3314" w:rsidRPr="00B96D19" w:rsidRDefault="009261F0">
      <w:pPr>
        <w:pStyle w:val="Styl2"/>
      </w:pPr>
      <w:r w:rsidRPr="00B96D19">
        <w:t>Neznáme: častosť výskytu nemožno odhadnúť z dostupných údajov</w:t>
      </w:r>
    </w:p>
    <w:p w14:paraId="385EBB48" w14:textId="77777777" w:rsidR="009261F0" w:rsidRPr="00B96D19" w:rsidRDefault="009261F0" w:rsidP="000A2067">
      <w:pPr>
        <w:pStyle w:val="Normlndoblokusodrkami"/>
      </w:pPr>
      <w:r w:rsidRPr="00B96D19">
        <w:t>dlhodobá a opakovaná liečba cefazolínom vedie k ďalšej infekcií hubami a baktériami</w:t>
      </w:r>
      <w:r w:rsidR="00D42AB7" w:rsidRPr="00B96D19">
        <w:t xml:space="preserve"> rezistentnými na cefazolín </w:t>
      </w:r>
      <w:r w:rsidRPr="00B96D19">
        <w:t>(</w:t>
      </w:r>
      <w:r w:rsidR="00D42AB7" w:rsidRPr="00B96D19">
        <w:t>superinfekcia</w:t>
      </w:r>
      <w:r w:rsidRPr="00B96D19">
        <w:t>).</w:t>
      </w:r>
    </w:p>
    <w:p w14:paraId="25439505" w14:textId="77777777" w:rsidR="00BE3314" w:rsidRPr="00B96D19" w:rsidRDefault="00BE3314" w:rsidP="00667033">
      <w:pPr>
        <w:pStyle w:val="Normlndobloku"/>
      </w:pPr>
    </w:p>
    <w:p w14:paraId="2CB8AED1" w14:textId="77777777" w:rsidR="00BE3314" w:rsidRPr="00B96D19" w:rsidRDefault="00911120">
      <w:pPr>
        <w:pStyle w:val="Styl2"/>
      </w:pPr>
      <w:r w:rsidRPr="00B96D19">
        <w:t>Hlásenie vedľajších účinkov</w:t>
      </w:r>
    </w:p>
    <w:p w14:paraId="44176523" w14:textId="77777777" w:rsidR="00BE3314" w:rsidRPr="00B96D19" w:rsidRDefault="00911120" w:rsidP="00667033">
      <w:pPr>
        <w:pStyle w:val="Normlndobloku"/>
      </w:pPr>
      <w:r w:rsidRPr="00B96D19">
        <w:t>Ak sa u vás vyskytne akýkoľvek vedľajší účinok, obráťte sa na svojho lekára</w:t>
      </w:r>
      <w:r w:rsidR="00D42AB7" w:rsidRPr="00B96D19">
        <w:t>,</w:t>
      </w:r>
      <w:r w:rsidRPr="00B96D19">
        <w:t xml:space="preserve"> lekárnika</w:t>
      </w:r>
      <w:r w:rsidR="00D42AB7" w:rsidRPr="00B96D19">
        <w:t xml:space="preserve"> alebo zdravotnú sestru</w:t>
      </w:r>
      <w:r w:rsidRPr="00B96D19">
        <w:t xml:space="preserve">. To sa týka aj akýchkoľvek vedľajších účinkov, ktoré nie sú uvedené v tejto písomnej informácii. Vedľajšie účinky môžete hlásiť aj priamo </w:t>
      </w:r>
      <w:r w:rsidR="00D42AB7" w:rsidRPr="00B96D19">
        <w:t>na</w:t>
      </w:r>
      <w:r w:rsidRPr="00B96D19">
        <w:t xml:space="preserve"> </w:t>
      </w:r>
      <w:r w:rsidRPr="00B96D19">
        <w:rPr>
          <w:highlight w:val="lightGray"/>
        </w:rPr>
        <w:t>národné centrum hlásenia uvedené v </w:t>
      </w:r>
      <w:hyperlink r:id="rId8" w:history="1">
        <w:r w:rsidRPr="00593308">
          <w:rPr>
            <w:rStyle w:val="Hypertextovprepojenie"/>
            <w:highlight w:val="lightGray"/>
          </w:rPr>
          <w:t>Prílohe V</w:t>
        </w:r>
      </w:hyperlink>
      <w:r w:rsidR="00851AB6" w:rsidRPr="00593308">
        <w:rPr>
          <w:highlight w:val="lightGray"/>
        </w:rPr>
        <w:t>.</w:t>
      </w:r>
      <w:r w:rsidR="00851AB6" w:rsidRPr="00B96D19">
        <w:t xml:space="preserve"> Hlásením vedľajších účinkov môžete prispieť k získaniu ďalších informácií o bezpečnosti tohto lieku.</w:t>
      </w:r>
    </w:p>
    <w:p w14:paraId="508FC80E" w14:textId="77777777" w:rsidR="00BE3314" w:rsidRPr="00B96D19" w:rsidRDefault="00BE3314" w:rsidP="00667033">
      <w:pPr>
        <w:pStyle w:val="Normlndobloku"/>
      </w:pPr>
    </w:p>
    <w:p w14:paraId="36FAA0D8" w14:textId="77777777" w:rsidR="00BE3314" w:rsidRPr="00B96D19" w:rsidRDefault="00BE3314" w:rsidP="00667033">
      <w:pPr>
        <w:pStyle w:val="Normlndobloku"/>
      </w:pPr>
    </w:p>
    <w:p w14:paraId="47F95D8D" w14:textId="71950D01" w:rsidR="00BB06C8" w:rsidRPr="00B96D19" w:rsidRDefault="00851AB6" w:rsidP="007262A1">
      <w:pPr>
        <w:pStyle w:val="Styl1"/>
        <w:spacing w:before="0" w:after="0"/>
        <w:rPr>
          <w:lang w:val="sk-SK"/>
        </w:rPr>
      </w:pPr>
      <w:r w:rsidRPr="00B96D19">
        <w:rPr>
          <w:lang w:val="sk-SK"/>
        </w:rPr>
        <w:t>A</w:t>
      </w:r>
      <w:r w:rsidRPr="00B96D19">
        <w:rPr>
          <w:caps w:val="0"/>
          <w:lang w:val="sk-SK"/>
        </w:rPr>
        <w:t>ko uchovávať</w:t>
      </w:r>
      <w:r w:rsidR="00843CDD" w:rsidRPr="00B96D19">
        <w:rPr>
          <w:caps w:val="0"/>
          <w:lang w:val="sk-SK"/>
        </w:rPr>
        <w:t xml:space="preserve"> Cefazol</w:t>
      </w:r>
      <w:r w:rsidR="00851942">
        <w:rPr>
          <w:caps w:val="0"/>
          <w:lang w:val="sk-SK"/>
        </w:rPr>
        <w:t>í</w:t>
      </w:r>
      <w:r w:rsidR="00843CDD" w:rsidRPr="00B96D19">
        <w:rPr>
          <w:caps w:val="0"/>
          <w:lang w:val="sk-SK"/>
        </w:rPr>
        <w:t>n Noridem</w:t>
      </w:r>
    </w:p>
    <w:p w14:paraId="4486D751" w14:textId="77777777" w:rsidR="009202A0" w:rsidRPr="00B96D19" w:rsidRDefault="009202A0">
      <w:pPr>
        <w:pStyle w:val="Styl1"/>
        <w:numPr>
          <w:ilvl w:val="0"/>
          <w:numId w:val="0"/>
        </w:numPr>
        <w:spacing w:before="0" w:after="0"/>
        <w:ind w:left="357"/>
        <w:rPr>
          <w:lang w:val="sk-SK"/>
        </w:rPr>
      </w:pPr>
    </w:p>
    <w:p w14:paraId="03FF2A40" w14:textId="77777777" w:rsidR="00BE3314" w:rsidRPr="00B96D19" w:rsidRDefault="00851AB6" w:rsidP="00667033">
      <w:pPr>
        <w:pStyle w:val="Normlndobloku"/>
      </w:pPr>
      <w:r w:rsidRPr="00B96D19">
        <w:t>Tento liek uchovávajte mimo dohľadu a dosahu detí.</w:t>
      </w:r>
    </w:p>
    <w:p w14:paraId="6F049B56" w14:textId="77777777" w:rsidR="00BE3314" w:rsidRPr="00B96D19" w:rsidRDefault="00BE3314" w:rsidP="00667033">
      <w:pPr>
        <w:pStyle w:val="Normlndobloku"/>
      </w:pPr>
    </w:p>
    <w:p w14:paraId="1EC81407" w14:textId="77777777" w:rsidR="00843CDD" w:rsidRPr="00B96D19" w:rsidRDefault="00843CDD" w:rsidP="00843CDD">
      <w:pPr>
        <w:rPr>
          <w:szCs w:val="22"/>
          <w:lang w:val="sk-SK"/>
        </w:rPr>
      </w:pPr>
      <w:r w:rsidRPr="00B96D19">
        <w:rPr>
          <w:szCs w:val="22"/>
          <w:lang w:val="sk-SK"/>
        </w:rPr>
        <w:t xml:space="preserve">Nepoužívajte tento liek po dátume exspirácie, ktorý je uvedený na </w:t>
      </w:r>
      <w:r w:rsidR="00A836BB">
        <w:rPr>
          <w:szCs w:val="22"/>
          <w:lang w:val="sk-SK"/>
        </w:rPr>
        <w:t xml:space="preserve">injekčnej </w:t>
      </w:r>
      <w:r w:rsidRPr="00B96D19">
        <w:rPr>
          <w:szCs w:val="22"/>
          <w:lang w:val="sk-SK"/>
        </w:rPr>
        <w:t>liekovke a škatuľke po EXP. Dátum exspirácie sa vzťahuje na posledný deň v danom mesiaci.</w:t>
      </w:r>
    </w:p>
    <w:p w14:paraId="7CB505AA" w14:textId="77777777" w:rsidR="00BE3314" w:rsidRPr="00B96D19" w:rsidRDefault="00BE3314" w:rsidP="00667033">
      <w:pPr>
        <w:pStyle w:val="Normlndobloku"/>
      </w:pPr>
    </w:p>
    <w:p w14:paraId="47A742A5" w14:textId="77777777" w:rsidR="00BE3314" w:rsidRPr="00B96D19" w:rsidRDefault="00851AB6" w:rsidP="00667033">
      <w:pPr>
        <w:pStyle w:val="Normlndobloku"/>
      </w:pPr>
      <w:r w:rsidRPr="00B96D19">
        <w:t xml:space="preserve">Uchovávajte pri teplote do </w:t>
      </w:r>
      <w:r w:rsidR="00843CDD" w:rsidRPr="00B96D19">
        <w:t>30</w:t>
      </w:r>
      <w:r w:rsidRPr="00B96D19">
        <w:t> °C</w:t>
      </w:r>
      <w:r w:rsidR="00843CDD" w:rsidRPr="00B96D19">
        <w:t>.</w:t>
      </w:r>
    </w:p>
    <w:p w14:paraId="76B47F64" w14:textId="77777777" w:rsidR="00BE3314" w:rsidRPr="00B96D19" w:rsidRDefault="00BE3314" w:rsidP="00667033">
      <w:pPr>
        <w:pStyle w:val="Normlndobloku"/>
      </w:pPr>
    </w:p>
    <w:p w14:paraId="05881C2A" w14:textId="77777777" w:rsidR="00BE3314" w:rsidRPr="00B96D19" w:rsidRDefault="00843CDD" w:rsidP="00667033">
      <w:pPr>
        <w:pStyle w:val="Normlndobloku"/>
      </w:pPr>
      <w:r w:rsidRPr="00B96D19">
        <w:t xml:space="preserve">Uchovávajte </w:t>
      </w:r>
      <w:r w:rsidR="00A836BB">
        <w:t xml:space="preserve">injekčné </w:t>
      </w:r>
      <w:r w:rsidRPr="00B96D19">
        <w:t>liekovky vo vonkajšom obale na ochranu pred svetlom.</w:t>
      </w:r>
    </w:p>
    <w:p w14:paraId="51AD1C0C" w14:textId="77777777" w:rsidR="00BE3314" w:rsidRPr="00B96D19" w:rsidRDefault="00BE3314" w:rsidP="00667033">
      <w:pPr>
        <w:pStyle w:val="Normlndobloku"/>
      </w:pPr>
    </w:p>
    <w:p w14:paraId="7919D950" w14:textId="7E20C44A" w:rsidR="003E0BB9" w:rsidRPr="003E0BB9" w:rsidRDefault="003E0BB9" w:rsidP="003E0BB9">
      <w:pPr>
        <w:pStyle w:val="Styl3"/>
        <w:spacing w:after="0"/>
        <w:rPr>
          <w:lang w:val="sk-SK"/>
        </w:rPr>
      </w:pPr>
      <w:r w:rsidRPr="003E0BB9">
        <w:rPr>
          <w:lang w:val="sk-SK"/>
        </w:rPr>
        <w:t>Po rekonštitúcii/riedení</w:t>
      </w:r>
    </w:p>
    <w:p w14:paraId="6FB2D3E9" w14:textId="77777777" w:rsidR="003E0BB9" w:rsidRPr="003E0BB9" w:rsidRDefault="003E0BB9" w:rsidP="00667033">
      <w:pPr>
        <w:pStyle w:val="Normlndobloku"/>
        <w:rPr>
          <w:iCs/>
        </w:rPr>
      </w:pPr>
      <w:r w:rsidRPr="003E0BB9">
        <w:lastRenderedPageBreak/>
        <w:t>Chemická a fyzikálna stabilita bola preukázaná po dobu 12 hodín pri 25 °C a až po dobu 24 hodín pri 2-8 °C.</w:t>
      </w:r>
    </w:p>
    <w:p w14:paraId="3A78899B" w14:textId="68EA06C1" w:rsidR="003E0BB9" w:rsidRPr="003E0BB9" w:rsidRDefault="003E0BB9" w:rsidP="003E0BB9">
      <w:pPr>
        <w:pStyle w:val="Styl3"/>
        <w:spacing w:after="0"/>
        <w:jc w:val="left"/>
        <w:rPr>
          <w:u w:val="none"/>
          <w:lang w:val="sk-SK"/>
        </w:rPr>
      </w:pPr>
      <w:r w:rsidRPr="003E0BB9">
        <w:rPr>
          <w:u w:val="none"/>
          <w:lang w:val="sk-SK"/>
        </w:rPr>
        <w:t xml:space="preserve">Z mikrobiologického hľadiska má byť liek použitý okamžite, pokiaľ spôsob otvárania/rekonštitúcie/riedenia nevylučuje riziko mikrobiálnej </w:t>
      </w:r>
      <w:r w:rsidR="00A836BB">
        <w:rPr>
          <w:u w:val="none"/>
          <w:lang w:val="sk-SK"/>
        </w:rPr>
        <w:t>kontaminácie</w:t>
      </w:r>
      <w:r w:rsidRPr="003E0BB9">
        <w:rPr>
          <w:u w:val="none"/>
          <w:lang w:val="sk-SK"/>
        </w:rPr>
        <w:t xml:space="preserve">. Ak nie je použitý okamžite, </w:t>
      </w:r>
      <w:r w:rsidR="00A836BB">
        <w:rPr>
          <w:u w:val="none"/>
          <w:lang w:val="sk-SK"/>
        </w:rPr>
        <w:t xml:space="preserve">za </w:t>
      </w:r>
      <w:r w:rsidRPr="003E0BB9">
        <w:rPr>
          <w:u w:val="none"/>
          <w:lang w:val="sk-SK"/>
        </w:rPr>
        <w:t>čas a podmienky uchovávania lieku pred použitím zodpoved</w:t>
      </w:r>
      <w:r w:rsidR="00A836BB">
        <w:rPr>
          <w:u w:val="none"/>
          <w:lang w:val="sk-SK"/>
        </w:rPr>
        <w:t>á</w:t>
      </w:r>
      <w:r w:rsidRPr="003E0BB9">
        <w:rPr>
          <w:u w:val="none"/>
          <w:lang w:val="sk-SK"/>
        </w:rPr>
        <w:t xml:space="preserve"> používateľ a </w:t>
      </w:r>
      <w:r w:rsidR="00A836BB">
        <w:rPr>
          <w:u w:val="none"/>
          <w:lang w:val="sk-SK"/>
        </w:rPr>
        <w:t>za normálnych okolností</w:t>
      </w:r>
      <w:r w:rsidRPr="003E0BB9">
        <w:rPr>
          <w:u w:val="none"/>
          <w:lang w:val="sk-SK"/>
        </w:rPr>
        <w:t xml:space="preserve"> nemajú byť dlhšie ako je uvedené vyššie pre zabezpečenie chemickej a fyzikálnej stability pri použití.</w:t>
      </w:r>
    </w:p>
    <w:p w14:paraId="3D43D1CE" w14:textId="77777777" w:rsidR="00BE3314" w:rsidRPr="00C66829" w:rsidRDefault="00BE3314" w:rsidP="003E0BB9">
      <w:pPr>
        <w:pStyle w:val="Styl3"/>
        <w:spacing w:after="0"/>
        <w:jc w:val="left"/>
        <w:rPr>
          <w:lang w:val="sk-SK"/>
        </w:rPr>
      </w:pPr>
    </w:p>
    <w:p w14:paraId="6DD4A526" w14:textId="77777777" w:rsidR="00BE3314" w:rsidRPr="00B96D19" w:rsidRDefault="00851AB6" w:rsidP="00667033">
      <w:pPr>
        <w:pStyle w:val="Normlndobloku"/>
      </w:pPr>
      <w:r w:rsidRPr="00B96D19">
        <w:t>Nelikvidujte lieky odpadovou vodou alebo domovým odpadom. Nepoužitý liek vráťte do lekárne. Tieto opatrenia pomôžu chrániť životné prostredie.</w:t>
      </w:r>
    </w:p>
    <w:p w14:paraId="11D0906E" w14:textId="77777777" w:rsidR="00BE3314" w:rsidRPr="00B96D19" w:rsidRDefault="00BE3314" w:rsidP="00667033">
      <w:pPr>
        <w:pStyle w:val="Normlndobloku"/>
      </w:pPr>
    </w:p>
    <w:p w14:paraId="0941758D" w14:textId="77777777" w:rsidR="00BE3314" w:rsidRPr="00B96D19" w:rsidRDefault="00BE3314" w:rsidP="00667033">
      <w:pPr>
        <w:pStyle w:val="Normlndobloku"/>
      </w:pPr>
    </w:p>
    <w:p w14:paraId="2F474E6F" w14:textId="77777777" w:rsidR="00AB3D4E" w:rsidRPr="00B96D19" w:rsidRDefault="00851AB6" w:rsidP="007262A1">
      <w:pPr>
        <w:pStyle w:val="Styl1"/>
        <w:spacing w:before="0" w:after="0"/>
        <w:rPr>
          <w:lang w:val="sk-SK"/>
        </w:rPr>
      </w:pPr>
      <w:r w:rsidRPr="00B96D19">
        <w:rPr>
          <w:lang w:val="sk-SK"/>
        </w:rPr>
        <w:t xml:space="preserve"> O</w:t>
      </w:r>
      <w:r w:rsidRPr="00B96D19">
        <w:rPr>
          <w:caps w:val="0"/>
          <w:lang w:val="sk-SK"/>
        </w:rPr>
        <w:t>bsah balenia a ďalšie informácie</w:t>
      </w:r>
    </w:p>
    <w:p w14:paraId="5D98B23E" w14:textId="77777777" w:rsidR="009202A0" w:rsidRPr="00B96D19" w:rsidRDefault="009202A0">
      <w:pPr>
        <w:pStyle w:val="Styl1"/>
        <w:numPr>
          <w:ilvl w:val="0"/>
          <w:numId w:val="0"/>
        </w:numPr>
        <w:spacing w:before="0" w:after="0"/>
        <w:ind w:left="357"/>
        <w:rPr>
          <w:lang w:val="sk-SK"/>
        </w:rPr>
      </w:pPr>
    </w:p>
    <w:p w14:paraId="45FADE06" w14:textId="75121405" w:rsidR="00BE3314" w:rsidRPr="00B96D19" w:rsidRDefault="00851AB6">
      <w:pPr>
        <w:pStyle w:val="Styl2"/>
      </w:pPr>
      <w:r w:rsidRPr="00B96D19">
        <w:t>Čo Cefazol</w:t>
      </w:r>
      <w:r w:rsidR="00851942">
        <w:t>í</w:t>
      </w:r>
      <w:r w:rsidRPr="00B96D19">
        <w:t>n Noridem obsahuje</w:t>
      </w:r>
    </w:p>
    <w:p w14:paraId="44245C6E" w14:textId="77777777" w:rsidR="00BE3314" w:rsidRPr="00B96D19" w:rsidRDefault="00BE3314">
      <w:pPr>
        <w:pStyle w:val="Styl2"/>
      </w:pPr>
    </w:p>
    <w:p w14:paraId="41FAB00B" w14:textId="77777777" w:rsidR="00851AB6" w:rsidRPr="00B96D19" w:rsidRDefault="00851AB6" w:rsidP="000A2067">
      <w:pPr>
        <w:pStyle w:val="Normlndoblokusodrkami"/>
      </w:pPr>
      <w:r w:rsidRPr="00B96D19">
        <w:t>Liečivo je cefazolín.</w:t>
      </w:r>
    </w:p>
    <w:p w14:paraId="494065CB" w14:textId="77777777" w:rsidR="00851AB6" w:rsidRPr="00B96D19" w:rsidRDefault="00AE26D4" w:rsidP="00667033">
      <w:pPr>
        <w:pStyle w:val="Normlndobloku"/>
      </w:pPr>
      <w:r w:rsidRPr="00B96D19">
        <w:t>1 g</w:t>
      </w:r>
      <w:r w:rsidR="00851AB6" w:rsidRPr="00B96D19">
        <w:t xml:space="preserve"> </w:t>
      </w:r>
      <w:r w:rsidR="00A836BB">
        <w:t xml:space="preserve">injekčná </w:t>
      </w:r>
      <w:r w:rsidR="00851AB6" w:rsidRPr="00B96D19">
        <w:t>liekovka</w:t>
      </w:r>
      <w:r w:rsidRPr="00B96D19">
        <w:t>: každá liekovka</w:t>
      </w:r>
      <w:r w:rsidR="00851AB6" w:rsidRPr="00B96D19">
        <w:t xml:space="preserve"> obsahuje 1 g cefazolínu (ako sodnú soľ cefazolínu).</w:t>
      </w:r>
    </w:p>
    <w:p w14:paraId="468E07BE" w14:textId="77777777" w:rsidR="00AE26D4" w:rsidRPr="00B96D19" w:rsidRDefault="00AE26D4" w:rsidP="00667033">
      <w:pPr>
        <w:pStyle w:val="Normlndobloku"/>
      </w:pPr>
      <w:r w:rsidRPr="00B96D19">
        <w:t xml:space="preserve">2 g </w:t>
      </w:r>
      <w:r w:rsidR="00A836BB">
        <w:t xml:space="preserve">injekčná </w:t>
      </w:r>
      <w:r w:rsidRPr="00B96D19">
        <w:t>liekovka: každá liekovka obsahuje 2 g cefazolínu (ako sodnú soľ cefazolínu).</w:t>
      </w:r>
    </w:p>
    <w:p w14:paraId="51CBEC8C" w14:textId="77777777" w:rsidR="00BE3314" w:rsidRPr="00B96D19" w:rsidRDefault="00BE3314" w:rsidP="00667033">
      <w:pPr>
        <w:pStyle w:val="Normlndobloku"/>
      </w:pPr>
    </w:p>
    <w:p w14:paraId="173E9F9D" w14:textId="5196F1F6" w:rsidR="00BE3314" w:rsidRPr="00B96D19" w:rsidRDefault="00851AB6">
      <w:pPr>
        <w:pStyle w:val="Styl2"/>
      </w:pPr>
      <w:r w:rsidRPr="00B96D19">
        <w:t>Ako vyzerá Cefazol</w:t>
      </w:r>
      <w:r w:rsidR="00851942">
        <w:t>í</w:t>
      </w:r>
      <w:r w:rsidRPr="00B96D19">
        <w:t>n Noridem a obsah balenia</w:t>
      </w:r>
    </w:p>
    <w:p w14:paraId="587DFAF6" w14:textId="77777777" w:rsidR="00593308" w:rsidRDefault="00593308" w:rsidP="00851AB6">
      <w:pPr>
        <w:pStyle w:val="Styl2"/>
      </w:pPr>
    </w:p>
    <w:p w14:paraId="7411A0A8" w14:textId="37188A9D" w:rsidR="00851AB6" w:rsidRPr="00B96D19" w:rsidRDefault="00851AB6" w:rsidP="00851AB6">
      <w:pPr>
        <w:pStyle w:val="Styl2"/>
      </w:pPr>
      <w:r w:rsidRPr="000A2067">
        <w:rPr>
          <w:b w:val="0"/>
        </w:rPr>
        <w:t>Cefazol</w:t>
      </w:r>
      <w:r w:rsidR="00851942">
        <w:rPr>
          <w:b w:val="0"/>
        </w:rPr>
        <w:t>í</w:t>
      </w:r>
      <w:r w:rsidRPr="000A2067">
        <w:rPr>
          <w:b w:val="0"/>
        </w:rPr>
        <w:t>n Noridem je biely až takmer biely prášok</w:t>
      </w:r>
      <w:r w:rsidR="00226594" w:rsidRPr="00A836BB">
        <w:rPr>
          <w:b w:val="0"/>
        </w:rPr>
        <w:t xml:space="preserve"> na</w:t>
      </w:r>
      <w:r w:rsidR="00226594" w:rsidRPr="00B96D19">
        <w:rPr>
          <w:b w:val="0"/>
        </w:rPr>
        <w:t xml:space="preserve"> injekčný/infúzny roztok. </w:t>
      </w:r>
      <w:r w:rsidRPr="00B96D19">
        <w:rPr>
          <w:b w:val="0"/>
        </w:rPr>
        <w:t>Liek je</w:t>
      </w:r>
      <w:r w:rsidR="00226594" w:rsidRPr="00B96D19">
        <w:rPr>
          <w:b w:val="0"/>
        </w:rPr>
        <w:t xml:space="preserve"> dostupný v s</w:t>
      </w:r>
      <w:r w:rsidRPr="00B96D19">
        <w:rPr>
          <w:b w:val="0"/>
        </w:rPr>
        <w:t>klenen</w:t>
      </w:r>
      <w:r w:rsidR="00226594" w:rsidRPr="00B96D19">
        <w:rPr>
          <w:b w:val="0"/>
        </w:rPr>
        <w:t>ej</w:t>
      </w:r>
      <w:r w:rsidRPr="00B96D19">
        <w:rPr>
          <w:b w:val="0"/>
        </w:rPr>
        <w:t xml:space="preserve"> </w:t>
      </w:r>
      <w:r w:rsidR="00A836BB">
        <w:rPr>
          <w:b w:val="0"/>
        </w:rPr>
        <w:t xml:space="preserve">injekčnej </w:t>
      </w:r>
      <w:r w:rsidRPr="00B96D19">
        <w:rPr>
          <w:b w:val="0"/>
        </w:rPr>
        <w:t>liekovk</w:t>
      </w:r>
      <w:r w:rsidR="00A836BB">
        <w:rPr>
          <w:b w:val="0"/>
        </w:rPr>
        <w:t>e</w:t>
      </w:r>
      <w:r w:rsidR="00226594" w:rsidRPr="00B96D19">
        <w:rPr>
          <w:b w:val="0"/>
        </w:rPr>
        <w:t xml:space="preserve"> v baleniach po 1, 10 a 50 </w:t>
      </w:r>
      <w:r w:rsidR="00A836BB">
        <w:rPr>
          <w:b w:val="0"/>
        </w:rPr>
        <w:t xml:space="preserve">injekčných </w:t>
      </w:r>
      <w:r w:rsidR="00226594" w:rsidRPr="00B96D19">
        <w:rPr>
          <w:b w:val="0"/>
        </w:rPr>
        <w:t>liekoviek.</w:t>
      </w:r>
    </w:p>
    <w:p w14:paraId="634D3F72" w14:textId="77777777" w:rsidR="00851AB6" w:rsidRPr="00B96D19" w:rsidRDefault="00851AB6" w:rsidP="00851AB6">
      <w:pPr>
        <w:pStyle w:val="Styl2"/>
      </w:pPr>
    </w:p>
    <w:p w14:paraId="2587E057" w14:textId="77777777" w:rsidR="00BE3314" w:rsidRPr="00B96D19" w:rsidRDefault="00851AB6" w:rsidP="00667033">
      <w:pPr>
        <w:pStyle w:val="Normlndobloku"/>
      </w:pPr>
      <w:r w:rsidRPr="00B96D19">
        <w:t>Na trh nemusia byť uvedené všetky veľkosti balenia.</w:t>
      </w:r>
    </w:p>
    <w:p w14:paraId="68B640F8" w14:textId="77777777" w:rsidR="00BE3314" w:rsidRPr="00B96D19" w:rsidRDefault="00BE3314" w:rsidP="00667033">
      <w:pPr>
        <w:pStyle w:val="Normlndobloku"/>
      </w:pPr>
    </w:p>
    <w:p w14:paraId="32E7625B" w14:textId="77777777" w:rsidR="00593308" w:rsidRPr="00B96D19" w:rsidRDefault="00851AB6">
      <w:pPr>
        <w:pStyle w:val="Styl2"/>
      </w:pPr>
      <w:r w:rsidRPr="00B96D19">
        <w:t xml:space="preserve">Držiteľ rozhodnutia o registrácii </w:t>
      </w:r>
    </w:p>
    <w:p w14:paraId="71B504FD" w14:textId="1BB31D53" w:rsidR="00E6129D" w:rsidRPr="007D01C6" w:rsidRDefault="00E6129D" w:rsidP="00E6129D">
      <w:pPr>
        <w:tabs>
          <w:tab w:val="left" w:pos="567"/>
        </w:tabs>
        <w:rPr>
          <w:noProof/>
          <w:lang w:val="cs-CZ"/>
        </w:rPr>
      </w:pPr>
      <w:r w:rsidRPr="007D01C6">
        <w:rPr>
          <w:noProof/>
          <w:lang w:val="cs-CZ"/>
        </w:rPr>
        <w:t xml:space="preserve">Noridem Enterprises Ltd, Makariou &amp; Evagorou 1, Mitsi Building 3, Office 115, </w:t>
      </w:r>
      <w:r w:rsidR="00A836BB">
        <w:rPr>
          <w:noProof/>
          <w:lang w:val="cs-CZ"/>
        </w:rPr>
        <w:t>Nikózia</w:t>
      </w:r>
      <w:r w:rsidRPr="007D01C6">
        <w:rPr>
          <w:noProof/>
          <w:lang w:val="cs-CZ"/>
        </w:rPr>
        <w:t xml:space="preserve"> 1065, </w:t>
      </w:r>
      <w:r>
        <w:rPr>
          <w:noProof/>
          <w:lang w:val="cs-CZ"/>
        </w:rPr>
        <w:t>Cyprus</w:t>
      </w:r>
      <w:r w:rsidR="00273CC3">
        <w:rPr>
          <w:noProof/>
          <w:lang w:val="cs-CZ"/>
        </w:rPr>
        <w:t>.</w:t>
      </w:r>
    </w:p>
    <w:p w14:paraId="488D4623" w14:textId="77777777" w:rsidR="00DC3B51" w:rsidRDefault="00DC3B51" w:rsidP="00DC3B51">
      <w:pPr>
        <w:pStyle w:val="Styl2"/>
      </w:pPr>
    </w:p>
    <w:p w14:paraId="6EC879AA" w14:textId="77777777" w:rsidR="00DC3B51" w:rsidRPr="00B96D19" w:rsidRDefault="00DC3B51" w:rsidP="00DC3B51">
      <w:pPr>
        <w:pStyle w:val="Styl2"/>
      </w:pPr>
      <w:r>
        <w:t>V</w:t>
      </w:r>
      <w:r w:rsidRPr="00B96D19">
        <w:t>ýrobca</w:t>
      </w:r>
    </w:p>
    <w:p w14:paraId="1BF05D81" w14:textId="77777777" w:rsidR="00DC3B51" w:rsidRPr="00DC3B51" w:rsidRDefault="00DC3B51" w:rsidP="00DC3B51">
      <w:pPr>
        <w:autoSpaceDE w:val="0"/>
        <w:autoSpaceDN w:val="0"/>
        <w:adjustRightInd w:val="0"/>
        <w:rPr>
          <w:noProof/>
          <w:lang w:val="cs-CZ"/>
        </w:rPr>
      </w:pPr>
      <w:r w:rsidRPr="00DC3B51">
        <w:rPr>
          <w:noProof/>
          <w:lang w:val="cs-CZ"/>
        </w:rPr>
        <w:t>DEMO S.A. Pharmaceutical Industry,</w:t>
      </w:r>
      <w:r>
        <w:rPr>
          <w:noProof/>
          <w:lang w:val="cs-CZ"/>
        </w:rPr>
        <w:t xml:space="preserve"> </w:t>
      </w:r>
      <w:r w:rsidRPr="00DC3B51">
        <w:rPr>
          <w:noProof/>
          <w:lang w:val="cs-CZ"/>
        </w:rPr>
        <w:t xml:space="preserve">21st km National Road Athens-Lamia, 14568 Krioneri, Attiki, </w:t>
      </w:r>
      <w:r>
        <w:rPr>
          <w:noProof/>
          <w:lang w:val="cs-CZ"/>
        </w:rPr>
        <w:t xml:space="preserve">Grécko, </w:t>
      </w:r>
      <w:r w:rsidRPr="00C66829">
        <w:rPr>
          <w:b/>
          <w:noProof/>
          <w:lang w:val="cs-CZ"/>
        </w:rPr>
        <w:t>T:</w:t>
      </w:r>
      <w:r w:rsidRPr="00DC3B51">
        <w:rPr>
          <w:noProof/>
          <w:lang w:val="cs-CZ"/>
        </w:rPr>
        <w:t xml:space="preserve"> +30 210 8161802, </w:t>
      </w:r>
      <w:r w:rsidRPr="00C66829">
        <w:rPr>
          <w:b/>
          <w:noProof/>
          <w:lang w:val="cs-CZ"/>
        </w:rPr>
        <w:t>F:</w:t>
      </w:r>
      <w:r w:rsidRPr="00DC3B51">
        <w:rPr>
          <w:noProof/>
          <w:lang w:val="cs-CZ"/>
        </w:rPr>
        <w:t xml:space="preserve"> +30 2108161587</w:t>
      </w:r>
      <w:r w:rsidR="00273CC3">
        <w:rPr>
          <w:noProof/>
          <w:lang w:val="cs-CZ"/>
        </w:rPr>
        <w:t>.</w:t>
      </w:r>
    </w:p>
    <w:p w14:paraId="6F3FE352" w14:textId="77777777" w:rsidR="00DC3B51" w:rsidRDefault="00DC3B51" w:rsidP="00667033">
      <w:pPr>
        <w:pStyle w:val="Normlndobloku"/>
      </w:pPr>
    </w:p>
    <w:p w14:paraId="0100A93E" w14:textId="77777777" w:rsidR="003D3D4F" w:rsidRPr="000A2067" w:rsidRDefault="00593308" w:rsidP="00667033">
      <w:pPr>
        <w:pStyle w:val="Normlndobloku"/>
        <w:rPr>
          <w:b/>
        </w:rPr>
      </w:pPr>
      <w:r w:rsidRPr="000A2067">
        <w:rPr>
          <w:b/>
        </w:rPr>
        <w:t>Liek je schválený v členských štátoch Európskeho hospodárskeho priestoru (EHP) pod nasledovnými názvami:</w:t>
      </w:r>
    </w:p>
    <w:p w14:paraId="11696B18" w14:textId="77777777" w:rsidR="00593308" w:rsidRPr="00B96D19" w:rsidRDefault="00593308" w:rsidP="00667033">
      <w:pPr>
        <w:pStyle w:val="Normlndobloku"/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6378"/>
      </w:tblGrid>
      <w:tr w:rsidR="003D3D4F" w:rsidRPr="00B96D19" w14:paraId="09467BC5" w14:textId="77777777" w:rsidTr="00C66829">
        <w:trPr>
          <w:trHeight w:val="1691"/>
        </w:trPr>
        <w:tc>
          <w:tcPr>
            <w:tcW w:w="2235" w:type="dxa"/>
          </w:tcPr>
          <w:p w14:paraId="143E3AB5" w14:textId="77777777" w:rsidR="003D3D4F" w:rsidRPr="00B96D19" w:rsidRDefault="003D3D4F" w:rsidP="00667033">
            <w:pPr>
              <w:pStyle w:val="Normlndobloku"/>
            </w:pPr>
            <w:r w:rsidRPr="00B96D19">
              <w:t>Belgicko</w:t>
            </w:r>
          </w:p>
        </w:tc>
        <w:tc>
          <w:tcPr>
            <w:tcW w:w="6378" w:type="dxa"/>
          </w:tcPr>
          <w:p w14:paraId="325EFF91" w14:textId="77777777" w:rsidR="003D3D4F" w:rsidRPr="00C66829" w:rsidRDefault="00851AB6" w:rsidP="003D3D4F">
            <w:pPr>
              <w:autoSpaceDE w:val="0"/>
              <w:autoSpaceDN w:val="0"/>
              <w:adjustRightInd w:val="0"/>
              <w:rPr>
                <w:lang w:eastAsia="el-GR"/>
              </w:rPr>
            </w:pPr>
            <w:r w:rsidRPr="00B96D19">
              <w:rPr>
                <w:color w:val="000000"/>
                <w:lang w:val="sk-SK" w:eastAsia="el-GR"/>
              </w:rPr>
              <w:t xml:space="preserve">Cefazoline Noridem 1g poudre pour solution injectable/pour perfusion </w:t>
            </w:r>
            <w:r w:rsidR="002116BA">
              <w:rPr>
                <w:color w:val="000000"/>
                <w:lang w:val="sk-SK" w:eastAsia="el-GR"/>
              </w:rPr>
              <w:t xml:space="preserve">- </w:t>
            </w:r>
            <w:r w:rsidR="002116BA" w:rsidRPr="000A13A7">
              <w:rPr>
                <w:lang w:eastAsia="el-GR"/>
              </w:rPr>
              <w:t xml:space="preserve">poeder voor oplossing voor injectie/infusie </w:t>
            </w:r>
            <w:r w:rsidR="002116BA">
              <w:rPr>
                <w:lang w:eastAsia="el-GR"/>
              </w:rPr>
              <w:t xml:space="preserve">- </w:t>
            </w:r>
            <w:r w:rsidR="002116BA" w:rsidRPr="000A13A7">
              <w:rPr>
                <w:lang w:eastAsia="el-GR"/>
              </w:rPr>
              <w:t>Pulver zur Herstellung einer Injektions-/Infusionslösung</w:t>
            </w:r>
          </w:p>
          <w:p w14:paraId="017F3CA7" w14:textId="77777777" w:rsidR="003D3D4F" w:rsidRPr="00B96D19" w:rsidRDefault="00851AB6" w:rsidP="00667033">
            <w:pPr>
              <w:pStyle w:val="Normlndobloku"/>
            </w:pPr>
            <w:r w:rsidRPr="00B96D19">
              <w:rPr>
                <w:color w:val="000000"/>
                <w:lang w:eastAsia="el-GR"/>
              </w:rPr>
              <w:t xml:space="preserve">Cefazoline Noridem 2g poudre pour solution pour </w:t>
            </w:r>
            <w:r w:rsidR="002116BA" w:rsidRPr="00B96D19">
              <w:rPr>
                <w:color w:val="000000"/>
                <w:lang w:eastAsia="el-GR"/>
              </w:rPr>
              <w:t>solution injectable</w:t>
            </w:r>
            <w:r w:rsidR="002116BA">
              <w:rPr>
                <w:color w:val="000000"/>
                <w:lang w:eastAsia="el-GR"/>
              </w:rPr>
              <w:t>/</w:t>
            </w:r>
            <w:r w:rsidRPr="00B96D19">
              <w:rPr>
                <w:color w:val="000000"/>
                <w:lang w:eastAsia="el-GR"/>
              </w:rPr>
              <w:t xml:space="preserve">perfusion </w:t>
            </w:r>
            <w:r w:rsidR="002116BA">
              <w:rPr>
                <w:color w:val="000000"/>
                <w:lang w:eastAsia="el-GR"/>
              </w:rPr>
              <w:t xml:space="preserve">- </w:t>
            </w:r>
            <w:r w:rsidR="002116BA" w:rsidRPr="000A13A7">
              <w:rPr>
                <w:lang w:eastAsia="el-GR"/>
              </w:rPr>
              <w:t xml:space="preserve">poeder voor oplossing voor injectie/infusie </w:t>
            </w:r>
            <w:r w:rsidR="002116BA">
              <w:rPr>
                <w:lang w:eastAsia="el-GR"/>
              </w:rPr>
              <w:t xml:space="preserve">- </w:t>
            </w:r>
            <w:r w:rsidR="002116BA" w:rsidRPr="000A13A7">
              <w:rPr>
                <w:lang w:eastAsia="el-GR"/>
              </w:rPr>
              <w:t>Pulver zur Herstellung einer Injektions-/Infusionslösung</w:t>
            </w:r>
          </w:p>
        </w:tc>
      </w:tr>
      <w:tr w:rsidR="003D3D4F" w:rsidRPr="0046395D" w14:paraId="6B34AF83" w14:textId="77777777" w:rsidTr="00C66829">
        <w:trPr>
          <w:trHeight w:val="1134"/>
        </w:trPr>
        <w:tc>
          <w:tcPr>
            <w:tcW w:w="2235" w:type="dxa"/>
          </w:tcPr>
          <w:p w14:paraId="7006ED06" w14:textId="77777777" w:rsidR="003D3D4F" w:rsidRPr="00B96D19" w:rsidRDefault="003D3D4F" w:rsidP="00667033">
            <w:pPr>
              <w:pStyle w:val="Normlndobloku"/>
            </w:pPr>
            <w:r w:rsidRPr="00B96D19">
              <w:t>Cyprus</w:t>
            </w:r>
          </w:p>
        </w:tc>
        <w:tc>
          <w:tcPr>
            <w:tcW w:w="6378" w:type="dxa"/>
          </w:tcPr>
          <w:p w14:paraId="54BFF291" w14:textId="77777777" w:rsidR="003D3D4F" w:rsidRPr="00B96D19" w:rsidRDefault="00851AB6" w:rsidP="003D3D4F">
            <w:pPr>
              <w:autoSpaceDE w:val="0"/>
              <w:autoSpaceDN w:val="0"/>
              <w:adjustRightInd w:val="0"/>
              <w:rPr>
                <w:color w:val="000000"/>
                <w:lang w:val="sk-SK" w:eastAsia="el-GR"/>
              </w:rPr>
            </w:pPr>
            <w:r w:rsidRPr="00B96D19">
              <w:rPr>
                <w:color w:val="000000"/>
                <w:lang w:val="sk-SK" w:eastAsia="el-GR"/>
              </w:rPr>
              <w:t xml:space="preserve">Cefazolin/Noridem 1g Κόνις για ενέσιμο διάλυμα/διάλυμα προς έγχυση </w:t>
            </w:r>
          </w:p>
          <w:p w14:paraId="62C99A63" w14:textId="77777777" w:rsidR="003D3D4F" w:rsidRPr="00B96D19" w:rsidRDefault="00851AB6" w:rsidP="00667033">
            <w:pPr>
              <w:pStyle w:val="Normlndobloku"/>
            </w:pPr>
            <w:r w:rsidRPr="00B96D19">
              <w:rPr>
                <w:lang w:eastAsia="el-GR"/>
              </w:rPr>
              <w:t xml:space="preserve">Cefazolin/ Noridem 2g Κόνις </w:t>
            </w:r>
            <w:r w:rsidR="002116BA" w:rsidRPr="00B96D19">
              <w:rPr>
                <w:color w:val="000000"/>
                <w:lang w:eastAsia="el-GR"/>
              </w:rPr>
              <w:t>για ενέσιμο διάλυμα</w:t>
            </w:r>
            <w:r w:rsidR="002116BA">
              <w:rPr>
                <w:lang w:eastAsia="el-GR"/>
              </w:rPr>
              <w:t>/</w:t>
            </w:r>
            <w:r w:rsidRPr="00B96D19">
              <w:rPr>
                <w:lang w:eastAsia="el-GR"/>
              </w:rPr>
              <w:t>για διάλυμα προς έγχυση</w:t>
            </w:r>
          </w:p>
        </w:tc>
      </w:tr>
      <w:tr w:rsidR="003D3D4F" w:rsidRPr="00B96D19" w14:paraId="6CF78999" w14:textId="77777777" w:rsidTr="00C66829">
        <w:trPr>
          <w:trHeight w:val="441"/>
        </w:trPr>
        <w:tc>
          <w:tcPr>
            <w:tcW w:w="2235" w:type="dxa"/>
          </w:tcPr>
          <w:p w14:paraId="5F3E35D7" w14:textId="77777777" w:rsidR="003D3D4F" w:rsidRPr="00B96D19" w:rsidRDefault="003D3D4F" w:rsidP="00667033">
            <w:pPr>
              <w:pStyle w:val="Normlndobloku"/>
            </w:pPr>
            <w:r w:rsidRPr="00B96D19">
              <w:t>Česká republika</w:t>
            </w:r>
          </w:p>
        </w:tc>
        <w:tc>
          <w:tcPr>
            <w:tcW w:w="6378" w:type="dxa"/>
          </w:tcPr>
          <w:p w14:paraId="70A45FAE" w14:textId="77777777" w:rsidR="003D3D4F" w:rsidRPr="00B96D19" w:rsidRDefault="00851AB6" w:rsidP="00C66829">
            <w:pPr>
              <w:autoSpaceDE w:val="0"/>
              <w:autoSpaceDN w:val="0"/>
              <w:adjustRightInd w:val="0"/>
            </w:pPr>
            <w:r w:rsidRPr="00B96D19">
              <w:rPr>
                <w:color w:val="000000"/>
                <w:lang w:val="sk-SK" w:eastAsia="el-GR"/>
              </w:rPr>
              <w:t xml:space="preserve">Cefazolin Noridem </w:t>
            </w:r>
          </w:p>
        </w:tc>
      </w:tr>
      <w:tr w:rsidR="003D3D4F" w:rsidRPr="00B96D19" w14:paraId="27142EE7" w14:textId="77777777" w:rsidTr="00C66829">
        <w:tc>
          <w:tcPr>
            <w:tcW w:w="2235" w:type="dxa"/>
          </w:tcPr>
          <w:p w14:paraId="6F66A84B" w14:textId="77777777" w:rsidR="003D3D4F" w:rsidRPr="00B96D19" w:rsidRDefault="003D3D4F" w:rsidP="00667033">
            <w:pPr>
              <w:pStyle w:val="Normlndobloku"/>
            </w:pPr>
            <w:r w:rsidRPr="00B96D19">
              <w:t>Francúzsko</w:t>
            </w:r>
          </w:p>
        </w:tc>
        <w:tc>
          <w:tcPr>
            <w:tcW w:w="6378" w:type="dxa"/>
          </w:tcPr>
          <w:p w14:paraId="50532CDF" w14:textId="77777777" w:rsidR="003D3D4F" w:rsidRPr="00B96D19" w:rsidRDefault="00851AB6" w:rsidP="003D3D4F">
            <w:pPr>
              <w:autoSpaceDE w:val="0"/>
              <w:autoSpaceDN w:val="0"/>
              <w:adjustRightInd w:val="0"/>
              <w:rPr>
                <w:color w:val="000000"/>
                <w:lang w:val="sk-SK" w:eastAsia="el-GR"/>
              </w:rPr>
            </w:pPr>
            <w:r w:rsidRPr="00B96D19">
              <w:rPr>
                <w:color w:val="000000"/>
                <w:lang w:val="sk-SK" w:eastAsia="el-GR"/>
              </w:rPr>
              <w:t xml:space="preserve">Cefazoline Noridem 1g poudre pour solution injectable/pour perfusion </w:t>
            </w:r>
          </w:p>
          <w:p w14:paraId="21ED48F2" w14:textId="77777777" w:rsidR="003D3D4F" w:rsidRPr="00B96D19" w:rsidRDefault="00851AB6" w:rsidP="002116BA">
            <w:pPr>
              <w:pStyle w:val="Normlndobloku"/>
            </w:pPr>
            <w:r w:rsidRPr="00B96D19">
              <w:rPr>
                <w:lang w:eastAsia="el-GR"/>
              </w:rPr>
              <w:t>Cefazoline Noridem 2</w:t>
            </w:r>
            <w:r w:rsidR="002116BA">
              <w:rPr>
                <w:lang w:eastAsia="el-GR"/>
              </w:rPr>
              <w:t xml:space="preserve"> </w:t>
            </w:r>
            <w:r w:rsidRPr="00B96D19">
              <w:rPr>
                <w:lang w:eastAsia="el-GR"/>
              </w:rPr>
              <w:t xml:space="preserve">g poudre </w:t>
            </w:r>
            <w:r w:rsidR="002116BA" w:rsidRPr="00B96D19">
              <w:rPr>
                <w:color w:val="000000"/>
                <w:lang w:eastAsia="el-GR"/>
              </w:rPr>
              <w:t>pour solution injectable</w:t>
            </w:r>
            <w:r w:rsidR="002116BA">
              <w:rPr>
                <w:lang w:eastAsia="el-GR"/>
              </w:rPr>
              <w:t>/</w:t>
            </w:r>
            <w:r w:rsidRPr="00B96D19">
              <w:rPr>
                <w:lang w:eastAsia="el-GR"/>
              </w:rPr>
              <w:t>pour perfusion</w:t>
            </w:r>
          </w:p>
        </w:tc>
      </w:tr>
      <w:tr w:rsidR="003D3D4F" w:rsidRPr="00B96D19" w14:paraId="7AF150B8" w14:textId="77777777" w:rsidTr="00C66829">
        <w:trPr>
          <w:trHeight w:val="1133"/>
        </w:trPr>
        <w:tc>
          <w:tcPr>
            <w:tcW w:w="2235" w:type="dxa"/>
          </w:tcPr>
          <w:p w14:paraId="4C58163B" w14:textId="77777777" w:rsidR="003D3D4F" w:rsidRPr="00B96D19" w:rsidRDefault="003D3D4F" w:rsidP="00667033">
            <w:pPr>
              <w:pStyle w:val="Normlndobloku"/>
            </w:pPr>
            <w:r w:rsidRPr="00B96D19">
              <w:lastRenderedPageBreak/>
              <w:t>Nemecko</w:t>
            </w:r>
          </w:p>
        </w:tc>
        <w:tc>
          <w:tcPr>
            <w:tcW w:w="6378" w:type="dxa"/>
          </w:tcPr>
          <w:p w14:paraId="6A59A5C1" w14:textId="77777777" w:rsidR="003D3D4F" w:rsidRPr="00B96D19" w:rsidRDefault="00851AB6" w:rsidP="003D3D4F">
            <w:pPr>
              <w:autoSpaceDE w:val="0"/>
              <w:autoSpaceDN w:val="0"/>
              <w:adjustRightInd w:val="0"/>
              <w:rPr>
                <w:color w:val="000000"/>
                <w:lang w:val="sk-SK" w:eastAsia="el-GR"/>
              </w:rPr>
            </w:pPr>
            <w:r w:rsidRPr="00B96D19">
              <w:rPr>
                <w:color w:val="000000"/>
                <w:lang w:val="sk-SK" w:eastAsia="el-GR"/>
              </w:rPr>
              <w:t>Cefazolin Noridem 1</w:t>
            </w:r>
            <w:r w:rsidR="002116BA">
              <w:rPr>
                <w:color w:val="000000"/>
                <w:lang w:val="sk-SK" w:eastAsia="el-GR"/>
              </w:rPr>
              <w:t xml:space="preserve"> </w:t>
            </w:r>
            <w:r w:rsidRPr="00B96D19">
              <w:rPr>
                <w:color w:val="000000"/>
                <w:lang w:val="sk-SK" w:eastAsia="el-GR"/>
              </w:rPr>
              <w:t xml:space="preserve">g Pulver zur Herstellung einer Injektions-/Infusionslösung </w:t>
            </w:r>
          </w:p>
          <w:p w14:paraId="0C38D288" w14:textId="77777777" w:rsidR="003D3D4F" w:rsidRPr="00B96D19" w:rsidRDefault="00851AB6" w:rsidP="00667033">
            <w:pPr>
              <w:pStyle w:val="Normlndobloku"/>
            </w:pPr>
            <w:r w:rsidRPr="00B96D19">
              <w:rPr>
                <w:lang w:eastAsia="el-GR"/>
              </w:rPr>
              <w:t>Cefazolin Noridem 2</w:t>
            </w:r>
            <w:r w:rsidR="002116BA">
              <w:rPr>
                <w:lang w:eastAsia="el-GR"/>
              </w:rPr>
              <w:t xml:space="preserve"> </w:t>
            </w:r>
            <w:r w:rsidRPr="00B96D19">
              <w:rPr>
                <w:lang w:eastAsia="el-GR"/>
              </w:rPr>
              <w:t xml:space="preserve">g Pulver zur Herstellung einer </w:t>
            </w:r>
            <w:r w:rsidR="002116BA" w:rsidRPr="00B96D19">
              <w:rPr>
                <w:color w:val="000000"/>
                <w:lang w:eastAsia="el-GR"/>
              </w:rPr>
              <w:t>Injektions-</w:t>
            </w:r>
            <w:r w:rsidRPr="00B96D19">
              <w:rPr>
                <w:lang w:eastAsia="el-GR"/>
              </w:rPr>
              <w:t>Infusionslösung</w:t>
            </w:r>
          </w:p>
        </w:tc>
      </w:tr>
      <w:tr w:rsidR="003D3D4F" w:rsidRPr="00B96D19" w14:paraId="2BF64F90" w14:textId="77777777" w:rsidTr="00C66829">
        <w:trPr>
          <w:trHeight w:val="426"/>
        </w:trPr>
        <w:tc>
          <w:tcPr>
            <w:tcW w:w="2235" w:type="dxa"/>
          </w:tcPr>
          <w:p w14:paraId="16B28E38" w14:textId="77777777" w:rsidR="003D3D4F" w:rsidRPr="00B96D19" w:rsidRDefault="003D3D4F" w:rsidP="00667033">
            <w:pPr>
              <w:pStyle w:val="Normlndobloku"/>
            </w:pPr>
            <w:r w:rsidRPr="00B96D19">
              <w:t>Poľsko</w:t>
            </w:r>
          </w:p>
        </w:tc>
        <w:tc>
          <w:tcPr>
            <w:tcW w:w="6378" w:type="dxa"/>
          </w:tcPr>
          <w:p w14:paraId="5B06B90F" w14:textId="77777777" w:rsidR="00851AB6" w:rsidRPr="00B96D19" w:rsidRDefault="00851AB6" w:rsidP="00851AB6">
            <w:pPr>
              <w:autoSpaceDE w:val="0"/>
              <w:autoSpaceDN w:val="0"/>
              <w:adjustRightInd w:val="0"/>
              <w:rPr>
                <w:color w:val="000000"/>
                <w:lang w:val="sk-SK" w:eastAsia="el-GR"/>
              </w:rPr>
            </w:pPr>
            <w:r w:rsidRPr="00B96D19">
              <w:rPr>
                <w:color w:val="000000"/>
                <w:lang w:val="sk-SK" w:eastAsia="el-GR"/>
              </w:rPr>
              <w:t xml:space="preserve">Cefazolin Noridem </w:t>
            </w:r>
          </w:p>
        </w:tc>
      </w:tr>
      <w:tr w:rsidR="003D3D4F" w:rsidRPr="00B96D19" w14:paraId="6CD84C62" w14:textId="77777777" w:rsidTr="00C66829">
        <w:trPr>
          <w:trHeight w:val="701"/>
        </w:trPr>
        <w:tc>
          <w:tcPr>
            <w:tcW w:w="2235" w:type="dxa"/>
          </w:tcPr>
          <w:p w14:paraId="23571C5C" w14:textId="77777777" w:rsidR="003D3D4F" w:rsidRPr="00B96D19" w:rsidRDefault="003D3D4F" w:rsidP="00667033">
            <w:pPr>
              <w:pStyle w:val="Normlndobloku"/>
            </w:pPr>
            <w:r w:rsidRPr="00B96D19">
              <w:t>Slovenská republika</w:t>
            </w:r>
          </w:p>
        </w:tc>
        <w:tc>
          <w:tcPr>
            <w:tcW w:w="6378" w:type="dxa"/>
          </w:tcPr>
          <w:p w14:paraId="5FE7AF1D" w14:textId="4178C2A8" w:rsidR="003D3D4F" w:rsidRPr="00B96D19" w:rsidRDefault="00851AB6" w:rsidP="003D3D4F">
            <w:pPr>
              <w:autoSpaceDE w:val="0"/>
              <w:autoSpaceDN w:val="0"/>
              <w:adjustRightInd w:val="0"/>
              <w:rPr>
                <w:color w:val="000000"/>
                <w:lang w:val="sk-SK" w:eastAsia="el-GR"/>
              </w:rPr>
            </w:pPr>
            <w:r w:rsidRPr="00B96D19">
              <w:rPr>
                <w:color w:val="000000"/>
                <w:lang w:val="sk-SK" w:eastAsia="el-GR"/>
              </w:rPr>
              <w:t>Cefazol</w:t>
            </w:r>
            <w:r w:rsidR="00851942">
              <w:rPr>
                <w:color w:val="000000"/>
                <w:lang w:val="sk-SK" w:eastAsia="el-GR"/>
              </w:rPr>
              <w:t>í</w:t>
            </w:r>
            <w:r w:rsidRPr="00B96D19">
              <w:rPr>
                <w:color w:val="000000"/>
                <w:lang w:val="sk-SK" w:eastAsia="el-GR"/>
              </w:rPr>
              <w:t>n Noride</w:t>
            </w:r>
            <w:r w:rsidR="00F57241" w:rsidRPr="00B96D19">
              <w:rPr>
                <w:color w:val="000000"/>
                <w:lang w:val="sk-SK" w:eastAsia="el-GR"/>
              </w:rPr>
              <w:t>m</w:t>
            </w:r>
            <w:r w:rsidRPr="00B96D19">
              <w:rPr>
                <w:color w:val="000000"/>
                <w:lang w:val="sk-SK" w:eastAsia="el-GR"/>
              </w:rPr>
              <w:t xml:space="preserve"> 1</w:t>
            </w:r>
            <w:r w:rsidR="002116BA">
              <w:rPr>
                <w:color w:val="000000"/>
                <w:lang w:val="sk-SK" w:eastAsia="el-GR"/>
              </w:rPr>
              <w:t xml:space="preserve"> </w:t>
            </w:r>
            <w:r w:rsidRPr="00B96D19">
              <w:rPr>
                <w:color w:val="000000"/>
                <w:lang w:val="sk-SK" w:eastAsia="el-GR"/>
              </w:rPr>
              <w:t xml:space="preserve">g prášok na injekčný/infúzny roztok </w:t>
            </w:r>
          </w:p>
          <w:p w14:paraId="5635E67E" w14:textId="50D08823" w:rsidR="003D3D4F" w:rsidRPr="00B96D19" w:rsidRDefault="00851AB6" w:rsidP="00667033">
            <w:pPr>
              <w:pStyle w:val="Normlndobloku"/>
            </w:pPr>
            <w:r w:rsidRPr="00B96D19">
              <w:rPr>
                <w:lang w:eastAsia="el-GR"/>
              </w:rPr>
              <w:t>Cefazol</w:t>
            </w:r>
            <w:r w:rsidR="00851942">
              <w:rPr>
                <w:lang w:eastAsia="el-GR"/>
              </w:rPr>
              <w:t>í</w:t>
            </w:r>
            <w:r w:rsidRPr="00B96D19">
              <w:rPr>
                <w:lang w:eastAsia="el-GR"/>
              </w:rPr>
              <w:t>n Noridem 2</w:t>
            </w:r>
            <w:r w:rsidR="002116BA">
              <w:rPr>
                <w:lang w:eastAsia="el-GR"/>
              </w:rPr>
              <w:t xml:space="preserve"> </w:t>
            </w:r>
            <w:r w:rsidRPr="00B96D19">
              <w:rPr>
                <w:lang w:eastAsia="el-GR"/>
              </w:rPr>
              <w:t xml:space="preserve">g prášok na </w:t>
            </w:r>
            <w:r w:rsidR="00DB3C9A">
              <w:rPr>
                <w:lang w:eastAsia="el-GR"/>
              </w:rPr>
              <w:t>i</w:t>
            </w:r>
            <w:r w:rsidR="00900CC1" w:rsidRPr="00B96D19">
              <w:rPr>
                <w:color w:val="000000"/>
                <w:lang w:eastAsia="el-GR"/>
              </w:rPr>
              <w:t>njekčný</w:t>
            </w:r>
            <w:r w:rsidR="00900CC1">
              <w:rPr>
                <w:color w:val="000000"/>
                <w:lang w:eastAsia="el-GR"/>
              </w:rPr>
              <w:t>/</w:t>
            </w:r>
            <w:r w:rsidRPr="00B96D19">
              <w:rPr>
                <w:lang w:eastAsia="el-GR"/>
              </w:rPr>
              <w:t>infúzny roztok</w:t>
            </w:r>
          </w:p>
        </w:tc>
      </w:tr>
      <w:tr w:rsidR="003D3D4F" w:rsidRPr="00B96D19" w14:paraId="202C1D6B" w14:textId="77777777" w:rsidTr="00C66829">
        <w:tc>
          <w:tcPr>
            <w:tcW w:w="2235" w:type="dxa"/>
          </w:tcPr>
          <w:p w14:paraId="40F738EC" w14:textId="77777777" w:rsidR="003D3D4F" w:rsidRPr="00B96D19" w:rsidRDefault="003D3D4F" w:rsidP="00667033">
            <w:pPr>
              <w:pStyle w:val="Normlndobloku"/>
            </w:pPr>
            <w:r w:rsidRPr="00B96D19">
              <w:t>Veľká Británia</w:t>
            </w:r>
          </w:p>
        </w:tc>
        <w:tc>
          <w:tcPr>
            <w:tcW w:w="6378" w:type="dxa"/>
          </w:tcPr>
          <w:p w14:paraId="674F902C" w14:textId="77777777" w:rsidR="003D3D4F" w:rsidRPr="00B96D19" w:rsidRDefault="002116BA" w:rsidP="003D3D4F">
            <w:pPr>
              <w:autoSpaceDE w:val="0"/>
              <w:autoSpaceDN w:val="0"/>
              <w:adjustRightInd w:val="0"/>
              <w:rPr>
                <w:color w:val="000000"/>
                <w:lang w:val="sk-SK" w:eastAsia="el-GR"/>
              </w:rPr>
            </w:pPr>
            <w:r w:rsidRPr="00B96D19">
              <w:rPr>
                <w:color w:val="000000"/>
                <w:lang w:val="sk-SK" w:eastAsia="el-GR"/>
              </w:rPr>
              <w:t>Cef</w:t>
            </w:r>
            <w:r>
              <w:rPr>
                <w:color w:val="000000"/>
                <w:lang w:val="sk-SK" w:eastAsia="el-GR"/>
              </w:rPr>
              <w:t>azol</w:t>
            </w:r>
            <w:r w:rsidRPr="00B96D19">
              <w:rPr>
                <w:color w:val="000000"/>
                <w:lang w:val="sk-SK" w:eastAsia="el-GR"/>
              </w:rPr>
              <w:t xml:space="preserve">in </w:t>
            </w:r>
            <w:r w:rsidR="00851AB6" w:rsidRPr="00B96D19">
              <w:rPr>
                <w:color w:val="000000"/>
                <w:lang w:val="sk-SK" w:eastAsia="el-GR"/>
              </w:rPr>
              <w:t>1</w:t>
            </w:r>
            <w:r>
              <w:rPr>
                <w:color w:val="000000"/>
                <w:lang w:val="sk-SK" w:eastAsia="el-GR"/>
              </w:rPr>
              <w:t xml:space="preserve"> </w:t>
            </w:r>
            <w:r w:rsidR="00851AB6" w:rsidRPr="00B96D19">
              <w:rPr>
                <w:color w:val="000000"/>
                <w:lang w:val="sk-SK" w:eastAsia="el-GR"/>
              </w:rPr>
              <w:t>g Powder for solution for injection/infusion</w:t>
            </w:r>
          </w:p>
          <w:p w14:paraId="725ACB09" w14:textId="77777777" w:rsidR="00851AB6" w:rsidRPr="00B96D19" w:rsidRDefault="002116BA" w:rsidP="002116BA">
            <w:pPr>
              <w:pStyle w:val="Normlndobloku"/>
            </w:pPr>
            <w:r w:rsidRPr="00B96D19">
              <w:t>Cef</w:t>
            </w:r>
            <w:r w:rsidR="005D7B4B">
              <w:rPr>
                <w:lang w:eastAsia="el-GR"/>
              </w:rPr>
              <w:t>azol</w:t>
            </w:r>
            <w:r w:rsidRPr="00B96D19">
              <w:t xml:space="preserve">in </w:t>
            </w:r>
            <w:r w:rsidR="00851AB6" w:rsidRPr="00B96D19">
              <w:t>2</w:t>
            </w:r>
            <w:r>
              <w:t xml:space="preserve"> </w:t>
            </w:r>
            <w:r w:rsidR="00851AB6" w:rsidRPr="00B96D19">
              <w:t xml:space="preserve">g Powder for solution for </w:t>
            </w:r>
            <w:r w:rsidR="00900CC1" w:rsidRPr="00B96D19">
              <w:rPr>
                <w:color w:val="000000"/>
                <w:lang w:eastAsia="el-GR"/>
              </w:rPr>
              <w:t>injection/</w:t>
            </w:r>
            <w:r w:rsidR="00851AB6" w:rsidRPr="00B96D19">
              <w:t>infusion</w:t>
            </w:r>
          </w:p>
        </w:tc>
      </w:tr>
    </w:tbl>
    <w:p w14:paraId="5771632B" w14:textId="77777777" w:rsidR="00BE3314" w:rsidRPr="00B96D19" w:rsidRDefault="00BE3314" w:rsidP="00667033">
      <w:pPr>
        <w:pStyle w:val="Normlndobloku"/>
      </w:pPr>
    </w:p>
    <w:p w14:paraId="33F64589" w14:textId="77777777" w:rsidR="00BE3314" w:rsidRPr="00B96D19" w:rsidRDefault="00BE3314" w:rsidP="00667033">
      <w:pPr>
        <w:pStyle w:val="Normlndobloku"/>
      </w:pPr>
    </w:p>
    <w:p w14:paraId="09D6553E" w14:textId="6B039023" w:rsidR="00BE3314" w:rsidRPr="00B96D19" w:rsidRDefault="00851AB6">
      <w:pPr>
        <w:pStyle w:val="Styl2"/>
      </w:pPr>
      <w:r w:rsidRPr="00B96D19">
        <w:t>Táto písomná informácia bola naposledy aktualizovaná v</w:t>
      </w:r>
      <w:r w:rsidR="00A836BB">
        <w:t> 02/2019</w:t>
      </w:r>
      <w:r w:rsidRPr="00B96D19">
        <w:t>.</w:t>
      </w:r>
    </w:p>
    <w:p w14:paraId="7E90CF09" w14:textId="77777777" w:rsidR="00BE3314" w:rsidRPr="00B96D19" w:rsidRDefault="00851AB6">
      <w:pPr>
        <w:pStyle w:val="Styl2"/>
      </w:pPr>
      <w:r w:rsidRPr="00B96D19">
        <w:t>---------------------------------------------------------------------------------------------------------------------------</w:t>
      </w:r>
    </w:p>
    <w:p w14:paraId="14639039" w14:textId="77777777" w:rsidR="00BE3314" w:rsidRPr="00B96D19" w:rsidRDefault="00851AB6">
      <w:pPr>
        <w:pStyle w:val="Styl2"/>
        <w:rPr>
          <w:b w:val="0"/>
        </w:rPr>
      </w:pPr>
      <w:r w:rsidRPr="00B96D19">
        <w:rPr>
          <w:b w:val="0"/>
        </w:rPr>
        <w:t>Nasledujúc</w:t>
      </w:r>
      <w:r w:rsidR="001B584C">
        <w:rPr>
          <w:b w:val="0"/>
        </w:rPr>
        <w:t>a</w:t>
      </w:r>
      <w:r w:rsidRPr="00B96D19">
        <w:rPr>
          <w:b w:val="0"/>
        </w:rPr>
        <w:t xml:space="preserve"> informáci</w:t>
      </w:r>
      <w:r w:rsidR="001B584C">
        <w:rPr>
          <w:b w:val="0"/>
        </w:rPr>
        <w:t>a</w:t>
      </w:r>
      <w:r w:rsidRPr="00B96D19">
        <w:rPr>
          <w:b w:val="0"/>
        </w:rPr>
        <w:t xml:space="preserve"> </w:t>
      </w:r>
      <w:r w:rsidR="001B584C">
        <w:rPr>
          <w:b w:val="0"/>
        </w:rPr>
        <w:t>je</w:t>
      </w:r>
      <w:r w:rsidR="001B584C" w:rsidRPr="00B96D19">
        <w:rPr>
          <w:b w:val="0"/>
        </w:rPr>
        <w:t xml:space="preserve"> </w:t>
      </w:r>
      <w:r w:rsidRPr="00B96D19">
        <w:rPr>
          <w:b w:val="0"/>
        </w:rPr>
        <w:t>určen</w:t>
      </w:r>
      <w:r w:rsidR="001B584C">
        <w:rPr>
          <w:b w:val="0"/>
        </w:rPr>
        <w:t>á</w:t>
      </w:r>
      <w:r w:rsidRPr="00B96D19">
        <w:rPr>
          <w:b w:val="0"/>
        </w:rPr>
        <w:t xml:space="preserve"> len pre zdravotníckych pracovníkov</w:t>
      </w:r>
      <w:r w:rsidR="001B584C">
        <w:rPr>
          <w:b w:val="0"/>
        </w:rPr>
        <w:t>:</w:t>
      </w:r>
    </w:p>
    <w:p w14:paraId="4AA0893D" w14:textId="77777777" w:rsidR="00BE3314" w:rsidRPr="00B96D19" w:rsidRDefault="00BE3314">
      <w:pPr>
        <w:pStyle w:val="Styl2"/>
      </w:pPr>
    </w:p>
    <w:p w14:paraId="0BBDBB49" w14:textId="77777777" w:rsidR="00891F00" w:rsidRPr="00B96D19" w:rsidRDefault="00891F00">
      <w:pPr>
        <w:pStyle w:val="Styl2"/>
      </w:pPr>
      <w:r w:rsidRPr="00B96D19">
        <w:t>Príprava a zaobchádzanie</w:t>
      </w:r>
    </w:p>
    <w:p w14:paraId="08C695FF" w14:textId="77777777" w:rsidR="00891F00" w:rsidRPr="00B96D19" w:rsidRDefault="00891F00">
      <w:pPr>
        <w:pStyle w:val="Styl2"/>
      </w:pPr>
    </w:p>
    <w:p w14:paraId="45750D23" w14:textId="77777777" w:rsidR="00F57241" w:rsidRPr="00B96D19" w:rsidRDefault="00F57241" w:rsidP="00667033">
      <w:pPr>
        <w:pStyle w:val="Normlndobloku"/>
      </w:pPr>
      <w:r w:rsidRPr="00B96D19">
        <w:t>Príprava roztoku</w:t>
      </w:r>
    </w:p>
    <w:p w14:paraId="3685C5B7" w14:textId="77777777" w:rsidR="00F57241" w:rsidRPr="00B96D19" w:rsidRDefault="00F57241" w:rsidP="00667033">
      <w:pPr>
        <w:pStyle w:val="Normlndobloku"/>
      </w:pPr>
    </w:p>
    <w:p w14:paraId="44FEDAB1" w14:textId="77777777" w:rsidR="00F57241" w:rsidRPr="00B96D19" w:rsidRDefault="00F57241" w:rsidP="00667033">
      <w:pPr>
        <w:pStyle w:val="Normlndobloku"/>
      </w:pPr>
      <w:r w:rsidRPr="00B96D19">
        <w:t>Pre jednotlivé spôsoby podávania, pozri tabuľku pridávaných objemov a roztokových koncentrácií, ktorá môže byť užitočná</w:t>
      </w:r>
      <w:r w:rsidR="00891F00" w:rsidRPr="00B96D19">
        <w:t xml:space="preserve">, ak </w:t>
      </w:r>
      <w:r w:rsidRPr="00B96D19">
        <w:t>sa vyžadujú čiastkové dávky.</w:t>
      </w:r>
    </w:p>
    <w:p w14:paraId="001890A5" w14:textId="77777777" w:rsidR="00F57241" w:rsidRPr="00B96D19" w:rsidRDefault="00F57241" w:rsidP="00667033">
      <w:pPr>
        <w:pStyle w:val="Normlndobloku"/>
      </w:pPr>
    </w:p>
    <w:p w14:paraId="4971C356" w14:textId="77777777" w:rsidR="00E21ABC" w:rsidRPr="00B96D19" w:rsidRDefault="00213B26" w:rsidP="00667033">
      <w:pPr>
        <w:pStyle w:val="Normlndobloku"/>
      </w:pPr>
      <w:r w:rsidRPr="00B96D19">
        <w:t>Usmerneni</w:t>
      </w:r>
      <w:r w:rsidR="000006C9" w:rsidRPr="00B96D19">
        <w:t>a</w:t>
      </w:r>
      <w:r w:rsidR="00851AB6" w:rsidRPr="00B96D19">
        <w:t xml:space="preserve"> </w:t>
      </w:r>
      <w:r w:rsidR="000006C9" w:rsidRPr="00B96D19">
        <w:t>pre</w:t>
      </w:r>
      <w:r w:rsidR="00851AB6" w:rsidRPr="00B96D19">
        <w:t xml:space="preserve"> dávkovani</w:t>
      </w:r>
      <w:r w:rsidR="000006C9" w:rsidRPr="00B96D19">
        <w:t>e</w:t>
      </w:r>
      <w:r w:rsidR="00851AB6" w:rsidRPr="00B96D19">
        <w:t xml:space="preserve"> </w:t>
      </w:r>
      <w:r w:rsidR="000006C9" w:rsidRPr="00B96D19">
        <w:t>u</w:t>
      </w:r>
      <w:r w:rsidR="00851AB6" w:rsidRPr="00B96D19">
        <w:t xml:space="preserve"> dospelých</w:t>
      </w:r>
    </w:p>
    <w:p w14:paraId="2C5F9954" w14:textId="77777777" w:rsidR="00E21ABC" w:rsidRPr="00B96D19" w:rsidRDefault="00E21ABC" w:rsidP="00667033">
      <w:pPr>
        <w:pStyle w:val="Normlndobloku"/>
      </w:pPr>
    </w:p>
    <w:p w14:paraId="6A89FFE2" w14:textId="77777777" w:rsidR="00F57241" w:rsidRPr="00B96D19" w:rsidRDefault="00F57241" w:rsidP="00F57241">
      <w:pPr>
        <w:pStyle w:val="Styl3"/>
        <w:spacing w:after="0"/>
        <w:rPr>
          <w:lang w:val="sk-SK"/>
        </w:rPr>
      </w:pPr>
      <w:r w:rsidRPr="00B96D19">
        <w:rPr>
          <w:lang w:val="sk-SK"/>
        </w:rPr>
        <w:t>Intramuskulárna injekcia</w:t>
      </w:r>
    </w:p>
    <w:p w14:paraId="4B2A6F2C" w14:textId="77777777" w:rsidR="00F57241" w:rsidRPr="00B96D19" w:rsidRDefault="00F57241" w:rsidP="00667033">
      <w:pPr>
        <w:pStyle w:val="Normlndobloku"/>
      </w:pPr>
    </w:p>
    <w:p w14:paraId="35F7BE4E" w14:textId="02BD7E5D" w:rsidR="00F57241" w:rsidRPr="00B96D19" w:rsidRDefault="00E21ABC" w:rsidP="00667033">
      <w:pPr>
        <w:pStyle w:val="Normlndobloku"/>
      </w:pPr>
      <w:r w:rsidRPr="00B96D19">
        <w:rPr>
          <w:lang w:eastAsia="el-GR"/>
        </w:rPr>
        <w:t>Cefazol</w:t>
      </w:r>
      <w:r w:rsidR="00851942">
        <w:rPr>
          <w:lang w:eastAsia="el-GR"/>
        </w:rPr>
        <w:t>í</w:t>
      </w:r>
      <w:r w:rsidRPr="00B96D19">
        <w:rPr>
          <w:lang w:eastAsia="el-GR"/>
        </w:rPr>
        <w:t>n Noridem</w:t>
      </w:r>
      <w:r w:rsidR="00F57241" w:rsidRPr="00B96D19">
        <w:t xml:space="preserve"> 1</w:t>
      </w:r>
      <w:r w:rsidR="00675E7C">
        <w:t xml:space="preserve"> </w:t>
      </w:r>
      <w:r w:rsidR="00F57241" w:rsidRPr="00B96D19">
        <w:t>g:</w:t>
      </w:r>
    </w:p>
    <w:p w14:paraId="7C4C8F92" w14:textId="3AA55BC6" w:rsidR="00F57241" w:rsidRPr="00B96D19" w:rsidRDefault="00F57241" w:rsidP="00667033">
      <w:pPr>
        <w:pStyle w:val="Normlndobloku"/>
      </w:pPr>
      <w:r w:rsidRPr="00B96D19">
        <w:t>Rekonštituujte</w:t>
      </w:r>
      <w:r w:rsidR="00E21ABC" w:rsidRPr="00B96D19">
        <w:t xml:space="preserve"> </w:t>
      </w:r>
      <w:r w:rsidR="00E21ABC" w:rsidRPr="00B96D19">
        <w:rPr>
          <w:rFonts w:eastAsia="Times New Roman"/>
          <w:color w:val="000000"/>
          <w:lang w:eastAsia="el-GR"/>
        </w:rPr>
        <w:t>Cefazol</w:t>
      </w:r>
      <w:r w:rsidR="00851942">
        <w:rPr>
          <w:rFonts w:eastAsia="Times New Roman"/>
          <w:color w:val="000000"/>
          <w:lang w:eastAsia="el-GR"/>
        </w:rPr>
        <w:t>í</w:t>
      </w:r>
      <w:r w:rsidR="00E21ABC" w:rsidRPr="00B96D19">
        <w:rPr>
          <w:rFonts w:eastAsia="Times New Roman"/>
          <w:color w:val="000000"/>
          <w:lang w:eastAsia="el-GR"/>
        </w:rPr>
        <w:t>n Noridem</w:t>
      </w:r>
      <w:r w:rsidRPr="00B96D19">
        <w:t xml:space="preserve"> pomocou jedného z nasledovných kompatibilných rozpúšťadiel podľa nižšie uvedenej tabuľky:</w:t>
      </w:r>
    </w:p>
    <w:p w14:paraId="202CE10E" w14:textId="77777777" w:rsidR="00F57241" w:rsidRPr="00B96D19" w:rsidRDefault="00F57241" w:rsidP="00667033">
      <w:pPr>
        <w:pStyle w:val="Normlndobloku"/>
      </w:pPr>
    </w:p>
    <w:p w14:paraId="74C2AA3A" w14:textId="74BE984A" w:rsidR="00F57241" w:rsidRPr="00B96D19" w:rsidRDefault="00F57241" w:rsidP="00A836BB">
      <w:pPr>
        <w:pStyle w:val="Normlndoblokusodrkami"/>
        <w:numPr>
          <w:ilvl w:val="0"/>
          <w:numId w:val="27"/>
        </w:numPr>
      </w:pPr>
      <w:r w:rsidRPr="00B96D19">
        <w:t>voda na injekci</w:t>
      </w:r>
      <w:r w:rsidR="00684AF7">
        <w:t>e</w:t>
      </w:r>
    </w:p>
    <w:p w14:paraId="6B097299" w14:textId="77777777" w:rsidR="00F57241" w:rsidRPr="00B96D19" w:rsidRDefault="00F57241" w:rsidP="00A836BB">
      <w:pPr>
        <w:pStyle w:val="Normlndoblokusodrkami"/>
        <w:numPr>
          <w:ilvl w:val="0"/>
          <w:numId w:val="27"/>
        </w:numPr>
      </w:pPr>
      <w:r w:rsidRPr="00B96D19">
        <w:t>10 % roztok glukózy</w:t>
      </w:r>
    </w:p>
    <w:p w14:paraId="647E376A" w14:textId="77777777" w:rsidR="00F57241" w:rsidRPr="00B96D19" w:rsidRDefault="00F57241" w:rsidP="00F6252F">
      <w:pPr>
        <w:pStyle w:val="Normlndoblokusodrkami"/>
        <w:numPr>
          <w:ilvl w:val="0"/>
          <w:numId w:val="27"/>
        </w:numPr>
      </w:pPr>
      <w:r w:rsidRPr="00B96D19">
        <w:t>0,9 % roztok chloridu sodného</w:t>
      </w:r>
    </w:p>
    <w:p w14:paraId="5920C3A2" w14:textId="77777777" w:rsidR="00F57241" w:rsidRPr="00B96D19" w:rsidRDefault="00F57241" w:rsidP="00F6252F">
      <w:pPr>
        <w:pStyle w:val="Normlndoblokusodrkami"/>
        <w:numPr>
          <w:ilvl w:val="0"/>
          <w:numId w:val="27"/>
        </w:numPr>
      </w:pPr>
      <w:r w:rsidRPr="00B96D19">
        <w:t>0,5 % roztok lidokaínu</w:t>
      </w:r>
      <w:r w:rsidR="00E21ABC" w:rsidRPr="00B96D19">
        <w:t xml:space="preserve"> HCl</w:t>
      </w:r>
    </w:p>
    <w:p w14:paraId="58FE0DCB" w14:textId="77777777" w:rsidR="00F57241" w:rsidRPr="00B96D19" w:rsidRDefault="00F57241" w:rsidP="00667033">
      <w:pPr>
        <w:pStyle w:val="Normlndobloku"/>
      </w:pPr>
    </w:p>
    <w:p w14:paraId="25640CD3" w14:textId="77777777" w:rsidR="00F57241" w:rsidRPr="00B96D19" w:rsidRDefault="00F57241" w:rsidP="00667033">
      <w:pPr>
        <w:pStyle w:val="Normlndobloku"/>
      </w:pPr>
      <w:r w:rsidRPr="00B96D19">
        <w:t xml:space="preserve">Dôkladne pretrepte až do úplného rozpustenia obsahu </w:t>
      </w:r>
      <w:r w:rsidR="00E21ABC" w:rsidRPr="00B96D19">
        <w:t>liekovky a podajte ako hlbokú i.m.</w:t>
      </w:r>
      <w:r w:rsidRPr="00B96D19">
        <w:t xml:space="preserve"> injekciu.</w:t>
      </w:r>
    </w:p>
    <w:p w14:paraId="0A4CB999" w14:textId="77777777" w:rsidR="00F57241" w:rsidRPr="00B96D19" w:rsidRDefault="00F57241" w:rsidP="00667033">
      <w:pPr>
        <w:pStyle w:val="Normlndobloku"/>
      </w:pPr>
    </w:p>
    <w:p w14:paraId="3C78C5E0" w14:textId="77777777" w:rsidR="00F57241" w:rsidRPr="00B96D19" w:rsidRDefault="00F57241" w:rsidP="00667033">
      <w:pPr>
        <w:pStyle w:val="Normlndobloku"/>
      </w:pPr>
      <w:r w:rsidRPr="00B96D19">
        <w:t>Tabuľka rekonštitúcie pre intramuskulárnu injekciu</w:t>
      </w:r>
    </w:p>
    <w:p w14:paraId="004BEB0F" w14:textId="77777777" w:rsidR="00830F3F" w:rsidRPr="00B96D19" w:rsidRDefault="00830F3F" w:rsidP="00667033">
      <w:pPr>
        <w:pStyle w:val="Normlndobloku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6"/>
        <w:gridCol w:w="2886"/>
        <w:gridCol w:w="2886"/>
      </w:tblGrid>
      <w:tr w:rsidR="00F57241" w:rsidRPr="00B96D19" w14:paraId="4F7E9845" w14:textId="77777777" w:rsidTr="00B96D19">
        <w:trPr>
          <w:trHeight w:val="70"/>
        </w:trPr>
        <w:tc>
          <w:tcPr>
            <w:tcW w:w="2886" w:type="dxa"/>
            <w:vAlign w:val="center"/>
          </w:tcPr>
          <w:p w14:paraId="7B855944" w14:textId="77777777" w:rsidR="00851AB6" w:rsidRPr="000A2067" w:rsidRDefault="00F57241" w:rsidP="00667033">
            <w:pPr>
              <w:pStyle w:val="Nadpisuvnittabulky"/>
              <w:rPr>
                <w:b w:val="0"/>
              </w:rPr>
            </w:pPr>
            <w:r w:rsidRPr="000A2067">
              <w:rPr>
                <w:b w:val="0"/>
              </w:rPr>
              <w:t>Obsah liekovky</w:t>
            </w:r>
          </w:p>
        </w:tc>
        <w:tc>
          <w:tcPr>
            <w:tcW w:w="2886" w:type="dxa"/>
            <w:vAlign w:val="center"/>
          </w:tcPr>
          <w:p w14:paraId="45BE7619" w14:textId="77777777" w:rsidR="00851AB6" w:rsidRPr="000A2067" w:rsidRDefault="00F57241" w:rsidP="00667033">
            <w:pPr>
              <w:pStyle w:val="Nadpisuvnittabulky"/>
              <w:rPr>
                <w:b w:val="0"/>
              </w:rPr>
            </w:pPr>
            <w:r w:rsidRPr="000A2067">
              <w:rPr>
                <w:b w:val="0"/>
              </w:rPr>
              <w:t xml:space="preserve">Objem </w:t>
            </w:r>
            <w:r w:rsidR="005E3255" w:rsidRPr="000A2067">
              <w:rPr>
                <w:b w:val="0"/>
              </w:rPr>
              <w:t xml:space="preserve">pridaného </w:t>
            </w:r>
            <w:r w:rsidRPr="000A2067">
              <w:rPr>
                <w:b w:val="0"/>
              </w:rPr>
              <w:t>rozpúšťadla</w:t>
            </w:r>
          </w:p>
        </w:tc>
        <w:tc>
          <w:tcPr>
            <w:tcW w:w="2886" w:type="dxa"/>
            <w:vAlign w:val="center"/>
          </w:tcPr>
          <w:p w14:paraId="36C570A1" w14:textId="77777777" w:rsidR="00851AB6" w:rsidRPr="000A2067" w:rsidRDefault="00F57241" w:rsidP="00667033">
            <w:pPr>
              <w:pStyle w:val="Nadpisuvnittabulky"/>
              <w:rPr>
                <w:b w:val="0"/>
              </w:rPr>
            </w:pPr>
            <w:r w:rsidRPr="000A2067">
              <w:rPr>
                <w:b w:val="0"/>
              </w:rPr>
              <w:t>Približná koncentrácia</w:t>
            </w: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6"/>
        <w:gridCol w:w="2886"/>
        <w:gridCol w:w="2886"/>
      </w:tblGrid>
      <w:tr w:rsidR="00F57241" w:rsidRPr="00B96D19" w14:paraId="145A695A" w14:textId="77777777" w:rsidTr="00B96D19">
        <w:trPr>
          <w:trHeight w:val="305"/>
        </w:trPr>
        <w:tc>
          <w:tcPr>
            <w:tcW w:w="2886" w:type="dxa"/>
            <w:vAlign w:val="center"/>
          </w:tcPr>
          <w:p w14:paraId="46A4695B" w14:textId="77777777" w:rsidR="00851AB6" w:rsidRPr="00B96D19" w:rsidRDefault="00F57241" w:rsidP="00667033">
            <w:pPr>
              <w:pStyle w:val="Tabulkynormlndoblokuzarovnndoleva"/>
              <w:framePr w:wrap="around"/>
            </w:pPr>
            <w:r w:rsidRPr="00B96D19">
              <w:t>1 g</w:t>
            </w:r>
          </w:p>
        </w:tc>
        <w:tc>
          <w:tcPr>
            <w:tcW w:w="2886" w:type="dxa"/>
            <w:vAlign w:val="center"/>
          </w:tcPr>
          <w:p w14:paraId="2C6A9D2E" w14:textId="77777777" w:rsidR="00F57241" w:rsidRPr="00B96D19" w:rsidRDefault="00F57241" w:rsidP="00667033">
            <w:pPr>
              <w:pStyle w:val="Tabulkynormlndoblokuzarovnndoleva"/>
              <w:framePr w:wrap="around"/>
            </w:pPr>
            <w:r w:rsidRPr="00B96D19">
              <w:t>2,5 ml</w:t>
            </w:r>
          </w:p>
        </w:tc>
        <w:tc>
          <w:tcPr>
            <w:tcW w:w="2886" w:type="dxa"/>
            <w:vAlign w:val="center"/>
          </w:tcPr>
          <w:p w14:paraId="111CAE61" w14:textId="77777777" w:rsidR="00F57241" w:rsidRPr="00B96D19" w:rsidRDefault="00F57241" w:rsidP="00667033">
            <w:pPr>
              <w:pStyle w:val="Tabulkynormlndoblokuzarovnndoleva"/>
              <w:framePr w:wrap="around"/>
            </w:pPr>
            <w:r w:rsidRPr="00B96D19">
              <w:t>330 mg/ml</w:t>
            </w:r>
          </w:p>
        </w:tc>
      </w:tr>
    </w:tbl>
    <w:p w14:paraId="6B885851" w14:textId="77777777" w:rsidR="00F57241" w:rsidRPr="00B96D19" w:rsidRDefault="00F57241" w:rsidP="00F57241">
      <w:pPr>
        <w:pStyle w:val="Styl3"/>
        <w:spacing w:after="0"/>
        <w:rPr>
          <w:lang w:val="sk-SK"/>
        </w:rPr>
      </w:pPr>
    </w:p>
    <w:p w14:paraId="68B10539" w14:textId="4EE54C2A" w:rsidR="00F57241" w:rsidRPr="00B96D19" w:rsidRDefault="00F57241" w:rsidP="00667033">
      <w:pPr>
        <w:pStyle w:val="Normlndobloku"/>
      </w:pPr>
      <w:r w:rsidRPr="00B96D19">
        <w:t xml:space="preserve">Pre objem </w:t>
      </w:r>
      <w:r w:rsidRPr="00B96D19">
        <w:rPr>
          <w:bCs/>
        </w:rPr>
        <w:t>rozpúšťadla</w:t>
      </w:r>
      <w:r w:rsidRPr="00B96D19">
        <w:t>, ktorý má byť pridaný pre pediatrickú populáciu, pozri časť Usmernenia pre dávkovanie</w:t>
      </w:r>
      <w:r w:rsidR="0093612F">
        <w:t xml:space="preserve"> v pediatrickej populácii</w:t>
      </w:r>
      <w:r w:rsidRPr="00B96D19">
        <w:t>.</w:t>
      </w:r>
    </w:p>
    <w:p w14:paraId="6A2247D4" w14:textId="77777777" w:rsidR="00F57241" w:rsidRPr="00B96D19" w:rsidRDefault="00F57241" w:rsidP="00667033">
      <w:pPr>
        <w:pStyle w:val="Normlndobloku"/>
      </w:pPr>
    </w:p>
    <w:p w14:paraId="402A6DFA" w14:textId="77777777" w:rsidR="00E40328" w:rsidRPr="00B96D19" w:rsidRDefault="00E40328" w:rsidP="00667033">
      <w:pPr>
        <w:pStyle w:val="Normlndobloku"/>
      </w:pPr>
      <w:r w:rsidRPr="00B96D19">
        <w:t>Použitie lidokaínu:</w:t>
      </w:r>
      <w:bookmarkStart w:id="0" w:name="_GoBack"/>
      <w:bookmarkEnd w:id="0"/>
    </w:p>
    <w:p w14:paraId="36C9E11E" w14:textId="35F2C16A" w:rsidR="00E40328" w:rsidRPr="00B96D19" w:rsidRDefault="0093612F" w:rsidP="00667033">
      <w:pPr>
        <w:pStyle w:val="Normlndobloku"/>
      </w:pPr>
      <w:r w:rsidRPr="004668E8">
        <w:t>V prípade použitia roztoku lidokaínu ako rozpúšťadla, sa roztok cefazolínu musí použiť iba pre intramuskulárnu injekciu. Pred použitím je potrebné brať do úvahy kontraindikácie pre lidokaín, upozornenia a iné relevantné informácie obsiahnuté v súhrne charakteristických vlastností lidokaínu</w:t>
      </w:r>
      <w:r>
        <w:t>.</w:t>
      </w:r>
    </w:p>
    <w:p w14:paraId="79CE18CE" w14:textId="77777777" w:rsidR="00E40328" w:rsidRPr="00B96D19" w:rsidRDefault="00E40328" w:rsidP="00667033">
      <w:pPr>
        <w:pStyle w:val="Normlndobloku"/>
      </w:pPr>
    </w:p>
    <w:p w14:paraId="729AA007" w14:textId="479AEA45" w:rsidR="00E40328" w:rsidRPr="00B96D19" w:rsidRDefault="00E40328" w:rsidP="00667033">
      <w:pPr>
        <w:pStyle w:val="Normlndobloku"/>
      </w:pPr>
      <w:r w:rsidRPr="00B96D19">
        <w:t xml:space="preserve">Roztok </w:t>
      </w:r>
      <w:r w:rsidR="0093612F">
        <w:t xml:space="preserve">s </w:t>
      </w:r>
      <w:r w:rsidRPr="00B96D19">
        <w:t>lidokaín</w:t>
      </w:r>
      <w:r w:rsidR="0093612F">
        <w:t>om</w:t>
      </w:r>
      <w:r w:rsidRPr="00B96D19">
        <w:t xml:space="preserve"> sa nikdy </w:t>
      </w:r>
      <w:r w:rsidR="0093612F">
        <w:t>nesmie</w:t>
      </w:r>
      <w:r w:rsidRPr="00B96D19">
        <w:t xml:space="preserve"> podať intravenózne.</w:t>
      </w:r>
    </w:p>
    <w:p w14:paraId="30FA1CDD" w14:textId="77777777" w:rsidR="00E40328" w:rsidRPr="00B96D19" w:rsidRDefault="00E40328" w:rsidP="00667033">
      <w:pPr>
        <w:pStyle w:val="Normlndobloku"/>
      </w:pPr>
    </w:p>
    <w:p w14:paraId="0632088E" w14:textId="77777777" w:rsidR="00F57241" w:rsidRPr="00B96D19" w:rsidRDefault="000006C9" w:rsidP="00667033">
      <w:pPr>
        <w:pStyle w:val="Normlndobloku"/>
      </w:pPr>
      <w:r w:rsidRPr="00B96D19">
        <w:t>i.m.</w:t>
      </w:r>
      <w:r w:rsidR="00F57241" w:rsidRPr="00B96D19">
        <w:t xml:space="preserve"> injekcia s lidokaínom ako rozpúšťadlom je indikovaná de</w:t>
      </w:r>
      <w:r w:rsidR="00675E7C">
        <w:t>ťom</w:t>
      </w:r>
      <w:r w:rsidR="00F57241" w:rsidRPr="00B96D19">
        <w:t xml:space="preserve"> starš</w:t>
      </w:r>
      <w:r w:rsidR="00675E7C">
        <w:t>ím</w:t>
      </w:r>
      <w:r w:rsidR="00F57241" w:rsidRPr="00B96D19">
        <w:t xml:space="preserve"> ako 30 mesiacov.</w:t>
      </w:r>
    </w:p>
    <w:p w14:paraId="487EE0E3" w14:textId="77777777" w:rsidR="00F57241" w:rsidRPr="00B96D19" w:rsidRDefault="00F57241" w:rsidP="00667033">
      <w:pPr>
        <w:pStyle w:val="Normlndobloku"/>
        <w:rPr>
          <w:highlight w:val="lightGray"/>
        </w:rPr>
      </w:pPr>
    </w:p>
    <w:p w14:paraId="4686523C" w14:textId="0EBE5B60" w:rsidR="00F57241" w:rsidRPr="00B96D19" w:rsidRDefault="00851AB6" w:rsidP="00667033">
      <w:pPr>
        <w:pStyle w:val="Normlndobloku"/>
      </w:pPr>
      <w:r w:rsidRPr="00B96D19">
        <w:rPr>
          <w:rFonts w:eastAsia="Times New Roman"/>
          <w:color w:val="000000"/>
          <w:lang w:eastAsia="el-GR"/>
        </w:rPr>
        <w:lastRenderedPageBreak/>
        <w:t>Cefazol</w:t>
      </w:r>
      <w:r w:rsidR="00851942">
        <w:rPr>
          <w:rFonts w:eastAsia="Times New Roman"/>
          <w:color w:val="000000"/>
          <w:lang w:eastAsia="el-GR"/>
        </w:rPr>
        <w:t>í</w:t>
      </w:r>
      <w:r w:rsidRPr="00B96D19">
        <w:rPr>
          <w:rFonts w:eastAsia="Times New Roman"/>
          <w:color w:val="000000"/>
          <w:lang w:eastAsia="el-GR"/>
        </w:rPr>
        <w:t>n Noridem</w:t>
      </w:r>
      <w:r w:rsidRPr="00B96D19">
        <w:t xml:space="preserve"> 2</w:t>
      </w:r>
      <w:r w:rsidR="00853C00">
        <w:t xml:space="preserve"> </w:t>
      </w:r>
      <w:r w:rsidR="000006C9" w:rsidRPr="00B96D19">
        <w:t>g</w:t>
      </w:r>
      <w:r w:rsidRPr="00B96D19">
        <w:t xml:space="preserve">: nemá </w:t>
      </w:r>
      <w:r w:rsidR="0093612F">
        <w:t xml:space="preserve">sa </w:t>
      </w:r>
      <w:r w:rsidRPr="00B96D19">
        <w:t>používať pre intramuskulárne podanie.</w:t>
      </w:r>
    </w:p>
    <w:p w14:paraId="2A0DA59C" w14:textId="77777777" w:rsidR="00F57241" w:rsidRPr="00B96D19" w:rsidRDefault="00F57241" w:rsidP="00F57241">
      <w:pPr>
        <w:pStyle w:val="Styl3"/>
        <w:spacing w:after="0"/>
        <w:rPr>
          <w:lang w:val="sk-SK"/>
        </w:rPr>
      </w:pPr>
    </w:p>
    <w:p w14:paraId="68971508" w14:textId="77777777" w:rsidR="00F57241" w:rsidRPr="00B96D19" w:rsidRDefault="00F57241" w:rsidP="00F57241">
      <w:pPr>
        <w:pStyle w:val="Styl3"/>
        <w:spacing w:after="0"/>
        <w:rPr>
          <w:lang w:val="sk-SK"/>
        </w:rPr>
      </w:pPr>
      <w:r w:rsidRPr="00B96D19">
        <w:rPr>
          <w:lang w:val="sk-SK"/>
        </w:rPr>
        <w:t>Intravenózna</w:t>
      </w:r>
      <w:r w:rsidR="000006C9" w:rsidRPr="00B96D19">
        <w:rPr>
          <w:lang w:val="sk-SK"/>
        </w:rPr>
        <w:t xml:space="preserve"> </w:t>
      </w:r>
      <w:r w:rsidRPr="00B96D19">
        <w:rPr>
          <w:lang w:val="sk-SK"/>
        </w:rPr>
        <w:t>injekcia</w:t>
      </w:r>
    </w:p>
    <w:p w14:paraId="070EB910" w14:textId="77777777" w:rsidR="00F57241" w:rsidRPr="00B96D19" w:rsidRDefault="00F57241" w:rsidP="00667033">
      <w:pPr>
        <w:pStyle w:val="Normlndobloku"/>
      </w:pPr>
    </w:p>
    <w:p w14:paraId="5ADE5687" w14:textId="37C41C36" w:rsidR="00F57241" w:rsidRPr="00B96D19" w:rsidRDefault="000E606B" w:rsidP="00667033">
      <w:pPr>
        <w:pStyle w:val="Normlndobloku"/>
      </w:pPr>
      <w:r w:rsidRPr="00B96D19">
        <w:t xml:space="preserve">Rekonštituujte </w:t>
      </w:r>
      <w:r w:rsidRPr="00B96D19">
        <w:rPr>
          <w:rFonts w:eastAsia="Times New Roman"/>
          <w:color w:val="000000"/>
          <w:lang w:eastAsia="el-GR"/>
        </w:rPr>
        <w:t>Cefazol</w:t>
      </w:r>
      <w:r w:rsidR="00851942">
        <w:rPr>
          <w:rFonts w:eastAsia="Times New Roman"/>
          <w:color w:val="000000"/>
          <w:lang w:eastAsia="el-GR"/>
        </w:rPr>
        <w:t>í</w:t>
      </w:r>
      <w:r w:rsidRPr="00B96D19">
        <w:rPr>
          <w:rFonts w:eastAsia="Times New Roman"/>
          <w:color w:val="000000"/>
          <w:lang w:eastAsia="el-GR"/>
        </w:rPr>
        <w:t>n Noridem</w:t>
      </w:r>
      <w:r w:rsidR="00F57241" w:rsidRPr="00B96D19">
        <w:t xml:space="preserve"> pomocou jedného z nasledovných kompatibilných rozpúšťadiel podľa nižšie uvedenej tabuľky:</w:t>
      </w:r>
    </w:p>
    <w:p w14:paraId="1EAA7055" w14:textId="77777777" w:rsidR="00F57241" w:rsidRPr="00B96D19" w:rsidRDefault="00F57241" w:rsidP="00667033">
      <w:pPr>
        <w:pStyle w:val="Normlndobloku"/>
      </w:pPr>
    </w:p>
    <w:p w14:paraId="0BA426F4" w14:textId="797B0F24" w:rsidR="00F57241" w:rsidRPr="00B96D19" w:rsidRDefault="00F57241" w:rsidP="00A836BB">
      <w:pPr>
        <w:pStyle w:val="Normlndoblokusodrkami"/>
        <w:numPr>
          <w:ilvl w:val="0"/>
          <w:numId w:val="28"/>
        </w:numPr>
      </w:pPr>
      <w:r w:rsidRPr="00B96D19">
        <w:t>voda na injekci</w:t>
      </w:r>
      <w:r w:rsidR="0093612F">
        <w:t>e</w:t>
      </w:r>
    </w:p>
    <w:p w14:paraId="3377095A" w14:textId="77777777" w:rsidR="00F57241" w:rsidRPr="00B96D19" w:rsidRDefault="00F57241" w:rsidP="00A836BB">
      <w:pPr>
        <w:pStyle w:val="Normlndoblokusodrkami"/>
        <w:numPr>
          <w:ilvl w:val="0"/>
          <w:numId w:val="28"/>
        </w:numPr>
      </w:pPr>
      <w:r w:rsidRPr="00B96D19">
        <w:t>0,9 % roztok chloridu sodného</w:t>
      </w:r>
    </w:p>
    <w:p w14:paraId="78AE89B3" w14:textId="77777777" w:rsidR="00F57241" w:rsidRPr="00B96D19" w:rsidRDefault="00F57241" w:rsidP="0093612F">
      <w:pPr>
        <w:pStyle w:val="Normlndoblokusodrkami"/>
        <w:numPr>
          <w:ilvl w:val="0"/>
          <w:numId w:val="28"/>
        </w:numPr>
      </w:pPr>
      <w:r w:rsidRPr="00B96D19">
        <w:t xml:space="preserve">5 % roztok glukózy </w:t>
      </w:r>
    </w:p>
    <w:p w14:paraId="5AE58738" w14:textId="77777777" w:rsidR="00F57241" w:rsidRPr="00B96D19" w:rsidRDefault="00F57241" w:rsidP="00F6252F">
      <w:pPr>
        <w:pStyle w:val="Normlndoblokusodrkami"/>
        <w:numPr>
          <w:ilvl w:val="0"/>
          <w:numId w:val="28"/>
        </w:numPr>
      </w:pPr>
      <w:r w:rsidRPr="00B96D19">
        <w:t>10 % roztok glukózy</w:t>
      </w:r>
    </w:p>
    <w:p w14:paraId="32815E77" w14:textId="77777777" w:rsidR="00F57241" w:rsidRPr="00B96D19" w:rsidRDefault="00F57241" w:rsidP="00667033">
      <w:pPr>
        <w:pStyle w:val="Normlndobloku"/>
      </w:pPr>
    </w:p>
    <w:p w14:paraId="2811BD05" w14:textId="77777777" w:rsidR="00F57241" w:rsidRPr="00B96D19" w:rsidRDefault="00F57241" w:rsidP="00667033">
      <w:pPr>
        <w:pStyle w:val="Normlndobloku"/>
      </w:pPr>
      <w:r w:rsidRPr="00B96D19">
        <w:t>Tabuľka rekonštitúcie pre intravenóznu injekciu</w:t>
      </w:r>
    </w:p>
    <w:p w14:paraId="4B8D2EB9" w14:textId="77777777" w:rsidR="00F57241" w:rsidRPr="00B96D19" w:rsidRDefault="00F57241" w:rsidP="00667033">
      <w:pPr>
        <w:pStyle w:val="Normlndobloku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6"/>
        <w:gridCol w:w="2886"/>
        <w:gridCol w:w="2886"/>
      </w:tblGrid>
      <w:tr w:rsidR="00F57241" w:rsidRPr="00B96D19" w14:paraId="2A59A0B5" w14:textId="77777777" w:rsidTr="00B96D19">
        <w:trPr>
          <w:trHeight w:val="70"/>
        </w:trPr>
        <w:tc>
          <w:tcPr>
            <w:tcW w:w="2886" w:type="dxa"/>
            <w:vAlign w:val="center"/>
          </w:tcPr>
          <w:p w14:paraId="02465B1C" w14:textId="77777777" w:rsidR="00F57241" w:rsidRPr="000A2067" w:rsidRDefault="00F57241" w:rsidP="00667033">
            <w:pPr>
              <w:pStyle w:val="Nadpisuvnittabulky"/>
              <w:rPr>
                <w:b w:val="0"/>
              </w:rPr>
            </w:pPr>
            <w:r w:rsidRPr="000A2067">
              <w:rPr>
                <w:b w:val="0"/>
              </w:rPr>
              <w:t>Obsah liekovky</w:t>
            </w:r>
          </w:p>
        </w:tc>
        <w:tc>
          <w:tcPr>
            <w:tcW w:w="2886" w:type="dxa"/>
            <w:vAlign w:val="center"/>
          </w:tcPr>
          <w:p w14:paraId="6021E3DD" w14:textId="77777777" w:rsidR="00F57241" w:rsidRPr="000A2067" w:rsidRDefault="00F57241" w:rsidP="00667033">
            <w:pPr>
              <w:pStyle w:val="Nadpisuvnittabulky"/>
              <w:rPr>
                <w:b w:val="0"/>
              </w:rPr>
            </w:pPr>
            <w:r w:rsidRPr="000A2067">
              <w:rPr>
                <w:b w:val="0"/>
              </w:rPr>
              <w:t xml:space="preserve">Minimálny objem </w:t>
            </w:r>
            <w:r w:rsidR="000E606B" w:rsidRPr="000A2067">
              <w:rPr>
                <w:b w:val="0"/>
              </w:rPr>
              <w:t xml:space="preserve">pridaného </w:t>
            </w:r>
            <w:r w:rsidRPr="000A2067">
              <w:rPr>
                <w:b w:val="0"/>
              </w:rPr>
              <w:t>rozpúšťadla</w:t>
            </w:r>
          </w:p>
        </w:tc>
        <w:tc>
          <w:tcPr>
            <w:tcW w:w="2886" w:type="dxa"/>
            <w:vAlign w:val="center"/>
          </w:tcPr>
          <w:p w14:paraId="0F2F72F3" w14:textId="77777777" w:rsidR="00F57241" w:rsidRPr="000A2067" w:rsidRDefault="00F57241" w:rsidP="00667033">
            <w:pPr>
              <w:pStyle w:val="Nadpisuvnittabulky"/>
              <w:rPr>
                <w:b w:val="0"/>
              </w:rPr>
            </w:pPr>
            <w:r w:rsidRPr="000A2067">
              <w:rPr>
                <w:b w:val="0"/>
              </w:rPr>
              <w:t>Približná koncentrácia</w:t>
            </w: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6"/>
        <w:gridCol w:w="2886"/>
        <w:gridCol w:w="2886"/>
      </w:tblGrid>
      <w:tr w:rsidR="00F57241" w:rsidRPr="00B96D19" w14:paraId="48E2F024" w14:textId="77777777" w:rsidTr="00B96D19">
        <w:trPr>
          <w:trHeight w:val="305"/>
        </w:trPr>
        <w:tc>
          <w:tcPr>
            <w:tcW w:w="2886" w:type="dxa"/>
            <w:vAlign w:val="center"/>
          </w:tcPr>
          <w:p w14:paraId="4B76FDB8" w14:textId="77777777" w:rsidR="00F57241" w:rsidRPr="00B96D19" w:rsidRDefault="00F57241" w:rsidP="00667033">
            <w:pPr>
              <w:pStyle w:val="Tabulkynormlndoblokuzarovnndoleva"/>
              <w:framePr w:wrap="around"/>
            </w:pPr>
            <w:r w:rsidRPr="00B96D19">
              <w:t>1 g</w:t>
            </w:r>
          </w:p>
        </w:tc>
        <w:tc>
          <w:tcPr>
            <w:tcW w:w="2886" w:type="dxa"/>
            <w:vAlign w:val="center"/>
          </w:tcPr>
          <w:p w14:paraId="2EF05E00" w14:textId="77777777" w:rsidR="00F57241" w:rsidRPr="00B96D19" w:rsidRDefault="00F57241" w:rsidP="00667033">
            <w:pPr>
              <w:pStyle w:val="Tabulkynormlndoblokuzarovnndoleva"/>
              <w:framePr w:wrap="around"/>
            </w:pPr>
            <w:r w:rsidRPr="00B96D19">
              <w:t>4 ml</w:t>
            </w:r>
          </w:p>
        </w:tc>
        <w:tc>
          <w:tcPr>
            <w:tcW w:w="2886" w:type="dxa"/>
            <w:vAlign w:val="center"/>
          </w:tcPr>
          <w:p w14:paraId="5652FDE4" w14:textId="77777777" w:rsidR="00F57241" w:rsidRPr="00B96D19" w:rsidRDefault="00F57241" w:rsidP="00667033">
            <w:pPr>
              <w:pStyle w:val="Tabulkynormlndoblokuzarovnndoleva"/>
              <w:framePr w:wrap="around"/>
            </w:pPr>
            <w:r w:rsidRPr="00B96D19">
              <w:t>220 mg/ml</w:t>
            </w:r>
          </w:p>
        </w:tc>
      </w:tr>
    </w:tbl>
    <w:p w14:paraId="45236686" w14:textId="77777777" w:rsidR="00F57241" w:rsidRPr="00B96D19" w:rsidRDefault="00F57241" w:rsidP="00667033">
      <w:pPr>
        <w:pStyle w:val="Normlndobloku"/>
      </w:pPr>
    </w:p>
    <w:p w14:paraId="7A210D86" w14:textId="77777777" w:rsidR="00F57241" w:rsidRPr="00B96D19" w:rsidRDefault="00F57241" w:rsidP="00667033">
      <w:pPr>
        <w:pStyle w:val="Normlndobloku"/>
      </w:pPr>
      <w:r w:rsidRPr="00B96D19">
        <w:t>Cefazolín sa má injektovať pomaly, po dobu troch až piatich minút</w:t>
      </w:r>
      <w:r w:rsidR="00B64ACE" w:rsidRPr="00B96D19">
        <w:t>. V žiadnom prípade sa roztok ne</w:t>
      </w:r>
      <w:r w:rsidRPr="00B96D19">
        <w:t>má injektovať po dobu kratšiu ako 3 minúty. Má sa po</w:t>
      </w:r>
      <w:r w:rsidR="00B64ACE" w:rsidRPr="00B96D19">
        <w:t>dať priamo do žily alebo do kany</w:t>
      </w:r>
      <w:r w:rsidRPr="00B96D19">
        <w:t>l</w:t>
      </w:r>
      <w:r w:rsidR="00B64ACE" w:rsidRPr="00B96D19">
        <w:t>y</w:t>
      </w:r>
      <w:r w:rsidRPr="00B96D19">
        <w:t>, ktor</w:t>
      </w:r>
      <w:r w:rsidR="00B64ACE" w:rsidRPr="00B96D19">
        <w:t>ou</w:t>
      </w:r>
      <w:r w:rsidRPr="00B96D19">
        <w:t xml:space="preserve"> pacient dostáva intravenózn</w:t>
      </w:r>
      <w:r w:rsidR="00B64ACE" w:rsidRPr="00B96D19">
        <w:t>y</w:t>
      </w:r>
      <w:r w:rsidRPr="00B96D19">
        <w:t xml:space="preserve"> roztok.</w:t>
      </w:r>
    </w:p>
    <w:p w14:paraId="6110CEA1" w14:textId="0100DBE2" w:rsidR="00F57241" w:rsidRPr="00B96D19" w:rsidRDefault="0093612F" w:rsidP="00667033">
      <w:pPr>
        <w:pStyle w:val="Normlndobloku"/>
      </w:pPr>
      <w:r>
        <w:t>Jednorazové</w:t>
      </w:r>
      <w:r w:rsidR="00F57241" w:rsidRPr="00B96D19">
        <w:t xml:space="preserve"> dávky prevyšujúce 1 g sa majú podávať ako intravenózna infúzia po dobu 30 až 60 minút.</w:t>
      </w:r>
    </w:p>
    <w:p w14:paraId="5CD3E78E" w14:textId="77777777" w:rsidR="00F57241" w:rsidRDefault="00F57241" w:rsidP="00F57241">
      <w:pPr>
        <w:pStyle w:val="Styl3"/>
        <w:spacing w:after="0"/>
        <w:rPr>
          <w:lang w:val="sk-SK"/>
        </w:rPr>
      </w:pPr>
    </w:p>
    <w:p w14:paraId="48671019" w14:textId="77777777" w:rsidR="0093612F" w:rsidRDefault="0093612F" w:rsidP="00F57241">
      <w:pPr>
        <w:pStyle w:val="Styl3"/>
        <w:spacing w:after="0"/>
        <w:rPr>
          <w:lang w:val="sk-SK"/>
        </w:rPr>
      </w:pPr>
      <w:r w:rsidRPr="0093612F">
        <w:rPr>
          <w:lang w:val="sk-SK"/>
        </w:rPr>
        <w:t>Usmernenia pre dávkovanie v pediatrickej populácii</w:t>
      </w:r>
      <w:r>
        <w:rPr>
          <w:lang w:val="sk-SK"/>
        </w:rPr>
        <w:t>:</w:t>
      </w:r>
    </w:p>
    <w:p w14:paraId="34E15CEF" w14:textId="77777777" w:rsidR="0093612F" w:rsidRPr="00B96D19" w:rsidRDefault="0093612F" w:rsidP="00F57241">
      <w:pPr>
        <w:pStyle w:val="Styl3"/>
        <w:spacing w:after="0"/>
        <w:rPr>
          <w:lang w:val="sk-SK"/>
        </w:rPr>
      </w:pPr>
    </w:p>
    <w:p w14:paraId="44B70C19" w14:textId="77777777" w:rsidR="0093612F" w:rsidRPr="0093612F" w:rsidRDefault="0093612F" w:rsidP="0093612F">
      <w:pPr>
        <w:widowControl w:val="0"/>
        <w:tabs>
          <w:tab w:val="left" w:pos="567"/>
          <w:tab w:val="left" w:pos="6946"/>
        </w:tabs>
        <w:rPr>
          <w:rFonts w:eastAsia="Calibri"/>
          <w:szCs w:val="24"/>
          <w:lang w:val="sk-SK"/>
        </w:rPr>
      </w:pPr>
      <w:r w:rsidRPr="0093612F">
        <w:rPr>
          <w:rFonts w:eastAsia="Calibri"/>
          <w:szCs w:val="24"/>
          <w:u w:val="single"/>
          <w:lang w:val="sk-SK"/>
        </w:rPr>
        <w:t>1 g injekčná liekovka:</w:t>
      </w:r>
      <w:r w:rsidRPr="0093612F">
        <w:rPr>
          <w:rFonts w:eastAsia="Calibri"/>
          <w:szCs w:val="24"/>
          <w:lang w:val="sk-SK"/>
        </w:rPr>
        <w:t xml:space="preserve"> Obsah 1 liekovky (1 000 mg cefazolínu) sa rozpustí v 4 ml kompatibilného rozpúšťadla (t.j. približná koncentrácia 220 mg/ml).</w:t>
      </w:r>
      <w:r w:rsidRPr="0093612F">
        <w:rPr>
          <w:rFonts w:eastAsia="Calibri"/>
          <w:szCs w:val="24"/>
          <w:u w:val="single"/>
          <w:lang w:val="sk-SK"/>
        </w:rPr>
        <w:t xml:space="preserve"> </w:t>
      </w:r>
      <w:r w:rsidRPr="0093612F">
        <w:rPr>
          <w:rFonts w:eastAsia="Calibri"/>
          <w:szCs w:val="24"/>
          <w:lang w:val="sk-SK"/>
        </w:rPr>
        <w:t>Príslušný objem tohto roztoku, ktorý sa má použiť, ako aj dávka v m</w:t>
      </w:r>
      <w:r>
        <w:rPr>
          <w:rFonts w:eastAsia="Calibri"/>
          <w:szCs w:val="24"/>
          <w:lang w:val="sk-SK"/>
        </w:rPr>
        <w:t xml:space="preserve">g sú uvedené v tabuľke </w:t>
      </w:r>
      <w:r w:rsidRPr="00F45C16">
        <w:rPr>
          <w:rFonts w:eastAsia="Calibri"/>
          <w:szCs w:val="24"/>
          <w:lang w:val="sk-SK"/>
        </w:rPr>
        <w:t>1</w:t>
      </w:r>
      <w:r w:rsidR="00F45C16">
        <w:rPr>
          <w:rFonts w:eastAsia="Calibri"/>
          <w:szCs w:val="24"/>
          <w:lang w:val="sk-SK"/>
        </w:rPr>
        <w:t xml:space="preserve"> nižšie</w:t>
      </w:r>
      <w:r w:rsidRPr="00F45C16">
        <w:rPr>
          <w:rFonts w:eastAsia="Calibri"/>
          <w:szCs w:val="24"/>
          <w:lang w:val="sk-SK"/>
        </w:rPr>
        <w:t>.</w:t>
      </w:r>
    </w:p>
    <w:p w14:paraId="3D57FBAA" w14:textId="77777777" w:rsidR="0093612F" w:rsidRDefault="0093612F" w:rsidP="0093612F">
      <w:pPr>
        <w:pStyle w:val="Styl3"/>
        <w:spacing w:after="0"/>
        <w:rPr>
          <w:u w:val="none"/>
          <w:lang w:val="sk-SK"/>
        </w:rPr>
      </w:pPr>
      <w:r w:rsidRPr="000A2067">
        <w:rPr>
          <w:rFonts w:eastAsia="Times New Roman"/>
          <w:szCs w:val="20"/>
          <w:u w:val="none"/>
          <w:lang w:val="sk-SK"/>
        </w:rPr>
        <w:t>2 g injekčná liekovka: Obsah 1 liekovky (2 000 mg cefazolínu) sa rozpustí v 10 ml kompatibilného rozpúšťadla (t.j. približná koncentrácia 180 mg/ml). Príslušný objem tohto roztoku, ktorý sa má použiť, ako aj d</w:t>
      </w:r>
      <w:r>
        <w:rPr>
          <w:rFonts w:eastAsia="Times New Roman"/>
          <w:szCs w:val="20"/>
          <w:u w:val="none"/>
          <w:lang w:val="sk-SK"/>
        </w:rPr>
        <w:t xml:space="preserve">ávka v mg sú uvedené v tabuľke </w:t>
      </w:r>
      <w:r w:rsidRPr="00F45C16">
        <w:rPr>
          <w:rFonts w:eastAsia="Times New Roman"/>
          <w:szCs w:val="20"/>
          <w:u w:val="none"/>
          <w:lang w:val="sk-SK"/>
        </w:rPr>
        <w:t>2</w:t>
      </w:r>
      <w:r w:rsidR="00F45C16">
        <w:rPr>
          <w:rFonts w:eastAsia="Times New Roman"/>
          <w:szCs w:val="20"/>
          <w:u w:val="none"/>
          <w:lang w:val="sk-SK"/>
        </w:rPr>
        <w:t xml:space="preserve"> nižšie</w:t>
      </w:r>
      <w:r w:rsidRPr="000A2067">
        <w:rPr>
          <w:rFonts w:eastAsia="Times New Roman"/>
          <w:szCs w:val="20"/>
          <w:u w:val="none"/>
          <w:lang w:val="sk-SK"/>
        </w:rPr>
        <w:t>.</w:t>
      </w:r>
    </w:p>
    <w:p w14:paraId="735E87C4" w14:textId="77777777" w:rsidR="0093612F" w:rsidRDefault="0093612F" w:rsidP="00F57241">
      <w:pPr>
        <w:pStyle w:val="Styl3"/>
        <w:spacing w:after="0"/>
        <w:rPr>
          <w:u w:val="none"/>
          <w:lang w:val="sk-SK"/>
        </w:rPr>
      </w:pPr>
    </w:p>
    <w:p w14:paraId="0C8B5055" w14:textId="19000DB3" w:rsidR="00B64ACE" w:rsidRPr="00B96D19" w:rsidRDefault="00B64ACE" w:rsidP="00F57241">
      <w:pPr>
        <w:pStyle w:val="Styl3"/>
        <w:spacing w:after="0"/>
        <w:rPr>
          <w:u w:val="none"/>
          <w:lang w:val="sk-SK"/>
        </w:rPr>
      </w:pPr>
      <w:r w:rsidRPr="00B96D19">
        <w:rPr>
          <w:u w:val="none"/>
          <w:lang w:val="sk-SK"/>
        </w:rPr>
        <w:t>Pre objem rozpúšťadla, ktorý má byť pridaný pre pediatrickú populáciu, pozri časť Usmernenia pre dávkovanie</w:t>
      </w:r>
      <w:r w:rsidR="0093612F" w:rsidRPr="0093612F">
        <w:t xml:space="preserve"> </w:t>
      </w:r>
      <w:r w:rsidR="0093612F" w:rsidRPr="0093612F">
        <w:rPr>
          <w:u w:val="none"/>
          <w:lang w:val="sk-SK"/>
        </w:rPr>
        <w:t>v pediatrickej populácii</w:t>
      </w:r>
      <w:r w:rsidRPr="00B96D19">
        <w:rPr>
          <w:u w:val="none"/>
          <w:lang w:val="sk-SK"/>
        </w:rPr>
        <w:t>.</w:t>
      </w:r>
      <w:r w:rsidR="0093612F" w:rsidRPr="0093612F">
        <w:t xml:space="preserve"> </w:t>
      </w:r>
      <w:r w:rsidR="0093612F" w:rsidRPr="0093612F">
        <w:rPr>
          <w:u w:val="none"/>
          <w:lang w:val="sk-SK"/>
        </w:rPr>
        <w:t>Pre objemy menšie ako 1 ml, použite 0,5 ml injekčnú striekačku pre vyššiu presnosť dávkovania</w:t>
      </w:r>
      <w:r w:rsidR="0093612F">
        <w:rPr>
          <w:u w:val="none"/>
          <w:lang w:val="sk-SK"/>
        </w:rPr>
        <w:t>.</w:t>
      </w:r>
    </w:p>
    <w:p w14:paraId="57959688" w14:textId="77777777" w:rsidR="00F57241" w:rsidRPr="00B96D19" w:rsidRDefault="00F57241" w:rsidP="00F57241">
      <w:pPr>
        <w:pStyle w:val="Styl3"/>
        <w:spacing w:after="0"/>
        <w:rPr>
          <w:lang w:val="sk-SK"/>
        </w:rPr>
      </w:pPr>
    </w:p>
    <w:p w14:paraId="20BCCE74" w14:textId="77777777" w:rsidR="00F57241" w:rsidRPr="00B96D19" w:rsidRDefault="00F57241" w:rsidP="00F57241">
      <w:pPr>
        <w:pStyle w:val="Styl3"/>
        <w:spacing w:after="0"/>
        <w:rPr>
          <w:lang w:val="sk-SK"/>
        </w:rPr>
      </w:pPr>
      <w:r w:rsidRPr="00B96D19">
        <w:rPr>
          <w:lang w:val="sk-SK"/>
        </w:rPr>
        <w:t>Intravenózna infúzia</w:t>
      </w:r>
    </w:p>
    <w:p w14:paraId="0648F2F7" w14:textId="77777777" w:rsidR="00F57241" w:rsidRPr="00B96D19" w:rsidRDefault="00F57241" w:rsidP="00667033">
      <w:pPr>
        <w:pStyle w:val="Normlndobloku"/>
      </w:pPr>
    </w:p>
    <w:p w14:paraId="379D9166" w14:textId="321A4008" w:rsidR="00F57241" w:rsidRPr="00B96D19" w:rsidRDefault="006F5459" w:rsidP="00667033">
      <w:pPr>
        <w:pStyle w:val="Normlndobloku"/>
      </w:pPr>
      <w:r w:rsidRPr="00B96D19">
        <w:rPr>
          <w:rFonts w:eastAsia="Times New Roman"/>
          <w:color w:val="000000"/>
          <w:lang w:eastAsia="el-GR"/>
        </w:rPr>
        <w:t>Cefazol</w:t>
      </w:r>
      <w:r w:rsidR="00851942">
        <w:rPr>
          <w:rFonts w:eastAsia="Times New Roman"/>
          <w:color w:val="000000"/>
          <w:lang w:eastAsia="el-GR"/>
        </w:rPr>
        <w:t>í</w:t>
      </w:r>
      <w:r w:rsidRPr="00B96D19">
        <w:rPr>
          <w:rFonts w:eastAsia="Times New Roman"/>
          <w:color w:val="000000"/>
          <w:lang w:eastAsia="el-GR"/>
        </w:rPr>
        <w:t>n Noridem</w:t>
      </w:r>
      <w:r w:rsidRPr="00B96D19">
        <w:t xml:space="preserve"> </w:t>
      </w:r>
      <w:r w:rsidR="00F57241" w:rsidRPr="00B96D19">
        <w:t>sa má najprv rekonštituovať pomocou jedného z rozpúšťadiel, ktoré je uvedené ako kompatibilné pre intravenóznu injekciu.</w:t>
      </w:r>
    </w:p>
    <w:p w14:paraId="32DFBB37" w14:textId="77777777" w:rsidR="00F57241" w:rsidRPr="00B96D19" w:rsidRDefault="00F57241" w:rsidP="00667033">
      <w:pPr>
        <w:pStyle w:val="Normlndobloku"/>
      </w:pPr>
      <w:r w:rsidRPr="00B96D19">
        <w:t>Ďalšie riedenie sa má vykonať pomocou jedného z nasledovných kompatibilných rozpúšťadiel podľa nižšie uvedenej tabuľky:</w:t>
      </w:r>
    </w:p>
    <w:p w14:paraId="4C1DF98F" w14:textId="77777777" w:rsidR="00F57241" w:rsidRPr="00B96D19" w:rsidRDefault="00F57241" w:rsidP="00667033">
      <w:pPr>
        <w:pStyle w:val="Normlndobloku"/>
      </w:pPr>
    </w:p>
    <w:p w14:paraId="34FBAEDA" w14:textId="77777777" w:rsidR="00F57241" w:rsidRPr="00B96D19" w:rsidRDefault="00F57241" w:rsidP="00A836BB">
      <w:pPr>
        <w:pStyle w:val="Normlndoblokusodrkami"/>
        <w:numPr>
          <w:ilvl w:val="0"/>
          <w:numId w:val="29"/>
        </w:numPr>
      </w:pPr>
      <w:r w:rsidRPr="00B96D19">
        <w:t>0,9 % roztok chloridu sodného</w:t>
      </w:r>
    </w:p>
    <w:p w14:paraId="366FBB1C" w14:textId="77777777" w:rsidR="00F57241" w:rsidRPr="00B96D19" w:rsidRDefault="00F57241" w:rsidP="00A836BB">
      <w:pPr>
        <w:pStyle w:val="Normlndoblokusodrkami"/>
        <w:numPr>
          <w:ilvl w:val="0"/>
          <w:numId w:val="29"/>
        </w:numPr>
      </w:pPr>
      <w:r w:rsidRPr="00B96D19">
        <w:t xml:space="preserve">5 % roztok glukózy </w:t>
      </w:r>
    </w:p>
    <w:p w14:paraId="7769F9CF" w14:textId="77777777" w:rsidR="00F57241" w:rsidRPr="00B96D19" w:rsidRDefault="00F57241" w:rsidP="0093612F">
      <w:pPr>
        <w:pStyle w:val="Normlndoblokusodrkami"/>
        <w:numPr>
          <w:ilvl w:val="0"/>
          <w:numId w:val="29"/>
        </w:numPr>
      </w:pPr>
      <w:r w:rsidRPr="00B96D19">
        <w:t xml:space="preserve">Ringerov roztok </w:t>
      </w:r>
    </w:p>
    <w:p w14:paraId="37A175D5" w14:textId="34173422" w:rsidR="00F57241" w:rsidRPr="00B96D19" w:rsidRDefault="00F57241" w:rsidP="00F6252F">
      <w:pPr>
        <w:pStyle w:val="Normlndoblokusodrkami"/>
        <w:numPr>
          <w:ilvl w:val="0"/>
          <w:numId w:val="29"/>
        </w:numPr>
      </w:pPr>
      <w:r w:rsidRPr="00B96D19">
        <w:t>Ringerov roztok s </w:t>
      </w:r>
      <w:r w:rsidR="00F6252F">
        <w:t>mliečnanom</w:t>
      </w:r>
    </w:p>
    <w:p w14:paraId="48323B21" w14:textId="77777777" w:rsidR="00F57241" w:rsidRPr="00B96D19" w:rsidRDefault="00F57241" w:rsidP="00F6252F">
      <w:pPr>
        <w:pStyle w:val="Normlndoblokusodrkami"/>
        <w:numPr>
          <w:ilvl w:val="0"/>
          <w:numId w:val="29"/>
        </w:numPr>
      </w:pPr>
      <w:r w:rsidRPr="00B96D19">
        <w:t>voda na injekcie</w:t>
      </w:r>
    </w:p>
    <w:p w14:paraId="4A133728" w14:textId="77777777" w:rsidR="00F57241" w:rsidRPr="00B96D19" w:rsidRDefault="00F57241" w:rsidP="00667033">
      <w:pPr>
        <w:pStyle w:val="Normlndobloku"/>
      </w:pPr>
    </w:p>
    <w:p w14:paraId="5E37CF06" w14:textId="77777777" w:rsidR="00F57241" w:rsidRPr="00B96D19" w:rsidRDefault="00F57241" w:rsidP="00667033">
      <w:pPr>
        <w:pStyle w:val="Normlndobloku"/>
      </w:pPr>
      <w:r w:rsidRPr="00B96D19">
        <w:t>Tabuľka riedenia pre intravenóznu infúziu</w:t>
      </w:r>
    </w:p>
    <w:p w14:paraId="1E0DFCB0" w14:textId="77777777" w:rsidR="00F57241" w:rsidRPr="00B96D19" w:rsidRDefault="00F57241" w:rsidP="00667033">
      <w:pPr>
        <w:pStyle w:val="Normlndobloku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0"/>
        <w:gridCol w:w="2322"/>
        <w:gridCol w:w="2322"/>
        <w:gridCol w:w="2322"/>
      </w:tblGrid>
      <w:tr w:rsidR="00F57241" w:rsidRPr="00B96D19" w14:paraId="5CAB5390" w14:textId="77777777" w:rsidTr="00CA0B81">
        <w:trPr>
          <w:trHeight w:val="215"/>
        </w:trPr>
        <w:tc>
          <w:tcPr>
            <w:tcW w:w="2321" w:type="dxa"/>
          </w:tcPr>
          <w:p w14:paraId="19A3A7CF" w14:textId="77777777" w:rsidR="00F57241" w:rsidRPr="00B96D19" w:rsidRDefault="00F57241" w:rsidP="00B96D19">
            <w:pPr>
              <w:rPr>
                <w:rFonts w:eastAsia="Calibri"/>
                <w:lang w:val="sk-SK"/>
              </w:rPr>
            </w:pPr>
            <w:r w:rsidRPr="00B96D19">
              <w:rPr>
                <w:rFonts w:eastAsia="Calibri"/>
                <w:lang w:val="sk-SK"/>
              </w:rPr>
              <w:t>Obsah liekovky</w:t>
            </w:r>
          </w:p>
        </w:tc>
        <w:tc>
          <w:tcPr>
            <w:tcW w:w="2322" w:type="dxa"/>
          </w:tcPr>
          <w:p w14:paraId="366968B2" w14:textId="77777777" w:rsidR="00F57241" w:rsidRPr="00B96D19" w:rsidRDefault="00F57241" w:rsidP="00B96D19">
            <w:pPr>
              <w:rPr>
                <w:rFonts w:eastAsia="Calibri"/>
                <w:lang w:val="sk-SK"/>
              </w:rPr>
            </w:pPr>
            <w:r w:rsidRPr="00B96D19">
              <w:rPr>
                <w:rFonts w:eastAsia="Calibri"/>
                <w:lang w:val="sk-SK"/>
              </w:rPr>
              <w:t>Rekonštitúcia</w:t>
            </w:r>
          </w:p>
        </w:tc>
        <w:tc>
          <w:tcPr>
            <w:tcW w:w="2322" w:type="dxa"/>
          </w:tcPr>
          <w:p w14:paraId="04E24CDC" w14:textId="77777777" w:rsidR="00F57241" w:rsidRPr="00B96D19" w:rsidRDefault="00F57241" w:rsidP="00B96D19">
            <w:pPr>
              <w:rPr>
                <w:rFonts w:eastAsia="Calibri"/>
                <w:lang w:val="sk-SK"/>
              </w:rPr>
            </w:pPr>
            <w:r w:rsidRPr="00B96D19">
              <w:rPr>
                <w:rFonts w:eastAsia="Calibri"/>
                <w:lang w:val="sk-SK"/>
              </w:rPr>
              <w:t>Riedenie</w:t>
            </w:r>
          </w:p>
        </w:tc>
        <w:tc>
          <w:tcPr>
            <w:tcW w:w="2322" w:type="dxa"/>
          </w:tcPr>
          <w:p w14:paraId="78AB3F61" w14:textId="77777777" w:rsidR="00F57241" w:rsidRPr="00B96D19" w:rsidRDefault="00F57241" w:rsidP="00B96D19">
            <w:pPr>
              <w:rPr>
                <w:rFonts w:eastAsia="Calibri"/>
                <w:lang w:val="sk-SK"/>
              </w:rPr>
            </w:pPr>
            <w:r w:rsidRPr="00B96D19">
              <w:rPr>
                <w:lang w:val="sk-SK"/>
              </w:rPr>
              <w:t>Približná koncentrácia</w:t>
            </w:r>
          </w:p>
        </w:tc>
      </w:tr>
    </w:tbl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20"/>
        <w:gridCol w:w="2322"/>
        <w:gridCol w:w="2322"/>
        <w:gridCol w:w="2322"/>
      </w:tblGrid>
      <w:tr w:rsidR="00F57241" w:rsidRPr="00B96D19" w14:paraId="1382680D" w14:textId="77777777" w:rsidTr="00B96D19">
        <w:tc>
          <w:tcPr>
            <w:tcW w:w="2321" w:type="dxa"/>
          </w:tcPr>
          <w:p w14:paraId="33B1A7BC" w14:textId="77777777" w:rsidR="00F57241" w:rsidRPr="00B96D19" w:rsidRDefault="00F57241" w:rsidP="00B96D19">
            <w:pPr>
              <w:rPr>
                <w:rFonts w:eastAsia="Calibri"/>
                <w:lang w:val="sk-SK"/>
              </w:rPr>
            </w:pPr>
          </w:p>
        </w:tc>
        <w:tc>
          <w:tcPr>
            <w:tcW w:w="2322" w:type="dxa"/>
          </w:tcPr>
          <w:p w14:paraId="417CAAC4" w14:textId="77777777" w:rsidR="00F57241" w:rsidRPr="00B96D19" w:rsidRDefault="00F57241" w:rsidP="00B96D19">
            <w:pPr>
              <w:rPr>
                <w:rFonts w:eastAsia="Calibri"/>
                <w:lang w:val="sk-SK"/>
              </w:rPr>
            </w:pPr>
            <w:r w:rsidRPr="00B96D19">
              <w:rPr>
                <w:rFonts w:eastAsia="Calibri"/>
                <w:lang w:val="sk-SK"/>
              </w:rPr>
              <w:t xml:space="preserve">Minimálny objem </w:t>
            </w:r>
            <w:r w:rsidR="006F5459" w:rsidRPr="00B96D19">
              <w:rPr>
                <w:rFonts w:eastAsia="Calibri"/>
                <w:lang w:val="sk-SK"/>
              </w:rPr>
              <w:t xml:space="preserve">pridaného </w:t>
            </w:r>
            <w:r w:rsidRPr="00B96D19">
              <w:rPr>
                <w:rFonts w:eastAsia="Calibri"/>
                <w:lang w:val="sk-SK"/>
              </w:rPr>
              <w:t>rozpúšťadla</w:t>
            </w:r>
          </w:p>
        </w:tc>
        <w:tc>
          <w:tcPr>
            <w:tcW w:w="2322" w:type="dxa"/>
          </w:tcPr>
          <w:p w14:paraId="66B00861" w14:textId="77777777" w:rsidR="00F57241" w:rsidRPr="00B96D19" w:rsidRDefault="006F5459" w:rsidP="00B96D19">
            <w:pPr>
              <w:rPr>
                <w:rFonts w:eastAsia="Calibri"/>
                <w:lang w:val="sk-SK"/>
              </w:rPr>
            </w:pPr>
            <w:r w:rsidRPr="00B96D19">
              <w:rPr>
                <w:rFonts w:eastAsia="Calibri"/>
                <w:lang w:val="sk-SK"/>
              </w:rPr>
              <w:t>O</w:t>
            </w:r>
            <w:r w:rsidR="00F57241" w:rsidRPr="00B96D19">
              <w:rPr>
                <w:rFonts w:eastAsia="Calibri"/>
                <w:lang w:val="sk-SK"/>
              </w:rPr>
              <w:t xml:space="preserve">bjem </w:t>
            </w:r>
            <w:r w:rsidRPr="00B96D19">
              <w:rPr>
                <w:rFonts w:eastAsia="Calibri"/>
                <w:lang w:val="sk-SK"/>
              </w:rPr>
              <w:t xml:space="preserve">pridaného </w:t>
            </w:r>
            <w:r w:rsidR="00F57241" w:rsidRPr="00B96D19">
              <w:rPr>
                <w:rFonts w:eastAsia="Calibri"/>
                <w:lang w:val="sk-SK"/>
              </w:rPr>
              <w:t>rozpúšťadla</w:t>
            </w:r>
          </w:p>
        </w:tc>
        <w:tc>
          <w:tcPr>
            <w:tcW w:w="2322" w:type="dxa"/>
          </w:tcPr>
          <w:p w14:paraId="0A3E4FA7" w14:textId="77777777" w:rsidR="00F57241" w:rsidRPr="00B96D19" w:rsidRDefault="00F57241" w:rsidP="00B96D19">
            <w:pPr>
              <w:rPr>
                <w:rFonts w:eastAsia="Calibri"/>
                <w:lang w:val="sk-SK"/>
              </w:rPr>
            </w:pPr>
          </w:p>
        </w:tc>
      </w:tr>
      <w:tr w:rsidR="00F57241" w:rsidRPr="00B96D19" w14:paraId="0E3E66B3" w14:textId="77777777" w:rsidTr="00B96D19">
        <w:tc>
          <w:tcPr>
            <w:tcW w:w="2321" w:type="dxa"/>
          </w:tcPr>
          <w:p w14:paraId="0CDE7EE9" w14:textId="77777777" w:rsidR="00F57241" w:rsidRPr="00B96D19" w:rsidRDefault="00F57241" w:rsidP="00B96D19">
            <w:pPr>
              <w:rPr>
                <w:rFonts w:eastAsia="Calibri"/>
                <w:lang w:val="sk-SK"/>
              </w:rPr>
            </w:pPr>
            <w:r w:rsidRPr="00B96D19">
              <w:rPr>
                <w:rFonts w:eastAsia="Calibri"/>
                <w:lang w:val="sk-SK"/>
              </w:rPr>
              <w:t>1 g</w:t>
            </w:r>
          </w:p>
        </w:tc>
        <w:tc>
          <w:tcPr>
            <w:tcW w:w="2322" w:type="dxa"/>
          </w:tcPr>
          <w:p w14:paraId="4EB76F5C" w14:textId="77777777" w:rsidR="00F57241" w:rsidRPr="00B96D19" w:rsidRDefault="00F57241" w:rsidP="00B96D19">
            <w:pPr>
              <w:rPr>
                <w:rFonts w:eastAsia="Calibri"/>
                <w:lang w:val="sk-SK"/>
              </w:rPr>
            </w:pPr>
            <w:r w:rsidRPr="00B96D19">
              <w:rPr>
                <w:rFonts w:eastAsia="Calibri"/>
                <w:lang w:val="sk-SK"/>
              </w:rPr>
              <w:t>4 ml</w:t>
            </w:r>
          </w:p>
        </w:tc>
        <w:tc>
          <w:tcPr>
            <w:tcW w:w="2322" w:type="dxa"/>
          </w:tcPr>
          <w:p w14:paraId="6E37F788" w14:textId="77777777" w:rsidR="00F57241" w:rsidRPr="00B96D19" w:rsidRDefault="00F57241" w:rsidP="00B96D19">
            <w:pPr>
              <w:rPr>
                <w:rFonts w:eastAsia="Calibri"/>
                <w:lang w:val="sk-SK"/>
              </w:rPr>
            </w:pPr>
            <w:r w:rsidRPr="00B96D19">
              <w:rPr>
                <w:rFonts w:eastAsia="Calibri"/>
                <w:lang w:val="sk-SK"/>
              </w:rPr>
              <w:t>50 ml</w:t>
            </w:r>
            <w:r w:rsidR="00667033">
              <w:rPr>
                <w:rFonts w:eastAsia="Calibri"/>
                <w:lang w:val="sk-SK"/>
              </w:rPr>
              <w:t>–</w:t>
            </w:r>
            <w:r w:rsidRPr="00B96D19">
              <w:rPr>
                <w:rFonts w:eastAsia="Calibri"/>
                <w:lang w:val="sk-SK"/>
              </w:rPr>
              <w:t>100 ml</w:t>
            </w:r>
          </w:p>
        </w:tc>
        <w:tc>
          <w:tcPr>
            <w:tcW w:w="2322" w:type="dxa"/>
          </w:tcPr>
          <w:p w14:paraId="742017CF" w14:textId="77777777" w:rsidR="00F57241" w:rsidRPr="00B96D19" w:rsidRDefault="00F57241" w:rsidP="00B96D19">
            <w:pPr>
              <w:rPr>
                <w:rFonts w:eastAsia="Calibri"/>
                <w:lang w:val="sk-SK"/>
              </w:rPr>
            </w:pPr>
            <w:r w:rsidRPr="00B96D19">
              <w:rPr>
                <w:rFonts w:eastAsia="Calibri"/>
                <w:lang w:val="sk-SK"/>
              </w:rPr>
              <w:t>20 mg/ml</w:t>
            </w:r>
            <w:r w:rsidR="00667033">
              <w:rPr>
                <w:rFonts w:eastAsia="Calibri"/>
                <w:lang w:val="sk-SK"/>
              </w:rPr>
              <w:t>–</w:t>
            </w:r>
            <w:r w:rsidRPr="00B96D19">
              <w:rPr>
                <w:rFonts w:eastAsia="Calibri"/>
                <w:lang w:val="sk-SK"/>
              </w:rPr>
              <w:t>10 mg/ml</w:t>
            </w:r>
          </w:p>
        </w:tc>
      </w:tr>
      <w:tr w:rsidR="00F57241" w:rsidRPr="00B96D19" w14:paraId="5117A3DF" w14:textId="77777777" w:rsidTr="00B96D19">
        <w:tc>
          <w:tcPr>
            <w:tcW w:w="2321" w:type="dxa"/>
          </w:tcPr>
          <w:p w14:paraId="0AF6964E" w14:textId="77777777" w:rsidR="00F57241" w:rsidRPr="00B96D19" w:rsidRDefault="00851AB6" w:rsidP="00B96D19">
            <w:pPr>
              <w:rPr>
                <w:rFonts w:eastAsia="Calibri"/>
                <w:lang w:val="sk-SK"/>
              </w:rPr>
            </w:pPr>
            <w:r w:rsidRPr="00B96D19">
              <w:rPr>
                <w:rFonts w:eastAsia="Calibri"/>
                <w:lang w:val="sk-SK"/>
              </w:rPr>
              <w:lastRenderedPageBreak/>
              <w:t>2 g</w:t>
            </w:r>
          </w:p>
        </w:tc>
        <w:tc>
          <w:tcPr>
            <w:tcW w:w="2322" w:type="dxa"/>
          </w:tcPr>
          <w:p w14:paraId="30F0E76F" w14:textId="77777777" w:rsidR="00F57241" w:rsidRPr="00B96D19" w:rsidRDefault="00851AB6" w:rsidP="00B96D19">
            <w:pPr>
              <w:rPr>
                <w:rFonts w:eastAsia="Calibri"/>
                <w:lang w:val="sk-SK"/>
              </w:rPr>
            </w:pPr>
            <w:r w:rsidRPr="00B96D19">
              <w:rPr>
                <w:rFonts w:eastAsia="Calibri"/>
                <w:lang w:val="sk-SK"/>
              </w:rPr>
              <w:t>8 ml</w:t>
            </w:r>
          </w:p>
        </w:tc>
        <w:tc>
          <w:tcPr>
            <w:tcW w:w="2322" w:type="dxa"/>
          </w:tcPr>
          <w:p w14:paraId="24EB5089" w14:textId="77777777" w:rsidR="00F57241" w:rsidRPr="00B96D19" w:rsidRDefault="00851AB6" w:rsidP="00B96D19">
            <w:pPr>
              <w:rPr>
                <w:rFonts w:eastAsia="Calibri"/>
                <w:lang w:val="sk-SK"/>
              </w:rPr>
            </w:pPr>
            <w:r w:rsidRPr="00B96D19">
              <w:rPr>
                <w:rFonts w:eastAsia="Calibri"/>
                <w:lang w:val="sk-SK"/>
              </w:rPr>
              <w:t>50 ml</w:t>
            </w:r>
            <w:r w:rsidR="00667033">
              <w:rPr>
                <w:rFonts w:eastAsia="Calibri"/>
                <w:lang w:val="sk-SK"/>
              </w:rPr>
              <w:t>–</w:t>
            </w:r>
            <w:r w:rsidRPr="00B96D19">
              <w:rPr>
                <w:rFonts w:eastAsia="Calibri"/>
                <w:lang w:val="sk-SK"/>
              </w:rPr>
              <w:t>100 ml</w:t>
            </w:r>
          </w:p>
        </w:tc>
        <w:tc>
          <w:tcPr>
            <w:tcW w:w="2322" w:type="dxa"/>
          </w:tcPr>
          <w:p w14:paraId="727D6EFC" w14:textId="7937C78A" w:rsidR="00F57241" w:rsidRPr="00B96D19" w:rsidRDefault="00851AB6" w:rsidP="00B96D19">
            <w:pPr>
              <w:rPr>
                <w:rFonts w:eastAsia="Calibri"/>
                <w:lang w:val="sk-SK"/>
              </w:rPr>
            </w:pPr>
            <w:r w:rsidRPr="00B96D19">
              <w:rPr>
                <w:rFonts w:eastAsia="Calibri"/>
                <w:lang w:val="sk-SK"/>
              </w:rPr>
              <w:t>40 mg/ml</w:t>
            </w:r>
            <w:r w:rsidR="00667033">
              <w:rPr>
                <w:rFonts w:eastAsia="Calibri"/>
                <w:lang w:val="sk-SK"/>
              </w:rPr>
              <w:t>–</w:t>
            </w:r>
            <w:r w:rsidRPr="00B96D19">
              <w:rPr>
                <w:rFonts w:eastAsia="Calibri"/>
                <w:lang w:val="sk-SK"/>
              </w:rPr>
              <w:t>20 mg/ml</w:t>
            </w:r>
          </w:p>
        </w:tc>
      </w:tr>
    </w:tbl>
    <w:p w14:paraId="12F67243" w14:textId="77777777" w:rsidR="00F57241" w:rsidRPr="00B96D19" w:rsidRDefault="00F57241" w:rsidP="00667033">
      <w:pPr>
        <w:pStyle w:val="Normlndobloku"/>
      </w:pPr>
    </w:p>
    <w:p w14:paraId="138A3C6D" w14:textId="489708D6" w:rsidR="00F57241" w:rsidRPr="00B96D19" w:rsidRDefault="00851AB6" w:rsidP="00667033">
      <w:pPr>
        <w:pStyle w:val="Normlndobloku"/>
      </w:pPr>
      <w:r w:rsidRPr="00B96D19">
        <w:t xml:space="preserve">Pre </w:t>
      </w:r>
      <w:r w:rsidR="00FE643E">
        <w:t>C</w:t>
      </w:r>
      <w:r w:rsidR="00FE643E" w:rsidRPr="00B96D19">
        <w:t xml:space="preserve">efazolín </w:t>
      </w:r>
      <w:r w:rsidR="00FE643E">
        <w:t xml:space="preserve">Noridem </w:t>
      </w:r>
      <w:r w:rsidRPr="00B96D19">
        <w:t xml:space="preserve">2 g, ak sú potrebné nižšie dávky, </w:t>
      </w:r>
      <w:r w:rsidR="00CC0884">
        <w:t>sa odporúča</w:t>
      </w:r>
      <w:r w:rsidRPr="00B96D19">
        <w:t xml:space="preserve"> použiť polovicu rekonštituovaného roztoku (približne 4 ml s 1 g cefazolínu, t.j. polovica obsahu liekovky) a pridať kompatibilné rozpúšťadlo až do výsledného objemu 100 ml (výsledná koncentrácia približne 10</w:t>
      </w:r>
      <w:r w:rsidR="00F6252F">
        <w:t> </w:t>
      </w:r>
      <w:r w:rsidRPr="00B96D19">
        <w:t>mg/ml). Potrebné množstvo takto zriedeného roztoku sa potom môže podať pacientovi počas predpísanej doby.</w:t>
      </w:r>
    </w:p>
    <w:p w14:paraId="393CCB09" w14:textId="77777777" w:rsidR="00F57241" w:rsidRDefault="00F57241" w:rsidP="00667033">
      <w:pPr>
        <w:pStyle w:val="Normlndobloku"/>
      </w:pPr>
    </w:p>
    <w:p w14:paraId="6C45DCE7" w14:textId="653AC2CC" w:rsidR="00F6252F" w:rsidRDefault="00F6252F" w:rsidP="00667033">
      <w:pPr>
        <w:pStyle w:val="Normlndobloku"/>
      </w:pPr>
      <w:r w:rsidRPr="00F6252F">
        <w:t>Roztok Cefazol</w:t>
      </w:r>
      <w:r w:rsidR="00851942">
        <w:t>í</w:t>
      </w:r>
      <w:r w:rsidRPr="00F6252F">
        <w:t>nu Noridem s lidokaínom sa nikdy nesmie podať intravenózne.</w:t>
      </w:r>
    </w:p>
    <w:p w14:paraId="4F387271" w14:textId="77777777" w:rsidR="00F6252F" w:rsidRPr="00B96D19" w:rsidRDefault="00F6252F" w:rsidP="00667033">
      <w:pPr>
        <w:pStyle w:val="Normlndobloku"/>
      </w:pPr>
    </w:p>
    <w:p w14:paraId="438B41E0" w14:textId="77777777" w:rsidR="00F57241" w:rsidRPr="00B96D19" w:rsidRDefault="00F57241" w:rsidP="00667033">
      <w:pPr>
        <w:pStyle w:val="Normlndobloku"/>
      </w:pPr>
      <w:r w:rsidRPr="00B96D19">
        <w:t>Rovnako ako pr</w:t>
      </w:r>
      <w:r w:rsidR="007D073A" w:rsidRPr="00B96D19">
        <w:t>i všetkých parenterálnych liekoch</w:t>
      </w:r>
      <w:r w:rsidRPr="00B96D19">
        <w:t xml:space="preserve">, rekonštituovaný roztok sa má pred podaním vizuálne skontrolovať na prítomnosť častíc a sfarbenie. Roztok sa má použiť </w:t>
      </w:r>
      <w:r w:rsidR="007D073A" w:rsidRPr="00B96D19">
        <w:t>iba</w:t>
      </w:r>
      <w:r w:rsidRPr="00B96D19">
        <w:t xml:space="preserve"> vtedy, ak je číry a prakticky bez častíc.</w:t>
      </w:r>
    </w:p>
    <w:p w14:paraId="506B0CA2" w14:textId="77777777" w:rsidR="00F57241" w:rsidRPr="00B96D19" w:rsidRDefault="00F57241" w:rsidP="00667033">
      <w:pPr>
        <w:pStyle w:val="Normlndobloku"/>
      </w:pPr>
    </w:p>
    <w:p w14:paraId="35D09006" w14:textId="77777777" w:rsidR="00F57241" w:rsidRPr="00B96D19" w:rsidRDefault="00F57241" w:rsidP="00667033">
      <w:pPr>
        <w:pStyle w:val="Normlndobloku"/>
      </w:pPr>
      <w:r w:rsidRPr="00B96D19">
        <w:t>Rekonštituovaný liek je len na jednorazové použitie.</w:t>
      </w:r>
    </w:p>
    <w:p w14:paraId="1D32029C" w14:textId="77777777" w:rsidR="00F57241" w:rsidRDefault="00F57241" w:rsidP="00667033">
      <w:pPr>
        <w:pStyle w:val="Normlndobloku"/>
      </w:pPr>
    </w:p>
    <w:p w14:paraId="229AD8A4" w14:textId="77777777" w:rsidR="00F6252F" w:rsidRDefault="00F6252F" w:rsidP="00667033">
      <w:pPr>
        <w:pStyle w:val="Normlndobloku"/>
      </w:pPr>
      <w:r w:rsidRPr="00F6252F">
        <w:t>Všetok nepoužitý liek alebo odpad vzniknutý z lieku sa má zlikvidovať v súlade s národnými požiadavkami.</w:t>
      </w:r>
    </w:p>
    <w:p w14:paraId="2975C75F" w14:textId="77777777" w:rsidR="00F6252F" w:rsidRPr="00B96D19" w:rsidRDefault="00F6252F" w:rsidP="00667033">
      <w:pPr>
        <w:pStyle w:val="Normlndobloku"/>
      </w:pPr>
    </w:p>
    <w:p w14:paraId="266E5F68" w14:textId="77777777" w:rsidR="007D073A" w:rsidRPr="00C66829" w:rsidRDefault="00851AB6" w:rsidP="00667033">
      <w:pPr>
        <w:pStyle w:val="Normlndobloku"/>
        <w:rPr>
          <w:b/>
        </w:rPr>
      </w:pPr>
      <w:r w:rsidRPr="00C66829">
        <w:rPr>
          <w:b/>
        </w:rPr>
        <w:t>Inkompatibility</w:t>
      </w:r>
    </w:p>
    <w:p w14:paraId="734ECEBA" w14:textId="77777777" w:rsidR="00092454" w:rsidRPr="00B96D19" w:rsidRDefault="00092454" w:rsidP="00667033">
      <w:pPr>
        <w:pStyle w:val="Normlndobloku"/>
      </w:pPr>
    </w:p>
    <w:p w14:paraId="315DAD62" w14:textId="1D4C31F1" w:rsidR="00092454" w:rsidRPr="00B96D19" w:rsidRDefault="00F6252F" w:rsidP="00667033">
      <w:pPr>
        <w:pStyle w:val="Normlndobloku"/>
      </w:pPr>
      <w:r w:rsidRPr="00AC31CD">
        <w:t>Cefazolín je inkompatibilný s</w:t>
      </w:r>
      <w:r>
        <w:t xml:space="preserve"> a</w:t>
      </w:r>
      <w:r w:rsidRPr="00042EE4">
        <w:t>mikacíniumsulfát</w:t>
      </w:r>
      <w:r>
        <w:t>om</w:t>
      </w:r>
      <w:r w:rsidRPr="00AC31CD">
        <w:t xml:space="preserve">, </w:t>
      </w:r>
      <w:r>
        <w:t xml:space="preserve">sodnou soľou </w:t>
      </w:r>
      <w:r w:rsidRPr="00AC31CD">
        <w:t>amobarbital</w:t>
      </w:r>
      <w:r>
        <w:t>u</w:t>
      </w:r>
      <w:r w:rsidRPr="00AC31CD">
        <w:t xml:space="preserve">, kyselinou askorbovou, </w:t>
      </w:r>
      <w:r>
        <w:t>b</w:t>
      </w:r>
      <w:r w:rsidRPr="00042EE4">
        <w:t>leomycíniumsulfát</w:t>
      </w:r>
      <w:r>
        <w:t>om</w:t>
      </w:r>
      <w:r w:rsidRPr="00AC31CD">
        <w:t xml:space="preserve">, </w:t>
      </w:r>
      <w:r w:rsidRPr="000A2067">
        <w:t>gluceptátom vápenatým</w:t>
      </w:r>
      <w:r w:rsidRPr="00AC31CD">
        <w:t xml:space="preserve">, </w:t>
      </w:r>
      <w:r>
        <w:t>glukonátom vápenatým, c</w:t>
      </w:r>
      <w:r w:rsidRPr="00556271">
        <w:t>imetidíniumchlorid</w:t>
      </w:r>
      <w:r>
        <w:t>om</w:t>
      </w:r>
      <w:r w:rsidRPr="00AC31CD">
        <w:t xml:space="preserve">, sodnou soľou kolistimetátu, </w:t>
      </w:r>
      <w:r w:rsidRPr="000A2067">
        <w:t>erytromycín</w:t>
      </w:r>
      <w:r w:rsidR="002201F5" w:rsidRPr="002201F5">
        <w:t>iumgluceptát</w:t>
      </w:r>
      <w:r w:rsidR="004C2558">
        <w:t>om</w:t>
      </w:r>
      <w:r w:rsidRPr="00AC31CD">
        <w:t xml:space="preserve">, </w:t>
      </w:r>
      <w:r>
        <w:t>k</w:t>
      </w:r>
      <w:r w:rsidRPr="00436F80">
        <w:t>anamycíniumsulfát</w:t>
      </w:r>
      <w:r>
        <w:t>om, o</w:t>
      </w:r>
      <w:r w:rsidRPr="00436F80">
        <w:t>xytetracyklíniumchlorid</w:t>
      </w:r>
      <w:r>
        <w:t>om</w:t>
      </w:r>
      <w:r w:rsidRPr="00AC31CD">
        <w:t xml:space="preserve">, </w:t>
      </w:r>
      <w:r>
        <w:t xml:space="preserve">sodnou soľou </w:t>
      </w:r>
      <w:r w:rsidRPr="00AC31CD">
        <w:t>pentobarbital</w:t>
      </w:r>
      <w:r>
        <w:t>u</w:t>
      </w:r>
      <w:r w:rsidRPr="00AC31CD">
        <w:t xml:space="preserve">, </w:t>
      </w:r>
      <w:r>
        <w:t>p</w:t>
      </w:r>
      <w:r w:rsidRPr="00436F80">
        <w:t>olymyxíniumsulfát</w:t>
      </w:r>
      <w:r>
        <w:t>om</w:t>
      </w:r>
      <w:r w:rsidRPr="00436F80">
        <w:t xml:space="preserve"> B</w:t>
      </w:r>
      <w:r w:rsidRPr="00AC31CD">
        <w:t xml:space="preserve"> a </w:t>
      </w:r>
      <w:r>
        <w:t>t</w:t>
      </w:r>
      <w:r w:rsidRPr="00436F80">
        <w:t>etracyklíniumchlorid</w:t>
      </w:r>
      <w:r>
        <w:t>om</w:t>
      </w:r>
      <w:r w:rsidR="00092454" w:rsidRPr="00B96D19">
        <w:t>.</w:t>
      </w:r>
    </w:p>
    <w:p w14:paraId="71D14D29" w14:textId="77777777" w:rsidR="007D073A" w:rsidRPr="00B96D19" w:rsidRDefault="007D073A" w:rsidP="00667033">
      <w:pPr>
        <w:pStyle w:val="Normlndobloku"/>
      </w:pPr>
    </w:p>
    <w:p w14:paraId="0589FF74" w14:textId="77777777" w:rsidR="00EE0B04" w:rsidRPr="000A2067" w:rsidRDefault="00851AB6" w:rsidP="00667033">
      <w:pPr>
        <w:pStyle w:val="Normlndobloku"/>
        <w:rPr>
          <w:b/>
        </w:rPr>
      </w:pPr>
      <w:r w:rsidRPr="000A2067">
        <w:rPr>
          <w:b/>
        </w:rPr>
        <w:t>Dávkovanie a spôsob podávania</w:t>
      </w:r>
    </w:p>
    <w:p w14:paraId="1A19CBCD" w14:textId="77777777" w:rsidR="00EE0B04" w:rsidRPr="00B96D19" w:rsidRDefault="00EE0B04" w:rsidP="00667033">
      <w:pPr>
        <w:pStyle w:val="Normlndobloku"/>
      </w:pPr>
    </w:p>
    <w:p w14:paraId="6AAC35F6" w14:textId="77777777" w:rsidR="00EE0B04" w:rsidRPr="00B96D19" w:rsidRDefault="00B80E69" w:rsidP="00667033">
      <w:pPr>
        <w:pStyle w:val="Normlndobloku"/>
      </w:pPr>
      <w:r>
        <w:t>Dávkovanie</w:t>
      </w:r>
      <w:r w:rsidR="00EE0B04" w:rsidRPr="00B96D19">
        <w:t xml:space="preserve"> aj spôsob podávania závisia od lokalizácie a závažnosti infekcie a od klinického a bakteriologického progresu.</w:t>
      </w:r>
      <w:r w:rsidR="00F6252F">
        <w:t xml:space="preserve"> </w:t>
      </w:r>
      <w:r w:rsidR="00F6252F" w:rsidRPr="00F6252F">
        <w:t>Do úvahy sa majú vziať miestne terapeutické usmernenia</w:t>
      </w:r>
      <w:r w:rsidR="00F6252F">
        <w:t>.</w:t>
      </w:r>
    </w:p>
    <w:p w14:paraId="6B9F0AF0" w14:textId="77777777" w:rsidR="00EE0B04" w:rsidRPr="00B96D19" w:rsidRDefault="00EE0B04" w:rsidP="00667033">
      <w:pPr>
        <w:pStyle w:val="Normlndobloku"/>
      </w:pPr>
    </w:p>
    <w:p w14:paraId="4F737A98" w14:textId="77777777" w:rsidR="00EE0B04" w:rsidRPr="00B96D19" w:rsidRDefault="00EE0B04" w:rsidP="00EE0B04">
      <w:pPr>
        <w:pStyle w:val="Styl3"/>
        <w:spacing w:after="0"/>
        <w:rPr>
          <w:b/>
          <w:bCs/>
          <w:lang w:val="sk-SK"/>
        </w:rPr>
      </w:pPr>
      <w:r w:rsidRPr="00B96D19">
        <w:rPr>
          <w:b/>
          <w:bCs/>
          <w:lang w:val="sk-SK"/>
        </w:rPr>
        <w:t>Dospelí a dospievajúci (starší ako 12 rokov a s </w:t>
      </w:r>
      <w:r w:rsidR="005565D9" w:rsidRPr="00B96D19">
        <w:rPr>
          <w:b/>
          <w:bCs/>
          <w:lang w:val="sk-SK"/>
        </w:rPr>
        <w:t xml:space="preserve">telesnou </w:t>
      </w:r>
      <w:r w:rsidRPr="00B96D19">
        <w:rPr>
          <w:b/>
          <w:bCs/>
          <w:lang w:val="sk-SK"/>
        </w:rPr>
        <w:t xml:space="preserve">hmotnosťou </w:t>
      </w:r>
      <w:r w:rsidRPr="00B96D19">
        <w:rPr>
          <w:b/>
          <w:bCs/>
          <w:lang w:val="sk-SK" w:bidi="en-GB"/>
        </w:rPr>
        <w:t>≥ 40 kg</w:t>
      </w:r>
      <w:r w:rsidRPr="00B96D19">
        <w:rPr>
          <w:b/>
          <w:bCs/>
          <w:lang w:val="sk-SK"/>
        </w:rPr>
        <w:t>)</w:t>
      </w:r>
    </w:p>
    <w:p w14:paraId="1C32F828" w14:textId="77777777" w:rsidR="00C81510" w:rsidRPr="00B96D19" w:rsidRDefault="00C81510" w:rsidP="00EE0B04">
      <w:pPr>
        <w:pStyle w:val="Styl3"/>
        <w:spacing w:after="0"/>
        <w:rPr>
          <w:b/>
          <w:bCs/>
          <w:lang w:val="sk-SK"/>
        </w:rPr>
      </w:pPr>
    </w:p>
    <w:p w14:paraId="6A66CF53" w14:textId="77777777" w:rsidR="00851AB6" w:rsidRPr="00B96D19" w:rsidRDefault="00EE0B04" w:rsidP="00A836BB">
      <w:pPr>
        <w:pStyle w:val="Normlndoblokusodrkami"/>
        <w:numPr>
          <w:ilvl w:val="0"/>
          <w:numId w:val="25"/>
        </w:numPr>
      </w:pPr>
      <w:r w:rsidRPr="00B96D19">
        <w:t>Pri infekciách spôsobených citlivými mikroorganizmami: 1 - 2 g cefazolínu denne, rozdelených do 2 - 3 rovnakých dávok.</w:t>
      </w:r>
    </w:p>
    <w:p w14:paraId="052C9738" w14:textId="77777777" w:rsidR="00851AB6" w:rsidRPr="00B96D19" w:rsidRDefault="00EE0B04" w:rsidP="00A836BB">
      <w:pPr>
        <w:pStyle w:val="Normlndoblokusodrkami"/>
        <w:numPr>
          <w:ilvl w:val="0"/>
          <w:numId w:val="25"/>
        </w:numPr>
      </w:pPr>
      <w:r w:rsidRPr="00B96D19">
        <w:t xml:space="preserve">Pri infekciách spôsobených stredne citlivými mikroorganizmami: 3 - 4 g cefazolínu denne, rozdelených do 3 - 4 rovnakých dávok. </w:t>
      </w:r>
    </w:p>
    <w:p w14:paraId="1AB200AF" w14:textId="77777777" w:rsidR="00851AB6" w:rsidRPr="00B96D19" w:rsidRDefault="00851AB6" w:rsidP="00667033">
      <w:pPr>
        <w:pStyle w:val="Normlndobloku"/>
      </w:pPr>
    </w:p>
    <w:p w14:paraId="39D0FC09" w14:textId="0F24A094" w:rsidR="00EE0B04" w:rsidRPr="00B96D19" w:rsidRDefault="00EE0B04" w:rsidP="00667033">
      <w:pPr>
        <w:pStyle w:val="Normlndobloku"/>
      </w:pPr>
      <w:r w:rsidRPr="00B96D19">
        <w:t>Pri ťažkých infekci</w:t>
      </w:r>
      <w:r w:rsidR="00F6252F">
        <w:t>ách</w:t>
      </w:r>
      <w:r w:rsidRPr="00B96D19">
        <w:t xml:space="preserve"> možno podávať dávku až 6 g/deň rozdelenú do 3 - 4 rovnakých dávok (jedna dávka každých 6 alebo 8 hodín).</w:t>
      </w:r>
    </w:p>
    <w:p w14:paraId="2161C388" w14:textId="77777777" w:rsidR="00EE0B04" w:rsidRPr="00B96D19" w:rsidRDefault="00EE0B04" w:rsidP="00667033">
      <w:pPr>
        <w:pStyle w:val="Normlndobloku"/>
      </w:pPr>
    </w:p>
    <w:p w14:paraId="3E96FF37" w14:textId="0B3116D3" w:rsidR="00EE0B04" w:rsidRPr="000A2067" w:rsidRDefault="00EE0B04" w:rsidP="00667033">
      <w:pPr>
        <w:pStyle w:val="Normlndobloku"/>
        <w:rPr>
          <w:b/>
        </w:rPr>
      </w:pPr>
      <w:r w:rsidRPr="000A2067">
        <w:rPr>
          <w:b/>
        </w:rPr>
        <w:t>Osobitné odporúčania</w:t>
      </w:r>
      <w:r w:rsidR="00F6252F" w:rsidRPr="000A2067">
        <w:rPr>
          <w:b/>
        </w:rPr>
        <w:t xml:space="preserve"> pre dávkovanie</w:t>
      </w:r>
    </w:p>
    <w:p w14:paraId="41C9AD68" w14:textId="77777777" w:rsidR="00EE0B04" w:rsidRPr="00B96D19" w:rsidRDefault="00EE0B04" w:rsidP="00EE0B04">
      <w:pPr>
        <w:pStyle w:val="Styl3"/>
        <w:spacing w:after="0"/>
        <w:rPr>
          <w:lang w:val="sk-SK"/>
        </w:rPr>
      </w:pPr>
      <w:r w:rsidRPr="00B96D19">
        <w:rPr>
          <w:lang w:val="sk-SK"/>
        </w:rPr>
        <w:t>Perioperačná profylaxia</w:t>
      </w:r>
    </w:p>
    <w:p w14:paraId="710E531C" w14:textId="77777777" w:rsidR="00EE0B04" w:rsidRPr="00B96D19" w:rsidRDefault="00EE0B04" w:rsidP="00667033">
      <w:pPr>
        <w:pStyle w:val="Normlndobloku"/>
      </w:pPr>
      <w:r w:rsidRPr="00B96D19">
        <w:t>Odporúčané dávky na prevenciu pooperačn</w:t>
      </w:r>
      <w:r w:rsidR="006B3060" w:rsidRPr="00B96D19">
        <w:t>ej</w:t>
      </w:r>
      <w:r w:rsidRPr="00B96D19">
        <w:t xml:space="preserve"> infekci</w:t>
      </w:r>
      <w:r w:rsidR="006B3060" w:rsidRPr="00B96D19">
        <w:t>e</w:t>
      </w:r>
      <w:r w:rsidRPr="00B96D19">
        <w:t xml:space="preserve"> pri operáciách </w:t>
      </w:r>
      <w:r w:rsidR="006B3060" w:rsidRPr="00B96D19">
        <w:t>s kontamináciou</w:t>
      </w:r>
      <w:r w:rsidRPr="00B96D19">
        <w:t xml:space="preserve"> alebo </w:t>
      </w:r>
      <w:r w:rsidR="006B3060" w:rsidRPr="00B96D19">
        <w:t>s potenciálnou kontamináciou</w:t>
      </w:r>
      <w:r w:rsidRPr="00B96D19">
        <w:t xml:space="preserve"> sú:</w:t>
      </w:r>
    </w:p>
    <w:p w14:paraId="4D973B54" w14:textId="77777777" w:rsidR="00851AB6" w:rsidRPr="00B96D19" w:rsidRDefault="00EE0B04" w:rsidP="00A836BB">
      <w:pPr>
        <w:pStyle w:val="Normlndoblokusodrkami"/>
        <w:numPr>
          <w:ilvl w:val="0"/>
          <w:numId w:val="26"/>
        </w:numPr>
      </w:pPr>
      <w:r w:rsidRPr="00B96D19">
        <w:t xml:space="preserve">1 g cefazolínu 30 - 60 minút pred začiatkom operácie </w:t>
      </w:r>
    </w:p>
    <w:p w14:paraId="3DCBDD8F" w14:textId="77777777" w:rsidR="00851AB6" w:rsidRPr="00B96D19" w:rsidRDefault="00EE0B04" w:rsidP="00A836BB">
      <w:pPr>
        <w:pStyle w:val="Normlndoblokusodrkami"/>
        <w:numPr>
          <w:ilvl w:val="0"/>
          <w:numId w:val="26"/>
        </w:numPr>
      </w:pPr>
      <w:r w:rsidRPr="00B96D19">
        <w:t xml:space="preserve">pri dlhšie trvajúcich operáciách (2 hodiny a dlhšie) sa podáva ďalšia dávka 0,5 - 1 g </w:t>
      </w:r>
      <w:r w:rsidR="006B3060" w:rsidRPr="00B96D19">
        <w:t xml:space="preserve">cefazolínu </w:t>
      </w:r>
      <w:r w:rsidRPr="00B96D19">
        <w:t xml:space="preserve">počas </w:t>
      </w:r>
      <w:r w:rsidR="006B3060" w:rsidRPr="00B96D19">
        <w:t>chirurgického zákroku</w:t>
      </w:r>
    </w:p>
    <w:p w14:paraId="50FF7AD5" w14:textId="77777777" w:rsidR="00851AB6" w:rsidRPr="00B96D19" w:rsidRDefault="00EE0B04" w:rsidP="0093612F">
      <w:pPr>
        <w:pStyle w:val="Normlndoblokusodrkami"/>
        <w:numPr>
          <w:ilvl w:val="0"/>
          <w:numId w:val="26"/>
        </w:numPr>
      </w:pPr>
      <w:r w:rsidRPr="00B96D19">
        <w:t>predĺžené pokračovanie v podávaní po skončení chirurgického zákroku sa má zakladať na oficiálnych národných usmerneniach.</w:t>
      </w:r>
    </w:p>
    <w:p w14:paraId="74182CF2" w14:textId="77777777" w:rsidR="00EE0B04" w:rsidRPr="00B96D19" w:rsidRDefault="00EE0B04" w:rsidP="00667033">
      <w:pPr>
        <w:pStyle w:val="Normlndobloku"/>
      </w:pPr>
    </w:p>
    <w:p w14:paraId="5E812B82" w14:textId="77777777" w:rsidR="00EE0B04" w:rsidRPr="00B96D19" w:rsidRDefault="00EE0B04" w:rsidP="00667033">
      <w:pPr>
        <w:pStyle w:val="Normlndobloku"/>
      </w:pPr>
      <w:r w:rsidRPr="00B96D19">
        <w:t>Je dôležité, aby (1) sa predoperačná dávka podala krátko pred zač</w:t>
      </w:r>
      <w:r w:rsidR="00B04D66" w:rsidRPr="00B96D19">
        <w:t>atím operácie (30 minút až 1 </w:t>
      </w:r>
      <w:r w:rsidRPr="00B96D19">
        <w:t>hodinu), tak aby sa v čase prvého chirurgického rezu dosiahla požadovaná hladina antibiotika v sére a v tkanivách</w:t>
      </w:r>
      <w:r w:rsidRPr="00B96D19">
        <w:rPr>
          <w:iCs/>
        </w:rPr>
        <w:t>;</w:t>
      </w:r>
      <w:r w:rsidRPr="00B96D19">
        <w:t xml:space="preserve"> a (2) cefazolín bol podávaný, ak je to potrebné, v stanovených </w:t>
      </w:r>
      <w:r w:rsidR="00B04D66" w:rsidRPr="00B96D19">
        <w:t>intervaloch</w:t>
      </w:r>
      <w:r w:rsidRPr="00B96D19">
        <w:t xml:space="preserve"> v priebehu chirurgického zákroku, aby sa zabezpečila dostatočne vysoká hladina antibiotika v </w:t>
      </w:r>
      <w:r w:rsidR="00B04D66" w:rsidRPr="00B96D19">
        <w:t xml:space="preserve">čase očakávanej </w:t>
      </w:r>
      <w:r w:rsidRPr="00B96D19">
        <w:t xml:space="preserve">najvyššej expozície </w:t>
      </w:r>
      <w:r w:rsidR="00B04D66" w:rsidRPr="00B96D19">
        <w:t xml:space="preserve">infekčným </w:t>
      </w:r>
      <w:r w:rsidRPr="00B96D19">
        <w:t>mikroorganizmom.</w:t>
      </w:r>
    </w:p>
    <w:p w14:paraId="1C6F1423" w14:textId="77777777" w:rsidR="00EE0B04" w:rsidRPr="00B96D19" w:rsidRDefault="00EE0B04" w:rsidP="00667033">
      <w:pPr>
        <w:pStyle w:val="Normlndobloku"/>
      </w:pPr>
    </w:p>
    <w:p w14:paraId="6C644A7E" w14:textId="77777777" w:rsidR="00EE0B04" w:rsidRPr="000A2067" w:rsidRDefault="00EE0B04" w:rsidP="00667033">
      <w:pPr>
        <w:pStyle w:val="Normlndobloku"/>
        <w:rPr>
          <w:b/>
        </w:rPr>
      </w:pPr>
      <w:r w:rsidRPr="000A2067">
        <w:rPr>
          <w:b/>
        </w:rPr>
        <w:t>Dospelí pacienti s poruchou funkcie obličiek</w:t>
      </w:r>
    </w:p>
    <w:p w14:paraId="5E8AC46C" w14:textId="77777777" w:rsidR="00EE0B04" w:rsidRPr="00B96D19" w:rsidRDefault="00EE0B04" w:rsidP="00667033">
      <w:pPr>
        <w:pStyle w:val="Normlndobloku"/>
      </w:pPr>
      <w:r w:rsidRPr="00B96D19">
        <w:t>U dospelých s poruchou funkcie obličiek môže byť potrebná nižšia dávka, aby sa zabránilo akumulácii liečiva.</w:t>
      </w:r>
    </w:p>
    <w:p w14:paraId="0C9E5ECB" w14:textId="77777777" w:rsidR="00EE0B04" w:rsidRPr="00B96D19" w:rsidRDefault="00EE0B04" w:rsidP="00667033">
      <w:pPr>
        <w:pStyle w:val="Normlndobloku"/>
      </w:pPr>
      <w:r w:rsidRPr="00B96D19">
        <w:t>Veľkosť tejto nižšej dávky možno určiť na základe hladiny liečiva v krvi. Ak to nie je možné, dávka sa určí podľa klírensu kreatinínu.</w:t>
      </w:r>
    </w:p>
    <w:p w14:paraId="32A75961" w14:textId="77777777" w:rsidR="00EE0B04" w:rsidRPr="00B96D19" w:rsidRDefault="00EE0B04" w:rsidP="00667033">
      <w:pPr>
        <w:pStyle w:val="Normlndobloku"/>
      </w:pPr>
    </w:p>
    <w:p w14:paraId="591CAA97" w14:textId="77777777" w:rsidR="00EE0B04" w:rsidRPr="000A2067" w:rsidRDefault="00EE0B04" w:rsidP="00667033">
      <w:pPr>
        <w:pStyle w:val="Normlndobloku"/>
        <w:rPr>
          <w:b/>
        </w:rPr>
      </w:pPr>
      <w:r w:rsidRPr="000A2067">
        <w:rPr>
          <w:b/>
        </w:rPr>
        <w:t xml:space="preserve">Udržiavacia dávka cefazolínu u pacientov s poruchou </w:t>
      </w:r>
      <w:r w:rsidR="00BB1F4C" w:rsidRPr="000A2067">
        <w:rPr>
          <w:b/>
        </w:rPr>
        <w:t xml:space="preserve">funkcie </w:t>
      </w:r>
      <w:r w:rsidRPr="000A2067">
        <w:rPr>
          <w:b/>
        </w:rPr>
        <w:t>obličiek</w:t>
      </w:r>
    </w:p>
    <w:p w14:paraId="3BC94037" w14:textId="77777777" w:rsidR="00EE0B04" w:rsidRPr="00B96D19" w:rsidRDefault="00EE0B04" w:rsidP="00667033">
      <w:pPr>
        <w:pStyle w:val="Normlndobloku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96"/>
        <w:gridCol w:w="3096"/>
        <w:gridCol w:w="3096"/>
      </w:tblGrid>
      <w:tr w:rsidR="00EE0B04" w:rsidRPr="00B96D19" w14:paraId="3DD2045D" w14:textId="77777777" w:rsidTr="00B96D19">
        <w:tc>
          <w:tcPr>
            <w:tcW w:w="3096" w:type="dxa"/>
            <w:vAlign w:val="center"/>
          </w:tcPr>
          <w:p w14:paraId="32B16442" w14:textId="77777777" w:rsidR="00EE0B04" w:rsidRPr="000A2067" w:rsidRDefault="00EE0B04" w:rsidP="00667033">
            <w:pPr>
              <w:pStyle w:val="Tabulkynormlndoblokuzarovnndoleva"/>
              <w:framePr w:wrap="around"/>
              <w:rPr>
                <w:b/>
              </w:rPr>
            </w:pPr>
            <w:r w:rsidRPr="000A2067">
              <w:rPr>
                <w:b/>
              </w:rPr>
              <w:t>Klírens kreatinínu (ml/min)</w:t>
            </w:r>
          </w:p>
        </w:tc>
        <w:tc>
          <w:tcPr>
            <w:tcW w:w="3096" w:type="dxa"/>
            <w:vAlign w:val="center"/>
          </w:tcPr>
          <w:p w14:paraId="5A600F7E" w14:textId="77777777" w:rsidR="00EE0B04" w:rsidRPr="000A2067" w:rsidRDefault="00EE0B04" w:rsidP="00667033">
            <w:pPr>
              <w:pStyle w:val="Tabulkynormlndoblokuzarovnndoleva"/>
              <w:framePr w:wrap="around"/>
              <w:rPr>
                <w:rFonts w:ascii="Times New Roman" w:eastAsia="Courier New" w:hAnsi="Times New Roman" w:cs="Times New Roman"/>
                <w:b/>
              </w:rPr>
            </w:pPr>
            <w:r w:rsidRPr="000A2067">
              <w:rPr>
                <w:b/>
              </w:rPr>
              <w:t>Kreatinín v sére (mg/dl)</w:t>
            </w:r>
          </w:p>
        </w:tc>
        <w:tc>
          <w:tcPr>
            <w:tcW w:w="3096" w:type="dxa"/>
            <w:vAlign w:val="center"/>
          </w:tcPr>
          <w:p w14:paraId="323F349C" w14:textId="77777777" w:rsidR="00EE0B04" w:rsidRPr="000A2067" w:rsidRDefault="00EE0B04" w:rsidP="00667033">
            <w:pPr>
              <w:pStyle w:val="Tabulkynormlndoblokuzarovnndoleva"/>
              <w:framePr w:wrap="around"/>
              <w:rPr>
                <w:b/>
              </w:rPr>
            </w:pPr>
            <w:r w:rsidRPr="000A2067">
              <w:rPr>
                <w:b/>
              </w:rPr>
              <w:t>Dávka</w:t>
            </w:r>
          </w:p>
        </w:tc>
      </w:tr>
      <w:tr w:rsidR="00EE0B04" w:rsidRPr="0046395D" w14:paraId="73C050F1" w14:textId="77777777" w:rsidTr="00B96D19">
        <w:tc>
          <w:tcPr>
            <w:tcW w:w="3096" w:type="dxa"/>
            <w:vAlign w:val="center"/>
          </w:tcPr>
          <w:p w14:paraId="3CFE2666" w14:textId="77777777" w:rsidR="00EE0B04" w:rsidRPr="00B96D19" w:rsidRDefault="00EE0B04" w:rsidP="00667033">
            <w:pPr>
              <w:pStyle w:val="Tabulkynormlndoblokuzarovnndoleva"/>
              <w:framePr w:wrap="around"/>
            </w:pPr>
            <w:r w:rsidRPr="00B96D19">
              <w:t>≥ 55</w:t>
            </w:r>
          </w:p>
        </w:tc>
        <w:tc>
          <w:tcPr>
            <w:tcW w:w="3096" w:type="dxa"/>
            <w:vAlign w:val="center"/>
          </w:tcPr>
          <w:p w14:paraId="7D13DCE2" w14:textId="77777777" w:rsidR="00EE0B04" w:rsidRPr="00B96D19" w:rsidRDefault="00EE0B04" w:rsidP="00667033">
            <w:pPr>
              <w:pStyle w:val="Tabulkynormlndoblokuzarovnndoleva"/>
              <w:framePr w:wrap="around"/>
            </w:pPr>
            <w:r w:rsidRPr="00B96D19">
              <w:t>≤ 1,5</w:t>
            </w:r>
          </w:p>
        </w:tc>
        <w:tc>
          <w:tcPr>
            <w:tcW w:w="3096" w:type="dxa"/>
            <w:vAlign w:val="center"/>
          </w:tcPr>
          <w:p w14:paraId="7E0DD564" w14:textId="77777777" w:rsidR="00EE0B04" w:rsidRPr="00B96D19" w:rsidRDefault="00EE0B04" w:rsidP="00667033">
            <w:pPr>
              <w:pStyle w:val="Tabulkynormlndoblokuzarovnndoleva"/>
              <w:framePr w:wrap="around"/>
            </w:pPr>
            <w:r w:rsidRPr="00B96D19">
              <w:t>Zvyčajná dávka a zvyčajný dávkovací interval</w:t>
            </w:r>
          </w:p>
        </w:tc>
      </w:tr>
      <w:tr w:rsidR="00EE0B04" w:rsidRPr="00B96D19" w14:paraId="5307C6D5" w14:textId="77777777" w:rsidTr="00B96D19">
        <w:tc>
          <w:tcPr>
            <w:tcW w:w="3096" w:type="dxa"/>
            <w:vAlign w:val="center"/>
          </w:tcPr>
          <w:p w14:paraId="33EE11E1" w14:textId="77777777" w:rsidR="00EE0B04" w:rsidRPr="00B96D19" w:rsidRDefault="00EE0B04" w:rsidP="00667033">
            <w:pPr>
              <w:pStyle w:val="Tabulkynormlndoblokuzarovnndoleva"/>
              <w:framePr w:wrap="around"/>
            </w:pPr>
            <w:r w:rsidRPr="00B96D19">
              <w:t>35</w:t>
            </w:r>
            <w:r w:rsidR="00667033">
              <w:t>–</w:t>
            </w:r>
            <w:r w:rsidRPr="00B96D19">
              <w:t>54</w:t>
            </w:r>
          </w:p>
        </w:tc>
        <w:tc>
          <w:tcPr>
            <w:tcW w:w="3096" w:type="dxa"/>
            <w:vAlign w:val="center"/>
          </w:tcPr>
          <w:p w14:paraId="4F30C6F8" w14:textId="77777777" w:rsidR="00EE0B04" w:rsidRPr="00B96D19" w:rsidRDefault="00EE0B04" w:rsidP="00667033">
            <w:pPr>
              <w:pStyle w:val="Tabulkynormlndoblokuzarovnndoleva"/>
              <w:framePr w:wrap="around"/>
            </w:pPr>
            <w:r w:rsidRPr="00B96D19">
              <w:t>1,6</w:t>
            </w:r>
            <w:r w:rsidR="00667033">
              <w:t>–</w:t>
            </w:r>
            <w:r w:rsidRPr="00B96D19">
              <w:t>3,0</w:t>
            </w:r>
          </w:p>
        </w:tc>
        <w:tc>
          <w:tcPr>
            <w:tcW w:w="3096" w:type="dxa"/>
            <w:vAlign w:val="center"/>
          </w:tcPr>
          <w:p w14:paraId="1D4DF6F5" w14:textId="77777777" w:rsidR="00EE0B04" w:rsidRPr="00B96D19" w:rsidRDefault="00BB1F4C" w:rsidP="00667033">
            <w:pPr>
              <w:pStyle w:val="Tabulkynormlndoblokuzarovnndoleva"/>
              <w:framePr w:wrap="around"/>
            </w:pPr>
            <w:r w:rsidRPr="00B96D19">
              <w:t>Zvyčajná dávka</w:t>
            </w:r>
            <w:r w:rsidR="00EE0B04" w:rsidRPr="00B96D19">
              <w:t xml:space="preserve"> každých 8 hodín</w:t>
            </w:r>
          </w:p>
        </w:tc>
      </w:tr>
      <w:tr w:rsidR="00EE0B04" w:rsidRPr="0046395D" w14:paraId="4E68D5DE" w14:textId="77777777" w:rsidTr="00B96D19">
        <w:trPr>
          <w:trHeight w:val="70"/>
        </w:trPr>
        <w:tc>
          <w:tcPr>
            <w:tcW w:w="3096" w:type="dxa"/>
            <w:vAlign w:val="center"/>
          </w:tcPr>
          <w:p w14:paraId="6C63AB33" w14:textId="77777777" w:rsidR="00EE0B04" w:rsidRPr="00B96D19" w:rsidRDefault="00EE0B04" w:rsidP="00667033">
            <w:pPr>
              <w:pStyle w:val="Tabulkynormlndoblokuzarovnndoleva"/>
              <w:framePr w:wrap="around"/>
            </w:pPr>
            <w:r w:rsidRPr="00B96D19">
              <w:t>11</w:t>
            </w:r>
            <w:r w:rsidR="00667033">
              <w:t>–</w:t>
            </w:r>
            <w:r w:rsidRPr="00B96D19">
              <w:t>34</w:t>
            </w:r>
          </w:p>
        </w:tc>
        <w:tc>
          <w:tcPr>
            <w:tcW w:w="3096" w:type="dxa"/>
            <w:vAlign w:val="center"/>
          </w:tcPr>
          <w:p w14:paraId="46ABAADA" w14:textId="77777777" w:rsidR="00EE0B04" w:rsidRPr="00B96D19" w:rsidRDefault="00EE0B04" w:rsidP="00667033">
            <w:pPr>
              <w:pStyle w:val="Tabulkynormlndoblokuzarovnndoleva"/>
              <w:framePr w:wrap="around"/>
            </w:pPr>
            <w:r w:rsidRPr="00B96D19">
              <w:t>3,1</w:t>
            </w:r>
            <w:r w:rsidR="00667033">
              <w:t>–</w:t>
            </w:r>
            <w:r w:rsidRPr="00B96D19">
              <w:t>4,5</w:t>
            </w:r>
          </w:p>
        </w:tc>
        <w:tc>
          <w:tcPr>
            <w:tcW w:w="3096" w:type="dxa"/>
            <w:vAlign w:val="center"/>
          </w:tcPr>
          <w:p w14:paraId="42C6599E" w14:textId="77777777" w:rsidR="00EE0B04" w:rsidRPr="00B96D19" w:rsidRDefault="00BB1F4C" w:rsidP="00667033">
            <w:pPr>
              <w:pStyle w:val="Tabulkynormlndoblokuzarovnndoleva"/>
              <w:framePr w:wrap="around"/>
            </w:pPr>
            <w:r w:rsidRPr="00B96D19">
              <w:t xml:space="preserve">Polovica zvyčajnej dávky </w:t>
            </w:r>
            <w:r w:rsidR="00EE0B04" w:rsidRPr="00B96D19">
              <w:t>každých 12 hodín</w:t>
            </w:r>
          </w:p>
        </w:tc>
      </w:tr>
      <w:tr w:rsidR="00EE0B04" w:rsidRPr="0046395D" w14:paraId="7F452521" w14:textId="77777777" w:rsidTr="00B96D19">
        <w:trPr>
          <w:trHeight w:val="515"/>
        </w:trPr>
        <w:tc>
          <w:tcPr>
            <w:tcW w:w="3096" w:type="dxa"/>
            <w:vAlign w:val="center"/>
          </w:tcPr>
          <w:p w14:paraId="26E18CD4" w14:textId="77777777" w:rsidR="00EE0B04" w:rsidRPr="00B96D19" w:rsidRDefault="00EE0B04" w:rsidP="00667033">
            <w:pPr>
              <w:pStyle w:val="Tabulkynormlndoblokuzarovnndoleva"/>
              <w:framePr w:wrap="around"/>
            </w:pPr>
            <w:r w:rsidRPr="00B96D19">
              <w:t>≤ 10</w:t>
            </w:r>
          </w:p>
        </w:tc>
        <w:tc>
          <w:tcPr>
            <w:tcW w:w="3096" w:type="dxa"/>
            <w:vAlign w:val="center"/>
          </w:tcPr>
          <w:p w14:paraId="35E45910" w14:textId="77777777" w:rsidR="00EE0B04" w:rsidRPr="00B96D19" w:rsidDel="00B655EB" w:rsidRDefault="00EE0B04" w:rsidP="00667033">
            <w:pPr>
              <w:pStyle w:val="Tabulkynormlndoblokuzarovnndoleva"/>
              <w:framePr w:wrap="around"/>
            </w:pPr>
            <w:r w:rsidRPr="00B96D19">
              <w:t>≥ 4,6</w:t>
            </w:r>
          </w:p>
        </w:tc>
        <w:tc>
          <w:tcPr>
            <w:tcW w:w="3096" w:type="dxa"/>
            <w:vAlign w:val="center"/>
          </w:tcPr>
          <w:p w14:paraId="14398F8F" w14:textId="77777777" w:rsidR="00EE0B04" w:rsidRPr="00B96D19" w:rsidDel="00B655EB" w:rsidRDefault="00BB1F4C" w:rsidP="00667033">
            <w:pPr>
              <w:pStyle w:val="Tabulkynormlndoblokuzarovnndoleva"/>
              <w:framePr w:wrap="around"/>
            </w:pPr>
            <w:r w:rsidRPr="00B96D19">
              <w:t>Polovica zvyčajnej dávky</w:t>
            </w:r>
            <w:r w:rsidR="00EE0B04" w:rsidRPr="00B96D19">
              <w:t xml:space="preserve"> každých 18-24 hodín</w:t>
            </w:r>
          </w:p>
        </w:tc>
      </w:tr>
    </w:tbl>
    <w:p w14:paraId="1AAE6E6F" w14:textId="77777777" w:rsidR="00EE0B04" w:rsidRPr="00B96D19" w:rsidRDefault="00EE0B04" w:rsidP="00667033">
      <w:pPr>
        <w:pStyle w:val="Normlndobloku"/>
      </w:pPr>
    </w:p>
    <w:p w14:paraId="30CF4D26" w14:textId="77777777" w:rsidR="00EE0B04" w:rsidRPr="00B96D19" w:rsidRDefault="00EE0B04" w:rsidP="00667033">
      <w:pPr>
        <w:pStyle w:val="Normlndobloku"/>
      </w:pPr>
      <w:r w:rsidRPr="00B96D19">
        <w:t xml:space="preserve">U hemodialyzovaných pacientov závisí </w:t>
      </w:r>
      <w:r w:rsidR="00B80E69" w:rsidRPr="00B96D19">
        <w:t xml:space="preserve">liečebný režim </w:t>
      </w:r>
      <w:r w:rsidRPr="00B96D19">
        <w:t>od stavu dialýzy.</w:t>
      </w:r>
    </w:p>
    <w:p w14:paraId="1BCF86D2" w14:textId="77777777" w:rsidR="00EE0B04" w:rsidRDefault="00EE0B04" w:rsidP="00667033">
      <w:pPr>
        <w:pStyle w:val="Normlndobloku"/>
      </w:pPr>
    </w:p>
    <w:p w14:paraId="0373DBDE" w14:textId="77777777" w:rsidR="00F6252F" w:rsidRPr="00F6252F" w:rsidRDefault="00F6252F" w:rsidP="00F6252F">
      <w:pPr>
        <w:widowControl w:val="0"/>
        <w:tabs>
          <w:tab w:val="left" w:pos="567"/>
          <w:tab w:val="left" w:pos="6946"/>
        </w:tabs>
        <w:jc w:val="both"/>
        <w:rPr>
          <w:rFonts w:eastAsia="Calibri"/>
          <w:b/>
          <w:szCs w:val="24"/>
          <w:lang w:val="sk-SK"/>
        </w:rPr>
      </w:pPr>
      <w:r w:rsidRPr="00F6252F">
        <w:rPr>
          <w:rFonts w:eastAsia="Calibri"/>
          <w:b/>
          <w:szCs w:val="24"/>
          <w:lang w:val="sk-SK"/>
        </w:rPr>
        <w:t>Usmernenia pre dávkovanie u dospelých</w:t>
      </w:r>
    </w:p>
    <w:p w14:paraId="0EC68242" w14:textId="77777777" w:rsidR="00F6252F" w:rsidRPr="00B96D19" w:rsidRDefault="00F6252F" w:rsidP="00667033">
      <w:pPr>
        <w:pStyle w:val="Normlndobloku"/>
      </w:pPr>
    </w:p>
    <w:p w14:paraId="707FD0B3" w14:textId="77777777" w:rsidR="00EE0B04" w:rsidRPr="00B96D19" w:rsidRDefault="00EE0B04" w:rsidP="00EE0B04">
      <w:pPr>
        <w:pStyle w:val="Styl3"/>
        <w:spacing w:after="0"/>
        <w:rPr>
          <w:u w:val="none"/>
          <w:lang w:val="sk-SK"/>
        </w:rPr>
      </w:pPr>
      <w:r w:rsidRPr="00B96D19">
        <w:rPr>
          <w:u w:val="none"/>
          <w:lang w:val="sk-SK"/>
        </w:rPr>
        <w:t>Rekonštitučná tabuľka pre intramuskulárnu injekciu</w:t>
      </w:r>
    </w:p>
    <w:p w14:paraId="7276621A" w14:textId="77777777" w:rsidR="00EE0B04" w:rsidRDefault="00EE0B04" w:rsidP="00EE0B04">
      <w:pPr>
        <w:pStyle w:val="Styl3"/>
        <w:spacing w:after="0"/>
        <w:rPr>
          <w:lang w:val="sk-SK"/>
        </w:rPr>
      </w:pPr>
    </w:p>
    <w:tbl>
      <w:tblPr>
        <w:tblStyle w:val="Mriekatabuky1"/>
        <w:tblW w:w="0" w:type="auto"/>
        <w:tblLook w:val="04A0" w:firstRow="1" w:lastRow="0" w:firstColumn="1" w:lastColumn="0" w:noHBand="0" w:noVBand="1"/>
      </w:tblPr>
      <w:tblGrid>
        <w:gridCol w:w="3095"/>
        <w:gridCol w:w="3095"/>
        <w:gridCol w:w="3096"/>
      </w:tblGrid>
      <w:tr w:rsidR="00F6252F" w:rsidRPr="00F6252F" w14:paraId="4CA1DA39" w14:textId="77777777" w:rsidTr="000A2067">
        <w:tc>
          <w:tcPr>
            <w:tcW w:w="3095" w:type="dxa"/>
          </w:tcPr>
          <w:p w14:paraId="429E820C" w14:textId="77777777" w:rsidR="00F6252F" w:rsidRPr="00F6252F" w:rsidRDefault="00F6252F" w:rsidP="00F6252F">
            <w:pPr>
              <w:widowControl w:val="0"/>
              <w:tabs>
                <w:tab w:val="left" w:pos="567"/>
                <w:tab w:val="left" w:pos="6946"/>
              </w:tabs>
              <w:jc w:val="both"/>
              <w:rPr>
                <w:rFonts w:eastAsia="Calibri"/>
                <w:szCs w:val="24"/>
                <w:lang w:val="sk-SK"/>
              </w:rPr>
            </w:pPr>
            <w:r w:rsidRPr="00F6252F">
              <w:rPr>
                <w:rFonts w:eastAsia="Calibri"/>
                <w:szCs w:val="24"/>
                <w:lang w:val="sk-SK"/>
              </w:rPr>
              <w:t>Obsah liekovky</w:t>
            </w:r>
          </w:p>
        </w:tc>
        <w:tc>
          <w:tcPr>
            <w:tcW w:w="3095" w:type="dxa"/>
          </w:tcPr>
          <w:p w14:paraId="55EFD0E9" w14:textId="77777777" w:rsidR="00F6252F" w:rsidRPr="00F6252F" w:rsidRDefault="00F6252F" w:rsidP="00F6252F">
            <w:pPr>
              <w:widowControl w:val="0"/>
              <w:tabs>
                <w:tab w:val="left" w:pos="567"/>
                <w:tab w:val="left" w:pos="6946"/>
              </w:tabs>
              <w:jc w:val="both"/>
              <w:rPr>
                <w:rFonts w:eastAsia="Calibri"/>
                <w:szCs w:val="24"/>
                <w:lang w:val="sk-SK"/>
              </w:rPr>
            </w:pPr>
            <w:r w:rsidRPr="00F6252F">
              <w:rPr>
                <w:rFonts w:eastAsia="Calibri"/>
                <w:szCs w:val="24"/>
                <w:lang w:val="sk-SK"/>
              </w:rPr>
              <w:t>Objem pridaného rozpúšťadla</w:t>
            </w:r>
          </w:p>
        </w:tc>
        <w:tc>
          <w:tcPr>
            <w:tcW w:w="3096" w:type="dxa"/>
          </w:tcPr>
          <w:p w14:paraId="6C2E7094" w14:textId="77777777" w:rsidR="00F6252F" w:rsidRPr="00F6252F" w:rsidRDefault="00F6252F" w:rsidP="00F6252F">
            <w:pPr>
              <w:widowControl w:val="0"/>
              <w:tabs>
                <w:tab w:val="left" w:pos="567"/>
                <w:tab w:val="left" w:pos="6946"/>
              </w:tabs>
              <w:jc w:val="both"/>
              <w:rPr>
                <w:rFonts w:eastAsia="Calibri"/>
                <w:szCs w:val="24"/>
                <w:lang w:val="sk-SK"/>
              </w:rPr>
            </w:pPr>
            <w:r w:rsidRPr="00F6252F">
              <w:rPr>
                <w:rFonts w:eastAsia="Calibri"/>
                <w:szCs w:val="24"/>
                <w:lang w:val="sk-SK"/>
              </w:rPr>
              <w:t>Približná koncentrácia</w:t>
            </w:r>
          </w:p>
        </w:tc>
      </w:tr>
      <w:tr w:rsidR="00F6252F" w:rsidRPr="00F6252F" w14:paraId="03AB8E00" w14:textId="77777777" w:rsidTr="000A2067">
        <w:trPr>
          <w:trHeight w:val="283"/>
        </w:trPr>
        <w:tc>
          <w:tcPr>
            <w:tcW w:w="3095" w:type="dxa"/>
          </w:tcPr>
          <w:p w14:paraId="783D8B4E" w14:textId="77777777" w:rsidR="00F6252F" w:rsidRPr="00F6252F" w:rsidRDefault="00F6252F" w:rsidP="00F6252F">
            <w:pPr>
              <w:widowControl w:val="0"/>
              <w:tabs>
                <w:tab w:val="left" w:pos="567"/>
                <w:tab w:val="left" w:pos="6946"/>
              </w:tabs>
              <w:jc w:val="both"/>
              <w:rPr>
                <w:rFonts w:eastAsia="Calibri"/>
                <w:szCs w:val="24"/>
                <w:lang w:val="sk-SK"/>
              </w:rPr>
            </w:pPr>
            <w:r w:rsidRPr="00F6252F">
              <w:rPr>
                <w:rFonts w:eastAsia="Calibri"/>
                <w:szCs w:val="24"/>
                <w:lang w:val="sk-SK"/>
              </w:rPr>
              <w:t>1 g</w:t>
            </w:r>
          </w:p>
        </w:tc>
        <w:tc>
          <w:tcPr>
            <w:tcW w:w="3095" w:type="dxa"/>
          </w:tcPr>
          <w:p w14:paraId="6C161DED" w14:textId="77777777" w:rsidR="00F6252F" w:rsidRPr="00F6252F" w:rsidRDefault="00F6252F" w:rsidP="00F6252F">
            <w:pPr>
              <w:widowControl w:val="0"/>
              <w:tabs>
                <w:tab w:val="left" w:pos="567"/>
                <w:tab w:val="left" w:pos="6946"/>
              </w:tabs>
              <w:jc w:val="both"/>
              <w:rPr>
                <w:rFonts w:eastAsia="Calibri"/>
                <w:szCs w:val="24"/>
                <w:lang w:val="sk-SK"/>
              </w:rPr>
            </w:pPr>
            <w:r w:rsidRPr="00F6252F">
              <w:rPr>
                <w:rFonts w:eastAsia="Calibri"/>
                <w:szCs w:val="24"/>
                <w:lang w:val="sk-SK"/>
              </w:rPr>
              <w:t>2,5 ml</w:t>
            </w:r>
          </w:p>
        </w:tc>
        <w:tc>
          <w:tcPr>
            <w:tcW w:w="3096" w:type="dxa"/>
          </w:tcPr>
          <w:p w14:paraId="27871133" w14:textId="77777777" w:rsidR="00F6252F" w:rsidRPr="00F6252F" w:rsidRDefault="00F6252F" w:rsidP="00F6252F">
            <w:pPr>
              <w:widowControl w:val="0"/>
              <w:tabs>
                <w:tab w:val="left" w:pos="567"/>
                <w:tab w:val="left" w:pos="6946"/>
              </w:tabs>
              <w:jc w:val="both"/>
              <w:rPr>
                <w:rFonts w:eastAsia="Calibri"/>
                <w:szCs w:val="24"/>
                <w:lang w:val="sk-SK"/>
              </w:rPr>
            </w:pPr>
            <w:r w:rsidRPr="00F6252F">
              <w:rPr>
                <w:rFonts w:eastAsia="Calibri"/>
                <w:szCs w:val="24"/>
                <w:lang w:val="sk-SK"/>
              </w:rPr>
              <w:t>330 mg/ml</w:t>
            </w:r>
          </w:p>
        </w:tc>
      </w:tr>
    </w:tbl>
    <w:p w14:paraId="67733984" w14:textId="77777777" w:rsidR="00F6252F" w:rsidRPr="00F6252F" w:rsidRDefault="00F6252F" w:rsidP="00F6252F">
      <w:pPr>
        <w:widowControl w:val="0"/>
        <w:tabs>
          <w:tab w:val="left" w:pos="567"/>
          <w:tab w:val="left" w:pos="6946"/>
        </w:tabs>
        <w:jc w:val="both"/>
        <w:rPr>
          <w:rFonts w:eastAsia="Calibri"/>
          <w:szCs w:val="24"/>
          <w:lang w:val="sk-SK"/>
        </w:rPr>
      </w:pPr>
    </w:p>
    <w:p w14:paraId="4A725A8A" w14:textId="77777777" w:rsidR="00F6252F" w:rsidRPr="00F6252F" w:rsidRDefault="00F6252F" w:rsidP="00F6252F">
      <w:pPr>
        <w:widowControl w:val="0"/>
        <w:tabs>
          <w:tab w:val="left" w:pos="567"/>
          <w:tab w:val="left" w:pos="6946"/>
        </w:tabs>
        <w:jc w:val="both"/>
        <w:rPr>
          <w:rFonts w:eastAsia="Calibri"/>
          <w:szCs w:val="24"/>
          <w:lang w:val="sk-SK"/>
        </w:rPr>
      </w:pPr>
      <w:r w:rsidRPr="00F6252F">
        <w:rPr>
          <w:rFonts w:eastAsia="Calibri"/>
          <w:szCs w:val="24"/>
          <w:lang w:val="sk-SK"/>
        </w:rPr>
        <w:t>Rekonštitučná tabuľka pre intravenóznu injekciu</w:t>
      </w:r>
    </w:p>
    <w:p w14:paraId="200834F4" w14:textId="77777777" w:rsidR="00F6252F" w:rsidRPr="00F6252F" w:rsidRDefault="00F6252F" w:rsidP="00F6252F">
      <w:pPr>
        <w:widowControl w:val="0"/>
        <w:tabs>
          <w:tab w:val="left" w:pos="567"/>
          <w:tab w:val="left" w:pos="6946"/>
        </w:tabs>
        <w:jc w:val="both"/>
        <w:rPr>
          <w:rFonts w:eastAsia="Calibri"/>
          <w:szCs w:val="24"/>
          <w:u w:val="single"/>
          <w:lang w:val="sk-SK"/>
        </w:rPr>
      </w:pPr>
    </w:p>
    <w:tbl>
      <w:tblPr>
        <w:tblStyle w:val="Mriekatabuky1"/>
        <w:tblW w:w="0" w:type="auto"/>
        <w:tblLook w:val="04A0" w:firstRow="1" w:lastRow="0" w:firstColumn="1" w:lastColumn="0" w:noHBand="0" w:noVBand="1"/>
      </w:tblPr>
      <w:tblGrid>
        <w:gridCol w:w="3095"/>
        <w:gridCol w:w="3095"/>
        <w:gridCol w:w="3096"/>
      </w:tblGrid>
      <w:tr w:rsidR="00F6252F" w:rsidRPr="00F6252F" w14:paraId="6DEC3400" w14:textId="77777777" w:rsidTr="00F6252F">
        <w:tc>
          <w:tcPr>
            <w:tcW w:w="3096" w:type="dxa"/>
          </w:tcPr>
          <w:p w14:paraId="75E43FCA" w14:textId="77777777" w:rsidR="00F6252F" w:rsidRPr="00F6252F" w:rsidRDefault="00F6252F" w:rsidP="00F6252F">
            <w:pPr>
              <w:widowControl w:val="0"/>
              <w:tabs>
                <w:tab w:val="left" w:pos="567"/>
                <w:tab w:val="left" w:pos="6946"/>
              </w:tabs>
              <w:jc w:val="both"/>
              <w:rPr>
                <w:rFonts w:eastAsia="Calibri"/>
                <w:b/>
                <w:bCs/>
                <w:szCs w:val="24"/>
                <w:lang w:val="sk-SK"/>
              </w:rPr>
            </w:pPr>
            <w:r w:rsidRPr="00F6252F">
              <w:rPr>
                <w:rFonts w:eastAsia="Calibri"/>
                <w:szCs w:val="24"/>
                <w:lang w:val="sk-SK"/>
              </w:rPr>
              <w:t>Obsah liekovky</w:t>
            </w:r>
          </w:p>
        </w:tc>
        <w:tc>
          <w:tcPr>
            <w:tcW w:w="3096" w:type="dxa"/>
          </w:tcPr>
          <w:p w14:paraId="50702FB4" w14:textId="77777777" w:rsidR="00F6252F" w:rsidRPr="00F6252F" w:rsidRDefault="00F6252F" w:rsidP="00F6252F">
            <w:pPr>
              <w:widowControl w:val="0"/>
              <w:tabs>
                <w:tab w:val="left" w:pos="567"/>
                <w:tab w:val="left" w:pos="6946"/>
              </w:tabs>
              <w:rPr>
                <w:rFonts w:eastAsia="Calibri"/>
                <w:b/>
                <w:bCs/>
                <w:szCs w:val="24"/>
                <w:lang w:val="sk-SK"/>
              </w:rPr>
            </w:pPr>
            <w:r w:rsidRPr="00F6252F">
              <w:rPr>
                <w:rFonts w:eastAsia="Calibri"/>
                <w:szCs w:val="24"/>
                <w:lang w:val="sk-SK"/>
              </w:rPr>
              <w:t>Minimálny objem pridaného rozpúšťadla</w:t>
            </w:r>
          </w:p>
        </w:tc>
        <w:tc>
          <w:tcPr>
            <w:tcW w:w="3097" w:type="dxa"/>
          </w:tcPr>
          <w:p w14:paraId="7AE2E806" w14:textId="77777777" w:rsidR="00F6252F" w:rsidRPr="00F6252F" w:rsidRDefault="00F6252F" w:rsidP="00F6252F">
            <w:pPr>
              <w:widowControl w:val="0"/>
              <w:tabs>
                <w:tab w:val="left" w:pos="567"/>
                <w:tab w:val="left" w:pos="6946"/>
              </w:tabs>
              <w:jc w:val="both"/>
              <w:rPr>
                <w:rFonts w:eastAsia="Calibri"/>
                <w:b/>
                <w:bCs/>
                <w:szCs w:val="24"/>
                <w:lang w:val="sk-SK"/>
              </w:rPr>
            </w:pPr>
            <w:r w:rsidRPr="00F6252F">
              <w:rPr>
                <w:rFonts w:eastAsia="Calibri"/>
                <w:szCs w:val="24"/>
                <w:lang w:val="sk-SK"/>
              </w:rPr>
              <w:t>Približná koncentrácia</w:t>
            </w:r>
          </w:p>
        </w:tc>
      </w:tr>
      <w:tr w:rsidR="00F6252F" w:rsidRPr="00F6252F" w14:paraId="780DBDAC" w14:textId="77777777" w:rsidTr="00F6252F">
        <w:trPr>
          <w:trHeight w:val="265"/>
        </w:trPr>
        <w:tc>
          <w:tcPr>
            <w:tcW w:w="3096" w:type="dxa"/>
          </w:tcPr>
          <w:p w14:paraId="1993CDBA" w14:textId="77777777" w:rsidR="00F6252F" w:rsidRPr="00F6252F" w:rsidRDefault="00F6252F" w:rsidP="00F6252F">
            <w:pPr>
              <w:widowControl w:val="0"/>
              <w:tabs>
                <w:tab w:val="left" w:pos="567"/>
                <w:tab w:val="left" w:pos="6946"/>
              </w:tabs>
              <w:jc w:val="both"/>
              <w:rPr>
                <w:rFonts w:eastAsia="Calibri"/>
                <w:b/>
                <w:bCs/>
                <w:szCs w:val="24"/>
                <w:lang w:val="sk-SK"/>
              </w:rPr>
            </w:pPr>
            <w:r w:rsidRPr="00F6252F">
              <w:rPr>
                <w:rFonts w:eastAsia="Calibri"/>
                <w:szCs w:val="24"/>
                <w:lang w:val="sk-SK"/>
              </w:rPr>
              <w:t>1 g</w:t>
            </w:r>
          </w:p>
        </w:tc>
        <w:tc>
          <w:tcPr>
            <w:tcW w:w="3096" w:type="dxa"/>
          </w:tcPr>
          <w:p w14:paraId="5648176F" w14:textId="77777777" w:rsidR="00F6252F" w:rsidRPr="00F6252F" w:rsidRDefault="00F6252F" w:rsidP="00F6252F">
            <w:pPr>
              <w:widowControl w:val="0"/>
              <w:tabs>
                <w:tab w:val="left" w:pos="567"/>
                <w:tab w:val="left" w:pos="6946"/>
              </w:tabs>
              <w:jc w:val="both"/>
              <w:rPr>
                <w:rFonts w:eastAsia="Calibri"/>
                <w:szCs w:val="24"/>
                <w:lang w:val="sk-SK"/>
              </w:rPr>
            </w:pPr>
            <w:r w:rsidRPr="00F6252F">
              <w:rPr>
                <w:rFonts w:eastAsia="Calibri"/>
                <w:szCs w:val="24"/>
                <w:lang w:val="sk-SK"/>
              </w:rPr>
              <w:t>4 ml</w:t>
            </w:r>
          </w:p>
        </w:tc>
        <w:tc>
          <w:tcPr>
            <w:tcW w:w="3097" w:type="dxa"/>
          </w:tcPr>
          <w:p w14:paraId="26B7E660" w14:textId="77777777" w:rsidR="00F6252F" w:rsidRPr="00F6252F" w:rsidRDefault="00F6252F" w:rsidP="00F6252F">
            <w:pPr>
              <w:widowControl w:val="0"/>
              <w:tabs>
                <w:tab w:val="left" w:pos="567"/>
                <w:tab w:val="left" w:pos="6946"/>
              </w:tabs>
              <w:jc w:val="both"/>
              <w:rPr>
                <w:rFonts w:eastAsia="Calibri"/>
                <w:szCs w:val="24"/>
                <w:lang w:val="sk-SK"/>
              </w:rPr>
            </w:pPr>
            <w:r w:rsidRPr="00F6252F">
              <w:rPr>
                <w:rFonts w:eastAsia="Calibri"/>
                <w:szCs w:val="24"/>
                <w:lang w:val="sk-SK"/>
              </w:rPr>
              <w:t>220 mg/ml</w:t>
            </w:r>
          </w:p>
        </w:tc>
      </w:tr>
    </w:tbl>
    <w:p w14:paraId="423276A8" w14:textId="77777777" w:rsidR="00F6252F" w:rsidRPr="00B96D19" w:rsidRDefault="00F6252F" w:rsidP="00EE0B04">
      <w:pPr>
        <w:pStyle w:val="Styl3"/>
        <w:spacing w:after="0"/>
        <w:rPr>
          <w:lang w:val="sk-SK"/>
        </w:rPr>
      </w:pPr>
    </w:p>
    <w:p w14:paraId="24FED896" w14:textId="77777777" w:rsidR="00EE0B04" w:rsidRPr="000A2067" w:rsidRDefault="00851AB6" w:rsidP="00EE0B04">
      <w:pPr>
        <w:pStyle w:val="Styl3"/>
        <w:spacing w:after="0"/>
        <w:rPr>
          <w:b/>
          <w:bCs/>
          <w:lang w:val="sk-SK"/>
        </w:rPr>
      </w:pPr>
      <w:r w:rsidRPr="000A2067">
        <w:rPr>
          <w:b/>
          <w:bCs/>
          <w:lang w:val="sk-SK"/>
        </w:rPr>
        <w:t>Pediatrická populácia</w:t>
      </w:r>
    </w:p>
    <w:p w14:paraId="5FC7A5E4" w14:textId="77777777" w:rsidR="00EE0B04" w:rsidRPr="000A2067" w:rsidRDefault="00851AB6" w:rsidP="00667033">
      <w:pPr>
        <w:pStyle w:val="Normlndobloku"/>
        <w:rPr>
          <w:b/>
        </w:rPr>
      </w:pPr>
      <w:r w:rsidRPr="000A2067">
        <w:rPr>
          <w:b/>
        </w:rPr>
        <w:t xml:space="preserve">Infekcie spôsobené citlivými mikroorganizmami </w:t>
      </w:r>
    </w:p>
    <w:p w14:paraId="09340CE6" w14:textId="77777777" w:rsidR="00EE0B04" w:rsidRPr="00B96D19" w:rsidRDefault="00EE0B04" w:rsidP="00667033">
      <w:pPr>
        <w:pStyle w:val="Normlndobloku"/>
      </w:pPr>
      <w:r w:rsidRPr="00B96D19">
        <w:t>Odporúčaná dávka je 25 - 50 mg/kg telesnej hmotnosti rozdelená do dvoch až štyroch rovnakých dávok za deň (jedna dávka každých 6, 8 alebo 12 hodín).</w:t>
      </w:r>
    </w:p>
    <w:p w14:paraId="2CDF8AB4" w14:textId="77777777" w:rsidR="00EE0B04" w:rsidRPr="00B96D19" w:rsidRDefault="00EE0B04" w:rsidP="00667033">
      <w:pPr>
        <w:pStyle w:val="Normlndobloku"/>
      </w:pPr>
    </w:p>
    <w:p w14:paraId="16D8E93E" w14:textId="77777777" w:rsidR="00EE0B04" w:rsidRPr="000A2067" w:rsidRDefault="00EE0B04" w:rsidP="00667033">
      <w:pPr>
        <w:pStyle w:val="Normlndobloku"/>
        <w:rPr>
          <w:b/>
        </w:rPr>
      </w:pPr>
      <w:r w:rsidRPr="000A2067">
        <w:rPr>
          <w:b/>
        </w:rPr>
        <w:t>Infekcie spôsobené stredne citlivými mikroorganizmami</w:t>
      </w:r>
    </w:p>
    <w:p w14:paraId="1A78BECD" w14:textId="77777777" w:rsidR="00EE0B04" w:rsidRPr="00B96D19" w:rsidRDefault="00EE0B04" w:rsidP="00667033">
      <w:pPr>
        <w:pStyle w:val="Normlndobloku"/>
      </w:pPr>
      <w:r w:rsidRPr="00B96D19">
        <w:t>Odporúčaná dávka je do 100 mg/kg telesnej hmotnosti rozdelená do troch až štyroch rovnakých dávok za deň (jedna dávka každých 6 alebo 8 hodín).</w:t>
      </w:r>
    </w:p>
    <w:p w14:paraId="253C78B2" w14:textId="77777777" w:rsidR="00EE0B04" w:rsidRPr="00B96D19" w:rsidRDefault="00EE0B04" w:rsidP="00667033">
      <w:pPr>
        <w:pStyle w:val="Normlndobloku"/>
      </w:pPr>
    </w:p>
    <w:p w14:paraId="1BEEFD50" w14:textId="77777777" w:rsidR="00EE0B04" w:rsidRPr="00B96D19" w:rsidRDefault="00EE0B04" w:rsidP="00EE0B04">
      <w:pPr>
        <w:pStyle w:val="Styl3"/>
        <w:spacing w:after="0"/>
        <w:rPr>
          <w:b/>
          <w:bCs/>
          <w:u w:val="none"/>
          <w:lang w:val="sk-SK"/>
        </w:rPr>
      </w:pPr>
      <w:r w:rsidRPr="00B96D19">
        <w:rPr>
          <w:b/>
          <w:bCs/>
          <w:u w:val="none"/>
          <w:lang w:val="sk-SK"/>
        </w:rPr>
        <w:t>Predčasne narodené deti a dojčatá vo veku menej ako 1 mesiac</w:t>
      </w:r>
    </w:p>
    <w:p w14:paraId="3A78A5D4" w14:textId="7FB26D10" w:rsidR="00EE0B04" w:rsidRPr="00B96D19" w:rsidRDefault="00EE0B04" w:rsidP="00667033">
      <w:pPr>
        <w:pStyle w:val="Normlndobloku"/>
      </w:pPr>
      <w:r w:rsidRPr="00B96D19">
        <w:t>Vzhľadom k tomu, že bezpečnosť použitia u </w:t>
      </w:r>
      <w:r w:rsidR="00F45C16">
        <w:t>predčasne narodených</w:t>
      </w:r>
      <w:r w:rsidRPr="00B96D19">
        <w:t xml:space="preserve"> detí a dojčiat mladších ako jeden mesiac n</w:t>
      </w:r>
      <w:r w:rsidR="001D0E32" w:rsidRPr="00B96D19">
        <w:t xml:space="preserve">ebola stanovená, použitie </w:t>
      </w:r>
      <w:r w:rsidR="001D0E32" w:rsidRPr="00B96D19">
        <w:rPr>
          <w:rFonts w:eastAsia="Times New Roman"/>
          <w:color w:val="000000"/>
          <w:lang w:eastAsia="el-GR"/>
        </w:rPr>
        <w:t>Cefazol</w:t>
      </w:r>
      <w:r w:rsidR="00851942">
        <w:rPr>
          <w:rFonts w:eastAsia="Times New Roman"/>
          <w:color w:val="000000"/>
          <w:lang w:eastAsia="el-GR"/>
        </w:rPr>
        <w:t>í</w:t>
      </w:r>
      <w:r w:rsidR="001D0E32" w:rsidRPr="00B96D19">
        <w:rPr>
          <w:rFonts w:eastAsia="Times New Roman"/>
          <w:color w:val="000000"/>
          <w:lang w:eastAsia="el-GR"/>
        </w:rPr>
        <w:t>nu Noridem</w:t>
      </w:r>
      <w:r w:rsidRPr="00B96D19">
        <w:t xml:space="preserve"> sa u týchto pacientov neodporúča.</w:t>
      </w:r>
    </w:p>
    <w:p w14:paraId="417E7F98" w14:textId="77777777" w:rsidR="00EE0B04" w:rsidRPr="00B96D19" w:rsidRDefault="00EE0B04" w:rsidP="00667033">
      <w:pPr>
        <w:pStyle w:val="Normlndobloku"/>
      </w:pPr>
    </w:p>
    <w:p w14:paraId="2CF1D24C" w14:textId="068B6E89" w:rsidR="00EE0B04" w:rsidRPr="00B96D19" w:rsidRDefault="001D0E32" w:rsidP="00EE0B04">
      <w:pPr>
        <w:pStyle w:val="Styl3"/>
        <w:spacing w:after="0"/>
        <w:rPr>
          <w:b/>
          <w:bCs/>
          <w:u w:val="none"/>
          <w:lang w:val="sk-SK"/>
        </w:rPr>
      </w:pPr>
      <w:r w:rsidRPr="00B96D19">
        <w:rPr>
          <w:b/>
          <w:bCs/>
          <w:u w:val="none"/>
          <w:lang w:val="sk-SK"/>
        </w:rPr>
        <w:t>Usmernenia</w:t>
      </w:r>
      <w:r w:rsidR="00EE0B04" w:rsidRPr="00B96D19">
        <w:rPr>
          <w:b/>
          <w:bCs/>
          <w:u w:val="none"/>
          <w:lang w:val="sk-SK"/>
        </w:rPr>
        <w:t xml:space="preserve"> </w:t>
      </w:r>
      <w:r w:rsidR="00F45C16">
        <w:rPr>
          <w:b/>
          <w:bCs/>
          <w:u w:val="none"/>
          <w:lang w:val="sk-SK"/>
        </w:rPr>
        <w:t>pre</w:t>
      </w:r>
      <w:r w:rsidR="00EE0B04" w:rsidRPr="00B96D19">
        <w:rPr>
          <w:b/>
          <w:bCs/>
          <w:u w:val="none"/>
          <w:lang w:val="sk-SK"/>
        </w:rPr>
        <w:t xml:space="preserve"> dávkovani</w:t>
      </w:r>
      <w:r w:rsidR="00F45C16">
        <w:rPr>
          <w:b/>
          <w:bCs/>
          <w:u w:val="none"/>
          <w:lang w:val="sk-SK"/>
        </w:rPr>
        <w:t>e</w:t>
      </w:r>
      <w:r w:rsidR="00EE0B04" w:rsidRPr="00B96D19">
        <w:rPr>
          <w:b/>
          <w:bCs/>
          <w:u w:val="none"/>
          <w:lang w:val="sk-SK"/>
        </w:rPr>
        <w:t xml:space="preserve"> v pediatrickej populácii</w:t>
      </w:r>
    </w:p>
    <w:p w14:paraId="541D6C8C" w14:textId="77777777" w:rsidR="00EE0B04" w:rsidRPr="00B96D19" w:rsidRDefault="00EE0B04" w:rsidP="00667033">
      <w:pPr>
        <w:pStyle w:val="Normlndobloku"/>
      </w:pPr>
    </w:p>
    <w:p w14:paraId="07DA26E2" w14:textId="77777777" w:rsidR="00EE0B04" w:rsidRPr="000A2067" w:rsidRDefault="00851AB6" w:rsidP="00667033">
      <w:pPr>
        <w:pStyle w:val="Normlndobloku"/>
        <w:rPr>
          <w:u w:val="single"/>
        </w:rPr>
      </w:pPr>
      <w:r w:rsidRPr="000A2067">
        <w:rPr>
          <w:u w:val="single"/>
        </w:rPr>
        <w:t>Intravenózna injekcia</w:t>
      </w:r>
    </w:p>
    <w:p w14:paraId="57124E6B" w14:textId="0AC24DC0" w:rsidR="00EE0B04" w:rsidRPr="00B96D19" w:rsidRDefault="00F45C16" w:rsidP="00667033">
      <w:pPr>
        <w:pStyle w:val="Normlndobloku"/>
      </w:pPr>
      <w:r w:rsidRPr="00C70EF2">
        <w:t>1 g injekčná</w:t>
      </w:r>
      <w:r w:rsidRPr="00DF520A">
        <w:t xml:space="preserve"> liekovk</w:t>
      </w:r>
      <w:r w:rsidRPr="008429A4">
        <w:t>a</w:t>
      </w:r>
      <w:r w:rsidR="00D808BA" w:rsidRPr="00B96D19">
        <w:t xml:space="preserve">: </w:t>
      </w:r>
      <w:r w:rsidR="00EE0B04" w:rsidRPr="00B96D19">
        <w:t xml:space="preserve">Obsah </w:t>
      </w:r>
      <w:r w:rsidR="00D808BA" w:rsidRPr="00B96D19">
        <w:t>1</w:t>
      </w:r>
      <w:r w:rsidR="00EE0B04" w:rsidRPr="00B96D19">
        <w:t xml:space="preserve"> </w:t>
      </w:r>
      <w:r w:rsidRPr="00F45C16">
        <w:t xml:space="preserve">injekčnej </w:t>
      </w:r>
      <w:r w:rsidR="00EE0B04" w:rsidRPr="00B96D19">
        <w:t>liekovky (1</w:t>
      </w:r>
      <w:r w:rsidR="00295C69">
        <w:t xml:space="preserve"> </w:t>
      </w:r>
      <w:r w:rsidR="00EE0B04" w:rsidRPr="00B96D19">
        <w:t>000 mg cefazolínu) sa rozpustí v 4 ml kompatibilného rozpúšťadla (t.j. približná koncentrácia</w:t>
      </w:r>
      <w:r w:rsidR="00295C69">
        <w:t xml:space="preserve"> </w:t>
      </w:r>
      <w:r w:rsidR="00EE0B04" w:rsidRPr="00B96D19">
        <w:t>220 mg/ml). Príslušný objem tohto roztoku, ktorý</w:t>
      </w:r>
      <w:r w:rsidR="00D808BA" w:rsidRPr="00B96D19">
        <w:t xml:space="preserve"> sa má</w:t>
      </w:r>
      <w:r w:rsidR="00EE0B04" w:rsidRPr="00B96D19">
        <w:t xml:space="preserve"> použiť, ako aj dávka v mg sú uvedené v tabuľke 1 nižšie.</w:t>
      </w:r>
    </w:p>
    <w:p w14:paraId="7457400D" w14:textId="5B2D84CE" w:rsidR="00EE0B04" w:rsidRPr="00B96D19" w:rsidRDefault="00F45C16" w:rsidP="00667033">
      <w:pPr>
        <w:pStyle w:val="Normlndobloku"/>
      </w:pPr>
      <w:r w:rsidRPr="00F45C16">
        <w:t>2 g injekčná liekovka</w:t>
      </w:r>
      <w:r w:rsidR="00851AB6" w:rsidRPr="00B96D19">
        <w:t xml:space="preserve">: Obsah 1 </w:t>
      </w:r>
      <w:r w:rsidRPr="00F45C16">
        <w:t xml:space="preserve">injekčnej </w:t>
      </w:r>
      <w:r w:rsidR="00851AB6" w:rsidRPr="00B96D19">
        <w:t>liekovky (2</w:t>
      </w:r>
      <w:r w:rsidR="00295C69">
        <w:t xml:space="preserve"> </w:t>
      </w:r>
      <w:r w:rsidR="00851AB6" w:rsidRPr="00B96D19">
        <w:t>000 mg cefazolínu) sa rozpustí v 10 ml kompatibilného rozpúšťadla (t.j. približná koncentrácia 180 mg/ml). Príslušný objem tohto roztoku, ktorý sa má použiť, ako aj dávka v mg sú uvedené v tabuľke 2 nižšie.</w:t>
      </w:r>
    </w:p>
    <w:p w14:paraId="5241231D" w14:textId="77777777" w:rsidR="00EE0B04" w:rsidRPr="00B96D19" w:rsidRDefault="00EE0B04" w:rsidP="00667033">
      <w:pPr>
        <w:pStyle w:val="Normlndobloku"/>
      </w:pPr>
    </w:p>
    <w:p w14:paraId="27ECFB0F" w14:textId="77777777" w:rsidR="00EE0B04" w:rsidRPr="00B96D19" w:rsidRDefault="00EE0B04" w:rsidP="00667033">
      <w:pPr>
        <w:pStyle w:val="Normlndobloku"/>
      </w:pPr>
      <w:r w:rsidRPr="00B96D19">
        <w:t>M</w:t>
      </w:r>
      <w:r w:rsidR="001C3CAF" w:rsidRPr="00B96D19">
        <w:t xml:space="preserve">usí </w:t>
      </w:r>
      <w:r w:rsidRPr="00B96D19">
        <w:t>sa striktne vyhnúť intravenóznemu podaniu roztokov lidokaínu.</w:t>
      </w:r>
    </w:p>
    <w:p w14:paraId="49683B07" w14:textId="77777777" w:rsidR="00EE0B04" w:rsidRPr="00B96D19" w:rsidRDefault="00EE0B04" w:rsidP="00667033">
      <w:pPr>
        <w:pStyle w:val="Normlndobloku"/>
      </w:pPr>
    </w:p>
    <w:p w14:paraId="3EAD4772" w14:textId="7C4CCCAA" w:rsidR="001C3CAF" w:rsidRPr="00B96D19" w:rsidRDefault="001C3CAF" w:rsidP="00667033">
      <w:pPr>
        <w:pStyle w:val="Normlndobloku"/>
      </w:pPr>
      <w:r w:rsidRPr="00B96D19">
        <w:t xml:space="preserve">Tabuľka 1: Príslušné objemy pre intravenóznu a intramuskulárnu injekciu u pediatrických pacientov pre </w:t>
      </w:r>
      <w:r w:rsidRPr="00B96D19">
        <w:rPr>
          <w:rFonts w:eastAsia="Times New Roman"/>
          <w:color w:val="000000"/>
          <w:lang w:eastAsia="el-GR"/>
        </w:rPr>
        <w:t>Cefazol</w:t>
      </w:r>
      <w:r w:rsidR="00851942">
        <w:rPr>
          <w:rFonts w:eastAsia="Times New Roman"/>
          <w:color w:val="000000"/>
          <w:lang w:eastAsia="el-GR"/>
        </w:rPr>
        <w:t>í</w:t>
      </w:r>
      <w:r w:rsidRPr="00B96D19">
        <w:rPr>
          <w:rFonts w:eastAsia="Times New Roman"/>
          <w:color w:val="000000"/>
          <w:lang w:eastAsia="el-GR"/>
        </w:rPr>
        <w:t>nu Noridem</w:t>
      </w:r>
      <w:r w:rsidRPr="00B96D19">
        <w:t xml:space="preserve"> 1 g prášok na injekčný/infúzny roztok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093"/>
        <w:gridCol w:w="1134"/>
        <w:gridCol w:w="1134"/>
        <w:gridCol w:w="1134"/>
        <w:gridCol w:w="1134"/>
        <w:gridCol w:w="1276"/>
        <w:gridCol w:w="1275"/>
      </w:tblGrid>
      <w:tr w:rsidR="001C3CAF" w:rsidRPr="00B96D19" w14:paraId="29D5062B" w14:textId="77777777" w:rsidTr="00B96D19">
        <w:tc>
          <w:tcPr>
            <w:tcW w:w="2093" w:type="dxa"/>
          </w:tcPr>
          <w:p w14:paraId="189ABA55" w14:textId="77777777" w:rsidR="001C3CAF" w:rsidRPr="00B96D19" w:rsidRDefault="001C3CAF" w:rsidP="00B96D19">
            <w:pPr>
              <w:rPr>
                <w:rFonts w:eastAsia="Courier New"/>
                <w:b/>
                <w:bCs/>
                <w:lang w:val="sk-SK"/>
              </w:rPr>
            </w:pPr>
            <w:r w:rsidRPr="00B96D19">
              <w:rPr>
                <w:rFonts w:eastAsia="Courier New"/>
                <w:b/>
                <w:bCs/>
                <w:lang w:val="sk-SK"/>
              </w:rPr>
              <w:t>Telesná hmotnosť</w:t>
            </w:r>
          </w:p>
          <w:p w14:paraId="02EB0129" w14:textId="77777777" w:rsidR="001C3CAF" w:rsidRPr="00B96D19" w:rsidRDefault="001C3CAF" w:rsidP="00B96D19">
            <w:pPr>
              <w:rPr>
                <w:rFonts w:eastAsia="Courier New"/>
                <w:b/>
                <w:bCs/>
                <w:lang w:val="sk-SK"/>
              </w:rPr>
            </w:pPr>
          </w:p>
        </w:tc>
        <w:tc>
          <w:tcPr>
            <w:tcW w:w="1134" w:type="dxa"/>
          </w:tcPr>
          <w:p w14:paraId="0C9830CE" w14:textId="2954A34D" w:rsidR="001C3CAF" w:rsidRPr="00B96D19" w:rsidRDefault="00F45C16" w:rsidP="00B96D19">
            <w:pPr>
              <w:rPr>
                <w:rFonts w:eastAsia="Courier New"/>
                <w:b/>
                <w:bCs/>
                <w:lang w:val="sk-SK"/>
              </w:rPr>
            </w:pPr>
            <w:r>
              <w:rPr>
                <w:rFonts w:eastAsia="Courier New"/>
                <w:b/>
                <w:bCs/>
                <w:lang w:val="sk-SK"/>
              </w:rPr>
              <w:t>S</w:t>
            </w:r>
            <w:r w:rsidR="001C3CAF" w:rsidRPr="00B96D19">
              <w:rPr>
                <w:rFonts w:eastAsia="Courier New"/>
                <w:b/>
                <w:bCs/>
                <w:lang w:val="sk-SK"/>
              </w:rPr>
              <w:t>ila</w:t>
            </w:r>
          </w:p>
        </w:tc>
        <w:tc>
          <w:tcPr>
            <w:tcW w:w="1134" w:type="dxa"/>
          </w:tcPr>
          <w:p w14:paraId="4594F713" w14:textId="77777777" w:rsidR="001C3CAF" w:rsidRPr="00B96D19" w:rsidRDefault="001C3CAF" w:rsidP="00B96D19">
            <w:pPr>
              <w:rPr>
                <w:rFonts w:eastAsia="Courier New"/>
                <w:b/>
                <w:bCs/>
                <w:lang w:val="sk-SK"/>
              </w:rPr>
            </w:pPr>
            <w:r w:rsidRPr="00B96D19">
              <w:rPr>
                <w:rFonts w:eastAsia="Courier New"/>
                <w:b/>
                <w:bCs/>
                <w:lang w:val="sk-SK"/>
              </w:rPr>
              <w:t>5 kg</w:t>
            </w:r>
          </w:p>
        </w:tc>
        <w:tc>
          <w:tcPr>
            <w:tcW w:w="1134" w:type="dxa"/>
          </w:tcPr>
          <w:p w14:paraId="7ED77320" w14:textId="77777777" w:rsidR="001C3CAF" w:rsidRPr="00B96D19" w:rsidRDefault="001C3CAF" w:rsidP="00B96D19">
            <w:pPr>
              <w:rPr>
                <w:rFonts w:eastAsia="Courier New"/>
                <w:b/>
                <w:bCs/>
                <w:lang w:val="sk-SK"/>
              </w:rPr>
            </w:pPr>
            <w:r w:rsidRPr="00B96D19">
              <w:rPr>
                <w:rFonts w:eastAsia="Courier New"/>
                <w:b/>
                <w:bCs/>
                <w:lang w:val="sk-SK"/>
              </w:rPr>
              <w:t>10 kg</w:t>
            </w:r>
          </w:p>
        </w:tc>
        <w:tc>
          <w:tcPr>
            <w:tcW w:w="1134" w:type="dxa"/>
          </w:tcPr>
          <w:p w14:paraId="2A687E60" w14:textId="77777777" w:rsidR="001C3CAF" w:rsidRPr="00B96D19" w:rsidRDefault="001C3CAF" w:rsidP="00B96D19">
            <w:pPr>
              <w:rPr>
                <w:rFonts w:eastAsia="Courier New"/>
                <w:b/>
                <w:bCs/>
                <w:lang w:val="sk-SK"/>
              </w:rPr>
            </w:pPr>
            <w:r w:rsidRPr="00B96D19">
              <w:rPr>
                <w:rFonts w:eastAsia="Courier New"/>
                <w:b/>
                <w:bCs/>
                <w:lang w:val="sk-SK"/>
              </w:rPr>
              <w:t>15 kg</w:t>
            </w:r>
          </w:p>
        </w:tc>
        <w:tc>
          <w:tcPr>
            <w:tcW w:w="1276" w:type="dxa"/>
          </w:tcPr>
          <w:p w14:paraId="05C4E426" w14:textId="77777777" w:rsidR="001C3CAF" w:rsidRPr="00B96D19" w:rsidRDefault="001C3CAF" w:rsidP="00B96D19">
            <w:pPr>
              <w:rPr>
                <w:rFonts w:eastAsia="Courier New"/>
                <w:b/>
                <w:bCs/>
                <w:lang w:val="sk-SK"/>
              </w:rPr>
            </w:pPr>
            <w:r w:rsidRPr="00B96D19">
              <w:rPr>
                <w:rFonts w:eastAsia="Courier New"/>
                <w:b/>
                <w:bCs/>
                <w:lang w:val="sk-SK"/>
              </w:rPr>
              <w:t>20 kg</w:t>
            </w:r>
          </w:p>
        </w:tc>
        <w:tc>
          <w:tcPr>
            <w:tcW w:w="1275" w:type="dxa"/>
          </w:tcPr>
          <w:p w14:paraId="6D712CEA" w14:textId="77777777" w:rsidR="001C3CAF" w:rsidRPr="00B96D19" w:rsidRDefault="001C3CAF" w:rsidP="00B96D19">
            <w:pPr>
              <w:rPr>
                <w:rFonts w:eastAsia="Courier New"/>
                <w:b/>
                <w:bCs/>
                <w:lang w:val="sk-SK"/>
              </w:rPr>
            </w:pPr>
            <w:r w:rsidRPr="00B96D19">
              <w:rPr>
                <w:rFonts w:eastAsia="Courier New"/>
                <w:b/>
                <w:bCs/>
                <w:lang w:val="sk-SK"/>
              </w:rPr>
              <w:t>25 kg</w:t>
            </w:r>
          </w:p>
        </w:tc>
      </w:tr>
      <w:tr w:rsidR="001C3CAF" w:rsidRPr="00B96D19" w14:paraId="48C5DBCD" w14:textId="77777777" w:rsidTr="00B96D19">
        <w:tc>
          <w:tcPr>
            <w:tcW w:w="2093" w:type="dxa"/>
            <w:vMerge w:val="restart"/>
          </w:tcPr>
          <w:p w14:paraId="6C5A6E85" w14:textId="77777777" w:rsidR="001C3CAF" w:rsidRPr="00B96D19" w:rsidRDefault="001C3CAF" w:rsidP="00B96D19">
            <w:pPr>
              <w:rPr>
                <w:rFonts w:eastAsia="Courier New"/>
                <w:lang w:val="sk-SK"/>
              </w:rPr>
            </w:pPr>
            <w:r w:rsidRPr="00B96D19">
              <w:rPr>
                <w:rFonts w:eastAsia="Courier New"/>
                <w:lang w:val="sk-SK"/>
              </w:rPr>
              <w:t>Rozdelená dávka každých 12 hodín pri 25 mg/kg telesnej hmotnosti/deň</w:t>
            </w:r>
          </w:p>
        </w:tc>
        <w:tc>
          <w:tcPr>
            <w:tcW w:w="1134" w:type="dxa"/>
            <w:vMerge w:val="restart"/>
            <w:vAlign w:val="center"/>
          </w:tcPr>
          <w:p w14:paraId="644EC86B" w14:textId="77777777" w:rsidR="001C3CAF" w:rsidRPr="00B96D19" w:rsidRDefault="001C3CAF" w:rsidP="00B96D19">
            <w:pPr>
              <w:rPr>
                <w:rFonts w:eastAsia="Courier New"/>
                <w:lang w:val="sk-SK"/>
              </w:rPr>
            </w:pPr>
            <w:r w:rsidRPr="00B96D19">
              <w:rPr>
                <w:rFonts w:eastAsia="Courier New"/>
                <w:lang w:val="sk-SK"/>
              </w:rPr>
              <w:t>1 g liekovka</w:t>
            </w:r>
          </w:p>
        </w:tc>
        <w:tc>
          <w:tcPr>
            <w:tcW w:w="1134" w:type="dxa"/>
          </w:tcPr>
          <w:p w14:paraId="3D6BA47C" w14:textId="77777777" w:rsidR="001C3CAF" w:rsidRPr="00B96D19" w:rsidRDefault="001C3CAF" w:rsidP="00B96D19">
            <w:pPr>
              <w:rPr>
                <w:rFonts w:eastAsia="Courier New"/>
                <w:lang w:val="sk-SK"/>
              </w:rPr>
            </w:pPr>
            <w:r w:rsidRPr="00B96D19">
              <w:rPr>
                <w:rFonts w:eastAsia="Courier New"/>
                <w:lang w:val="sk-SK"/>
              </w:rPr>
              <w:t>63 mg</w:t>
            </w:r>
          </w:p>
          <w:p w14:paraId="65920D4D" w14:textId="77777777" w:rsidR="001C3CAF" w:rsidRPr="00B96D19" w:rsidRDefault="001C3CAF" w:rsidP="00B96D19">
            <w:pPr>
              <w:rPr>
                <w:rFonts w:eastAsia="Courier New"/>
                <w:lang w:val="sk-SK"/>
              </w:rPr>
            </w:pPr>
          </w:p>
        </w:tc>
        <w:tc>
          <w:tcPr>
            <w:tcW w:w="1134" w:type="dxa"/>
          </w:tcPr>
          <w:p w14:paraId="2F151E29" w14:textId="77777777" w:rsidR="001C3CAF" w:rsidRPr="00B96D19" w:rsidRDefault="001C3CAF" w:rsidP="00B96D19">
            <w:pPr>
              <w:rPr>
                <w:rFonts w:eastAsia="Courier New"/>
                <w:lang w:val="sk-SK"/>
              </w:rPr>
            </w:pPr>
            <w:r w:rsidRPr="00B96D19">
              <w:rPr>
                <w:rFonts w:eastAsia="Courier New"/>
                <w:lang w:val="sk-SK"/>
              </w:rPr>
              <w:t>125 mg</w:t>
            </w:r>
          </w:p>
          <w:p w14:paraId="5832E6E8" w14:textId="77777777" w:rsidR="001C3CAF" w:rsidRPr="00B96D19" w:rsidRDefault="001C3CAF" w:rsidP="00B96D19">
            <w:pPr>
              <w:rPr>
                <w:rFonts w:eastAsia="Courier New"/>
                <w:lang w:val="sk-SK"/>
              </w:rPr>
            </w:pPr>
          </w:p>
        </w:tc>
        <w:tc>
          <w:tcPr>
            <w:tcW w:w="1134" w:type="dxa"/>
          </w:tcPr>
          <w:p w14:paraId="33D12E38" w14:textId="77777777" w:rsidR="001C3CAF" w:rsidRPr="00B96D19" w:rsidRDefault="001C3CAF" w:rsidP="00B96D19">
            <w:pPr>
              <w:rPr>
                <w:rFonts w:eastAsia="Courier New"/>
                <w:lang w:val="sk-SK"/>
              </w:rPr>
            </w:pPr>
            <w:r w:rsidRPr="00B96D19">
              <w:rPr>
                <w:rFonts w:eastAsia="Courier New"/>
                <w:lang w:val="sk-SK"/>
              </w:rPr>
              <w:t>188 mg</w:t>
            </w:r>
          </w:p>
          <w:p w14:paraId="7AE6EF4F" w14:textId="77777777" w:rsidR="001C3CAF" w:rsidRPr="00B96D19" w:rsidRDefault="001C3CAF" w:rsidP="00B96D19">
            <w:pPr>
              <w:rPr>
                <w:rFonts w:eastAsia="Courier New"/>
                <w:lang w:val="sk-SK"/>
              </w:rPr>
            </w:pPr>
          </w:p>
        </w:tc>
        <w:tc>
          <w:tcPr>
            <w:tcW w:w="1276" w:type="dxa"/>
          </w:tcPr>
          <w:p w14:paraId="0877A928" w14:textId="77777777" w:rsidR="001C3CAF" w:rsidRPr="00B96D19" w:rsidRDefault="001C3CAF" w:rsidP="00B96D19">
            <w:pPr>
              <w:rPr>
                <w:rFonts w:eastAsia="Courier New"/>
                <w:lang w:val="sk-SK"/>
              </w:rPr>
            </w:pPr>
            <w:r w:rsidRPr="00B96D19">
              <w:rPr>
                <w:rFonts w:eastAsia="Courier New"/>
                <w:lang w:val="sk-SK"/>
              </w:rPr>
              <w:t>250 mg</w:t>
            </w:r>
          </w:p>
          <w:p w14:paraId="71A115F5" w14:textId="77777777" w:rsidR="001C3CAF" w:rsidRPr="00B96D19" w:rsidRDefault="001C3CAF" w:rsidP="00B96D19">
            <w:pPr>
              <w:rPr>
                <w:rFonts w:eastAsia="Courier New"/>
                <w:lang w:val="sk-SK"/>
              </w:rPr>
            </w:pPr>
          </w:p>
        </w:tc>
        <w:tc>
          <w:tcPr>
            <w:tcW w:w="1275" w:type="dxa"/>
          </w:tcPr>
          <w:p w14:paraId="4BD43B35" w14:textId="77777777" w:rsidR="001C3CAF" w:rsidRPr="00B96D19" w:rsidRDefault="001C3CAF" w:rsidP="00B96D19">
            <w:pPr>
              <w:rPr>
                <w:rFonts w:eastAsia="Courier New"/>
                <w:lang w:val="sk-SK"/>
              </w:rPr>
            </w:pPr>
            <w:r w:rsidRPr="00B96D19">
              <w:rPr>
                <w:rFonts w:eastAsia="Courier New"/>
                <w:lang w:val="sk-SK"/>
              </w:rPr>
              <w:t>313 mg</w:t>
            </w:r>
          </w:p>
          <w:p w14:paraId="27F04CFA" w14:textId="77777777" w:rsidR="001C3CAF" w:rsidRPr="00B96D19" w:rsidRDefault="001C3CAF" w:rsidP="00B96D19">
            <w:pPr>
              <w:rPr>
                <w:rFonts w:eastAsia="Courier New"/>
                <w:lang w:val="sk-SK"/>
              </w:rPr>
            </w:pPr>
          </w:p>
        </w:tc>
      </w:tr>
      <w:tr w:rsidR="001C3CAF" w:rsidRPr="00B96D19" w14:paraId="0CE6DA9B" w14:textId="77777777" w:rsidTr="00B96D19">
        <w:tc>
          <w:tcPr>
            <w:tcW w:w="2093" w:type="dxa"/>
            <w:vMerge/>
          </w:tcPr>
          <w:p w14:paraId="698E1E2A" w14:textId="77777777" w:rsidR="001C3CAF" w:rsidRPr="00B96D19" w:rsidRDefault="001C3CAF" w:rsidP="00B96D19">
            <w:pPr>
              <w:rPr>
                <w:rFonts w:eastAsia="Courier New"/>
                <w:lang w:val="sk-SK"/>
              </w:rPr>
            </w:pPr>
          </w:p>
        </w:tc>
        <w:tc>
          <w:tcPr>
            <w:tcW w:w="1134" w:type="dxa"/>
            <w:vMerge/>
            <w:vAlign w:val="center"/>
          </w:tcPr>
          <w:p w14:paraId="0C28112B" w14:textId="77777777" w:rsidR="001C3CAF" w:rsidRPr="00B96D19" w:rsidRDefault="001C3CAF" w:rsidP="00B96D19">
            <w:pPr>
              <w:rPr>
                <w:rFonts w:eastAsia="Courier New"/>
                <w:highlight w:val="lightGray"/>
                <w:lang w:val="sk-SK"/>
              </w:rPr>
            </w:pPr>
          </w:p>
        </w:tc>
        <w:tc>
          <w:tcPr>
            <w:tcW w:w="1134" w:type="dxa"/>
          </w:tcPr>
          <w:p w14:paraId="78276546" w14:textId="77777777" w:rsidR="001C3CAF" w:rsidRPr="00B96D19" w:rsidRDefault="001C3CAF" w:rsidP="00B96D19">
            <w:pPr>
              <w:rPr>
                <w:rFonts w:eastAsia="Courier New"/>
                <w:highlight w:val="lightGray"/>
                <w:lang w:val="sk-SK"/>
              </w:rPr>
            </w:pPr>
            <w:r w:rsidRPr="00B96D19">
              <w:rPr>
                <w:rFonts w:eastAsia="Courier New"/>
                <w:lang w:val="sk-SK"/>
              </w:rPr>
              <w:t>0,29 ml</w:t>
            </w:r>
          </w:p>
        </w:tc>
        <w:tc>
          <w:tcPr>
            <w:tcW w:w="1134" w:type="dxa"/>
          </w:tcPr>
          <w:p w14:paraId="1A6539A6" w14:textId="77777777" w:rsidR="001C3CAF" w:rsidRPr="00B96D19" w:rsidRDefault="001C3CAF" w:rsidP="00B96D19">
            <w:pPr>
              <w:rPr>
                <w:rFonts w:eastAsia="Courier New"/>
                <w:highlight w:val="lightGray"/>
                <w:lang w:val="sk-SK"/>
              </w:rPr>
            </w:pPr>
            <w:r w:rsidRPr="00B96D19">
              <w:rPr>
                <w:rFonts w:eastAsia="Courier New"/>
                <w:lang w:val="sk-SK"/>
              </w:rPr>
              <w:t>0,57 ml</w:t>
            </w:r>
          </w:p>
        </w:tc>
        <w:tc>
          <w:tcPr>
            <w:tcW w:w="1134" w:type="dxa"/>
          </w:tcPr>
          <w:p w14:paraId="38615BAA" w14:textId="77777777" w:rsidR="001C3CAF" w:rsidRPr="00B96D19" w:rsidRDefault="001C3CAF" w:rsidP="00B96D19">
            <w:pPr>
              <w:rPr>
                <w:rFonts w:eastAsia="Courier New"/>
                <w:highlight w:val="lightGray"/>
                <w:lang w:val="sk-SK"/>
              </w:rPr>
            </w:pPr>
            <w:r w:rsidRPr="00B96D19">
              <w:rPr>
                <w:rFonts w:eastAsia="Courier New"/>
                <w:lang w:val="sk-SK"/>
              </w:rPr>
              <w:t>0,85 ml</w:t>
            </w:r>
          </w:p>
        </w:tc>
        <w:tc>
          <w:tcPr>
            <w:tcW w:w="1276" w:type="dxa"/>
          </w:tcPr>
          <w:p w14:paraId="0A0651BE" w14:textId="77777777" w:rsidR="001C3CAF" w:rsidRPr="00B96D19" w:rsidRDefault="001C3CAF" w:rsidP="00B96D19">
            <w:pPr>
              <w:rPr>
                <w:rFonts w:eastAsia="Courier New"/>
                <w:highlight w:val="lightGray"/>
                <w:lang w:val="sk-SK"/>
              </w:rPr>
            </w:pPr>
            <w:r w:rsidRPr="00B96D19">
              <w:rPr>
                <w:rFonts w:eastAsia="Courier New"/>
                <w:lang w:val="sk-SK"/>
              </w:rPr>
              <w:t>1,14 ml</w:t>
            </w:r>
          </w:p>
        </w:tc>
        <w:tc>
          <w:tcPr>
            <w:tcW w:w="1275" w:type="dxa"/>
          </w:tcPr>
          <w:p w14:paraId="2F7A965B" w14:textId="77777777" w:rsidR="001C3CAF" w:rsidRPr="00B96D19" w:rsidRDefault="001C3CAF" w:rsidP="00B96D19">
            <w:pPr>
              <w:rPr>
                <w:rFonts w:eastAsia="Courier New"/>
                <w:highlight w:val="lightGray"/>
                <w:lang w:val="sk-SK"/>
              </w:rPr>
            </w:pPr>
            <w:r w:rsidRPr="00B96D19">
              <w:rPr>
                <w:rFonts w:eastAsia="Courier New"/>
                <w:lang w:val="sk-SK"/>
              </w:rPr>
              <w:t>1,42 ml</w:t>
            </w:r>
          </w:p>
        </w:tc>
      </w:tr>
      <w:tr w:rsidR="001C3CAF" w:rsidRPr="00B96D19" w14:paraId="7143E39A" w14:textId="77777777" w:rsidTr="00B96D19">
        <w:tc>
          <w:tcPr>
            <w:tcW w:w="2093" w:type="dxa"/>
            <w:vMerge w:val="restart"/>
          </w:tcPr>
          <w:p w14:paraId="0F5D32F8" w14:textId="77777777" w:rsidR="001C3CAF" w:rsidRPr="00B96D19" w:rsidRDefault="001C3CAF" w:rsidP="00B96D19">
            <w:pPr>
              <w:rPr>
                <w:rFonts w:eastAsia="Courier New"/>
                <w:lang w:val="sk-SK"/>
              </w:rPr>
            </w:pPr>
            <w:r w:rsidRPr="00B96D19">
              <w:rPr>
                <w:rFonts w:eastAsia="Courier New"/>
                <w:lang w:val="sk-SK"/>
              </w:rPr>
              <w:t xml:space="preserve">Rozdelená dávka každých 8 hodín pri 25 mg/kg telesnej hmotnosti/deň </w:t>
            </w:r>
          </w:p>
        </w:tc>
        <w:tc>
          <w:tcPr>
            <w:tcW w:w="1134" w:type="dxa"/>
            <w:vMerge w:val="restart"/>
            <w:vAlign w:val="center"/>
          </w:tcPr>
          <w:p w14:paraId="05791296" w14:textId="77777777" w:rsidR="001C3CAF" w:rsidRPr="00B96D19" w:rsidRDefault="001C3CAF" w:rsidP="00B96D19">
            <w:pPr>
              <w:rPr>
                <w:rFonts w:eastAsia="Courier New"/>
                <w:lang w:val="sk-SK"/>
              </w:rPr>
            </w:pPr>
            <w:r w:rsidRPr="00B96D19">
              <w:rPr>
                <w:rFonts w:eastAsia="Courier New"/>
                <w:lang w:val="sk-SK"/>
              </w:rPr>
              <w:t>1 g liekovka</w:t>
            </w:r>
          </w:p>
        </w:tc>
        <w:tc>
          <w:tcPr>
            <w:tcW w:w="1134" w:type="dxa"/>
          </w:tcPr>
          <w:p w14:paraId="10CACAB4" w14:textId="77777777" w:rsidR="001C3CAF" w:rsidRPr="00B96D19" w:rsidRDefault="001C3CAF" w:rsidP="00B96D19">
            <w:pPr>
              <w:rPr>
                <w:rFonts w:eastAsia="Courier New"/>
                <w:lang w:val="sk-SK"/>
              </w:rPr>
            </w:pPr>
            <w:r w:rsidRPr="00B96D19">
              <w:rPr>
                <w:rFonts w:eastAsia="Courier New"/>
                <w:lang w:val="sk-SK"/>
              </w:rPr>
              <w:t>42 mg</w:t>
            </w:r>
          </w:p>
          <w:p w14:paraId="4ECF166F" w14:textId="77777777" w:rsidR="001C3CAF" w:rsidRPr="00B96D19" w:rsidRDefault="001C3CAF" w:rsidP="00B96D19">
            <w:pPr>
              <w:rPr>
                <w:rFonts w:eastAsia="Courier New"/>
                <w:lang w:val="sk-SK"/>
              </w:rPr>
            </w:pPr>
          </w:p>
        </w:tc>
        <w:tc>
          <w:tcPr>
            <w:tcW w:w="1134" w:type="dxa"/>
          </w:tcPr>
          <w:p w14:paraId="799C7F41" w14:textId="77777777" w:rsidR="001C3CAF" w:rsidRPr="00B96D19" w:rsidRDefault="001C3CAF" w:rsidP="00B96D19">
            <w:pPr>
              <w:rPr>
                <w:rFonts w:eastAsia="Courier New"/>
                <w:lang w:val="sk-SK"/>
              </w:rPr>
            </w:pPr>
            <w:r w:rsidRPr="00B96D19">
              <w:rPr>
                <w:rFonts w:eastAsia="Courier New"/>
                <w:lang w:val="sk-SK"/>
              </w:rPr>
              <w:t>85 mg</w:t>
            </w:r>
          </w:p>
          <w:p w14:paraId="03CAE624" w14:textId="77777777" w:rsidR="001C3CAF" w:rsidRPr="00B96D19" w:rsidRDefault="001C3CAF" w:rsidP="00B96D19">
            <w:pPr>
              <w:rPr>
                <w:rFonts w:eastAsia="Courier New"/>
                <w:lang w:val="sk-SK"/>
              </w:rPr>
            </w:pPr>
          </w:p>
        </w:tc>
        <w:tc>
          <w:tcPr>
            <w:tcW w:w="1134" w:type="dxa"/>
          </w:tcPr>
          <w:p w14:paraId="19EB9A91" w14:textId="77777777" w:rsidR="001C3CAF" w:rsidRPr="00B96D19" w:rsidRDefault="001C3CAF" w:rsidP="00B96D19">
            <w:pPr>
              <w:rPr>
                <w:rFonts w:eastAsia="Courier New"/>
                <w:lang w:val="sk-SK"/>
              </w:rPr>
            </w:pPr>
            <w:r w:rsidRPr="00B96D19">
              <w:rPr>
                <w:rFonts w:eastAsia="Courier New"/>
                <w:lang w:val="sk-SK"/>
              </w:rPr>
              <w:t>125 mg</w:t>
            </w:r>
          </w:p>
          <w:p w14:paraId="7E957BF2" w14:textId="77777777" w:rsidR="001C3CAF" w:rsidRPr="00B96D19" w:rsidRDefault="001C3CAF" w:rsidP="00B96D19">
            <w:pPr>
              <w:rPr>
                <w:rFonts w:eastAsia="Courier New"/>
                <w:lang w:val="sk-SK"/>
              </w:rPr>
            </w:pPr>
          </w:p>
        </w:tc>
        <w:tc>
          <w:tcPr>
            <w:tcW w:w="1276" w:type="dxa"/>
          </w:tcPr>
          <w:p w14:paraId="47C0F9DC" w14:textId="77777777" w:rsidR="001C3CAF" w:rsidRPr="00B96D19" w:rsidRDefault="001C3CAF" w:rsidP="00B96D19">
            <w:pPr>
              <w:rPr>
                <w:rFonts w:eastAsia="Courier New"/>
                <w:lang w:val="sk-SK"/>
              </w:rPr>
            </w:pPr>
            <w:r w:rsidRPr="00B96D19">
              <w:rPr>
                <w:rFonts w:eastAsia="Courier New"/>
                <w:lang w:val="sk-SK"/>
              </w:rPr>
              <w:t>167 mg</w:t>
            </w:r>
          </w:p>
          <w:p w14:paraId="513E4C01" w14:textId="77777777" w:rsidR="001C3CAF" w:rsidRPr="00B96D19" w:rsidRDefault="001C3CAF" w:rsidP="00B96D19">
            <w:pPr>
              <w:rPr>
                <w:rFonts w:eastAsia="Courier New"/>
                <w:lang w:val="sk-SK"/>
              </w:rPr>
            </w:pPr>
          </w:p>
        </w:tc>
        <w:tc>
          <w:tcPr>
            <w:tcW w:w="1275" w:type="dxa"/>
          </w:tcPr>
          <w:p w14:paraId="5DF6AF75" w14:textId="77777777" w:rsidR="001C3CAF" w:rsidRPr="00B96D19" w:rsidRDefault="001C3CAF" w:rsidP="00B96D19">
            <w:pPr>
              <w:rPr>
                <w:rFonts w:eastAsia="Courier New"/>
                <w:lang w:val="sk-SK"/>
              </w:rPr>
            </w:pPr>
            <w:r w:rsidRPr="00B96D19">
              <w:rPr>
                <w:rFonts w:eastAsia="Courier New"/>
                <w:lang w:val="sk-SK"/>
              </w:rPr>
              <w:t>208 mg</w:t>
            </w:r>
          </w:p>
          <w:p w14:paraId="5BB60753" w14:textId="77777777" w:rsidR="001C3CAF" w:rsidRPr="00B96D19" w:rsidRDefault="001C3CAF" w:rsidP="00B96D19">
            <w:pPr>
              <w:rPr>
                <w:rFonts w:eastAsia="Courier New"/>
                <w:lang w:val="sk-SK"/>
              </w:rPr>
            </w:pPr>
          </w:p>
        </w:tc>
      </w:tr>
      <w:tr w:rsidR="001C3CAF" w:rsidRPr="00B96D19" w14:paraId="3D92B2C5" w14:textId="77777777" w:rsidTr="00B96D19">
        <w:tc>
          <w:tcPr>
            <w:tcW w:w="2093" w:type="dxa"/>
            <w:vMerge/>
          </w:tcPr>
          <w:p w14:paraId="547F6CBA" w14:textId="77777777" w:rsidR="001C3CAF" w:rsidRPr="00B96D19" w:rsidRDefault="001C3CAF" w:rsidP="00B96D19">
            <w:pPr>
              <w:rPr>
                <w:rFonts w:eastAsia="Courier New"/>
                <w:lang w:val="sk-SK"/>
              </w:rPr>
            </w:pPr>
          </w:p>
        </w:tc>
        <w:tc>
          <w:tcPr>
            <w:tcW w:w="1134" w:type="dxa"/>
            <w:vMerge/>
            <w:vAlign w:val="center"/>
          </w:tcPr>
          <w:p w14:paraId="377AF70F" w14:textId="77777777" w:rsidR="001C3CAF" w:rsidRPr="00B96D19" w:rsidRDefault="001C3CAF" w:rsidP="00B96D19">
            <w:pPr>
              <w:rPr>
                <w:rFonts w:eastAsia="Courier New"/>
                <w:lang w:val="sk-SK"/>
              </w:rPr>
            </w:pPr>
          </w:p>
        </w:tc>
        <w:tc>
          <w:tcPr>
            <w:tcW w:w="1134" w:type="dxa"/>
          </w:tcPr>
          <w:p w14:paraId="0364CBFA" w14:textId="77777777" w:rsidR="001C3CAF" w:rsidRPr="00B96D19" w:rsidRDefault="001C3CAF" w:rsidP="00B96D19">
            <w:pPr>
              <w:rPr>
                <w:rFonts w:eastAsia="Courier New"/>
                <w:highlight w:val="lightGray"/>
                <w:lang w:val="sk-SK"/>
              </w:rPr>
            </w:pPr>
            <w:r w:rsidRPr="00B96D19">
              <w:rPr>
                <w:rFonts w:eastAsia="Courier New"/>
                <w:lang w:val="sk-SK"/>
              </w:rPr>
              <w:t>0,19 ml</w:t>
            </w:r>
          </w:p>
        </w:tc>
        <w:tc>
          <w:tcPr>
            <w:tcW w:w="1134" w:type="dxa"/>
          </w:tcPr>
          <w:p w14:paraId="4CF1DAE9" w14:textId="77777777" w:rsidR="001C3CAF" w:rsidRPr="00B96D19" w:rsidRDefault="001C3CAF" w:rsidP="00B96D19">
            <w:pPr>
              <w:rPr>
                <w:rFonts w:eastAsia="Courier New"/>
                <w:highlight w:val="lightGray"/>
                <w:u w:val="single"/>
                <w:lang w:val="sk-SK"/>
              </w:rPr>
            </w:pPr>
            <w:r w:rsidRPr="00B96D19">
              <w:rPr>
                <w:rFonts w:eastAsia="Courier New"/>
                <w:lang w:val="sk-SK"/>
              </w:rPr>
              <w:t>0,</w:t>
            </w:r>
            <w:r w:rsidRPr="00B96D19">
              <w:rPr>
                <w:rFonts w:eastAsia="Courier New"/>
                <w:strike/>
                <w:lang w:val="sk-SK"/>
              </w:rPr>
              <w:t>4</w:t>
            </w:r>
            <w:r w:rsidRPr="00B96D19">
              <w:rPr>
                <w:rFonts w:eastAsia="Courier New"/>
                <w:lang w:val="sk-SK"/>
              </w:rPr>
              <w:t>39 ml</w:t>
            </w:r>
          </w:p>
        </w:tc>
        <w:tc>
          <w:tcPr>
            <w:tcW w:w="1134" w:type="dxa"/>
          </w:tcPr>
          <w:p w14:paraId="7567F31C" w14:textId="77777777" w:rsidR="001C3CAF" w:rsidRPr="00B96D19" w:rsidRDefault="001C3CAF" w:rsidP="00B96D19">
            <w:pPr>
              <w:tabs>
                <w:tab w:val="left" w:pos="6946"/>
              </w:tabs>
              <w:jc w:val="both"/>
              <w:rPr>
                <w:rFonts w:eastAsia="Courier New"/>
                <w:highlight w:val="lightGray"/>
                <w:lang w:val="sk-SK"/>
              </w:rPr>
            </w:pPr>
            <w:r w:rsidRPr="00B96D19">
              <w:rPr>
                <w:rFonts w:eastAsia="Courier New"/>
                <w:lang w:val="sk-SK"/>
              </w:rPr>
              <w:t>0,57 ml</w:t>
            </w:r>
          </w:p>
        </w:tc>
        <w:tc>
          <w:tcPr>
            <w:tcW w:w="1276" w:type="dxa"/>
          </w:tcPr>
          <w:p w14:paraId="2FE66A8A" w14:textId="77777777" w:rsidR="001C3CAF" w:rsidRPr="00B96D19" w:rsidRDefault="001C3CAF" w:rsidP="00B96D19">
            <w:pPr>
              <w:tabs>
                <w:tab w:val="left" w:pos="6946"/>
              </w:tabs>
              <w:jc w:val="both"/>
              <w:rPr>
                <w:rFonts w:eastAsia="Courier New"/>
                <w:lang w:val="sk-SK"/>
              </w:rPr>
            </w:pPr>
            <w:r w:rsidRPr="00B96D19">
              <w:rPr>
                <w:rFonts w:eastAsia="Courier New"/>
                <w:lang w:val="sk-SK"/>
              </w:rPr>
              <w:t>0,76 ml</w:t>
            </w:r>
          </w:p>
        </w:tc>
        <w:tc>
          <w:tcPr>
            <w:tcW w:w="1275" w:type="dxa"/>
          </w:tcPr>
          <w:p w14:paraId="3592033B" w14:textId="77777777" w:rsidR="001C3CAF" w:rsidRPr="00B96D19" w:rsidRDefault="001C3CAF" w:rsidP="00B96D19">
            <w:pPr>
              <w:tabs>
                <w:tab w:val="left" w:pos="6946"/>
              </w:tabs>
              <w:jc w:val="both"/>
              <w:rPr>
                <w:rFonts w:eastAsia="Courier New"/>
                <w:lang w:val="sk-SK"/>
              </w:rPr>
            </w:pPr>
            <w:r w:rsidRPr="00B96D19">
              <w:rPr>
                <w:rFonts w:eastAsia="Courier New"/>
                <w:lang w:val="sk-SK"/>
              </w:rPr>
              <w:t>0,94 ml</w:t>
            </w:r>
          </w:p>
        </w:tc>
      </w:tr>
      <w:tr w:rsidR="001C3CAF" w:rsidRPr="00B96D19" w14:paraId="6D41AE82" w14:textId="77777777" w:rsidTr="00B96D19">
        <w:tc>
          <w:tcPr>
            <w:tcW w:w="2093" w:type="dxa"/>
            <w:vMerge w:val="restart"/>
          </w:tcPr>
          <w:p w14:paraId="3FE0FC38" w14:textId="77777777" w:rsidR="001C3CAF" w:rsidRPr="00B96D19" w:rsidRDefault="001C3CAF" w:rsidP="00B96D19">
            <w:pPr>
              <w:rPr>
                <w:rFonts w:eastAsia="Courier New"/>
                <w:lang w:val="sk-SK"/>
              </w:rPr>
            </w:pPr>
            <w:r w:rsidRPr="00B96D19">
              <w:rPr>
                <w:rFonts w:eastAsia="Courier New"/>
                <w:lang w:val="sk-SK"/>
              </w:rPr>
              <w:t>Rozdelená dávka každých 6 hodín pri 25 mg/kg telesnej hmotnosti/deň</w:t>
            </w:r>
          </w:p>
        </w:tc>
        <w:tc>
          <w:tcPr>
            <w:tcW w:w="1134" w:type="dxa"/>
            <w:vMerge w:val="restart"/>
            <w:vAlign w:val="center"/>
          </w:tcPr>
          <w:p w14:paraId="3538C337" w14:textId="77777777" w:rsidR="001C3CAF" w:rsidRPr="00B96D19" w:rsidRDefault="001C3CAF" w:rsidP="00B96D19">
            <w:pPr>
              <w:rPr>
                <w:rFonts w:eastAsia="Courier New"/>
                <w:lang w:val="sk-SK"/>
              </w:rPr>
            </w:pPr>
            <w:r w:rsidRPr="00B96D19">
              <w:rPr>
                <w:rFonts w:eastAsia="Courier New"/>
                <w:lang w:val="sk-SK"/>
              </w:rPr>
              <w:t>1 g liekovka</w:t>
            </w:r>
          </w:p>
        </w:tc>
        <w:tc>
          <w:tcPr>
            <w:tcW w:w="1134" w:type="dxa"/>
          </w:tcPr>
          <w:p w14:paraId="5DA5EAC6" w14:textId="77777777" w:rsidR="001C3CAF" w:rsidRPr="00B96D19" w:rsidRDefault="001C3CAF" w:rsidP="00B96D19">
            <w:pPr>
              <w:rPr>
                <w:rFonts w:eastAsia="Courier New"/>
                <w:lang w:val="sk-SK"/>
              </w:rPr>
            </w:pPr>
            <w:r w:rsidRPr="00B96D19">
              <w:rPr>
                <w:rFonts w:eastAsia="Courier New"/>
                <w:lang w:val="sk-SK"/>
              </w:rPr>
              <w:t>31 mg</w:t>
            </w:r>
          </w:p>
          <w:p w14:paraId="412C86F2" w14:textId="77777777" w:rsidR="001C3CAF" w:rsidRPr="00B96D19" w:rsidRDefault="001C3CAF" w:rsidP="00B96D19">
            <w:pPr>
              <w:rPr>
                <w:rFonts w:eastAsia="Courier New"/>
                <w:lang w:val="sk-SK"/>
              </w:rPr>
            </w:pPr>
          </w:p>
        </w:tc>
        <w:tc>
          <w:tcPr>
            <w:tcW w:w="1134" w:type="dxa"/>
          </w:tcPr>
          <w:p w14:paraId="6441C3A9" w14:textId="77777777" w:rsidR="001C3CAF" w:rsidRPr="00B96D19" w:rsidRDefault="001C3CAF" w:rsidP="00B96D19">
            <w:pPr>
              <w:rPr>
                <w:rFonts w:eastAsia="Courier New"/>
                <w:lang w:val="sk-SK"/>
              </w:rPr>
            </w:pPr>
            <w:r w:rsidRPr="00B96D19">
              <w:rPr>
                <w:rFonts w:eastAsia="Courier New"/>
                <w:lang w:val="sk-SK"/>
              </w:rPr>
              <w:t>62 mg</w:t>
            </w:r>
          </w:p>
          <w:p w14:paraId="49FC0AC1" w14:textId="77777777" w:rsidR="001C3CAF" w:rsidRPr="00B96D19" w:rsidRDefault="001C3CAF" w:rsidP="00B96D19">
            <w:pPr>
              <w:rPr>
                <w:rFonts w:eastAsia="Courier New"/>
                <w:lang w:val="sk-SK"/>
              </w:rPr>
            </w:pPr>
          </w:p>
        </w:tc>
        <w:tc>
          <w:tcPr>
            <w:tcW w:w="1134" w:type="dxa"/>
          </w:tcPr>
          <w:p w14:paraId="65355837" w14:textId="77777777" w:rsidR="001C3CAF" w:rsidRPr="00B96D19" w:rsidRDefault="001C3CAF" w:rsidP="00B96D19">
            <w:pPr>
              <w:rPr>
                <w:rFonts w:eastAsia="Courier New"/>
                <w:lang w:val="sk-SK"/>
              </w:rPr>
            </w:pPr>
            <w:r w:rsidRPr="00B96D19">
              <w:rPr>
                <w:rFonts w:eastAsia="Courier New"/>
                <w:lang w:val="sk-SK"/>
              </w:rPr>
              <w:t>94 mg</w:t>
            </w:r>
          </w:p>
          <w:p w14:paraId="4A862878" w14:textId="77777777" w:rsidR="001C3CAF" w:rsidRPr="00B96D19" w:rsidRDefault="001C3CAF" w:rsidP="00B96D19">
            <w:pPr>
              <w:rPr>
                <w:rFonts w:eastAsia="Courier New"/>
                <w:lang w:val="sk-SK"/>
              </w:rPr>
            </w:pPr>
          </w:p>
        </w:tc>
        <w:tc>
          <w:tcPr>
            <w:tcW w:w="1276" w:type="dxa"/>
          </w:tcPr>
          <w:p w14:paraId="17CB726A" w14:textId="77777777" w:rsidR="001C3CAF" w:rsidRPr="00B96D19" w:rsidRDefault="001C3CAF" w:rsidP="00B96D19">
            <w:pPr>
              <w:rPr>
                <w:rFonts w:eastAsia="Courier New"/>
                <w:lang w:val="sk-SK"/>
              </w:rPr>
            </w:pPr>
            <w:r w:rsidRPr="00B96D19">
              <w:rPr>
                <w:rFonts w:eastAsia="Courier New"/>
                <w:lang w:val="sk-SK"/>
              </w:rPr>
              <w:t>125 mg</w:t>
            </w:r>
          </w:p>
          <w:p w14:paraId="72F118C8" w14:textId="77777777" w:rsidR="001C3CAF" w:rsidRPr="00B96D19" w:rsidRDefault="001C3CAF" w:rsidP="00B96D19">
            <w:pPr>
              <w:rPr>
                <w:rFonts w:eastAsia="Courier New"/>
                <w:lang w:val="sk-SK"/>
              </w:rPr>
            </w:pPr>
          </w:p>
        </w:tc>
        <w:tc>
          <w:tcPr>
            <w:tcW w:w="1275" w:type="dxa"/>
          </w:tcPr>
          <w:p w14:paraId="2650AD6A" w14:textId="77777777" w:rsidR="001C3CAF" w:rsidRPr="00B96D19" w:rsidRDefault="001C3CAF" w:rsidP="00B96D19">
            <w:pPr>
              <w:rPr>
                <w:rFonts w:eastAsia="Courier New"/>
                <w:lang w:val="sk-SK"/>
              </w:rPr>
            </w:pPr>
            <w:r w:rsidRPr="00B96D19">
              <w:rPr>
                <w:rFonts w:eastAsia="Courier New"/>
                <w:lang w:val="sk-SK"/>
              </w:rPr>
              <w:t>156 mg</w:t>
            </w:r>
          </w:p>
          <w:p w14:paraId="00197F9F" w14:textId="77777777" w:rsidR="001C3CAF" w:rsidRPr="00B96D19" w:rsidRDefault="001C3CAF" w:rsidP="00B96D19">
            <w:pPr>
              <w:rPr>
                <w:rFonts w:eastAsia="Courier New"/>
                <w:lang w:val="sk-SK"/>
              </w:rPr>
            </w:pPr>
          </w:p>
        </w:tc>
      </w:tr>
      <w:tr w:rsidR="001C3CAF" w:rsidRPr="00B96D19" w14:paraId="06B3D389" w14:textId="77777777" w:rsidTr="00B96D19">
        <w:tc>
          <w:tcPr>
            <w:tcW w:w="2093" w:type="dxa"/>
            <w:vMerge/>
          </w:tcPr>
          <w:p w14:paraId="0BD09077" w14:textId="77777777" w:rsidR="001C3CAF" w:rsidRPr="00B96D19" w:rsidRDefault="001C3CAF" w:rsidP="00B96D19">
            <w:pPr>
              <w:rPr>
                <w:rFonts w:eastAsia="Courier New"/>
                <w:lang w:val="sk-SK"/>
              </w:rPr>
            </w:pPr>
          </w:p>
        </w:tc>
        <w:tc>
          <w:tcPr>
            <w:tcW w:w="1134" w:type="dxa"/>
            <w:vMerge/>
            <w:vAlign w:val="center"/>
          </w:tcPr>
          <w:p w14:paraId="5B42E13F" w14:textId="77777777" w:rsidR="001C3CAF" w:rsidRPr="00B96D19" w:rsidRDefault="001C3CAF" w:rsidP="00B96D19">
            <w:pPr>
              <w:rPr>
                <w:rFonts w:eastAsia="Courier New"/>
                <w:highlight w:val="lightGray"/>
                <w:lang w:val="sk-SK"/>
              </w:rPr>
            </w:pPr>
          </w:p>
        </w:tc>
        <w:tc>
          <w:tcPr>
            <w:tcW w:w="1134" w:type="dxa"/>
          </w:tcPr>
          <w:p w14:paraId="2FC81AAF" w14:textId="77777777" w:rsidR="001C3CAF" w:rsidRPr="00B96D19" w:rsidRDefault="001C3CAF" w:rsidP="00B96D19">
            <w:pPr>
              <w:rPr>
                <w:rFonts w:eastAsia="Courier New"/>
                <w:highlight w:val="lightGray"/>
                <w:lang w:val="sk-SK"/>
              </w:rPr>
            </w:pPr>
            <w:r w:rsidRPr="00B96D19">
              <w:rPr>
                <w:rFonts w:eastAsia="Courier New"/>
                <w:lang w:val="sk-SK"/>
              </w:rPr>
              <w:t>0,14 ml</w:t>
            </w:r>
          </w:p>
        </w:tc>
        <w:tc>
          <w:tcPr>
            <w:tcW w:w="1134" w:type="dxa"/>
          </w:tcPr>
          <w:p w14:paraId="2AB47B86" w14:textId="77777777" w:rsidR="001C3CAF" w:rsidRPr="00B96D19" w:rsidRDefault="001C3CAF" w:rsidP="00B96D19">
            <w:pPr>
              <w:rPr>
                <w:rFonts w:eastAsia="Courier New"/>
                <w:highlight w:val="lightGray"/>
                <w:lang w:val="sk-SK"/>
              </w:rPr>
            </w:pPr>
            <w:r w:rsidRPr="00B96D19">
              <w:rPr>
                <w:rFonts w:eastAsia="Courier New"/>
                <w:lang w:val="sk-SK"/>
              </w:rPr>
              <w:t>0,28 ml</w:t>
            </w:r>
          </w:p>
        </w:tc>
        <w:tc>
          <w:tcPr>
            <w:tcW w:w="1134" w:type="dxa"/>
          </w:tcPr>
          <w:p w14:paraId="68F39640" w14:textId="77777777" w:rsidR="001C3CAF" w:rsidRPr="00B96D19" w:rsidRDefault="001C3CAF" w:rsidP="00B96D19">
            <w:pPr>
              <w:rPr>
                <w:rFonts w:eastAsia="Courier New"/>
                <w:highlight w:val="lightGray"/>
                <w:lang w:val="sk-SK"/>
              </w:rPr>
            </w:pPr>
            <w:r w:rsidRPr="00B96D19">
              <w:rPr>
                <w:rFonts w:eastAsia="Courier New"/>
                <w:lang w:val="sk-SK"/>
              </w:rPr>
              <w:t>0,43 ml</w:t>
            </w:r>
          </w:p>
        </w:tc>
        <w:tc>
          <w:tcPr>
            <w:tcW w:w="1276" w:type="dxa"/>
          </w:tcPr>
          <w:p w14:paraId="63D7F588" w14:textId="77777777" w:rsidR="001C3CAF" w:rsidRPr="00B96D19" w:rsidRDefault="001C3CAF" w:rsidP="00B96D19">
            <w:pPr>
              <w:rPr>
                <w:rFonts w:eastAsia="Courier New"/>
                <w:highlight w:val="lightGray"/>
                <w:lang w:val="sk-SK"/>
              </w:rPr>
            </w:pPr>
            <w:r w:rsidRPr="00B96D19">
              <w:rPr>
                <w:rFonts w:eastAsia="Courier New"/>
                <w:lang w:val="sk-SK"/>
              </w:rPr>
              <w:t>0,57 ml</w:t>
            </w:r>
          </w:p>
        </w:tc>
        <w:tc>
          <w:tcPr>
            <w:tcW w:w="1275" w:type="dxa"/>
          </w:tcPr>
          <w:p w14:paraId="6EF34BE7" w14:textId="77777777" w:rsidR="001C3CAF" w:rsidRPr="00B96D19" w:rsidRDefault="001C3CAF" w:rsidP="00B96D19">
            <w:pPr>
              <w:rPr>
                <w:rFonts w:eastAsia="Courier New"/>
                <w:highlight w:val="lightGray"/>
                <w:lang w:val="sk-SK"/>
              </w:rPr>
            </w:pPr>
            <w:r w:rsidRPr="00B96D19">
              <w:rPr>
                <w:rFonts w:eastAsia="Courier New"/>
                <w:lang w:val="sk-SK"/>
              </w:rPr>
              <w:t>0,71 ml</w:t>
            </w:r>
          </w:p>
        </w:tc>
      </w:tr>
      <w:tr w:rsidR="001C3CAF" w:rsidRPr="00B96D19" w14:paraId="28475DC2" w14:textId="77777777" w:rsidTr="00B96D19">
        <w:tc>
          <w:tcPr>
            <w:tcW w:w="2093" w:type="dxa"/>
            <w:vMerge w:val="restart"/>
          </w:tcPr>
          <w:p w14:paraId="3BC6D090" w14:textId="77777777" w:rsidR="001C3CAF" w:rsidRPr="00B96D19" w:rsidRDefault="001C3CAF" w:rsidP="00B96D19">
            <w:pPr>
              <w:rPr>
                <w:rFonts w:eastAsia="Courier New"/>
                <w:lang w:val="sk-SK"/>
              </w:rPr>
            </w:pPr>
            <w:r w:rsidRPr="00B96D19">
              <w:rPr>
                <w:rFonts w:eastAsia="Courier New"/>
                <w:lang w:val="sk-SK"/>
              </w:rPr>
              <w:t>Rozdelená dávka každých 12 hodín pri 50 mg/kg telesnej hmotnosti/deň</w:t>
            </w:r>
          </w:p>
        </w:tc>
        <w:tc>
          <w:tcPr>
            <w:tcW w:w="1134" w:type="dxa"/>
            <w:vMerge w:val="restart"/>
            <w:vAlign w:val="center"/>
          </w:tcPr>
          <w:p w14:paraId="553BFB14" w14:textId="77777777" w:rsidR="001C3CAF" w:rsidRPr="00B96D19" w:rsidRDefault="001C3CAF" w:rsidP="00B96D19">
            <w:pPr>
              <w:rPr>
                <w:rFonts w:eastAsia="Courier New"/>
                <w:lang w:val="sk-SK"/>
              </w:rPr>
            </w:pPr>
            <w:r w:rsidRPr="00B96D19">
              <w:rPr>
                <w:rFonts w:eastAsia="Courier New"/>
                <w:lang w:val="sk-SK"/>
              </w:rPr>
              <w:t>1 g liekovka</w:t>
            </w:r>
          </w:p>
        </w:tc>
        <w:tc>
          <w:tcPr>
            <w:tcW w:w="1134" w:type="dxa"/>
          </w:tcPr>
          <w:p w14:paraId="791C1524" w14:textId="77777777" w:rsidR="001C3CAF" w:rsidRPr="00B96D19" w:rsidRDefault="001C3CAF" w:rsidP="00B96D19">
            <w:pPr>
              <w:rPr>
                <w:rFonts w:eastAsia="Courier New"/>
                <w:lang w:val="sk-SK"/>
              </w:rPr>
            </w:pPr>
            <w:r w:rsidRPr="00B96D19">
              <w:rPr>
                <w:rFonts w:eastAsia="Courier New"/>
                <w:lang w:val="sk-SK"/>
              </w:rPr>
              <w:t>125 mg</w:t>
            </w:r>
          </w:p>
          <w:p w14:paraId="4563EEFA" w14:textId="77777777" w:rsidR="001C3CAF" w:rsidRPr="00B96D19" w:rsidRDefault="001C3CAF" w:rsidP="00B96D19">
            <w:pPr>
              <w:rPr>
                <w:rFonts w:eastAsia="Courier New"/>
                <w:lang w:val="sk-SK"/>
              </w:rPr>
            </w:pPr>
          </w:p>
        </w:tc>
        <w:tc>
          <w:tcPr>
            <w:tcW w:w="1134" w:type="dxa"/>
          </w:tcPr>
          <w:p w14:paraId="25D3D20D" w14:textId="77777777" w:rsidR="001C3CAF" w:rsidRPr="00B96D19" w:rsidRDefault="001C3CAF" w:rsidP="00B96D19">
            <w:pPr>
              <w:rPr>
                <w:rFonts w:eastAsia="Courier New"/>
                <w:lang w:val="sk-SK"/>
              </w:rPr>
            </w:pPr>
            <w:r w:rsidRPr="00B96D19">
              <w:rPr>
                <w:rFonts w:eastAsia="Courier New"/>
                <w:lang w:val="sk-SK"/>
              </w:rPr>
              <w:t>250 mg</w:t>
            </w:r>
          </w:p>
        </w:tc>
        <w:tc>
          <w:tcPr>
            <w:tcW w:w="1134" w:type="dxa"/>
          </w:tcPr>
          <w:p w14:paraId="4A2DFF69" w14:textId="77777777" w:rsidR="001C3CAF" w:rsidRPr="00B96D19" w:rsidRDefault="001C3CAF" w:rsidP="00B96D19">
            <w:pPr>
              <w:rPr>
                <w:rFonts w:eastAsia="Courier New"/>
                <w:lang w:val="sk-SK"/>
              </w:rPr>
            </w:pPr>
            <w:r w:rsidRPr="00B96D19">
              <w:rPr>
                <w:rFonts w:eastAsia="Courier New"/>
                <w:lang w:val="sk-SK"/>
              </w:rPr>
              <w:t>375 mg</w:t>
            </w:r>
          </w:p>
        </w:tc>
        <w:tc>
          <w:tcPr>
            <w:tcW w:w="1276" w:type="dxa"/>
          </w:tcPr>
          <w:p w14:paraId="61AC2BF2" w14:textId="77777777" w:rsidR="001C3CAF" w:rsidRPr="00B96D19" w:rsidRDefault="001C3CAF" w:rsidP="00B96D19">
            <w:pPr>
              <w:rPr>
                <w:rFonts w:eastAsia="Courier New"/>
                <w:lang w:val="sk-SK"/>
              </w:rPr>
            </w:pPr>
            <w:r w:rsidRPr="00B96D19">
              <w:rPr>
                <w:rFonts w:eastAsia="Courier New"/>
                <w:lang w:val="sk-SK"/>
              </w:rPr>
              <w:t>500 mg</w:t>
            </w:r>
          </w:p>
        </w:tc>
        <w:tc>
          <w:tcPr>
            <w:tcW w:w="1275" w:type="dxa"/>
          </w:tcPr>
          <w:p w14:paraId="251EC3B9" w14:textId="77777777" w:rsidR="001C3CAF" w:rsidRPr="00B96D19" w:rsidRDefault="001C3CAF" w:rsidP="00B96D19">
            <w:pPr>
              <w:rPr>
                <w:rFonts w:eastAsia="Courier New"/>
                <w:lang w:val="sk-SK"/>
              </w:rPr>
            </w:pPr>
            <w:r w:rsidRPr="00B96D19">
              <w:rPr>
                <w:rFonts w:eastAsia="Courier New"/>
                <w:lang w:val="sk-SK"/>
              </w:rPr>
              <w:t>625 mg</w:t>
            </w:r>
          </w:p>
        </w:tc>
      </w:tr>
      <w:tr w:rsidR="001C3CAF" w:rsidRPr="00B96D19" w14:paraId="796E66B3" w14:textId="77777777" w:rsidTr="00B96D19">
        <w:tc>
          <w:tcPr>
            <w:tcW w:w="2093" w:type="dxa"/>
            <w:vMerge/>
          </w:tcPr>
          <w:p w14:paraId="54E4B53D" w14:textId="77777777" w:rsidR="001C3CAF" w:rsidRPr="00B96D19" w:rsidRDefault="001C3CAF" w:rsidP="00B96D19">
            <w:pPr>
              <w:rPr>
                <w:rFonts w:eastAsia="Courier New"/>
                <w:lang w:val="sk-SK"/>
              </w:rPr>
            </w:pPr>
          </w:p>
        </w:tc>
        <w:tc>
          <w:tcPr>
            <w:tcW w:w="1134" w:type="dxa"/>
            <w:vMerge/>
            <w:vAlign w:val="center"/>
          </w:tcPr>
          <w:p w14:paraId="6509D63A" w14:textId="77777777" w:rsidR="001C3CAF" w:rsidRPr="00B96D19" w:rsidRDefault="001C3CAF" w:rsidP="00B96D19">
            <w:pPr>
              <w:rPr>
                <w:rFonts w:eastAsia="Courier New"/>
                <w:highlight w:val="lightGray"/>
                <w:lang w:val="sk-SK"/>
              </w:rPr>
            </w:pPr>
          </w:p>
        </w:tc>
        <w:tc>
          <w:tcPr>
            <w:tcW w:w="1134" w:type="dxa"/>
          </w:tcPr>
          <w:p w14:paraId="456C4C95" w14:textId="77777777" w:rsidR="001C3CAF" w:rsidRPr="00B96D19" w:rsidRDefault="001C3CAF" w:rsidP="00B96D19">
            <w:pPr>
              <w:rPr>
                <w:rFonts w:eastAsia="Courier New"/>
                <w:highlight w:val="lightGray"/>
                <w:lang w:val="sk-SK"/>
              </w:rPr>
            </w:pPr>
            <w:r w:rsidRPr="00B96D19">
              <w:rPr>
                <w:rFonts w:eastAsia="Courier New"/>
                <w:lang w:val="sk-SK"/>
              </w:rPr>
              <w:t>0,57 ml</w:t>
            </w:r>
          </w:p>
          <w:p w14:paraId="66C2BDFA" w14:textId="77777777" w:rsidR="001C3CAF" w:rsidRPr="00B96D19" w:rsidRDefault="001C3CAF" w:rsidP="00B96D19">
            <w:pPr>
              <w:rPr>
                <w:rFonts w:eastAsia="Courier New"/>
                <w:highlight w:val="lightGray"/>
                <w:lang w:val="sk-SK"/>
              </w:rPr>
            </w:pPr>
          </w:p>
        </w:tc>
        <w:tc>
          <w:tcPr>
            <w:tcW w:w="1134" w:type="dxa"/>
          </w:tcPr>
          <w:p w14:paraId="57FF1575" w14:textId="77777777" w:rsidR="001C3CAF" w:rsidRPr="00B96D19" w:rsidRDefault="001C3CAF" w:rsidP="00B96D19">
            <w:pPr>
              <w:rPr>
                <w:rFonts w:eastAsia="Courier New"/>
                <w:lang w:val="sk-SK"/>
              </w:rPr>
            </w:pPr>
            <w:r w:rsidRPr="00B96D19">
              <w:rPr>
                <w:rFonts w:eastAsia="Courier New"/>
                <w:lang w:val="sk-SK"/>
              </w:rPr>
              <w:t>1,14 ml</w:t>
            </w:r>
          </w:p>
          <w:p w14:paraId="6FE70A15" w14:textId="77777777" w:rsidR="001C3CAF" w:rsidRPr="00B96D19" w:rsidRDefault="001C3CAF" w:rsidP="00B96D19">
            <w:pPr>
              <w:rPr>
                <w:rFonts w:eastAsia="Courier New"/>
                <w:highlight w:val="lightGray"/>
                <w:lang w:val="sk-SK"/>
              </w:rPr>
            </w:pPr>
          </w:p>
        </w:tc>
        <w:tc>
          <w:tcPr>
            <w:tcW w:w="1134" w:type="dxa"/>
          </w:tcPr>
          <w:p w14:paraId="0D7ACD01" w14:textId="77777777" w:rsidR="001C3CAF" w:rsidRPr="00B96D19" w:rsidRDefault="001C3CAF" w:rsidP="00B96D19">
            <w:pPr>
              <w:rPr>
                <w:rFonts w:eastAsia="Courier New"/>
                <w:highlight w:val="lightGray"/>
                <w:lang w:val="sk-SK"/>
              </w:rPr>
            </w:pPr>
            <w:r w:rsidRPr="00B96D19">
              <w:rPr>
                <w:rFonts w:eastAsia="Courier New"/>
                <w:lang w:val="sk-SK"/>
              </w:rPr>
              <w:t>1,7 ml</w:t>
            </w:r>
          </w:p>
          <w:p w14:paraId="3B175F21" w14:textId="77777777" w:rsidR="001C3CAF" w:rsidRPr="00B96D19" w:rsidRDefault="001C3CAF" w:rsidP="00B96D19">
            <w:pPr>
              <w:rPr>
                <w:rFonts w:eastAsia="Courier New"/>
                <w:highlight w:val="lightGray"/>
                <w:lang w:val="sk-SK"/>
              </w:rPr>
            </w:pPr>
          </w:p>
        </w:tc>
        <w:tc>
          <w:tcPr>
            <w:tcW w:w="1276" w:type="dxa"/>
          </w:tcPr>
          <w:p w14:paraId="0AA93E92" w14:textId="77777777" w:rsidR="001C3CAF" w:rsidRPr="00B96D19" w:rsidRDefault="001C3CAF" w:rsidP="00B96D19">
            <w:pPr>
              <w:rPr>
                <w:rFonts w:eastAsia="Courier New"/>
                <w:lang w:val="sk-SK"/>
              </w:rPr>
            </w:pPr>
            <w:r w:rsidRPr="00B96D19">
              <w:rPr>
                <w:rFonts w:eastAsia="Courier New"/>
                <w:lang w:val="sk-SK"/>
              </w:rPr>
              <w:t>2,27 ml*</w:t>
            </w:r>
          </w:p>
          <w:p w14:paraId="19D228C1" w14:textId="77777777" w:rsidR="001C3CAF" w:rsidRPr="00B96D19" w:rsidRDefault="001C3CAF" w:rsidP="00B96D19">
            <w:pPr>
              <w:rPr>
                <w:rFonts w:eastAsia="Courier New"/>
                <w:highlight w:val="lightGray"/>
                <w:lang w:val="sk-SK"/>
              </w:rPr>
            </w:pPr>
          </w:p>
        </w:tc>
        <w:tc>
          <w:tcPr>
            <w:tcW w:w="1275" w:type="dxa"/>
          </w:tcPr>
          <w:p w14:paraId="2E72330E" w14:textId="77777777" w:rsidR="001C3CAF" w:rsidRPr="00B96D19" w:rsidRDefault="001C3CAF" w:rsidP="00B96D19">
            <w:pPr>
              <w:rPr>
                <w:rFonts w:eastAsia="Courier New"/>
                <w:lang w:val="sk-SK"/>
              </w:rPr>
            </w:pPr>
            <w:r w:rsidRPr="00B96D19">
              <w:rPr>
                <w:rFonts w:eastAsia="Courier New"/>
                <w:lang w:val="sk-SK"/>
              </w:rPr>
              <w:t>2,84 ml*</w:t>
            </w:r>
          </w:p>
          <w:p w14:paraId="6E1D69BD" w14:textId="77777777" w:rsidR="001C3CAF" w:rsidRPr="00B96D19" w:rsidRDefault="001C3CAF" w:rsidP="00B96D19">
            <w:pPr>
              <w:rPr>
                <w:rFonts w:eastAsia="Courier New"/>
                <w:highlight w:val="lightGray"/>
                <w:lang w:val="sk-SK"/>
              </w:rPr>
            </w:pPr>
          </w:p>
        </w:tc>
      </w:tr>
      <w:tr w:rsidR="001C3CAF" w:rsidRPr="00B96D19" w14:paraId="3EE5C036" w14:textId="77777777" w:rsidTr="00B96D19">
        <w:tc>
          <w:tcPr>
            <w:tcW w:w="2093" w:type="dxa"/>
            <w:vMerge w:val="restart"/>
          </w:tcPr>
          <w:p w14:paraId="1B66E8BA" w14:textId="77777777" w:rsidR="001C3CAF" w:rsidRPr="00B96D19" w:rsidRDefault="001C3CAF" w:rsidP="00B96D19">
            <w:pPr>
              <w:rPr>
                <w:rFonts w:eastAsia="Courier New"/>
                <w:lang w:val="sk-SK"/>
              </w:rPr>
            </w:pPr>
            <w:r w:rsidRPr="00B96D19">
              <w:rPr>
                <w:rFonts w:eastAsia="Courier New"/>
                <w:lang w:val="sk-SK"/>
              </w:rPr>
              <w:t>Rozdelená dávka každých 8 hodín pri 50 mg/kg telesnej hmotnosti/deň</w:t>
            </w:r>
          </w:p>
        </w:tc>
        <w:tc>
          <w:tcPr>
            <w:tcW w:w="1134" w:type="dxa"/>
            <w:vMerge w:val="restart"/>
            <w:vAlign w:val="center"/>
          </w:tcPr>
          <w:p w14:paraId="55FAD93F" w14:textId="77777777" w:rsidR="001C3CAF" w:rsidRPr="00B96D19" w:rsidRDefault="001C3CAF" w:rsidP="00B96D19">
            <w:pPr>
              <w:rPr>
                <w:rFonts w:eastAsia="Courier New"/>
                <w:lang w:val="sk-SK"/>
              </w:rPr>
            </w:pPr>
            <w:r w:rsidRPr="00B96D19">
              <w:rPr>
                <w:rFonts w:eastAsia="Courier New"/>
                <w:lang w:val="sk-SK"/>
              </w:rPr>
              <w:t>1 g liekovka</w:t>
            </w:r>
          </w:p>
        </w:tc>
        <w:tc>
          <w:tcPr>
            <w:tcW w:w="1134" w:type="dxa"/>
          </w:tcPr>
          <w:p w14:paraId="136D3023" w14:textId="77777777" w:rsidR="001C3CAF" w:rsidRPr="00B96D19" w:rsidRDefault="001C3CAF" w:rsidP="00B96D19">
            <w:pPr>
              <w:rPr>
                <w:rFonts w:eastAsia="Courier New"/>
                <w:lang w:val="sk-SK"/>
              </w:rPr>
            </w:pPr>
            <w:r w:rsidRPr="00B96D19">
              <w:rPr>
                <w:rFonts w:eastAsia="Courier New"/>
                <w:lang w:val="sk-SK"/>
              </w:rPr>
              <w:t>83 mg</w:t>
            </w:r>
          </w:p>
          <w:p w14:paraId="5EDC77EB" w14:textId="77777777" w:rsidR="001C3CAF" w:rsidRPr="00B96D19" w:rsidRDefault="001C3CAF" w:rsidP="00B96D19">
            <w:pPr>
              <w:rPr>
                <w:rFonts w:eastAsia="Courier New"/>
                <w:lang w:val="sk-SK"/>
              </w:rPr>
            </w:pPr>
          </w:p>
        </w:tc>
        <w:tc>
          <w:tcPr>
            <w:tcW w:w="1134" w:type="dxa"/>
          </w:tcPr>
          <w:p w14:paraId="4AF15DF8" w14:textId="77777777" w:rsidR="001C3CAF" w:rsidRPr="00B96D19" w:rsidRDefault="001C3CAF" w:rsidP="00B96D19">
            <w:pPr>
              <w:rPr>
                <w:rFonts w:eastAsia="Courier New"/>
                <w:lang w:val="sk-SK"/>
              </w:rPr>
            </w:pPr>
            <w:r w:rsidRPr="00B96D19">
              <w:rPr>
                <w:rFonts w:eastAsia="Courier New"/>
                <w:lang w:val="sk-SK"/>
              </w:rPr>
              <w:t>166 mg</w:t>
            </w:r>
          </w:p>
          <w:p w14:paraId="28AEC6A4" w14:textId="77777777" w:rsidR="001C3CAF" w:rsidRPr="00B96D19" w:rsidRDefault="001C3CAF" w:rsidP="00B96D19">
            <w:pPr>
              <w:rPr>
                <w:rFonts w:eastAsia="Courier New"/>
                <w:lang w:val="sk-SK"/>
              </w:rPr>
            </w:pPr>
          </w:p>
        </w:tc>
        <w:tc>
          <w:tcPr>
            <w:tcW w:w="1134" w:type="dxa"/>
          </w:tcPr>
          <w:p w14:paraId="5407495C" w14:textId="77777777" w:rsidR="001C3CAF" w:rsidRPr="00B96D19" w:rsidRDefault="001C3CAF" w:rsidP="00B96D19">
            <w:pPr>
              <w:rPr>
                <w:rFonts w:eastAsia="Courier New"/>
                <w:lang w:val="sk-SK"/>
              </w:rPr>
            </w:pPr>
            <w:r w:rsidRPr="00B96D19">
              <w:rPr>
                <w:rFonts w:eastAsia="Courier New"/>
                <w:lang w:val="sk-SK"/>
              </w:rPr>
              <w:t>250 mg</w:t>
            </w:r>
          </w:p>
          <w:p w14:paraId="369628B6" w14:textId="77777777" w:rsidR="001C3CAF" w:rsidRPr="00B96D19" w:rsidRDefault="001C3CAF" w:rsidP="00B96D19">
            <w:pPr>
              <w:rPr>
                <w:rFonts w:eastAsia="Courier New"/>
                <w:lang w:val="sk-SK"/>
              </w:rPr>
            </w:pPr>
          </w:p>
        </w:tc>
        <w:tc>
          <w:tcPr>
            <w:tcW w:w="1276" w:type="dxa"/>
          </w:tcPr>
          <w:p w14:paraId="39A4A33D" w14:textId="77777777" w:rsidR="001C3CAF" w:rsidRPr="00B96D19" w:rsidRDefault="001C3CAF" w:rsidP="00B96D19">
            <w:pPr>
              <w:rPr>
                <w:rFonts w:eastAsia="Courier New"/>
                <w:lang w:val="sk-SK"/>
              </w:rPr>
            </w:pPr>
            <w:r w:rsidRPr="00B96D19">
              <w:rPr>
                <w:rFonts w:eastAsia="Courier New"/>
                <w:lang w:val="sk-SK"/>
              </w:rPr>
              <w:t>333 mg</w:t>
            </w:r>
          </w:p>
          <w:p w14:paraId="7C171BD2" w14:textId="77777777" w:rsidR="001C3CAF" w:rsidRPr="00B96D19" w:rsidRDefault="001C3CAF" w:rsidP="00B96D19">
            <w:pPr>
              <w:rPr>
                <w:rFonts w:eastAsia="Courier New"/>
                <w:lang w:val="sk-SK"/>
              </w:rPr>
            </w:pPr>
          </w:p>
        </w:tc>
        <w:tc>
          <w:tcPr>
            <w:tcW w:w="1275" w:type="dxa"/>
          </w:tcPr>
          <w:p w14:paraId="1D933E21" w14:textId="77777777" w:rsidR="001C3CAF" w:rsidRPr="00B96D19" w:rsidRDefault="001C3CAF" w:rsidP="00B96D19">
            <w:pPr>
              <w:rPr>
                <w:rFonts w:eastAsia="Courier New"/>
                <w:lang w:val="sk-SK"/>
              </w:rPr>
            </w:pPr>
            <w:r w:rsidRPr="00B96D19">
              <w:rPr>
                <w:rFonts w:eastAsia="Courier New"/>
                <w:lang w:val="sk-SK"/>
              </w:rPr>
              <w:t>417 mg</w:t>
            </w:r>
          </w:p>
          <w:p w14:paraId="34C32EC3" w14:textId="77777777" w:rsidR="001C3CAF" w:rsidRPr="00B96D19" w:rsidRDefault="001C3CAF" w:rsidP="00B96D19">
            <w:pPr>
              <w:rPr>
                <w:rFonts w:eastAsia="Courier New"/>
                <w:lang w:val="sk-SK"/>
              </w:rPr>
            </w:pPr>
          </w:p>
        </w:tc>
      </w:tr>
      <w:tr w:rsidR="001C3CAF" w:rsidRPr="00B96D19" w14:paraId="020B3A55" w14:textId="77777777" w:rsidTr="00B96D19">
        <w:tc>
          <w:tcPr>
            <w:tcW w:w="2093" w:type="dxa"/>
            <w:vMerge/>
          </w:tcPr>
          <w:p w14:paraId="0F0BBB80" w14:textId="77777777" w:rsidR="001C3CAF" w:rsidRPr="00B96D19" w:rsidRDefault="001C3CAF" w:rsidP="00B96D19">
            <w:pPr>
              <w:rPr>
                <w:rFonts w:eastAsia="Courier New"/>
                <w:lang w:val="sk-SK"/>
              </w:rPr>
            </w:pPr>
          </w:p>
        </w:tc>
        <w:tc>
          <w:tcPr>
            <w:tcW w:w="1134" w:type="dxa"/>
            <w:vMerge/>
            <w:vAlign w:val="center"/>
          </w:tcPr>
          <w:p w14:paraId="5024D5D8" w14:textId="77777777" w:rsidR="001C3CAF" w:rsidRPr="00B96D19" w:rsidRDefault="001C3CAF" w:rsidP="00B96D19">
            <w:pPr>
              <w:rPr>
                <w:rFonts w:eastAsia="Courier New"/>
                <w:highlight w:val="lightGray"/>
                <w:lang w:val="sk-SK"/>
              </w:rPr>
            </w:pPr>
          </w:p>
        </w:tc>
        <w:tc>
          <w:tcPr>
            <w:tcW w:w="1134" w:type="dxa"/>
          </w:tcPr>
          <w:p w14:paraId="302CB016" w14:textId="77777777" w:rsidR="001C3CAF" w:rsidRPr="00B96D19" w:rsidRDefault="001C3CAF" w:rsidP="00B96D19">
            <w:pPr>
              <w:rPr>
                <w:rFonts w:eastAsia="Courier New"/>
                <w:lang w:val="sk-SK"/>
              </w:rPr>
            </w:pPr>
            <w:r w:rsidRPr="00B96D19">
              <w:rPr>
                <w:rFonts w:eastAsia="Courier New"/>
                <w:lang w:val="sk-SK"/>
              </w:rPr>
              <w:t>0,</w:t>
            </w:r>
            <w:r w:rsidRPr="00B96D19">
              <w:rPr>
                <w:rFonts w:eastAsia="Courier New"/>
                <w:strike/>
                <w:lang w:val="sk-SK"/>
              </w:rPr>
              <w:t>4</w:t>
            </w:r>
            <w:r w:rsidRPr="00B96D19">
              <w:rPr>
                <w:rFonts w:eastAsia="Courier New"/>
                <w:lang w:val="sk-SK"/>
              </w:rPr>
              <w:t>38 ml</w:t>
            </w:r>
          </w:p>
          <w:p w14:paraId="3D6C160E" w14:textId="77777777" w:rsidR="001C3CAF" w:rsidRPr="00B96D19" w:rsidRDefault="001C3CAF" w:rsidP="00B96D19">
            <w:pPr>
              <w:rPr>
                <w:rFonts w:eastAsia="Courier New"/>
                <w:highlight w:val="lightGray"/>
                <w:lang w:val="sk-SK"/>
              </w:rPr>
            </w:pPr>
          </w:p>
        </w:tc>
        <w:tc>
          <w:tcPr>
            <w:tcW w:w="1134" w:type="dxa"/>
          </w:tcPr>
          <w:p w14:paraId="7696FDA9" w14:textId="77777777" w:rsidR="001C3CAF" w:rsidRPr="00B96D19" w:rsidRDefault="001C3CAF" w:rsidP="00B96D19">
            <w:pPr>
              <w:rPr>
                <w:rFonts w:eastAsia="Courier New"/>
                <w:highlight w:val="lightGray"/>
                <w:lang w:val="sk-SK"/>
              </w:rPr>
            </w:pPr>
            <w:r w:rsidRPr="00B96D19">
              <w:rPr>
                <w:rFonts w:eastAsia="Courier New"/>
                <w:lang w:val="sk-SK"/>
              </w:rPr>
              <w:t>0,75 ml</w:t>
            </w:r>
          </w:p>
        </w:tc>
        <w:tc>
          <w:tcPr>
            <w:tcW w:w="1134" w:type="dxa"/>
          </w:tcPr>
          <w:p w14:paraId="198E2FC9" w14:textId="77777777" w:rsidR="001C3CAF" w:rsidRPr="00B96D19" w:rsidRDefault="001C3CAF" w:rsidP="00B96D19">
            <w:pPr>
              <w:rPr>
                <w:rFonts w:eastAsia="Courier New"/>
                <w:strike/>
                <w:highlight w:val="lightGray"/>
                <w:lang w:val="sk-SK"/>
              </w:rPr>
            </w:pPr>
            <w:r w:rsidRPr="00B96D19">
              <w:rPr>
                <w:rFonts w:eastAsia="Courier New"/>
                <w:lang w:val="sk-SK"/>
              </w:rPr>
              <w:t>1,14 ml</w:t>
            </w:r>
          </w:p>
        </w:tc>
        <w:tc>
          <w:tcPr>
            <w:tcW w:w="1276" w:type="dxa"/>
          </w:tcPr>
          <w:p w14:paraId="7ECC015D" w14:textId="77777777" w:rsidR="001C3CAF" w:rsidRPr="00B96D19" w:rsidRDefault="001C3CAF" w:rsidP="00B96D19">
            <w:pPr>
              <w:rPr>
                <w:rFonts w:eastAsia="Courier New"/>
                <w:highlight w:val="lightGray"/>
                <w:lang w:val="sk-SK"/>
              </w:rPr>
            </w:pPr>
            <w:r w:rsidRPr="00B96D19">
              <w:rPr>
                <w:rFonts w:eastAsia="Courier New"/>
                <w:lang w:val="sk-SK"/>
              </w:rPr>
              <w:t>1,51 ml</w:t>
            </w:r>
          </w:p>
          <w:p w14:paraId="735D5AB2" w14:textId="77777777" w:rsidR="001C3CAF" w:rsidRPr="00B96D19" w:rsidRDefault="001C3CAF" w:rsidP="00B96D19">
            <w:pPr>
              <w:rPr>
                <w:rFonts w:eastAsia="Courier New"/>
                <w:highlight w:val="lightGray"/>
                <w:lang w:val="sk-SK"/>
              </w:rPr>
            </w:pPr>
          </w:p>
        </w:tc>
        <w:tc>
          <w:tcPr>
            <w:tcW w:w="1275" w:type="dxa"/>
          </w:tcPr>
          <w:p w14:paraId="5F6D6010" w14:textId="77777777" w:rsidR="001C3CAF" w:rsidRPr="00B96D19" w:rsidRDefault="001C3CAF" w:rsidP="00B96D19">
            <w:pPr>
              <w:rPr>
                <w:rFonts w:eastAsia="Courier New"/>
                <w:highlight w:val="lightGray"/>
                <w:lang w:val="sk-SK"/>
              </w:rPr>
            </w:pPr>
            <w:r w:rsidRPr="00B96D19">
              <w:rPr>
                <w:rFonts w:eastAsia="Courier New"/>
                <w:lang w:val="sk-SK"/>
              </w:rPr>
              <w:t>1,89 ml</w:t>
            </w:r>
          </w:p>
        </w:tc>
      </w:tr>
      <w:tr w:rsidR="001C3CAF" w:rsidRPr="00B96D19" w14:paraId="3976942C" w14:textId="77777777" w:rsidTr="00B96D19">
        <w:tc>
          <w:tcPr>
            <w:tcW w:w="2093" w:type="dxa"/>
            <w:vMerge w:val="restart"/>
          </w:tcPr>
          <w:p w14:paraId="03C96D4E" w14:textId="77777777" w:rsidR="001C3CAF" w:rsidRPr="00B96D19" w:rsidRDefault="001C3CAF" w:rsidP="00B96D19">
            <w:pPr>
              <w:rPr>
                <w:rFonts w:eastAsia="Courier New"/>
                <w:lang w:val="sk-SK"/>
              </w:rPr>
            </w:pPr>
            <w:r w:rsidRPr="00B96D19">
              <w:rPr>
                <w:rFonts w:eastAsia="Courier New"/>
                <w:lang w:val="sk-SK"/>
              </w:rPr>
              <w:t>Rozdelená dávka každých 6 hodín pri 50 mg/kg telesnej hmotnosti/deň</w:t>
            </w:r>
          </w:p>
        </w:tc>
        <w:tc>
          <w:tcPr>
            <w:tcW w:w="1134" w:type="dxa"/>
            <w:vMerge w:val="restart"/>
            <w:vAlign w:val="center"/>
          </w:tcPr>
          <w:p w14:paraId="6172F312" w14:textId="77777777" w:rsidR="001C3CAF" w:rsidRPr="00B96D19" w:rsidRDefault="001C3CAF" w:rsidP="00B96D19">
            <w:pPr>
              <w:rPr>
                <w:rFonts w:eastAsia="Courier New"/>
                <w:lang w:val="sk-SK"/>
              </w:rPr>
            </w:pPr>
            <w:r w:rsidRPr="00B96D19">
              <w:rPr>
                <w:rFonts w:eastAsia="Courier New"/>
                <w:lang w:val="sk-SK"/>
              </w:rPr>
              <w:t>1 g liekovka</w:t>
            </w:r>
          </w:p>
        </w:tc>
        <w:tc>
          <w:tcPr>
            <w:tcW w:w="1134" w:type="dxa"/>
          </w:tcPr>
          <w:p w14:paraId="11E3F10B" w14:textId="77777777" w:rsidR="001C3CAF" w:rsidRPr="00B96D19" w:rsidRDefault="001C3CAF" w:rsidP="00B96D19">
            <w:pPr>
              <w:rPr>
                <w:rFonts w:eastAsia="Courier New"/>
                <w:lang w:val="sk-SK"/>
              </w:rPr>
            </w:pPr>
            <w:r w:rsidRPr="00B96D19">
              <w:rPr>
                <w:rFonts w:eastAsia="Courier New"/>
                <w:lang w:val="sk-SK"/>
              </w:rPr>
              <w:t>63 mg</w:t>
            </w:r>
          </w:p>
          <w:p w14:paraId="70A2F2AF" w14:textId="77777777" w:rsidR="001C3CAF" w:rsidRPr="00B96D19" w:rsidRDefault="001C3CAF" w:rsidP="00B96D19">
            <w:pPr>
              <w:rPr>
                <w:rFonts w:eastAsia="Courier New"/>
                <w:lang w:val="sk-SK"/>
              </w:rPr>
            </w:pPr>
          </w:p>
        </w:tc>
        <w:tc>
          <w:tcPr>
            <w:tcW w:w="1134" w:type="dxa"/>
          </w:tcPr>
          <w:p w14:paraId="36450C8D" w14:textId="77777777" w:rsidR="001C3CAF" w:rsidRPr="00B96D19" w:rsidRDefault="001C3CAF" w:rsidP="00B96D19">
            <w:pPr>
              <w:rPr>
                <w:rFonts w:eastAsia="Courier New"/>
                <w:lang w:val="sk-SK"/>
              </w:rPr>
            </w:pPr>
            <w:r w:rsidRPr="00B96D19">
              <w:rPr>
                <w:rFonts w:eastAsia="Courier New"/>
                <w:lang w:val="sk-SK"/>
              </w:rPr>
              <w:t>125 mg</w:t>
            </w:r>
          </w:p>
          <w:p w14:paraId="11FF4322" w14:textId="77777777" w:rsidR="001C3CAF" w:rsidRPr="00B96D19" w:rsidRDefault="001C3CAF" w:rsidP="00B96D19">
            <w:pPr>
              <w:rPr>
                <w:rFonts w:eastAsia="Courier New"/>
                <w:lang w:val="sk-SK"/>
              </w:rPr>
            </w:pPr>
          </w:p>
        </w:tc>
        <w:tc>
          <w:tcPr>
            <w:tcW w:w="1134" w:type="dxa"/>
          </w:tcPr>
          <w:p w14:paraId="08BF34E4" w14:textId="77777777" w:rsidR="001C3CAF" w:rsidRPr="00B96D19" w:rsidRDefault="001C3CAF" w:rsidP="00B96D19">
            <w:pPr>
              <w:rPr>
                <w:rFonts w:eastAsia="Courier New"/>
                <w:lang w:val="sk-SK"/>
              </w:rPr>
            </w:pPr>
            <w:r w:rsidRPr="00B96D19">
              <w:rPr>
                <w:rFonts w:eastAsia="Courier New"/>
                <w:lang w:val="sk-SK"/>
              </w:rPr>
              <w:t>188 mg</w:t>
            </w:r>
          </w:p>
          <w:p w14:paraId="2A5CB186" w14:textId="77777777" w:rsidR="001C3CAF" w:rsidRPr="00B96D19" w:rsidRDefault="001C3CAF" w:rsidP="00B96D19">
            <w:pPr>
              <w:rPr>
                <w:rFonts w:eastAsia="Courier New"/>
                <w:lang w:val="sk-SK"/>
              </w:rPr>
            </w:pPr>
          </w:p>
        </w:tc>
        <w:tc>
          <w:tcPr>
            <w:tcW w:w="1276" w:type="dxa"/>
          </w:tcPr>
          <w:p w14:paraId="411318FA" w14:textId="77777777" w:rsidR="001C3CAF" w:rsidRPr="00B96D19" w:rsidRDefault="001C3CAF" w:rsidP="00B96D19">
            <w:pPr>
              <w:rPr>
                <w:rFonts w:eastAsia="Courier New"/>
                <w:lang w:val="sk-SK"/>
              </w:rPr>
            </w:pPr>
            <w:r w:rsidRPr="00B96D19">
              <w:rPr>
                <w:rFonts w:eastAsia="Courier New"/>
                <w:lang w:val="sk-SK"/>
              </w:rPr>
              <w:t>250 mg</w:t>
            </w:r>
          </w:p>
          <w:p w14:paraId="14B20A9C" w14:textId="77777777" w:rsidR="001C3CAF" w:rsidRPr="00B96D19" w:rsidRDefault="001C3CAF" w:rsidP="00B96D19">
            <w:pPr>
              <w:rPr>
                <w:rFonts w:eastAsia="Courier New"/>
                <w:lang w:val="sk-SK"/>
              </w:rPr>
            </w:pPr>
          </w:p>
        </w:tc>
        <w:tc>
          <w:tcPr>
            <w:tcW w:w="1275" w:type="dxa"/>
          </w:tcPr>
          <w:p w14:paraId="0D4DC9B5" w14:textId="77777777" w:rsidR="001C3CAF" w:rsidRPr="00B96D19" w:rsidRDefault="001C3CAF" w:rsidP="00B96D19">
            <w:pPr>
              <w:rPr>
                <w:rFonts w:eastAsia="Courier New"/>
                <w:lang w:val="sk-SK"/>
              </w:rPr>
            </w:pPr>
            <w:r w:rsidRPr="00B96D19">
              <w:rPr>
                <w:rFonts w:eastAsia="Courier New"/>
                <w:lang w:val="sk-SK"/>
              </w:rPr>
              <w:t>313 mg</w:t>
            </w:r>
          </w:p>
          <w:p w14:paraId="7C3FDFB8" w14:textId="77777777" w:rsidR="001C3CAF" w:rsidRPr="00B96D19" w:rsidRDefault="001C3CAF" w:rsidP="00B96D19">
            <w:pPr>
              <w:rPr>
                <w:rFonts w:eastAsia="Courier New"/>
                <w:lang w:val="sk-SK"/>
              </w:rPr>
            </w:pPr>
          </w:p>
        </w:tc>
      </w:tr>
      <w:tr w:rsidR="001C3CAF" w:rsidRPr="00B96D19" w14:paraId="4649CF27" w14:textId="77777777" w:rsidTr="00B96D19">
        <w:tc>
          <w:tcPr>
            <w:tcW w:w="2093" w:type="dxa"/>
            <w:vMerge/>
          </w:tcPr>
          <w:p w14:paraId="151F3F6B" w14:textId="77777777" w:rsidR="001C3CAF" w:rsidRPr="00B96D19" w:rsidRDefault="001C3CAF" w:rsidP="00B96D19">
            <w:pPr>
              <w:rPr>
                <w:rFonts w:eastAsia="Courier New"/>
                <w:lang w:val="sk-SK"/>
              </w:rPr>
            </w:pPr>
          </w:p>
        </w:tc>
        <w:tc>
          <w:tcPr>
            <w:tcW w:w="1134" w:type="dxa"/>
            <w:vMerge/>
            <w:vAlign w:val="center"/>
          </w:tcPr>
          <w:p w14:paraId="6AD0A0C5" w14:textId="77777777" w:rsidR="001C3CAF" w:rsidRPr="00B96D19" w:rsidRDefault="001C3CAF" w:rsidP="00B96D19">
            <w:pPr>
              <w:rPr>
                <w:rFonts w:eastAsia="Courier New"/>
                <w:highlight w:val="lightGray"/>
                <w:lang w:val="sk-SK"/>
              </w:rPr>
            </w:pPr>
          </w:p>
        </w:tc>
        <w:tc>
          <w:tcPr>
            <w:tcW w:w="1134" w:type="dxa"/>
          </w:tcPr>
          <w:p w14:paraId="60B4888C" w14:textId="77777777" w:rsidR="001C3CAF" w:rsidRPr="00B96D19" w:rsidRDefault="001C3CAF" w:rsidP="00B96D19">
            <w:pPr>
              <w:rPr>
                <w:rFonts w:eastAsia="Courier New"/>
                <w:lang w:val="sk-SK"/>
              </w:rPr>
            </w:pPr>
            <w:r w:rsidRPr="00B96D19">
              <w:rPr>
                <w:rFonts w:eastAsia="Courier New"/>
                <w:lang w:val="sk-SK"/>
              </w:rPr>
              <w:t>0,29 ml</w:t>
            </w:r>
          </w:p>
          <w:p w14:paraId="08E73AC1" w14:textId="77777777" w:rsidR="001C3CAF" w:rsidRPr="00B96D19" w:rsidRDefault="001C3CAF" w:rsidP="00B96D19">
            <w:pPr>
              <w:rPr>
                <w:rFonts w:eastAsia="Courier New"/>
                <w:highlight w:val="lightGray"/>
                <w:lang w:val="sk-SK"/>
              </w:rPr>
            </w:pPr>
          </w:p>
        </w:tc>
        <w:tc>
          <w:tcPr>
            <w:tcW w:w="1134" w:type="dxa"/>
          </w:tcPr>
          <w:p w14:paraId="29C5B410" w14:textId="77777777" w:rsidR="001C3CAF" w:rsidRPr="00B96D19" w:rsidRDefault="001C3CAF" w:rsidP="00B96D19">
            <w:pPr>
              <w:rPr>
                <w:rFonts w:eastAsia="Courier New"/>
                <w:lang w:val="sk-SK"/>
              </w:rPr>
            </w:pPr>
            <w:r w:rsidRPr="00B96D19">
              <w:rPr>
                <w:rFonts w:eastAsia="Courier New"/>
                <w:lang w:val="sk-SK"/>
              </w:rPr>
              <w:t>0,57 ml</w:t>
            </w:r>
          </w:p>
        </w:tc>
        <w:tc>
          <w:tcPr>
            <w:tcW w:w="1134" w:type="dxa"/>
          </w:tcPr>
          <w:p w14:paraId="20999B43" w14:textId="77777777" w:rsidR="001C3CAF" w:rsidRPr="00B96D19" w:rsidRDefault="001C3CAF" w:rsidP="00B96D19">
            <w:pPr>
              <w:tabs>
                <w:tab w:val="left" w:pos="6946"/>
              </w:tabs>
              <w:jc w:val="both"/>
              <w:rPr>
                <w:rFonts w:eastAsia="Courier New"/>
                <w:highlight w:val="lightGray"/>
                <w:lang w:val="sk-SK"/>
              </w:rPr>
            </w:pPr>
            <w:r w:rsidRPr="00B96D19">
              <w:rPr>
                <w:rFonts w:eastAsia="Courier New"/>
                <w:lang w:val="sk-SK"/>
              </w:rPr>
              <w:t>0,85 ml</w:t>
            </w:r>
          </w:p>
        </w:tc>
        <w:tc>
          <w:tcPr>
            <w:tcW w:w="1276" w:type="dxa"/>
          </w:tcPr>
          <w:p w14:paraId="3FE61DD3" w14:textId="77777777" w:rsidR="001C3CAF" w:rsidRPr="00B96D19" w:rsidRDefault="001C3CAF" w:rsidP="00B96D19">
            <w:pPr>
              <w:tabs>
                <w:tab w:val="left" w:pos="6946"/>
              </w:tabs>
              <w:jc w:val="both"/>
              <w:rPr>
                <w:rFonts w:eastAsia="Courier New"/>
                <w:highlight w:val="lightGray"/>
                <w:lang w:val="sk-SK"/>
              </w:rPr>
            </w:pPr>
            <w:r w:rsidRPr="00B96D19">
              <w:rPr>
                <w:rFonts w:eastAsia="Courier New"/>
                <w:lang w:val="sk-SK"/>
              </w:rPr>
              <w:t>1,14 ml</w:t>
            </w:r>
          </w:p>
        </w:tc>
        <w:tc>
          <w:tcPr>
            <w:tcW w:w="1275" w:type="dxa"/>
          </w:tcPr>
          <w:p w14:paraId="7A13023D" w14:textId="77777777" w:rsidR="001C3CAF" w:rsidRPr="00B96D19" w:rsidRDefault="001C3CAF" w:rsidP="00B96D19">
            <w:pPr>
              <w:tabs>
                <w:tab w:val="left" w:pos="6946"/>
              </w:tabs>
              <w:jc w:val="both"/>
              <w:rPr>
                <w:rFonts w:eastAsia="Courier New"/>
                <w:highlight w:val="lightGray"/>
                <w:lang w:val="sk-SK"/>
              </w:rPr>
            </w:pPr>
            <w:r w:rsidRPr="00B96D19">
              <w:rPr>
                <w:rFonts w:eastAsia="Courier New"/>
                <w:lang w:val="sk-SK"/>
              </w:rPr>
              <w:t>1,42 ml</w:t>
            </w:r>
          </w:p>
        </w:tc>
      </w:tr>
      <w:tr w:rsidR="001C3CAF" w:rsidRPr="00B96D19" w14:paraId="064EDB3C" w14:textId="77777777" w:rsidTr="00B96D19">
        <w:tc>
          <w:tcPr>
            <w:tcW w:w="2093" w:type="dxa"/>
            <w:vMerge w:val="restart"/>
          </w:tcPr>
          <w:p w14:paraId="189CE1B6" w14:textId="77777777" w:rsidR="001C3CAF" w:rsidRPr="00B96D19" w:rsidRDefault="001C3CAF" w:rsidP="00B96D19">
            <w:pPr>
              <w:rPr>
                <w:rFonts w:eastAsia="Courier New"/>
                <w:lang w:val="sk-SK"/>
              </w:rPr>
            </w:pPr>
            <w:r w:rsidRPr="00B96D19">
              <w:rPr>
                <w:rFonts w:eastAsia="Courier New"/>
                <w:lang w:val="sk-SK"/>
              </w:rPr>
              <w:t>Rozdelená dávka každých 8 hodín pri 100 mg/kg telesnej hmotnosti/deň</w:t>
            </w:r>
          </w:p>
        </w:tc>
        <w:tc>
          <w:tcPr>
            <w:tcW w:w="1134" w:type="dxa"/>
            <w:vMerge w:val="restart"/>
            <w:vAlign w:val="center"/>
          </w:tcPr>
          <w:p w14:paraId="558BD516" w14:textId="77777777" w:rsidR="001C3CAF" w:rsidRPr="00B96D19" w:rsidRDefault="001C3CAF" w:rsidP="00B96D19">
            <w:pPr>
              <w:rPr>
                <w:rFonts w:eastAsia="Courier New"/>
                <w:lang w:val="sk-SK"/>
              </w:rPr>
            </w:pPr>
            <w:r w:rsidRPr="00B96D19">
              <w:rPr>
                <w:rFonts w:eastAsia="Courier New"/>
                <w:lang w:val="sk-SK"/>
              </w:rPr>
              <w:t>1 g liekovka</w:t>
            </w:r>
          </w:p>
        </w:tc>
        <w:tc>
          <w:tcPr>
            <w:tcW w:w="1134" w:type="dxa"/>
          </w:tcPr>
          <w:p w14:paraId="707AA241" w14:textId="77777777" w:rsidR="001C3CAF" w:rsidRPr="00B96D19" w:rsidRDefault="001C3CAF" w:rsidP="00B96D19">
            <w:pPr>
              <w:rPr>
                <w:rFonts w:eastAsia="Courier New"/>
                <w:lang w:val="sk-SK"/>
              </w:rPr>
            </w:pPr>
            <w:r w:rsidRPr="00B96D19">
              <w:rPr>
                <w:rFonts w:eastAsia="Courier New"/>
                <w:lang w:val="sk-SK"/>
              </w:rPr>
              <w:t>167 mg</w:t>
            </w:r>
          </w:p>
          <w:p w14:paraId="2BAF7BB8" w14:textId="77777777" w:rsidR="001C3CAF" w:rsidRPr="00B96D19" w:rsidRDefault="001C3CAF" w:rsidP="00B96D19">
            <w:pPr>
              <w:rPr>
                <w:rFonts w:eastAsia="Courier New"/>
                <w:lang w:val="sk-SK"/>
              </w:rPr>
            </w:pPr>
          </w:p>
        </w:tc>
        <w:tc>
          <w:tcPr>
            <w:tcW w:w="1134" w:type="dxa"/>
          </w:tcPr>
          <w:p w14:paraId="062A0F19" w14:textId="77777777" w:rsidR="001C3CAF" w:rsidRPr="00B96D19" w:rsidRDefault="001C3CAF" w:rsidP="00B96D19">
            <w:pPr>
              <w:rPr>
                <w:rFonts w:eastAsia="Courier New"/>
                <w:lang w:val="sk-SK"/>
              </w:rPr>
            </w:pPr>
            <w:r w:rsidRPr="00B96D19">
              <w:rPr>
                <w:rFonts w:eastAsia="Courier New"/>
                <w:lang w:val="sk-SK"/>
              </w:rPr>
              <w:t>333 mg</w:t>
            </w:r>
          </w:p>
          <w:p w14:paraId="1691EFFA" w14:textId="77777777" w:rsidR="001C3CAF" w:rsidRPr="00B96D19" w:rsidRDefault="001C3CAF" w:rsidP="00B96D19">
            <w:pPr>
              <w:rPr>
                <w:rFonts w:eastAsia="Courier New"/>
                <w:lang w:val="sk-SK"/>
              </w:rPr>
            </w:pPr>
          </w:p>
        </w:tc>
        <w:tc>
          <w:tcPr>
            <w:tcW w:w="1134" w:type="dxa"/>
          </w:tcPr>
          <w:p w14:paraId="77AFFEA4" w14:textId="77777777" w:rsidR="001C3CAF" w:rsidRPr="00B96D19" w:rsidRDefault="001C3CAF" w:rsidP="00B96D19">
            <w:pPr>
              <w:rPr>
                <w:rFonts w:eastAsia="Courier New"/>
                <w:lang w:val="sk-SK"/>
              </w:rPr>
            </w:pPr>
            <w:r w:rsidRPr="00B96D19">
              <w:rPr>
                <w:rFonts w:eastAsia="Courier New"/>
                <w:lang w:val="sk-SK"/>
              </w:rPr>
              <w:t>500 mg</w:t>
            </w:r>
          </w:p>
          <w:p w14:paraId="35C8DBF4" w14:textId="77777777" w:rsidR="001C3CAF" w:rsidRPr="00B96D19" w:rsidRDefault="001C3CAF" w:rsidP="00B96D19">
            <w:pPr>
              <w:rPr>
                <w:rFonts w:eastAsia="Courier New"/>
                <w:lang w:val="sk-SK"/>
              </w:rPr>
            </w:pPr>
          </w:p>
        </w:tc>
        <w:tc>
          <w:tcPr>
            <w:tcW w:w="1276" w:type="dxa"/>
          </w:tcPr>
          <w:p w14:paraId="75AAFB93" w14:textId="77777777" w:rsidR="001C3CAF" w:rsidRPr="00B96D19" w:rsidRDefault="001C3CAF" w:rsidP="00B96D19">
            <w:pPr>
              <w:rPr>
                <w:rFonts w:eastAsia="Courier New"/>
                <w:lang w:val="sk-SK"/>
              </w:rPr>
            </w:pPr>
            <w:r w:rsidRPr="00B96D19">
              <w:rPr>
                <w:rFonts w:eastAsia="Courier New"/>
                <w:lang w:val="sk-SK"/>
              </w:rPr>
              <w:t>667 mg</w:t>
            </w:r>
          </w:p>
          <w:p w14:paraId="3B8231BC" w14:textId="77777777" w:rsidR="001C3CAF" w:rsidRPr="00B96D19" w:rsidRDefault="001C3CAF" w:rsidP="00B96D19">
            <w:pPr>
              <w:rPr>
                <w:rFonts w:eastAsia="Courier New"/>
                <w:lang w:val="sk-SK"/>
              </w:rPr>
            </w:pPr>
          </w:p>
        </w:tc>
        <w:tc>
          <w:tcPr>
            <w:tcW w:w="1275" w:type="dxa"/>
          </w:tcPr>
          <w:p w14:paraId="0CBAD28A" w14:textId="77777777" w:rsidR="001C3CAF" w:rsidRPr="00B96D19" w:rsidRDefault="001C3CAF" w:rsidP="00B96D19">
            <w:pPr>
              <w:rPr>
                <w:rFonts w:eastAsia="Courier New"/>
                <w:lang w:val="sk-SK"/>
              </w:rPr>
            </w:pPr>
            <w:r w:rsidRPr="00B96D19">
              <w:rPr>
                <w:rFonts w:eastAsia="Courier New"/>
                <w:lang w:val="sk-SK"/>
              </w:rPr>
              <w:t>833 mg</w:t>
            </w:r>
          </w:p>
          <w:p w14:paraId="762BB86B" w14:textId="77777777" w:rsidR="001C3CAF" w:rsidRPr="00B96D19" w:rsidRDefault="001C3CAF" w:rsidP="00B96D19">
            <w:pPr>
              <w:rPr>
                <w:rFonts w:eastAsia="Courier New"/>
                <w:lang w:val="sk-SK"/>
              </w:rPr>
            </w:pPr>
          </w:p>
        </w:tc>
      </w:tr>
      <w:tr w:rsidR="001C3CAF" w:rsidRPr="00B96D19" w14:paraId="7C076BDE" w14:textId="77777777" w:rsidTr="00B96D19">
        <w:tc>
          <w:tcPr>
            <w:tcW w:w="2093" w:type="dxa"/>
            <w:vMerge/>
          </w:tcPr>
          <w:p w14:paraId="1A3D31BD" w14:textId="77777777" w:rsidR="001C3CAF" w:rsidRPr="00B96D19" w:rsidRDefault="001C3CAF" w:rsidP="00B96D19">
            <w:pPr>
              <w:rPr>
                <w:rFonts w:eastAsia="Courier New"/>
                <w:lang w:val="sk-SK"/>
              </w:rPr>
            </w:pPr>
          </w:p>
        </w:tc>
        <w:tc>
          <w:tcPr>
            <w:tcW w:w="1134" w:type="dxa"/>
            <w:vMerge/>
            <w:vAlign w:val="center"/>
          </w:tcPr>
          <w:p w14:paraId="38A9E831" w14:textId="77777777" w:rsidR="001C3CAF" w:rsidRPr="00B96D19" w:rsidRDefault="001C3CAF" w:rsidP="00B96D19">
            <w:pPr>
              <w:rPr>
                <w:rFonts w:eastAsia="Courier New"/>
                <w:lang w:val="sk-SK"/>
              </w:rPr>
            </w:pPr>
          </w:p>
        </w:tc>
        <w:tc>
          <w:tcPr>
            <w:tcW w:w="1134" w:type="dxa"/>
          </w:tcPr>
          <w:p w14:paraId="693D730B" w14:textId="77777777" w:rsidR="001C3CAF" w:rsidRPr="00B96D19" w:rsidRDefault="001C3CAF" w:rsidP="00B96D19">
            <w:pPr>
              <w:rPr>
                <w:rFonts w:eastAsia="Courier New"/>
                <w:lang w:val="sk-SK"/>
              </w:rPr>
            </w:pPr>
            <w:r w:rsidRPr="00B96D19">
              <w:rPr>
                <w:rFonts w:eastAsia="Courier New"/>
                <w:lang w:val="sk-SK"/>
              </w:rPr>
              <w:t>0,76 ml</w:t>
            </w:r>
          </w:p>
          <w:p w14:paraId="757365A1" w14:textId="77777777" w:rsidR="001C3CAF" w:rsidRPr="00B96D19" w:rsidRDefault="001C3CAF" w:rsidP="00B96D19">
            <w:pPr>
              <w:rPr>
                <w:rFonts w:eastAsia="Courier New"/>
                <w:highlight w:val="lightGray"/>
                <w:lang w:val="sk-SK"/>
              </w:rPr>
            </w:pPr>
          </w:p>
        </w:tc>
        <w:tc>
          <w:tcPr>
            <w:tcW w:w="1134" w:type="dxa"/>
          </w:tcPr>
          <w:p w14:paraId="670EBC42" w14:textId="77777777" w:rsidR="001C3CAF" w:rsidRPr="00B96D19" w:rsidRDefault="001C3CAF" w:rsidP="00B96D19">
            <w:pPr>
              <w:rPr>
                <w:rFonts w:eastAsia="Courier New"/>
                <w:highlight w:val="lightGray"/>
                <w:lang w:val="sk-SK"/>
              </w:rPr>
            </w:pPr>
            <w:r w:rsidRPr="00B96D19">
              <w:rPr>
                <w:rFonts w:eastAsia="Courier New"/>
                <w:lang w:val="sk-SK"/>
              </w:rPr>
              <w:t>1,51 ml</w:t>
            </w:r>
          </w:p>
        </w:tc>
        <w:tc>
          <w:tcPr>
            <w:tcW w:w="1134" w:type="dxa"/>
          </w:tcPr>
          <w:p w14:paraId="3B592A09" w14:textId="77777777" w:rsidR="001C3CAF" w:rsidRPr="00B96D19" w:rsidRDefault="001C3CAF" w:rsidP="00B96D19">
            <w:pPr>
              <w:rPr>
                <w:rFonts w:eastAsia="Courier New"/>
                <w:highlight w:val="lightGray"/>
                <w:lang w:val="sk-SK"/>
              </w:rPr>
            </w:pPr>
            <w:r w:rsidRPr="00B96D19">
              <w:rPr>
                <w:rFonts w:eastAsia="Courier New"/>
                <w:lang w:val="sk-SK"/>
              </w:rPr>
              <w:t>2,27 ml*</w:t>
            </w:r>
          </w:p>
        </w:tc>
        <w:tc>
          <w:tcPr>
            <w:tcW w:w="1276" w:type="dxa"/>
          </w:tcPr>
          <w:p w14:paraId="66AE70FC" w14:textId="77777777" w:rsidR="001C3CAF" w:rsidRPr="00B96D19" w:rsidRDefault="001C3CAF" w:rsidP="00B96D19">
            <w:pPr>
              <w:rPr>
                <w:rFonts w:eastAsia="Courier New"/>
                <w:lang w:val="sk-SK"/>
              </w:rPr>
            </w:pPr>
            <w:r w:rsidRPr="00B96D19">
              <w:rPr>
                <w:rFonts w:eastAsia="Courier New"/>
                <w:lang w:val="sk-SK"/>
              </w:rPr>
              <w:t>3,03 ml*</w:t>
            </w:r>
          </w:p>
        </w:tc>
        <w:tc>
          <w:tcPr>
            <w:tcW w:w="1275" w:type="dxa"/>
          </w:tcPr>
          <w:p w14:paraId="4D316BF5" w14:textId="77777777" w:rsidR="001C3CAF" w:rsidRPr="00B96D19" w:rsidRDefault="001C3CAF" w:rsidP="00B96D19">
            <w:pPr>
              <w:rPr>
                <w:rFonts w:eastAsia="Courier New"/>
                <w:lang w:val="sk-SK"/>
              </w:rPr>
            </w:pPr>
            <w:r w:rsidRPr="00B96D19">
              <w:rPr>
                <w:rFonts w:eastAsia="Courier New"/>
                <w:lang w:val="sk-SK"/>
              </w:rPr>
              <w:t>3,79 ml*</w:t>
            </w:r>
          </w:p>
        </w:tc>
      </w:tr>
      <w:tr w:rsidR="001C3CAF" w:rsidRPr="00B96D19" w14:paraId="4EFE88DF" w14:textId="77777777" w:rsidTr="00B96D19">
        <w:tc>
          <w:tcPr>
            <w:tcW w:w="2093" w:type="dxa"/>
            <w:vMerge w:val="restart"/>
          </w:tcPr>
          <w:p w14:paraId="43C229FF" w14:textId="77777777" w:rsidR="001C3CAF" w:rsidRPr="00B96D19" w:rsidRDefault="001C3CAF" w:rsidP="00B96D19">
            <w:pPr>
              <w:rPr>
                <w:rFonts w:eastAsia="Courier New"/>
                <w:lang w:val="sk-SK"/>
              </w:rPr>
            </w:pPr>
            <w:r w:rsidRPr="00B96D19">
              <w:rPr>
                <w:rFonts w:eastAsia="Courier New"/>
                <w:lang w:val="sk-SK"/>
              </w:rPr>
              <w:t>Rozdelená dávka každých 6 hodín pri 100 mg/kg telesnej hmotnosti/deň</w:t>
            </w:r>
          </w:p>
        </w:tc>
        <w:tc>
          <w:tcPr>
            <w:tcW w:w="1134" w:type="dxa"/>
            <w:vMerge w:val="restart"/>
            <w:vAlign w:val="center"/>
          </w:tcPr>
          <w:p w14:paraId="0AD1E957" w14:textId="77777777" w:rsidR="001C3CAF" w:rsidRPr="00B96D19" w:rsidRDefault="001C3CAF" w:rsidP="00B96D19">
            <w:pPr>
              <w:rPr>
                <w:rFonts w:eastAsia="Courier New"/>
                <w:lang w:val="sk-SK"/>
              </w:rPr>
            </w:pPr>
            <w:r w:rsidRPr="00B96D19">
              <w:rPr>
                <w:rFonts w:eastAsia="Courier New"/>
                <w:lang w:val="sk-SK"/>
              </w:rPr>
              <w:t>1 g liekovka</w:t>
            </w:r>
          </w:p>
        </w:tc>
        <w:tc>
          <w:tcPr>
            <w:tcW w:w="1134" w:type="dxa"/>
          </w:tcPr>
          <w:p w14:paraId="31F16FF2" w14:textId="77777777" w:rsidR="001C3CAF" w:rsidRPr="00B96D19" w:rsidRDefault="001C3CAF" w:rsidP="00B96D19">
            <w:pPr>
              <w:rPr>
                <w:rFonts w:eastAsia="Courier New"/>
                <w:lang w:val="sk-SK"/>
              </w:rPr>
            </w:pPr>
            <w:r w:rsidRPr="00B96D19">
              <w:rPr>
                <w:rFonts w:eastAsia="Courier New"/>
                <w:lang w:val="sk-SK"/>
              </w:rPr>
              <w:t>125 mg</w:t>
            </w:r>
          </w:p>
          <w:p w14:paraId="16605961" w14:textId="77777777" w:rsidR="001C3CAF" w:rsidRPr="00B96D19" w:rsidRDefault="001C3CAF" w:rsidP="00B96D19">
            <w:pPr>
              <w:rPr>
                <w:rFonts w:eastAsia="Courier New"/>
                <w:lang w:val="sk-SK"/>
              </w:rPr>
            </w:pPr>
          </w:p>
        </w:tc>
        <w:tc>
          <w:tcPr>
            <w:tcW w:w="1134" w:type="dxa"/>
          </w:tcPr>
          <w:p w14:paraId="09519623" w14:textId="77777777" w:rsidR="001C3CAF" w:rsidRPr="00B96D19" w:rsidRDefault="001C3CAF" w:rsidP="00B96D19">
            <w:pPr>
              <w:rPr>
                <w:rFonts w:eastAsia="Courier New"/>
                <w:lang w:val="sk-SK"/>
              </w:rPr>
            </w:pPr>
            <w:r w:rsidRPr="00B96D19">
              <w:rPr>
                <w:rFonts w:eastAsia="Courier New"/>
                <w:lang w:val="sk-SK"/>
              </w:rPr>
              <w:t>250 mg</w:t>
            </w:r>
          </w:p>
        </w:tc>
        <w:tc>
          <w:tcPr>
            <w:tcW w:w="1134" w:type="dxa"/>
          </w:tcPr>
          <w:p w14:paraId="19F98386" w14:textId="77777777" w:rsidR="001C3CAF" w:rsidRPr="00B96D19" w:rsidRDefault="001C3CAF" w:rsidP="00B96D19">
            <w:pPr>
              <w:rPr>
                <w:rFonts w:eastAsia="Courier New"/>
                <w:lang w:val="sk-SK"/>
              </w:rPr>
            </w:pPr>
            <w:r w:rsidRPr="00B96D19">
              <w:rPr>
                <w:rFonts w:eastAsia="Courier New"/>
                <w:lang w:val="sk-SK"/>
              </w:rPr>
              <w:t>375 mg</w:t>
            </w:r>
          </w:p>
        </w:tc>
        <w:tc>
          <w:tcPr>
            <w:tcW w:w="1276" w:type="dxa"/>
          </w:tcPr>
          <w:p w14:paraId="1437781C" w14:textId="77777777" w:rsidR="001C3CAF" w:rsidRPr="00B96D19" w:rsidRDefault="001C3CAF" w:rsidP="00B96D19">
            <w:pPr>
              <w:rPr>
                <w:rFonts w:eastAsia="Courier New"/>
                <w:lang w:val="sk-SK"/>
              </w:rPr>
            </w:pPr>
            <w:r w:rsidRPr="00B96D19">
              <w:rPr>
                <w:rFonts w:eastAsia="Courier New"/>
                <w:lang w:val="sk-SK"/>
              </w:rPr>
              <w:t>500 mg</w:t>
            </w:r>
          </w:p>
        </w:tc>
        <w:tc>
          <w:tcPr>
            <w:tcW w:w="1275" w:type="dxa"/>
          </w:tcPr>
          <w:p w14:paraId="2F078824" w14:textId="77777777" w:rsidR="001C3CAF" w:rsidRPr="00B96D19" w:rsidRDefault="001C3CAF" w:rsidP="00B96D19">
            <w:pPr>
              <w:rPr>
                <w:rFonts w:eastAsia="Courier New"/>
                <w:lang w:val="sk-SK"/>
              </w:rPr>
            </w:pPr>
            <w:r w:rsidRPr="00B96D19">
              <w:rPr>
                <w:rFonts w:eastAsia="Courier New"/>
                <w:lang w:val="sk-SK"/>
              </w:rPr>
              <w:t>625 mg</w:t>
            </w:r>
          </w:p>
        </w:tc>
      </w:tr>
      <w:tr w:rsidR="001C3CAF" w:rsidRPr="00B96D19" w14:paraId="77A1F2BA" w14:textId="77777777" w:rsidTr="00B96D19">
        <w:tc>
          <w:tcPr>
            <w:tcW w:w="2093" w:type="dxa"/>
            <w:vMerge/>
          </w:tcPr>
          <w:p w14:paraId="15D5AAE8" w14:textId="77777777" w:rsidR="001C3CAF" w:rsidRPr="00B96D19" w:rsidRDefault="001C3CAF" w:rsidP="00B96D19">
            <w:pPr>
              <w:rPr>
                <w:rFonts w:eastAsia="Courier New"/>
                <w:lang w:val="sk-SK"/>
              </w:rPr>
            </w:pPr>
          </w:p>
        </w:tc>
        <w:tc>
          <w:tcPr>
            <w:tcW w:w="1134" w:type="dxa"/>
            <w:vMerge/>
          </w:tcPr>
          <w:p w14:paraId="410A3C3B" w14:textId="77777777" w:rsidR="001C3CAF" w:rsidRPr="00B96D19" w:rsidRDefault="001C3CAF" w:rsidP="00B96D19">
            <w:pPr>
              <w:rPr>
                <w:rFonts w:eastAsia="Courier New"/>
                <w:lang w:val="sk-SK"/>
              </w:rPr>
            </w:pPr>
          </w:p>
        </w:tc>
        <w:tc>
          <w:tcPr>
            <w:tcW w:w="1134" w:type="dxa"/>
          </w:tcPr>
          <w:p w14:paraId="40B574E2" w14:textId="77777777" w:rsidR="001C3CAF" w:rsidRPr="00B96D19" w:rsidRDefault="001C3CAF" w:rsidP="00B96D19">
            <w:pPr>
              <w:rPr>
                <w:rFonts w:eastAsia="Courier New"/>
                <w:lang w:val="sk-SK"/>
              </w:rPr>
            </w:pPr>
            <w:r w:rsidRPr="00B96D19">
              <w:rPr>
                <w:rFonts w:eastAsia="Courier New"/>
                <w:lang w:val="sk-SK"/>
              </w:rPr>
              <w:t>0,57 ml</w:t>
            </w:r>
          </w:p>
          <w:p w14:paraId="0C51C697" w14:textId="77777777" w:rsidR="001C3CAF" w:rsidRPr="00B96D19" w:rsidRDefault="001C3CAF" w:rsidP="00B96D19">
            <w:pPr>
              <w:rPr>
                <w:rFonts w:eastAsia="Courier New"/>
                <w:highlight w:val="lightGray"/>
                <w:lang w:val="sk-SK"/>
              </w:rPr>
            </w:pPr>
          </w:p>
        </w:tc>
        <w:tc>
          <w:tcPr>
            <w:tcW w:w="1134" w:type="dxa"/>
          </w:tcPr>
          <w:p w14:paraId="383C4315" w14:textId="77777777" w:rsidR="001C3CAF" w:rsidRPr="00B96D19" w:rsidRDefault="001C3CAF" w:rsidP="00B96D19">
            <w:pPr>
              <w:rPr>
                <w:rFonts w:eastAsia="Courier New"/>
                <w:highlight w:val="lightGray"/>
                <w:lang w:val="sk-SK"/>
              </w:rPr>
            </w:pPr>
            <w:r w:rsidRPr="00B96D19">
              <w:rPr>
                <w:rFonts w:eastAsia="Courier New"/>
                <w:lang w:val="sk-SK"/>
              </w:rPr>
              <w:t>1,14 ml</w:t>
            </w:r>
          </w:p>
        </w:tc>
        <w:tc>
          <w:tcPr>
            <w:tcW w:w="1134" w:type="dxa"/>
          </w:tcPr>
          <w:p w14:paraId="7AE64741" w14:textId="77777777" w:rsidR="001C3CAF" w:rsidRPr="00B96D19" w:rsidRDefault="001C3CAF" w:rsidP="00B96D19">
            <w:pPr>
              <w:rPr>
                <w:rFonts w:eastAsia="Courier New"/>
                <w:highlight w:val="lightGray"/>
                <w:lang w:val="sk-SK"/>
              </w:rPr>
            </w:pPr>
            <w:r w:rsidRPr="00B96D19">
              <w:rPr>
                <w:rFonts w:eastAsia="Courier New"/>
                <w:lang w:val="sk-SK"/>
              </w:rPr>
              <w:t>1,7 ml</w:t>
            </w:r>
          </w:p>
        </w:tc>
        <w:tc>
          <w:tcPr>
            <w:tcW w:w="1276" w:type="dxa"/>
          </w:tcPr>
          <w:p w14:paraId="6F488584" w14:textId="77777777" w:rsidR="001C3CAF" w:rsidRPr="00B96D19" w:rsidRDefault="001C3CAF" w:rsidP="00B96D19">
            <w:pPr>
              <w:rPr>
                <w:rFonts w:eastAsia="Courier New"/>
                <w:lang w:val="sk-SK"/>
              </w:rPr>
            </w:pPr>
            <w:r w:rsidRPr="00B96D19">
              <w:rPr>
                <w:rFonts w:eastAsia="Courier New"/>
                <w:lang w:val="sk-SK"/>
              </w:rPr>
              <w:t>2,27 ml*</w:t>
            </w:r>
          </w:p>
        </w:tc>
        <w:tc>
          <w:tcPr>
            <w:tcW w:w="1275" w:type="dxa"/>
          </w:tcPr>
          <w:p w14:paraId="4C37115D" w14:textId="77777777" w:rsidR="001C3CAF" w:rsidRPr="00B96D19" w:rsidRDefault="001C3CAF" w:rsidP="00B96D19">
            <w:pPr>
              <w:rPr>
                <w:rFonts w:eastAsia="Courier New"/>
                <w:lang w:val="sk-SK"/>
              </w:rPr>
            </w:pPr>
            <w:r w:rsidRPr="00B96D19">
              <w:rPr>
                <w:rFonts w:eastAsia="Courier New"/>
                <w:lang w:val="sk-SK"/>
              </w:rPr>
              <w:t>2,84 ml*</w:t>
            </w:r>
          </w:p>
        </w:tc>
      </w:tr>
    </w:tbl>
    <w:p w14:paraId="1AE9B086" w14:textId="77777777" w:rsidR="00447495" w:rsidRPr="00B96D19" w:rsidRDefault="00447495" w:rsidP="00667033">
      <w:pPr>
        <w:pStyle w:val="Normlndobloku"/>
      </w:pPr>
      <w:r w:rsidRPr="00B96D19">
        <w:t xml:space="preserve">* Pre intramuskulárne podanie, ak vypočítaný objem </w:t>
      </w:r>
      <w:r w:rsidR="00F45C16">
        <w:t xml:space="preserve">každého </w:t>
      </w:r>
      <w:r w:rsidRPr="00B96D19">
        <w:t xml:space="preserve">jednotlivého podania prevyšuje 2 ml, preferuje sa voľba dávkovacej schémy s viacerými rozdelenými dávkami počas dňa (3 alebo 4) alebo prerozdelenie podávaného objemu na rovnaké časti a ich podanie v dvoch rozdielnych miestach </w:t>
      </w:r>
      <w:r w:rsidR="00B506D8">
        <w:t xml:space="preserve">podania </w:t>
      </w:r>
      <w:r w:rsidRPr="00B96D19">
        <w:t>injekcie.</w:t>
      </w:r>
    </w:p>
    <w:p w14:paraId="1225CE56" w14:textId="77777777" w:rsidR="00447495" w:rsidRPr="00B96D19" w:rsidRDefault="00447495" w:rsidP="00667033">
      <w:pPr>
        <w:pStyle w:val="Normlndobloku"/>
      </w:pPr>
    </w:p>
    <w:p w14:paraId="4F6981EC" w14:textId="2F097918" w:rsidR="00447495" w:rsidRPr="00B96D19" w:rsidRDefault="00447495" w:rsidP="00667033">
      <w:pPr>
        <w:pStyle w:val="Normlndobloku"/>
      </w:pPr>
      <w:r w:rsidRPr="00B96D19">
        <w:t xml:space="preserve">Tabuľka 2: Príslušné objemy pre intravenóznu injekciu u pediatrických pacientov pre </w:t>
      </w:r>
      <w:r w:rsidRPr="00B96D19">
        <w:rPr>
          <w:rFonts w:eastAsia="Times New Roman"/>
          <w:color w:val="000000"/>
          <w:lang w:eastAsia="el-GR"/>
        </w:rPr>
        <w:t>Cefazol</w:t>
      </w:r>
      <w:r w:rsidR="00851942">
        <w:rPr>
          <w:rFonts w:eastAsia="Times New Roman"/>
          <w:color w:val="000000"/>
          <w:lang w:eastAsia="el-GR"/>
        </w:rPr>
        <w:t>í</w:t>
      </w:r>
      <w:r w:rsidRPr="00B96D19">
        <w:rPr>
          <w:rFonts w:eastAsia="Times New Roman"/>
          <w:color w:val="000000"/>
          <w:lang w:eastAsia="el-GR"/>
        </w:rPr>
        <w:t>nu Noridem</w:t>
      </w:r>
      <w:r w:rsidRPr="00B96D19">
        <w:t xml:space="preserve"> 2 g prášok na </w:t>
      </w:r>
      <w:r w:rsidR="00DB3C9A" w:rsidRPr="00B96D19">
        <w:t>injekčný/</w:t>
      </w:r>
      <w:r w:rsidRPr="00B96D19">
        <w:t>infúzny roztok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093"/>
        <w:gridCol w:w="1134"/>
        <w:gridCol w:w="1134"/>
        <w:gridCol w:w="1134"/>
        <w:gridCol w:w="1174"/>
        <w:gridCol w:w="1309"/>
        <w:gridCol w:w="1202"/>
      </w:tblGrid>
      <w:tr w:rsidR="00A71A76" w:rsidRPr="00B96D19" w14:paraId="5F08B50F" w14:textId="77777777" w:rsidTr="00B96D19">
        <w:tc>
          <w:tcPr>
            <w:tcW w:w="2093" w:type="dxa"/>
          </w:tcPr>
          <w:p w14:paraId="1DAA1BEB" w14:textId="77777777" w:rsidR="00A71A76" w:rsidRPr="00B96D19" w:rsidRDefault="00851AB6" w:rsidP="00B96D19">
            <w:pPr>
              <w:rPr>
                <w:rFonts w:eastAsia="Courier New"/>
                <w:b/>
                <w:bCs/>
                <w:lang w:val="sk-SK"/>
              </w:rPr>
            </w:pPr>
            <w:r w:rsidRPr="00B96D19">
              <w:rPr>
                <w:rFonts w:eastAsia="Courier New"/>
                <w:b/>
                <w:bCs/>
                <w:lang w:val="sk-SK"/>
              </w:rPr>
              <w:t>Telesná hmotnosť</w:t>
            </w:r>
          </w:p>
          <w:p w14:paraId="21FDD067" w14:textId="77777777" w:rsidR="00A71A76" w:rsidRPr="00B96D19" w:rsidRDefault="00A71A76" w:rsidP="00B96D19">
            <w:pPr>
              <w:rPr>
                <w:rFonts w:eastAsia="Courier New"/>
                <w:b/>
                <w:bCs/>
                <w:lang w:val="sk-SK"/>
              </w:rPr>
            </w:pPr>
          </w:p>
        </w:tc>
        <w:tc>
          <w:tcPr>
            <w:tcW w:w="1134" w:type="dxa"/>
          </w:tcPr>
          <w:p w14:paraId="2130C494" w14:textId="1977696F" w:rsidR="00A71A76" w:rsidRPr="00B96D19" w:rsidRDefault="00F45C16" w:rsidP="00B96D19">
            <w:pPr>
              <w:rPr>
                <w:rFonts w:eastAsia="Courier New"/>
                <w:b/>
                <w:bCs/>
                <w:color w:val="000000" w:themeColor="text1"/>
                <w:lang w:val="sk-SK"/>
              </w:rPr>
            </w:pPr>
            <w:r>
              <w:rPr>
                <w:rFonts w:eastAsia="Courier New"/>
                <w:b/>
                <w:bCs/>
                <w:lang w:val="sk-SK"/>
              </w:rPr>
              <w:t>S</w:t>
            </w:r>
            <w:r w:rsidR="00851AB6" w:rsidRPr="00B96D19">
              <w:rPr>
                <w:rFonts w:eastAsia="Courier New"/>
                <w:b/>
                <w:bCs/>
                <w:lang w:val="sk-SK"/>
              </w:rPr>
              <w:t>ila</w:t>
            </w:r>
          </w:p>
        </w:tc>
        <w:tc>
          <w:tcPr>
            <w:tcW w:w="1134" w:type="dxa"/>
          </w:tcPr>
          <w:p w14:paraId="66F22E57" w14:textId="77777777" w:rsidR="00A71A76" w:rsidRPr="00B96D19" w:rsidRDefault="00851AB6" w:rsidP="00B96D19">
            <w:pPr>
              <w:rPr>
                <w:rFonts w:eastAsia="Courier New"/>
                <w:b/>
                <w:bCs/>
                <w:lang w:val="sk-SK"/>
              </w:rPr>
            </w:pPr>
            <w:r w:rsidRPr="00B96D19">
              <w:rPr>
                <w:rFonts w:eastAsia="Courier New"/>
                <w:b/>
                <w:bCs/>
                <w:lang w:val="sk-SK"/>
              </w:rPr>
              <w:t>5 kg</w:t>
            </w:r>
          </w:p>
        </w:tc>
        <w:tc>
          <w:tcPr>
            <w:tcW w:w="1134" w:type="dxa"/>
          </w:tcPr>
          <w:p w14:paraId="73E8B1DE" w14:textId="77777777" w:rsidR="00A71A76" w:rsidRPr="00B96D19" w:rsidRDefault="00851AB6" w:rsidP="00B96D19">
            <w:pPr>
              <w:rPr>
                <w:rFonts w:eastAsia="Courier New"/>
                <w:b/>
                <w:bCs/>
                <w:lang w:val="sk-SK"/>
              </w:rPr>
            </w:pPr>
            <w:r w:rsidRPr="00B96D19">
              <w:rPr>
                <w:rFonts w:eastAsia="Courier New"/>
                <w:b/>
                <w:bCs/>
                <w:lang w:val="sk-SK"/>
              </w:rPr>
              <w:t>10 kg</w:t>
            </w:r>
          </w:p>
        </w:tc>
        <w:tc>
          <w:tcPr>
            <w:tcW w:w="1174" w:type="dxa"/>
          </w:tcPr>
          <w:p w14:paraId="40FC91ED" w14:textId="77777777" w:rsidR="00A71A76" w:rsidRPr="00B96D19" w:rsidRDefault="00851AB6" w:rsidP="00B96D19">
            <w:pPr>
              <w:rPr>
                <w:rFonts w:eastAsia="Courier New"/>
                <w:b/>
                <w:bCs/>
                <w:lang w:val="sk-SK"/>
              </w:rPr>
            </w:pPr>
            <w:r w:rsidRPr="00B96D19">
              <w:rPr>
                <w:rFonts w:eastAsia="Courier New"/>
                <w:b/>
                <w:bCs/>
                <w:lang w:val="sk-SK"/>
              </w:rPr>
              <w:t>15 kg</w:t>
            </w:r>
          </w:p>
        </w:tc>
        <w:tc>
          <w:tcPr>
            <w:tcW w:w="1309" w:type="dxa"/>
          </w:tcPr>
          <w:p w14:paraId="347709BD" w14:textId="77777777" w:rsidR="00A71A76" w:rsidRPr="00B96D19" w:rsidRDefault="00851AB6" w:rsidP="00B96D19">
            <w:pPr>
              <w:rPr>
                <w:rFonts w:eastAsia="Courier New"/>
                <w:b/>
                <w:bCs/>
                <w:lang w:val="sk-SK"/>
              </w:rPr>
            </w:pPr>
            <w:r w:rsidRPr="00B96D19">
              <w:rPr>
                <w:rFonts w:eastAsia="Courier New"/>
                <w:b/>
                <w:bCs/>
                <w:lang w:val="sk-SK"/>
              </w:rPr>
              <w:t>20 kg</w:t>
            </w:r>
          </w:p>
        </w:tc>
        <w:tc>
          <w:tcPr>
            <w:tcW w:w="1202" w:type="dxa"/>
          </w:tcPr>
          <w:p w14:paraId="55BD6CED" w14:textId="77777777" w:rsidR="00A71A76" w:rsidRPr="00B96D19" w:rsidRDefault="00851AB6" w:rsidP="00B96D19">
            <w:pPr>
              <w:rPr>
                <w:rFonts w:eastAsia="Courier New"/>
                <w:b/>
                <w:bCs/>
                <w:lang w:val="sk-SK"/>
              </w:rPr>
            </w:pPr>
            <w:r w:rsidRPr="00B96D19">
              <w:rPr>
                <w:rFonts w:eastAsia="Courier New"/>
                <w:b/>
                <w:bCs/>
                <w:lang w:val="sk-SK"/>
              </w:rPr>
              <w:t>25 kg</w:t>
            </w:r>
          </w:p>
        </w:tc>
      </w:tr>
      <w:tr w:rsidR="00A71A76" w:rsidRPr="00B96D19" w14:paraId="36712BC9" w14:textId="77777777" w:rsidTr="00B96D19">
        <w:tc>
          <w:tcPr>
            <w:tcW w:w="2093" w:type="dxa"/>
            <w:vMerge w:val="restart"/>
          </w:tcPr>
          <w:p w14:paraId="6C16EF0A" w14:textId="77777777" w:rsidR="00A71A76" w:rsidRPr="00B96D19" w:rsidRDefault="00851AB6" w:rsidP="00B96D19">
            <w:pPr>
              <w:rPr>
                <w:rFonts w:eastAsia="Courier New"/>
                <w:lang w:val="sk-SK"/>
              </w:rPr>
            </w:pPr>
            <w:r w:rsidRPr="00B96D19">
              <w:rPr>
                <w:rFonts w:eastAsia="Courier New"/>
                <w:lang w:val="sk-SK"/>
              </w:rPr>
              <w:t>Rozdelená dávka každých 12 hodín pri 25 mg/kg telesnej hmotnosti/deň</w:t>
            </w:r>
          </w:p>
        </w:tc>
        <w:tc>
          <w:tcPr>
            <w:tcW w:w="1134" w:type="dxa"/>
            <w:vMerge w:val="restart"/>
            <w:vAlign w:val="center"/>
          </w:tcPr>
          <w:p w14:paraId="46DD56BB" w14:textId="77777777" w:rsidR="00A71A76" w:rsidRPr="00B96D19" w:rsidRDefault="00851AB6" w:rsidP="00B96D19">
            <w:pPr>
              <w:rPr>
                <w:rFonts w:eastAsia="Courier New"/>
                <w:lang w:val="sk-SK"/>
              </w:rPr>
            </w:pPr>
            <w:r w:rsidRPr="00B96D19">
              <w:rPr>
                <w:rFonts w:eastAsia="Courier New"/>
                <w:lang w:val="sk-SK"/>
              </w:rPr>
              <w:t>2 g liekovka</w:t>
            </w:r>
          </w:p>
        </w:tc>
        <w:tc>
          <w:tcPr>
            <w:tcW w:w="1134" w:type="dxa"/>
          </w:tcPr>
          <w:p w14:paraId="345526C4" w14:textId="77777777" w:rsidR="00A71A76" w:rsidRPr="00B96D19" w:rsidRDefault="00851AB6" w:rsidP="00B96D19">
            <w:pPr>
              <w:rPr>
                <w:rFonts w:eastAsia="Courier New"/>
                <w:lang w:val="sk-SK"/>
              </w:rPr>
            </w:pPr>
            <w:r w:rsidRPr="00B96D19">
              <w:rPr>
                <w:rFonts w:eastAsia="Courier New"/>
                <w:lang w:val="sk-SK"/>
              </w:rPr>
              <w:t>63 mg</w:t>
            </w:r>
          </w:p>
          <w:p w14:paraId="41BCF715" w14:textId="77777777" w:rsidR="00A71A76" w:rsidRPr="00B96D19" w:rsidRDefault="00A71A76" w:rsidP="00B96D19">
            <w:pPr>
              <w:rPr>
                <w:rFonts w:eastAsia="Courier New"/>
                <w:lang w:val="sk-SK"/>
              </w:rPr>
            </w:pPr>
          </w:p>
        </w:tc>
        <w:tc>
          <w:tcPr>
            <w:tcW w:w="1134" w:type="dxa"/>
          </w:tcPr>
          <w:p w14:paraId="095FBE38" w14:textId="77777777" w:rsidR="00A71A76" w:rsidRPr="00B96D19" w:rsidRDefault="00851AB6" w:rsidP="00B96D19">
            <w:pPr>
              <w:rPr>
                <w:rFonts w:eastAsia="Courier New"/>
                <w:lang w:val="sk-SK"/>
              </w:rPr>
            </w:pPr>
            <w:r w:rsidRPr="00B96D19">
              <w:rPr>
                <w:rFonts w:eastAsia="Courier New"/>
                <w:lang w:val="sk-SK"/>
              </w:rPr>
              <w:t>125 mg</w:t>
            </w:r>
          </w:p>
          <w:p w14:paraId="391118CD" w14:textId="77777777" w:rsidR="00A71A76" w:rsidRPr="00B96D19" w:rsidRDefault="00A71A76" w:rsidP="00B96D19">
            <w:pPr>
              <w:rPr>
                <w:rFonts w:eastAsia="Courier New"/>
                <w:lang w:val="sk-SK"/>
              </w:rPr>
            </w:pPr>
          </w:p>
        </w:tc>
        <w:tc>
          <w:tcPr>
            <w:tcW w:w="1174" w:type="dxa"/>
          </w:tcPr>
          <w:p w14:paraId="5FF13BA0" w14:textId="77777777" w:rsidR="00A71A76" w:rsidRPr="00B96D19" w:rsidRDefault="00851AB6" w:rsidP="00B96D19">
            <w:pPr>
              <w:rPr>
                <w:rFonts w:eastAsia="Courier New"/>
                <w:lang w:val="sk-SK"/>
              </w:rPr>
            </w:pPr>
            <w:r w:rsidRPr="00B96D19">
              <w:rPr>
                <w:rFonts w:eastAsia="Courier New"/>
                <w:lang w:val="sk-SK"/>
              </w:rPr>
              <w:t>188 mg</w:t>
            </w:r>
          </w:p>
          <w:p w14:paraId="44894A15" w14:textId="77777777" w:rsidR="00A71A76" w:rsidRPr="00B96D19" w:rsidRDefault="00A71A76" w:rsidP="00B96D19">
            <w:pPr>
              <w:rPr>
                <w:rFonts w:eastAsia="Courier New"/>
                <w:lang w:val="sk-SK"/>
              </w:rPr>
            </w:pPr>
          </w:p>
        </w:tc>
        <w:tc>
          <w:tcPr>
            <w:tcW w:w="1309" w:type="dxa"/>
          </w:tcPr>
          <w:p w14:paraId="61EBE31D" w14:textId="77777777" w:rsidR="00A71A76" w:rsidRPr="00B96D19" w:rsidRDefault="00851AB6" w:rsidP="00B96D19">
            <w:pPr>
              <w:rPr>
                <w:rFonts w:eastAsia="Courier New"/>
                <w:lang w:val="sk-SK"/>
              </w:rPr>
            </w:pPr>
            <w:r w:rsidRPr="00B96D19">
              <w:rPr>
                <w:rFonts w:eastAsia="Courier New"/>
                <w:lang w:val="sk-SK"/>
              </w:rPr>
              <w:t>250 mg</w:t>
            </w:r>
          </w:p>
          <w:p w14:paraId="3174C76C" w14:textId="77777777" w:rsidR="00A71A76" w:rsidRPr="00B96D19" w:rsidRDefault="00A71A76" w:rsidP="00B96D19">
            <w:pPr>
              <w:rPr>
                <w:rFonts w:eastAsia="Courier New"/>
                <w:lang w:val="sk-SK"/>
              </w:rPr>
            </w:pPr>
          </w:p>
        </w:tc>
        <w:tc>
          <w:tcPr>
            <w:tcW w:w="1202" w:type="dxa"/>
          </w:tcPr>
          <w:p w14:paraId="681345AF" w14:textId="77777777" w:rsidR="00A71A76" w:rsidRPr="00B96D19" w:rsidRDefault="00851AB6" w:rsidP="00B96D19">
            <w:pPr>
              <w:rPr>
                <w:rFonts w:eastAsia="Courier New"/>
                <w:lang w:val="sk-SK"/>
              </w:rPr>
            </w:pPr>
            <w:r w:rsidRPr="00B96D19">
              <w:rPr>
                <w:rFonts w:eastAsia="Courier New"/>
                <w:lang w:val="sk-SK"/>
              </w:rPr>
              <w:t>313 mg</w:t>
            </w:r>
          </w:p>
          <w:p w14:paraId="46654768" w14:textId="77777777" w:rsidR="00A71A76" w:rsidRPr="00B96D19" w:rsidRDefault="00A71A76" w:rsidP="00B96D19">
            <w:pPr>
              <w:rPr>
                <w:rFonts w:eastAsia="Courier New"/>
                <w:lang w:val="sk-SK"/>
              </w:rPr>
            </w:pPr>
          </w:p>
        </w:tc>
      </w:tr>
      <w:tr w:rsidR="00A71A76" w:rsidRPr="00B96D19" w14:paraId="7F240E99" w14:textId="77777777" w:rsidTr="00B96D19">
        <w:tc>
          <w:tcPr>
            <w:tcW w:w="2093" w:type="dxa"/>
            <w:vMerge/>
          </w:tcPr>
          <w:p w14:paraId="2EA9910B" w14:textId="77777777" w:rsidR="00A71A76" w:rsidRPr="00B96D19" w:rsidRDefault="00A71A76" w:rsidP="00B96D19">
            <w:pPr>
              <w:rPr>
                <w:rFonts w:eastAsia="Courier New"/>
                <w:lang w:val="sk-SK"/>
              </w:rPr>
            </w:pPr>
          </w:p>
        </w:tc>
        <w:tc>
          <w:tcPr>
            <w:tcW w:w="1134" w:type="dxa"/>
            <w:vMerge/>
            <w:vAlign w:val="center"/>
          </w:tcPr>
          <w:p w14:paraId="3A2E105D" w14:textId="77777777" w:rsidR="00A71A76" w:rsidRPr="00B96D19" w:rsidRDefault="00A71A76" w:rsidP="00B96D19">
            <w:pPr>
              <w:rPr>
                <w:rFonts w:eastAsia="Courier New"/>
                <w:lang w:val="sk-SK"/>
              </w:rPr>
            </w:pPr>
          </w:p>
        </w:tc>
        <w:tc>
          <w:tcPr>
            <w:tcW w:w="1134" w:type="dxa"/>
          </w:tcPr>
          <w:p w14:paraId="14369090" w14:textId="77777777" w:rsidR="00A71A76" w:rsidRPr="00B96D19" w:rsidRDefault="00851AB6" w:rsidP="00B96D19">
            <w:pPr>
              <w:rPr>
                <w:rFonts w:eastAsia="Courier New"/>
                <w:lang w:val="sk-SK"/>
              </w:rPr>
            </w:pPr>
            <w:r w:rsidRPr="00B96D19">
              <w:rPr>
                <w:rFonts w:eastAsia="Courier New"/>
                <w:lang w:val="sk-SK"/>
              </w:rPr>
              <w:t>0,35 ml</w:t>
            </w:r>
          </w:p>
        </w:tc>
        <w:tc>
          <w:tcPr>
            <w:tcW w:w="1134" w:type="dxa"/>
          </w:tcPr>
          <w:p w14:paraId="0C549073" w14:textId="77777777" w:rsidR="00A71A76" w:rsidRPr="00B96D19" w:rsidRDefault="00851AB6" w:rsidP="00B96D19">
            <w:pPr>
              <w:rPr>
                <w:rFonts w:eastAsia="Courier New"/>
                <w:lang w:val="sk-SK"/>
              </w:rPr>
            </w:pPr>
            <w:r w:rsidRPr="00B96D19">
              <w:rPr>
                <w:rFonts w:eastAsia="Courier New"/>
                <w:lang w:val="sk-SK"/>
              </w:rPr>
              <w:t>0,69 ml</w:t>
            </w:r>
          </w:p>
        </w:tc>
        <w:tc>
          <w:tcPr>
            <w:tcW w:w="1174" w:type="dxa"/>
          </w:tcPr>
          <w:p w14:paraId="23363EBB" w14:textId="77777777" w:rsidR="00A71A76" w:rsidRPr="00B96D19" w:rsidRDefault="00851AB6" w:rsidP="00B96D19">
            <w:pPr>
              <w:rPr>
                <w:rFonts w:eastAsia="Courier New"/>
                <w:lang w:val="sk-SK"/>
              </w:rPr>
            </w:pPr>
            <w:r w:rsidRPr="00B96D19">
              <w:rPr>
                <w:rFonts w:eastAsia="Courier New"/>
                <w:lang w:val="sk-SK"/>
              </w:rPr>
              <w:t>1,04 ml</w:t>
            </w:r>
          </w:p>
        </w:tc>
        <w:tc>
          <w:tcPr>
            <w:tcW w:w="1309" w:type="dxa"/>
          </w:tcPr>
          <w:p w14:paraId="73115330" w14:textId="77777777" w:rsidR="00A71A76" w:rsidRPr="00B96D19" w:rsidRDefault="00851AB6" w:rsidP="00B96D19">
            <w:pPr>
              <w:rPr>
                <w:rFonts w:eastAsia="Courier New"/>
                <w:lang w:val="sk-SK"/>
              </w:rPr>
            </w:pPr>
            <w:r w:rsidRPr="00B96D19">
              <w:rPr>
                <w:rFonts w:eastAsia="Courier New"/>
                <w:lang w:val="sk-SK"/>
              </w:rPr>
              <w:t>1,39 ml</w:t>
            </w:r>
          </w:p>
        </w:tc>
        <w:tc>
          <w:tcPr>
            <w:tcW w:w="1202" w:type="dxa"/>
          </w:tcPr>
          <w:p w14:paraId="7AB14EAC" w14:textId="77777777" w:rsidR="00A71A76" w:rsidRPr="00B96D19" w:rsidRDefault="00851AB6" w:rsidP="00B96D19">
            <w:pPr>
              <w:rPr>
                <w:rFonts w:eastAsia="Courier New"/>
                <w:lang w:val="sk-SK"/>
              </w:rPr>
            </w:pPr>
            <w:r w:rsidRPr="00B96D19">
              <w:rPr>
                <w:rFonts w:eastAsia="Courier New"/>
                <w:lang w:val="sk-SK"/>
              </w:rPr>
              <w:t>1,74 ml</w:t>
            </w:r>
          </w:p>
        </w:tc>
      </w:tr>
      <w:tr w:rsidR="00A71A76" w:rsidRPr="00B96D19" w14:paraId="26E25D98" w14:textId="77777777" w:rsidTr="00B96D19">
        <w:tc>
          <w:tcPr>
            <w:tcW w:w="2093" w:type="dxa"/>
            <w:vMerge w:val="restart"/>
          </w:tcPr>
          <w:p w14:paraId="2550F600" w14:textId="77777777" w:rsidR="00A71A76" w:rsidRPr="00B96D19" w:rsidRDefault="00851AB6" w:rsidP="00B96D19">
            <w:pPr>
              <w:rPr>
                <w:rFonts w:eastAsia="Courier New"/>
                <w:lang w:val="sk-SK"/>
              </w:rPr>
            </w:pPr>
            <w:r w:rsidRPr="00B96D19">
              <w:rPr>
                <w:rFonts w:eastAsia="Courier New"/>
                <w:lang w:val="sk-SK"/>
              </w:rPr>
              <w:t>Rozdelená dávka každých 8 hodín pri 25 mg/kg telesnej hmotnosti/deň</w:t>
            </w:r>
          </w:p>
        </w:tc>
        <w:tc>
          <w:tcPr>
            <w:tcW w:w="1134" w:type="dxa"/>
            <w:vMerge w:val="restart"/>
            <w:vAlign w:val="center"/>
          </w:tcPr>
          <w:p w14:paraId="2DFA1F90" w14:textId="77777777" w:rsidR="00A71A76" w:rsidRPr="00B96D19" w:rsidRDefault="00851AB6" w:rsidP="00B96D19">
            <w:pPr>
              <w:rPr>
                <w:rFonts w:eastAsia="Courier New"/>
                <w:lang w:val="sk-SK"/>
              </w:rPr>
            </w:pPr>
            <w:r w:rsidRPr="00B96D19">
              <w:rPr>
                <w:rFonts w:eastAsia="Courier New"/>
                <w:lang w:val="sk-SK"/>
              </w:rPr>
              <w:t>2 g liekovka</w:t>
            </w:r>
          </w:p>
        </w:tc>
        <w:tc>
          <w:tcPr>
            <w:tcW w:w="1134" w:type="dxa"/>
          </w:tcPr>
          <w:p w14:paraId="6F99AEAD" w14:textId="77777777" w:rsidR="00A71A76" w:rsidRPr="00B96D19" w:rsidRDefault="00851AB6" w:rsidP="00B96D19">
            <w:pPr>
              <w:rPr>
                <w:rFonts w:eastAsia="Courier New"/>
                <w:lang w:val="sk-SK"/>
              </w:rPr>
            </w:pPr>
            <w:r w:rsidRPr="00B96D19">
              <w:rPr>
                <w:rFonts w:eastAsia="Courier New"/>
                <w:lang w:val="sk-SK"/>
              </w:rPr>
              <w:t>42 mg</w:t>
            </w:r>
          </w:p>
          <w:p w14:paraId="75CF1B1B" w14:textId="77777777" w:rsidR="00A71A76" w:rsidRPr="00B96D19" w:rsidRDefault="00A71A76" w:rsidP="00B96D19">
            <w:pPr>
              <w:rPr>
                <w:rFonts w:eastAsia="Courier New"/>
                <w:lang w:val="sk-SK"/>
              </w:rPr>
            </w:pPr>
          </w:p>
        </w:tc>
        <w:tc>
          <w:tcPr>
            <w:tcW w:w="1134" w:type="dxa"/>
          </w:tcPr>
          <w:p w14:paraId="254FC92E" w14:textId="77777777" w:rsidR="00A71A76" w:rsidRPr="00B96D19" w:rsidRDefault="00851AB6" w:rsidP="00B96D19">
            <w:pPr>
              <w:rPr>
                <w:rFonts w:eastAsia="Courier New"/>
                <w:lang w:val="sk-SK"/>
              </w:rPr>
            </w:pPr>
            <w:r w:rsidRPr="00B96D19">
              <w:rPr>
                <w:rFonts w:eastAsia="Courier New"/>
                <w:lang w:val="sk-SK"/>
              </w:rPr>
              <w:t>85 mg</w:t>
            </w:r>
          </w:p>
          <w:p w14:paraId="00E5B29F" w14:textId="77777777" w:rsidR="00A71A76" w:rsidRPr="00B96D19" w:rsidRDefault="00A71A76" w:rsidP="00B96D19">
            <w:pPr>
              <w:rPr>
                <w:rFonts w:eastAsia="Courier New"/>
                <w:lang w:val="sk-SK"/>
              </w:rPr>
            </w:pPr>
          </w:p>
        </w:tc>
        <w:tc>
          <w:tcPr>
            <w:tcW w:w="1174" w:type="dxa"/>
          </w:tcPr>
          <w:p w14:paraId="07022720" w14:textId="77777777" w:rsidR="00A71A76" w:rsidRPr="00B96D19" w:rsidRDefault="00851AB6" w:rsidP="00B96D19">
            <w:pPr>
              <w:rPr>
                <w:rFonts w:eastAsia="Courier New"/>
                <w:lang w:val="sk-SK"/>
              </w:rPr>
            </w:pPr>
            <w:r w:rsidRPr="00B96D19">
              <w:rPr>
                <w:rFonts w:eastAsia="Courier New"/>
                <w:lang w:val="sk-SK"/>
              </w:rPr>
              <w:t>125 mg</w:t>
            </w:r>
          </w:p>
          <w:p w14:paraId="78A3B44A" w14:textId="77777777" w:rsidR="00A71A76" w:rsidRPr="00B96D19" w:rsidRDefault="00A71A76" w:rsidP="00B96D19">
            <w:pPr>
              <w:rPr>
                <w:rFonts w:eastAsia="Courier New"/>
                <w:lang w:val="sk-SK"/>
              </w:rPr>
            </w:pPr>
          </w:p>
        </w:tc>
        <w:tc>
          <w:tcPr>
            <w:tcW w:w="1309" w:type="dxa"/>
          </w:tcPr>
          <w:p w14:paraId="3B487308" w14:textId="77777777" w:rsidR="00A71A76" w:rsidRPr="00B96D19" w:rsidRDefault="00851AB6" w:rsidP="00B96D19">
            <w:pPr>
              <w:rPr>
                <w:rFonts w:eastAsia="Courier New"/>
                <w:lang w:val="sk-SK"/>
              </w:rPr>
            </w:pPr>
            <w:r w:rsidRPr="00B96D19">
              <w:rPr>
                <w:rFonts w:eastAsia="Courier New"/>
                <w:lang w:val="sk-SK"/>
              </w:rPr>
              <w:t>167 mg</w:t>
            </w:r>
          </w:p>
          <w:p w14:paraId="6571CA9A" w14:textId="77777777" w:rsidR="00A71A76" w:rsidRPr="00B96D19" w:rsidRDefault="00A71A76" w:rsidP="00B96D19">
            <w:pPr>
              <w:rPr>
                <w:rFonts w:eastAsia="Courier New"/>
                <w:lang w:val="sk-SK"/>
              </w:rPr>
            </w:pPr>
          </w:p>
        </w:tc>
        <w:tc>
          <w:tcPr>
            <w:tcW w:w="1202" w:type="dxa"/>
          </w:tcPr>
          <w:p w14:paraId="597667D6" w14:textId="77777777" w:rsidR="00A71A76" w:rsidRPr="00B96D19" w:rsidRDefault="00851AB6" w:rsidP="00B96D19">
            <w:pPr>
              <w:rPr>
                <w:rFonts w:eastAsia="Courier New"/>
                <w:lang w:val="sk-SK"/>
              </w:rPr>
            </w:pPr>
            <w:r w:rsidRPr="00B96D19">
              <w:rPr>
                <w:rFonts w:eastAsia="Courier New"/>
                <w:lang w:val="sk-SK"/>
              </w:rPr>
              <w:t>208 mg</w:t>
            </w:r>
          </w:p>
          <w:p w14:paraId="2E7A5A2E" w14:textId="77777777" w:rsidR="00A71A76" w:rsidRPr="00B96D19" w:rsidRDefault="00A71A76" w:rsidP="00B96D19">
            <w:pPr>
              <w:rPr>
                <w:rFonts w:eastAsia="Courier New"/>
                <w:lang w:val="sk-SK"/>
              </w:rPr>
            </w:pPr>
          </w:p>
        </w:tc>
      </w:tr>
      <w:tr w:rsidR="00A71A76" w:rsidRPr="00B96D19" w14:paraId="7FE6D423" w14:textId="77777777" w:rsidTr="00B96D19">
        <w:tc>
          <w:tcPr>
            <w:tcW w:w="2093" w:type="dxa"/>
            <w:vMerge/>
          </w:tcPr>
          <w:p w14:paraId="552D639D" w14:textId="77777777" w:rsidR="00A71A76" w:rsidRPr="00B96D19" w:rsidRDefault="00A71A76" w:rsidP="00B96D19">
            <w:pPr>
              <w:rPr>
                <w:rFonts w:eastAsia="Courier New"/>
                <w:lang w:val="sk-SK"/>
              </w:rPr>
            </w:pPr>
          </w:p>
        </w:tc>
        <w:tc>
          <w:tcPr>
            <w:tcW w:w="1134" w:type="dxa"/>
            <w:vMerge/>
            <w:vAlign w:val="center"/>
          </w:tcPr>
          <w:p w14:paraId="49535E3E" w14:textId="77777777" w:rsidR="00A71A76" w:rsidRPr="00B96D19" w:rsidRDefault="00A71A76" w:rsidP="00B96D19">
            <w:pPr>
              <w:rPr>
                <w:rFonts w:eastAsia="Courier New"/>
                <w:lang w:val="sk-SK"/>
              </w:rPr>
            </w:pPr>
          </w:p>
        </w:tc>
        <w:tc>
          <w:tcPr>
            <w:tcW w:w="1134" w:type="dxa"/>
          </w:tcPr>
          <w:p w14:paraId="1E53530E" w14:textId="77777777" w:rsidR="00A71A76" w:rsidRPr="00B96D19" w:rsidRDefault="00851AB6" w:rsidP="00B96D19">
            <w:pPr>
              <w:rPr>
                <w:rFonts w:eastAsia="Courier New"/>
                <w:lang w:val="sk-SK"/>
              </w:rPr>
            </w:pPr>
            <w:r w:rsidRPr="00B96D19">
              <w:rPr>
                <w:rFonts w:eastAsia="Courier New"/>
                <w:lang w:val="sk-SK"/>
              </w:rPr>
              <w:t>0,23 ml</w:t>
            </w:r>
          </w:p>
        </w:tc>
        <w:tc>
          <w:tcPr>
            <w:tcW w:w="1134" w:type="dxa"/>
          </w:tcPr>
          <w:p w14:paraId="7DA61474" w14:textId="77777777" w:rsidR="00A71A76" w:rsidRPr="00B96D19" w:rsidRDefault="00851AB6" w:rsidP="00B96D19">
            <w:pPr>
              <w:rPr>
                <w:rFonts w:eastAsia="Courier New"/>
                <w:lang w:val="sk-SK"/>
              </w:rPr>
            </w:pPr>
            <w:r w:rsidRPr="00B96D19">
              <w:rPr>
                <w:rFonts w:eastAsia="Courier New"/>
                <w:lang w:val="sk-SK"/>
              </w:rPr>
              <w:t>0,47ml</w:t>
            </w:r>
          </w:p>
        </w:tc>
        <w:tc>
          <w:tcPr>
            <w:tcW w:w="1174" w:type="dxa"/>
          </w:tcPr>
          <w:p w14:paraId="676B9435" w14:textId="77777777" w:rsidR="00A71A76" w:rsidRPr="00B96D19" w:rsidRDefault="00851AB6" w:rsidP="00B96D19">
            <w:pPr>
              <w:rPr>
                <w:rFonts w:eastAsia="Courier New"/>
                <w:lang w:val="sk-SK"/>
              </w:rPr>
            </w:pPr>
            <w:r w:rsidRPr="00B96D19">
              <w:rPr>
                <w:rFonts w:eastAsia="Courier New"/>
                <w:lang w:val="sk-SK"/>
              </w:rPr>
              <w:t>0,69 ml</w:t>
            </w:r>
          </w:p>
        </w:tc>
        <w:tc>
          <w:tcPr>
            <w:tcW w:w="1309" w:type="dxa"/>
          </w:tcPr>
          <w:p w14:paraId="2521AF04" w14:textId="77777777" w:rsidR="00A71A76" w:rsidRPr="00B96D19" w:rsidRDefault="00851AB6" w:rsidP="00B96D19">
            <w:pPr>
              <w:rPr>
                <w:rFonts w:eastAsia="Courier New"/>
                <w:lang w:val="sk-SK"/>
              </w:rPr>
            </w:pPr>
            <w:r w:rsidRPr="00B96D19">
              <w:rPr>
                <w:rFonts w:eastAsia="Courier New"/>
                <w:lang w:val="sk-SK"/>
              </w:rPr>
              <w:t>0,93 ml</w:t>
            </w:r>
          </w:p>
        </w:tc>
        <w:tc>
          <w:tcPr>
            <w:tcW w:w="1202" w:type="dxa"/>
          </w:tcPr>
          <w:p w14:paraId="1843E64D" w14:textId="77777777" w:rsidR="00A71A76" w:rsidRPr="00B96D19" w:rsidRDefault="00851AB6" w:rsidP="00B96D19">
            <w:pPr>
              <w:rPr>
                <w:rFonts w:eastAsia="Courier New"/>
                <w:lang w:val="sk-SK"/>
              </w:rPr>
            </w:pPr>
            <w:r w:rsidRPr="00B96D19">
              <w:rPr>
                <w:rFonts w:eastAsia="Courier New"/>
                <w:lang w:val="sk-SK"/>
              </w:rPr>
              <w:t>1,15 ml</w:t>
            </w:r>
          </w:p>
        </w:tc>
      </w:tr>
      <w:tr w:rsidR="00A71A76" w:rsidRPr="00B96D19" w14:paraId="6F84F4D2" w14:textId="77777777" w:rsidTr="00B96D19">
        <w:tc>
          <w:tcPr>
            <w:tcW w:w="2093" w:type="dxa"/>
            <w:vMerge w:val="restart"/>
          </w:tcPr>
          <w:p w14:paraId="55653D72" w14:textId="77777777" w:rsidR="00A71A76" w:rsidRPr="00B96D19" w:rsidRDefault="00851AB6" w:rsidP="00B96D19">
            <w:pPr>
              <w:rPr>
                <w:rFonts w:eastAsia="Courier New"/>
                <w:lang w:val="sk-SK"/>
              </w:rPr>
            </w:pPr>
            <w:r w:rsidRPr="00B96D19">
              <w:rPr>
                <w:rFonts w:eastAsia="Courier New"/>
                <w:lang w:val="sk-SK"/>
              </w:rPr>
              <w:lastRenderedPageBreak/>
              <w:t>Rozdelená dávka každých 6 hodín pri 25 mg/kg telesnej hmotnosti/deň</w:t>
            </w:r>
          </w:p>
        </w:tc>
        <w:tc>
          <w:tcPr>
            <w:tcW w:w="1134" w:type="dxa"/>
            <w:vMerge w:val="restart"/>
            <w:vAlign w:val="center"/>
          </w:tcPr>
          <w:p w14:paraId="27F32CA3" w14:textId="77777777" w:rsidR="00A71A76" w:rsidRPr="00B96D19" w:rsidRDefault="00851AB6" w:rsidP="00B96D19">
            <w:pPr>
              <w:rPr>
                <w:rFonts w:eastAsia="Courier New"/>
                <w:lang w:val="sk-SK"/>
              </w:rPr>
            </w:pPr>
            <w:r w:rsidRPr="00B96D19">
              <w:rPr>
                <w:rFonts w:eastAsia="Courier New"/>
                <w:lang w:val="sk-SK"/>
              </w:rPr>
              <w:t>2 g liekovka</w:t>
            </w:r>
          </w:p>
        </w:tc>
        <w:tc>
          <w:tcPr>
            <w:tcW w:w="1134" w:type="dxa"/>
          </w:tcPr>
          <w:p w14:paraId="3704241C" w14:textId="77777777" w:rsidR="00A71A76" w:rsidRPr="00B96D19" w:rsidRDefault="00851AB6" w:rsidP="00B96D19">
            <w:pPr>
              <w:rPr>
                <w:rFonts w:eastAsia="Courier New"/>
                <w:lang w:val="sk-SK"/>
              </w:rPr>
            </w:pPr>
            <w:r w:rsidRPr="00B96D19">
              <w:rPr>
                <w:rFonts w:eastAsia="Courier New"/>
                <w:lang w:val="sk-SK"/>
              </w:rPr>
              <w:t>31 mg</w:t>
            </w:r>
          </w:p>
        </w:tc>
        <w:tc>
          <w:tcPr>
            <w:tcW w:w="1134" w:type="dxa"/>
          </w:tcPr>
          <w:p w14:paraId="34EA172C" w14:textId="77777777" w:rsidR="00A71A76" w:rsidRPr="00B96D19" w:rsidRDefault="00851AB6" w:rsidP="00B96D19">
            <w:pPr>
              <w:rPr>
                <w:rFonts w:eastAsia="Courier New"/>
                <w:lang w:val="sk-SK"/>
              </w:rPr>
            </w:pPr>
            <w:r w:rsidRPr="00B96D19">
              <w:rPr>
                <w:rFonts w:eastAsia="Courier New"/>
                <w:lang w:val="sk-SK"/>
              </w:rPr>
              <w:t>62 mg</w:t>
            </w:r>
          </w:p>
        </w:tc>
        <w:tc>
          <w:tcPr>
            <w:tcW w:w="1174" w:type="dxa"/>
          </w:tcPr>
          <w:p w14:paraId="1387B406" w14:textId="77777777" w:rsidR="00A71A76" w:rsidRPr="00B96D19" w:rsidRDefault="00851AB6" w:rsidP="00B96D19">
            <w:pPr>
              <w:rPr>
                <w:rFonts w:eastAsia="Courier New"/>
                <w:lang w:val="sk-SK"/>
              </w:rPr>
            </w:pPr>
            <w:r w:rsidRPr="00B96D19">
              <w:rPr>
                <w:rFonts w:eastAsia="Courier New"/>
                <w:lang w:val="sk-SK"/>
              </w:rPr>
              <w:t>94 mg</w:t>
            </w:r>
          </w:p>
        </w:tc>
        <w:tc>
          <w:tcPr>
            <w:tcW w:w="1309" w:type="dxa"/>
          </w:tcPr>
          <w:p w14:paraId="58121721" w14:textId="77777777" w:rsidR="00A71A76" w:rsidRPr="00B96D19" w:rsidRDefault="00851AB6" w:rsidP="00B96D19">
            <w:pPr>
              <w:rPr>
                <w:rFonts w:eastAsia="Courier New"/>
                <w:lang w:val="sk-SK"/>
              </w:rPr>
            </w:pPr>
            <w:r w:rsidRPr="00B96D19">
              <w:rPr>
                <w:rFonts w:eastAsia="Courier New"/>
                <w:lang w:val="sk-SK"/>
              </w:rPr>
              <w:t>125 mg</w:t>
            </w:r>
          </w:p>
        </w:tc>
        <w:tc>
          <w:tcPr>
            <w:tcW w:w="1202" w:type="dxa"/>
          </w:tcPr>
          <w:p w14:paraId="490E3BBB" w14:textId="77777777" w:rsidR="00A71A76" w:rsidRPr="00B96D19" w:rsidRDefault="00851AB6" w:rsidP="00B96D19">
            <w:pPr>
              <w:rPr>
                <w:rFonts w:eastAsia="Courier New"/>
                <w:lang w:val="sk-SK"/>
              </w:rPr>
            </w:pPr>
            <w:r w:rsidRPr="00B96D19">
              <w:rPr>
                <w:rFonts w:eastAsia="Courier New"/>
                <w:lang w:val="sk-SK"/>
              </w:rPr>
              <w:t>156 mg</w:t>
            </w:r>
          </w:p>
          <w:p w14:paraId="4216609B" w14:textId="77777777" w:rsidR="00A71A76" w:rsidRPr="00B96D19" w:rsidRDefault="00A71A76" w:rsidP="00B96D19">
            <w:pPr>
              <w:rPr>
                <w:rFonts w:eastAsia="Courier New"/>
                <w:lang w:val="sk-SK"/>
              </w:rPr>
            </w:pPr>
          </w:p>
        </w:tc>
      </w:tr>
      <w:tr w:rsidR="00A71A76" w:rsidRPr="00B96D19" w14:paraId="103734A9" w14:textId="77777777" w:rsidTr="00B96D19">
        <w:tc>
          <w:tcPr>
            <w:tcW w:w="2093" w:type="dxa"/>
            <w:vMerge/>
          </w:tcPr>
          <w:p w14:paraId="5AB10650" w14:textId="77777777" w:rsidR="00A71A76" w:rsidRPr="00B96D19" w:rsidRDefault="00A71A76" w:rsidP="00B96D19">
            <w:pPr>
              <w:rPr>
                <w:rFonts w:eastAsia="Courier New"/>
                <w:lang w:val="sk-SK"/>
              </w:rPr>
            </w:pPr>
          </w:p>
        </w:tc>
        <w:tc>
          <w:tcPr>
            <w:tcW w:w="1134" w:type="dxa"/>
            <w:vMerge/>
            <w:vAlign w:val="center"/>
          </w:tcPr>
          <w:p w14:paraId="544C05CD" w14:textId="77777777" w:rsidR="00A71A76" w:rsidRPr="00B96D19" w:rsidRDefault="00A71A76" w:rsidP="00B96D19">
            <w:pPr>
              <w:rPr>
                <w:rFonts w:eastAsia="Courier New"/>
                <w:lang w:val="sk-SK"/>
              </w:rPr>
            </w:pPr>
          </w:p>
        </w:tc>
        <w:tc>
          <w:tcPr>
            <w:tcW w:w="1134" w:type="dxa"/>
          </w:tcPr>
          <w:p w14:paraId="0387620B" w14:textId="77777777" w:rsidR="00A71A76" w:rsidRPr="00B96D19" w:rsidRDefault="00851AB6" w:rsidP="00B96D19">
            <w:pPr>
              <w:rPr>
                <w:rFonts w:eastAsia="Courier New"/>
                <w:lang w:val="sk-SK"/>
              </w:rPr>
            </w:pPr>
            <w:r w:rsidRPr="00B96D19">
              <w:rPr>
                <w:rFonts w:eastAsia="Courier New"/>
                <w:lang w:val="sk-SK"/>
              </w:rPr>
              <w:t>0,17 ml</w:t>
            </w:r>
          </w:p>
        </w:tc>
        <w:tc>
          <w:tcPr>
            <w:tcW w:w="1134" w:type="dxa"/>
          </w:tcPr>
          <w:p w14:paraId="7BC8E7EE" w14:textId="77777777" w:rsidR="00A71A76" w:rsidRPr="00B96D19" w:rsidRDefault="00851AB6" w:rsidP="00B96D19">
            <w:pPr>
              <w:rPr>
                <w:rFonts w:eastAsia="Courier New"/>
                <w:lang w:val="sk-SK"/>
              </w:rPr>
            </w:pPr>
            <w:r w:rsidRPr="00B96D19">
              <w:rPr>
                <w:rFonts w:eastAsia="Courier New"/>
                <w:lang w:val="sk-SK"/>
              </w:rPr>
              <w:t>0,34 ml</w:t>
            </w:r>
          </w:p>
        </w:tc>
        <w:tc>
          <w:tcPr>
            <w:tcW w:w="1174" w:type="dxa"/>
          </w:tcPr>
          <w:p w14:paraId="65768E8B" w14:textId="77777777" w:rsidR="00A71A76" w:rsidRPr="00B96D19" w:rsidRDefault="00851AB6" w:rsidP="00B96D19">
            <w:pPr>
              <w:rPr>
                <w:rFonts w:eastAsia="Courier New"/>
                <w:lang w:val="sk-SK"/>
              </w:rPr>
            </w:pPr>
            <w:r w:rsidRPr="00B96D19">
              <w:rPr>
                <w:rFonts w:eastAsia="Courier New"/>
                <w:lang w:val="sk-SK"/>
              </w:rPr>
              <w:t>0,52 ml</w:t>
            </w:r>
          </w:p>
        </w:tc>
        <w:tc>
          <w:tcPr>
            <w:tcW w:w="1309" w:type="dxa"/>
          </w:tcPr>
          <w:p w14:paraId="104758B8" w14:textId="77777777" w:rsidR="00A71A76" w:rsidRPr="00B96D19" w:rsidRDefault="00851AB6" w:rsidP="00B96D19">
            <w:pPr>
              <w:rPr>
                <w:rFonts w:eastAsia="Courier New"/>
                <w:lang w:val="sk-SK"/>
              </w:rPr>
            </w:pPr>
            <w:r w:rsidRPr="00B96D19">
              <w:rPr>
                <w:rFonts w:eastAsia="Courier New"/>
                <w:lang w:val="sk-SK"/>
              </w:rPr>
              <w:t>0,69 ml</w:t>
            </w:r>
          </w:p>
        </w:tc>
        <w:tc>
          <w:tcPr>
            <w:tcW w:w="1202" w:type="dxa"/>
          </w:tcPr>
          <w:p w14:paraId="1C2345BD" w14:textId="77777777" w:rsidR="00A71A76" w:rsidRPr="00B96D19" w:rsidRDefault="00851AB6" w:rsidP="00B96D19">
            <w:pPr>
              <w:rPr>
                <w:rFonts w:eastAsia="Courier New"/>
                <w:lang w:val="sk-SK"/>
              </w:rPr>
            </w:pPr>
            <w:r w:rsidRPr="00B96D19">
              <w:rPr>
                <w:rFonts w:eastAsia="Courier New"/>
                <w:lang w:val="sk-SK"/>
              </w:rPr>
              <w:t>0,87 ml</w:t>
            </w:r>
          </w:p>
        </w:tc>
      </w:tr>
      <w:tr w:rsidR="00A71A76" w:rsidRPr="00B96D19" w14:paraId="54ED3FDF" w14:textId="77777777" w:rsidTr="00B96D19">
        <w:trPr>
          <w:trHeight w:val="481"/>
        </w:trPr>
        <w:tc>
          <w:tcPr>
            <w:tcW w:w="2093" w:type="dxa"/>
            <w:vMerge w:val="restart"/>
          </w:tcPr>
          <w:p w14:paraId="30EBF86F" w14:textId="77777777" w:rsidR="00A71A76" w:rsidRPr="00B96D19" w:rsidRDefault="00851AB6" w:rsidP="00B96D19">
            <w:pPr>
              <w:rPr>
                <w:rFonts w:eastAsia="Courier New"/>
                <w:lang w:val="sk-SK"/>
              </w:rPr>
            </w:pPr>
            <w:r w:rsidRPr="00B96D19">
              <w:rPr>
                <w:rFonts w:eastAsia="Courier New"/>
                <w:lang w:val="sk-SK"/>
              </w:rPr>
              <w:t>Rozdelená dávka každých 12 hodín pri 50 mg/kg telesnej hmotnosti/deň</w:t>
            </w:r>
          </w:p>
        </w:tc>
        <w:tc>
          <w:tcPr>
            <w:tcW w:w="1134" w:type="dxa"/>
            <w:vMerge w:val="restart"/>
            <w:vAlign w:val="center"/>
          </w:tcPr>
          <w:p w14:paraId="67A68746" w14:textId="77777777" w:rsidR="00A71A76" w:rsidRPr="00B96D19" w:rsidRDefault="00851AB6" w:rsidP="00B96D19">
            <w:pPr>
              <w:rPr>
                <w:rFonts w:eastAsia="Courier New"/>
                <w:lang w:val="sk-SK"/>
              </w:rPr>
            </w:pPr>
            <w:r w:rsidRPr="00B96D19">
              <w:rPr>
                <w:rFonts w:eastAsia="Courier New"/>
                <w:lang w:val="sk-SK"/>
              </w:rPr>
              <w:t>2 g liekovka</w:t>
            </w:r>
          </w:p>
        </w:tc>
        <w:tc>
          <w:tcPr>
            <w:tcW w:w="1134" w:type="dxa"/>
          </w:tcPr>
          <w:p w14:paraId="7AA0772C" w14:textId="77777777" w:rsidR="00A71A76" w:rsidRPr="00B96D19" w:rsidRDefault="00851AB6" w:rsidP="00B96D19">
            <w:pPr>
              <w:rPr>
                <w:rFonts w:eastAsia="Courier New"/>
                <w:lang w:val="sk-SK"/>
              </w:rPr>
            </w:pPr>
            <w:r w:rsidRPr="00B96D19">
              <w:rPr>
                <w:rFonts w:eastAsia="Courier New"/>
                <w:lang w:val="sk-SK"/>
              </w:rPr>
              <w:t>125 mg</w:t>
            </w:r>
          </w:p>
        </w:tc>
        <w:tc>
          <w:tcPr>
            <w:tcW w:w="1134" w:type="dxa"/>
          </w:tcPr>
          <w:p w14:paraId="7908BEA7" w14:textId="77777777" w:rsidR="00A71A76" w:rsidRPr="00B96D19" w:rsidRDefault="00851AB6" w:rsidP="00B96D19">
            <w:pPr>
              <w:rPr>
                <w:rFonts w:eastAsia="Courier New"/>
                <w:lang w:val="sk-SK"/>
              </w:rPr>
            </w:pPr>
            <w:r w:rsidRPr="00B96D19">
              <w:rPr>
                <w:rFonts w:eastAsia="Courier New"/>
                <w:lang w:val="sk-SK"/>
              </w:rPr>
              <w:t>250 mg</w:t>
            </w:r>
          </w:p>
        </w:tc>
        <w:tc>
          <w:tcPr>
            <w:tcW w:w="1174" w:type="dxa"/>
          </w:tcPr>
          <w:p w14:paraId="5F870D9E" w14:textId="77777777" w:rsidR="00A71A76" w:rsidRPr="00B96D19" w:rsidRDefault="00851AB6" w:rsidP="00B96D19">
            <w:pPr>
              <w:rPr>
                <w:rFonts w:eastAsia="Courier New"/>
                <w:lang w:val="sk-SK"/>
              </w:rPr>
            </w:pPr>
            <w:r w:rsidRPr="00B96D19">
              <w:rPr>
                <w:rFonts w:eastAsia="Courier New"/>
                <w:lang w:val="sk-SK"/>
              </w:rPr>
              <w:t>375 mg</w:t>
            </w:r>
          </w:p>
        </w:tc>
        <w:tc>
          <w:tcPr>
            <w:tcW w:w="1309" w:type="dxa"/>
          </w:tcPr>
          <w:p w14:paraId="5B225777" w14:textId="77777777" w:rsidR="00A71A76" w:rsidRPr="00B96D19" w:rsidRDefault="00851AB6" w:rsidP="00B96D19">
            <w:pPr>
              <w:rPr>
                <w:rFonts w:eastAsia="Courier New"/>
                <w:lang w:val="sk-SK"/>
              </w:rPr>
            </w:pPr>
            <w:r w:rsidRPr="00B96D19">
              <w:rPr>
                <w:rFonts w:eastAsia="Courier New"/>
                <w:lang w:val="sk-SK"/>
              </w:rPr>
              <w:t>500 mg</w:t>
            </w:r>
          </w:p>
        </w:tc>
        <w:tc>
          <w:tcPr>
            <w:tcW w:w="1202" w:type="dxa"/>
          </w:tcPr>
          <w:p w14:paraId="4F824DBE" w14:textId="77777777" w:rsidR="00A71A76" w:rsidRPr="00B96D19" w:rsidRDefault="00851AB6" w:rsidP="00B96D19">
            <w:pPr>
              <w:rPr>
                <w:rFonts w:eastAsia="Courier New"/>
                <w:lang w:val="sk-SK"/>
              </w:rPr>
            </w:pPr>
            <w:r w:rsidRPr="00B96D19">
              <w:rPr>
                <w:rFonts w:eastAsia="Courier New"/>
                <w:lang w:val="sk-SK"/>
              </w:rPr>
              <w:t>625 mg</w:t>
            </w:r>
          </w:p>
        </w:tc>
      </w:tr>
      <w:tr w:rsidR="00A71A76" w:rsidRPr="00B96D19" w14:paraId="549C268A" w14:textId="77777777" w:rsidTr="00B96D19">
        <w:tc>
          <w:tcPr>
            <w:tcW w:w="2093" w:type="dxa"/>
            <w:vMerge/>
          </w:tcPr>
          <w:p w14:paraId="2CB843A7" w14:textId="77777777" w:rsidR="00A71A76" w:rsidRPr="00B96D19" w:rsidRDefault="00A71A76" w:rsidP="00B96D19">
            <w:pPr>
              <w:rPr>
                <w:rFonts w:eastAsia="Courier New"/>
                <w:lang w:val="sk-SK"/>
              </w:rPr>
            </w:pPr>
          </w:p>
        </w:tc>
        <w:tc>
          <w:tcPr>
            <w:tcW w:w="1134" w:type="dxa"/>
            <w:vMerge/>
            <w:vAlign w:val="center"/>
          </w:tcPr>
          <w:p w14:paraId="340817E3" w14:textId="77777777" w:rsidR="00A71A76" w:rsidRPr="00B96D19" w:rsidRDefault="00A71A76" w:rsidP="00B96D19">
            <w:pPr>
              <w:rPr>
                <w:rFonts w:eastAsia="Courier New"/>
                <w:lang w:val="sk-SK"/>
              </w:rPr>
            </w:pPr>
          </w:p>
        </w:tc>
        <w:tc>
          <w:tcPr>
            <w:tcW w:w="1134" w:type="dxa"/>
          </w:tcPr>
          <w:p w14:paraId="35893E7A" w14:textId="77777777" w:rsidR="00A71A76" w:rsidRPr="00B96D19" w:rsidRDefault="00851AB6" w:rsidP="00B96D19">
            <w:pPr>
              <w:rPr>
                <w:rFonts w:eastAsia="Courier New"/>
                <w:strike/>
                <w:lang w:val="sk-SK"/>
              </w:rPr>
            </w:pPr>
            <w:r w:rsidRPr="00B96D19">
              <w:rPr>
                <w:rFonts w:eastAsia="Courier New"/>
                <w:lang w:val="sk-SK"/>
              </w:rPr>
              <w:t>0,69 ml</w:t>
            </w:r>
          </w:p>
        </w:tc>
        <w:tc>
          <w:tcPr>
            <w:tcW w:w="1134" w:type="dxa"/>
          </w:tcPr>
          <w:p w14:paraId="6D2E8E15" w14:textId="77777777" w:rsidR="00A71A76" w:rsidRPr="00B96D19" w:rsidRDefault="00851AB6" w:rsidP="00B96D19">
            <w:pPr>
              <w:rPr>
                <w:rFonts w:eastAsia="Courier New"/>
                <w:strike/>
                <w:lang w:val="sk-SK"/>
              </w:rPr>
            </w:pPr>
            <w:r w:rsidRPr="00B96D19">
              <w:rPr>
                <w:rFonts w:eastAsia="Courier New"/>
                <w:lang w:val="sk-SK"/>
              </w:rPr>
              <w:t>1,39 ml</w:t>
            </w:r>
          </w:p>
        </w:tc>
        <w:tc>
          <w:tcPr>
            <w:tcW w:w="1174" w:type="dxa"/>
          </w:tcPr>
          <w:p w14:paraId="2E0DAB93" w14:textId="77777777" w:rsidR="00A71A76" w:rsidRPr="00B96D19" w:rsidRDefault="00851AB6" w:rsidP="00B96D19">
            <w:pPr>
              <w:rPr>
                <w:rFonts w:eastAsia="Courier New"/>
                <w:strike/>
                <w:lang w:val="sk-SK"/>
              </w:rPr>
            </w:pPr>
            <w:r w:rsidRPr="00B96D19">
              <w:rPr>
                <w:rFonts w:eastAsia="Courier New"/>
                <w:lang w:val="sk-SK"/>
              </w:rPr>
              <w:t>2,08 ml</w:t>
            </w:r>
          </w:p>
        </w:tc>
        <w:tc>
          <w:tcPr>
            <w:tcW w:w="1309" w:type="dxa"/>
          </w:tcPr>
          <w:p w14:paraId="5D7BE843" w14:textId="77777777" w:rsidR="00A71A76" w:rsidRPr="00B96D19" w:rsidRDefault="00851AB6" w:rsidP="00B96D19">
            <w:pPr>
              <w:rPr>
                <w:rFonts w:eastAsia="Courier New"/>
                <w:strike/>
                <w:lang w:val="sk-SK"/>
              </w:rPr>
            </w:pPr>
            <w:r w:rsidRPr="00B96D19">
              <w:rPr>
                <w:rFonts w:eastAsia="Courier New"/>
                <w:lang w:val="sk-SK"/>
              </w:rPr>
              <w:t>2,78 ml</w:t>
            </w:r>
          </w:p>
        </w:tc>
        <w:tc>
          <w:tcPr>
            <w:tcW w:w="1202" w:type="dxa"/>
          </w:tcPr>
          <w:p w14:paraId="758A4594" w14:textId="77777777" w:rsidR="00A71A76" w:rsidRPr="00B96D19" w:rsidRDefault="00851AB6" w:rsidP="00B96D19">
            <w:pPr>
              <w:rPr>
                <w:rFonts w:eastAsia="Courier New"/>
                <w:strike/>
                <w:lang w:val="sk-SK"/>
              </w:rPr>
            </w:pPr>
            <w:r w:rsidRPr="00B96D19">
              <w:rPr>
                <w:rFonts w:eastAsia="Courier New"/>
                <w:lang w:val="sk-SK"/>
              </w:rPr>
              <w:t>3,47 ml</w:t>
            </w:r>
          </w:p>
        </w:tc>
      </w:tr>
      <w:tr w:rsidR="00A71A76" w:rsidRPr="00B96D19" w14:paraId="47EC9033" w14:textId="77777777" w:rsidTr="00B96D19">
        <w:tc>
          <w:tcPr>
            <w:tcW w:w="2093" w:type="dxa"/>
            <w:vMerge w:val="restart"/>
          </w:tcPr>
          <w:p w14:paraId="057F6C01" w14:textId="77777777" w:rsidR="00A71A76" w:rsidRPr="00B96D19" w:rsidRDefault="00851AB6" w:rsidP="00B96D19">
            <w:pPr>
              <w:rPr>
                <w:rFonts w:eastAsia="Courier New"/>
                <w:lang w:val="sk-SK"/>
              </w:rPr>
            </w:pPr>
            <w:r w:rsidRPr="00B96D19">
              <w:rPr>
                <w:rFonts w:eastAsia="Courier New"/>
                <w:lang w:val="sk-SK"/>
              </w:rPr>
              <w:t>Rozdelená dávka každých 8 hodín pri 50 mg/kg telesnej hmotnosti/deň</w:t>
            </w:r>
          </w:p>
        </w:tc>
        <w:tc>
          <w:tcPr>
            <w:tcW w:w="1134" w:type="dxa"/>
            <w:vMerge w:val="restart"/>
            <w:vAlign w:val="center"/>
          </w:tcPr>
          <w:p w14:paraId="045F1D1C" w14:textId="77777777" w:rsidR="00A71A76" w:rsidRPr="00B96D19" w:rsidRDefault="00851AB6" w:rsidP="00B96D19">
            <w:pPr>
              <w:rPr>
                <w:rFonts w:eastAsia="Courier New"/>
                <w:lang w:val="sk-SK"/>
              </w:rPr>
            </w:pPr>
            <w:r w:rsidRPr="00B96D19">
              <w:rPr>
                <w:rFonts w:eastAsia="Courier New"/>
                <w:lang w:val="sk-SK"/>
              </w:rPr>
              <w:t>2 g liekovka</w:t>
            </w:r>
          </w:p>
        </w:tc>
        <w:tc>
          <w:tcPr>
            <w:tcW w:w="1134" w:type="dxa"/>
          </w:tcPr>
          <w:p w14:paraId="4FEC7E3B" w14:textId="77777777" w:rsidR="00A71A76" w:rsidRPr="00B96D19" w:rsidRDefault="00851AB6" w:rsidP="00B96D19">
            <w:pPr>
              <w:rPr>
                <w:rFonts w:eastAsia="Courier New"/>
                <w:lang w:val="sk-SK"/>
              </w:rPr>
            </w:pPr>
            <w:r w:rsidRPr="00B96D19">
              <w:rPr>
                <w:rFonts w:eastAsia="Courier New"/>
                <w:lang w:val="sk-SK"/>
              </w:rPr>
              <w:t>83 mg</w:t>
            </w:r>
          </w:p>
          <w:p w14:paraId="3EB38D14" w14:textId="77777777" w:rsidR="00A71A76" w:rsidRPr="00B96D19" w:rsidRDefault="00A71A76" w:rsidP="00B96D19">
            <w:pPr>
              <w:rPr>
                <w:rFonts w:eastAsia="Courier New"/>
                <w:lang w:val="sk-SK"/>
              </w:rPr>
            </w:pPr>
          </w:p>
        </w:tc>
        <w:tc>
          <w:tcPr>
            <w:tcW w:w="1134" w:type="dxa"/>
          </w:tcPr>
          <w:p w14:paraId="09380479" w14:textId="77777777" w:rsidR="00A71A76" w:rsidRPr="00B96D19" w:rsidRDefault="00851AB6" w:rsidP="00B96D19">
            <w:pPr>
              <w:rPr>
                <w:rFonts w:eastAsia="Courier New"/>
                <w:lang w:val="sk-SK"/>
              </w:rPr>
            </w:pPr>
            <w:r w:rsidRPr="00B96D19">
              <w:rPr>
                <w:rFonts w:eastAsia="Courier New"/>
                <w:lang w:val="sk-SK"/>
              </w:rPr>
              <w:t>166 mg</w:t>
            </w:r>
          </w:p>
          <w:p w14:paraId="45103F05" w14:textId="77777777" w:rsidR="00A71A76" w:rsidRPr="00B96D19" w:rsidRDefault="00A71A76" w:rsidP="00B96D19">
            <w:pPr>
              <w:rPr>
                <w:rFonts w:eastAsia="Courier New"/>
                <w:lang w:val="sk-SK"/>
              </w:rPr>
            </w:pPr>
          </w:p>
        </w:tc>
        <w:tc>
          <w:tcPr>
            <w:tcW w:w="1174" w:type="dxa"/>
          </w:tcPr>
          <w:p w14:paraId="1B4E6AFA" w14:textId="77777777" w:rsidR="00A71A76" w:rsidRPr="00B96D19" w:rsidRDefault="00851AB6" w:rsidP="00B96D19">
            <w:pPr>
              <w:rPr>
                <w:rFonts w:eastAsia="Courier New"/>
                <w:lang w:val="sk-SK"/>
              </w:rPr>
            </w:pPr>
            <w:r w:rsidRPr="00B96D19">
              <w:rPr>
                <w:rFonts w:eastAsia="Courier New"/>
                <w:lang w:val="sk-SK"/>
              </w:rPr>
              <w:t>250 mg</w:t>
            </w:r>
          </w:p>
          <w:p w14:paraId="2A6AA93A" w14:textId="77777777" w:rsidR="00A71A76" w:rsidRPr="00B96D19" w:rsidRDefault="00A71A76" w:rsidP="00B96D19">
            <w:pPr>
              <w:rPr>
                <w:rFonts w:eastAsia="Courier New"/>
                <w:lang w:val="sk-SK"/>
              </w:rPr>
            </w:pPr>
          </w:p>
        </w:tc>
        <w:tc>
          <w:tcPr>
            <w:tcW w:w="1309" w:type="dxa"/>
          </w:tcPr>
          <w:p w14:paraId="58EAD695" w14:textId="77777777" w:rsidR="00A71A76" w:rsidRPr="00B96D19" w:rsidRDefault="00851AB6" w:rsidP="00B96D19">
            <w:pPr>
              <w:rPr>
                <w:rFonts w:eastAsia="Courier New"/>
                <w:lang w:val="sk-SK"/>
              </w:rPr>
            </w:pPr>
            <w:r w:rsidRPr="00B96D19">
              <w:rPr>
                <w:rFonts w:eastAsia="Courier New"/>
                <w:lang w:val="sk-SK"/>
              </w:rPr>
              <w:t>333 mg</w:t>
            </w:r>
          </w:p>
          <w:p w14:paraId="4436FB07" w14:textId="77777777" w:rsidR="00A71A76" w:rsidRPr="00B96D19" w:rsidRDefault="00A71A76" w:rsidP="00B96D19">
            <w:pPr>
              <w:rPr>
                <w:rFonts w:eastAsia="Courier New"/>
                <w:lang w:val="sk-SK"/>
              </w:rPr>
            </w:pPr>
          </w:p>
        </w:tc>
        <w:tc>
          <w:tcPr>
            <w:tcW w:w="1202" w:type="dxa"/>
          </w:tcPr>
          <w:p w14:paraId="0C4920C6" w14:textId="77777777" w:rsidR="00A71A76" w:rsidRPr="00B96D19" w:rsidRDefault="00851AB6" w:rsidP="00B96D19">
            <w:pPr>
              <w:rPr>
                <w:rFonts w:eastAsia="Courier New"/>
                <w:lang w:val="sk-SK"/>
              </w:rPr>
            </w:pPr>
            <w:r w:rsidRPr="00B96D19">
              <w:rPr>
                <w:rFonts w:eastAsia="Courier New"/>
                <w:lang w:val="sk-SK"/>
              </w:rPr>
              <w:t>417 mg</w:t>
            </w:r>
          </w:p>
          <w:p w14:paraId="6C7B0E9D" w14:textId="77777777" w:rsidR="00A71A76" w:rsidRPr="00B96D19" w:rsidRDefault="00A71A76" w:rsidP="00B96D19">
            <w:pPr>
              <w:rPr>
                <w:rFonts w:eastAsia="Courier New"/>
                <w:lang w:val="sk-SK"/>
              </w:rPr>
            </w:pPr>
          </w:p>
        </w:tc>
      </w:tr>
      <w:tr w:rsidR="00A71A76" w:rsidRPr="00B96D19" w14:paraId="17A59BE4" w14:textId="77777777" w:rsidTr="00B96D19">
        <w:tc>
          <w:tcPr>
            <w:tcW w:w="2093" w:type="dxa"/>
            <w:vMerge/>
          </w:tcPr>
          <w:p w14:paraId="5964D569" w14:textId="77777777" w:rsidR="00A71A76" w:rsidRPr="00B96D19" w:rsidRDefault="00A71A76" w:rsidP="00B96D19">
            <w:pPr>
              <w:rPr>
                <w:rFonts w:eastAsia="Courier New"/>
                <w:lang w:val="sk-SK"/>
              </w:rPr>
            </w:pPr>
          </w:p>
        </w:tc>
        <w:tc>
          <w:tcPr>
            <w:tcW w:w="1134" w:type="dxa"/>
            <w:vMerge/>
            <w:vAlign w:val="center"/>
          </w:tcPr>
          <w:p w14:paraId="0C5BF1AB" w14:textId="77777777" w:rsidR="00A71A76" w:rsidRPr="00B96D19" w:rsidRDefault="00A71A76" w:rsidP="00B96D19">
            <w:pPr>
              <w:rPr>
                <w:rFonts w:eastAsia="Courier New"/>
                <w:lang w:val="sk-SK"/>
              </w:rPr>
            </w:pPr>
          </w:p>
        </w:tc>
        <w:tc>
          <w:tcPr>
            <w:tcW w:w="1134" w:type="dxa"/>
          </w:tcPr>
          <w:p w14:paraId="3E52DC67" w14:textId="77777777" w:rsidR="00A71A76" w:rsidRPr="00B96D19" w:rsidRDefault="00851AB6" w:rsidP="00B96D19">
            <w:pPr>
              <w:rPr>
                <w:rFonts w:eastAsia="Courier New"/>
                <w:lang w:val="sk-SK"/>
              </w:rPr>
            </w:pPr>
            <w:r w:rsidRPr="00B96D19">
              <w:rPr>
                <w:rFonts w:eastAsia="Courier New"/>
                <w:lang w:val="sk-SK"/>
              </w:rPr>
              <w:t>0,46 ml</w:t>
            </w:r>
          </w:p>
        </w:tc>
        <w:tc>
          <w:tcPr>
            <w:tcW w:w="1134" w:type="dxa"/>
          </w:tcPr>
          <w:p w14:paraId="0BDE2680" w14:textId="77777777" w:rsidR="00A71A76" w:rsidRPr="00B96D19" w:rsidRDefault="00851AB6" w:rsidP="00B96D19">
            <w:pPr>
              <w:rPr>
                <w:rFonts w:eastAsia="Courier New"/>
                <w:lang w:val="sk-SK"/>
              </w:rPr>
            </w:pPr>
            <w:r w:rsidRPr="00B96D19">
              <w:rPr>
                <w:rFonts w:eastAsia="Courier New"/>
                <w:lang w:val="sk-SK"/>
              </w:rPr>
              <w:t>0,92 ml</w:t>
            </w:r>
          </w:p>
        </w:tc>
        <w:tc>
          <w:tcPr>
            <w:tcW w:w="1174" w:type="dxa"/>
          </w:tcPr>
          <w:p w14:paraId="6477B020" w14:textId="77777777" w:rsidR="00A71A76" w:rsidRPr="00B96D19" w:rsidRDefault="00851AB6" w:rsidP="00B96D19">
            <w:pPr>
              <w:rPr>
                <w:rFonts w:eastAsia="Courier New"/>
                <w:strike/>
                <w:lang w:val="sk-SK"/>
              </w:rPr>
            </w:pPr>
            <w:r w:rsidRPr="00B96D19">
              <w:rPr>
                <w:rFonts w:eastAsia="Courier New"/>
                <w:lang w:val="sk-SK"/>
              </w:rPr>
              <w:t>1,39 ml</w:t>
            </w:r>
          </w:p>
        </w:tc>
        <w:tc>
          <w:tcPr>
            <w:tcW w:w="1309" w:type="dxa"/>
          </w:tcPr>
          <w:p w14:paraId="5EAC9B3B" w14:textId="77777777" w:rsidR="00A71A76" w:rsidRPr="00B96D19" w:rsidRDefault="00851AB6" w:rsidP="00B96D19">
            <w:pPr>
              <w:rPr>
                <w:rFonts w:eastAsia="Courier New"/>
                <w:strike/>
                <w:lang w:val="sk-SK"/>
              </w:rPr>
            </w:pPr>
            <w:r w:rsidRPr="00B96D19">
              <w:rPr>
                <w:rFonts w:eastAsia="Courier New"/>
                <w:lang w:val="sk-SK"/>
              </w:rPr>
              <w:t>1,85 ml</w:t>
            </w:r>
          </w:p>
        </w:tc>
        <w:tc>
          <w:tcPr>
            <w:tcW w:w="1202" w:type="dxa"/>
          </w:tcPr>
          <w:p w14:paraId="1ECC1DF2" w14:textId="77777777" w:rsidR="00A71A76" w:rsidRPr="00B96D19" w:rsidRDefault="00851AB6" w:rsidP="00B96D19">
            <w:pPr>
              <w:rPr>
                <w:rFonts w:eastAsia="Courier New"/>
                <w:lang w:val="sk-SK"/>
              </w:rPr>
            </w:pPr>
            <w:r w:rsidRPr="00B96D19">
              <w:rPr>
                <w:rFonts w:eastAsia="Courier New"/>
                <w:lang w:val="sk-SK"/>
              </w:rPr>
              <w:t>2,32 ml</w:t>
            </w:r>
          </w:p>
        </w:tc>
      </w:tr>
      <w:tr w:rsidR="00A71A76" w:rsidRPr="00B96D19" w14:paraId="25F8FA11" w14:textId="77777777" w:rsidTr="00B96D19">
        <w:tc>
          <w:tcPr>
            <w:tcW w:w="2093" w:type="dxa"/>
            <w:vMerge w:val="restart"/>
          </w:tcPr>
          <w:p w14:paraId="475A3E8A" w14:textId="77777777" w:rsidR="00A71A76" w:rsidRPr="00B96D19" w:rsidRDefault="00851AB6" w:rsidP="00B96D19">
            <w:pPr>
              <w:rPr>
                <w:rFonts w:eastAsia="Courier New"/>
                <w:lang w:val="sk-SK"/>
              </w:rPr>
            </w:pPr>
            <w:r w:rsidRPr="00B96D19">
              <w:rPr>
                <w:rFonts w:eastAsia="Courier New"/>
                <w:lang w:val="sk-SK"/>
              </w:rPr>
              <w:t>Rozdelená dávka každých 6 hodín pri 50 mg/kg telesnej hmotnosti/deň</w:t>
            </w:r>
          </w:p>
        </w:tc>
        <w:tc>
          <w:tcPr>
            <w:tcW w:w="1134" w:type="dxa"/>
            <w:vMerge w:val="restart"/>
            <w:vAlign w:val="center"/>
          </w:tcPr>
          <w:p w14:paraId="6C1DFD43" w14:textId="77777777" w:rsidR="00A71A76" w:rsidRPr="00B96D19" w:rsidRDefault="00851AB6" w:rsidP="00B96D19">
            <w:pPr>
              <w:rPr>
                <w:rFonts w:eastAsia="Courier New"/>
                <w:lang w:val="sk-SK"/>
              </w:rPr>
            </w:pPr>
            <w:r w:rsidRPr="00B96D19">
              <w:rPr>
                <w:rFonts w:eastAsia="Courier New"/>
                <w:lang w:val="sk-SK"/>
              </w:rPr>
              <w:t>2 g liekovka</w:t>
            </w:r>
          </w:p>
        </w:tc>
        <w:tc>
          <w:tcPr>
            <w:tcW w:w="1134" w:type="dxa"/>
          </w:tcPr>
          <w:p w14:paraId="5589D7F8" w14:textId="77777777" w:rsidR="00A71A76" w:rsidRPr="00B96D19" w:rsidRDefault="00851AB6" w:rsidP="00B96D19">
            <w:pPr>
              <w:rPr>
                <w:rFonts w:eastAsia="Courier New"/>
                <w:lang w:val="sk-SK"/>
              </w:rPr>
            </w:pPr>
            <w:r w:rsidRPr="00B96D19">
              <w:rPr>
                <w:rFonts w:eastAsia="Courier New"/>
                <w:lang w:val="sk-SK"/>
              </w:rPr>
              <w:t>63 mg</w:t>
            </w:r>
          </w:p>
          <w:p w14:paraId="242F1CD6" w14:textId="77777777" w:rsidR="00A71A76" w:rsidRPr="00B96D19" w:rsidRDefault="00A71A76" w:rsidP="00B96D19">
            <w:pPr>
              <w:rPr>
                <w:rFonts w:eastAsia="Courier New"/>
                <w:lang w:val="sk-SK"/>
              </w:rPr>
            </w:pPr>
          </w:p>
        </w:tc>
        <w:tc>
          <w:tcPr>
            <w:tcW w:w="1134" w:type="dxa"/>
          </w:tcPr>
          <w:p w14:paraId="3E720C1E" w14:textId="77777777" w:rsidR="00A71A76" w:rsidRPr="00B96D19" w:rsidRDefault="00851AB6" w:rsidP="00B96D19">
            <w:pPr>
              <w:rPr>
                <w:rFonts w:eastAsia="Courier New"/>
                <w:lang w:val="sk-SK"/>
              </w:rPr>
            </w:pPr>
            <w:r w:rsidRPr="00B96D19">
              <w:rPr>
                <w:rFonts w:eastAsia="Courier New"/>
                <w:lang w:val="sk-SK"/>
              </w:rPr>
              <w:t>125 mg</w:t>
            </w:r>
          </w:p>
          <w:p w14:paraId="3847B497" w14:textId="77777777" w:rsidR="00A71A76" w:rsidRPr="00B96D19" w:rsidRDefault="00A71A76" w:rsidP="00B96D19">
            <w:pPr>
              <w:rPr>
                <w:rFonts w:eastAsia="Courier New"/>
                <w:lang w:val="sk-SK"/>
              </w:rPr>
            </w:pPr>
          </w:p>
        </w:tc>
        <w:tc>
          <w:tcPr>
            <w:tcW w:w="1174" w:type="dxa"/>
          </w:tcPr>
          <w:p w14:paraId="31E7C898" w14:textId="77777777" w:rsidR="00A71A76" w:rsidRPr="00B96D19" w:rsidRDefault="00851AB6" w:rsidP="00B96D19">
            <w:pPr>
              <w:rPr>
                <w:rFonts w:eastAsia="Courier New"/>
                <w:lang w:val="sk-SK"/>
              </w:rPr>
            </w:pPr>
            <w:r w:rsidRPr="00B96D19">
              <w:rPr>
                <w:rFonts w:eastAsia="Courier New"/>
                <w:lang w:val="sk-SK"/>
              </w:rPr>
              <w:t>188 mg</w:t>
            </w:r>
          </w:p>
          <w:p w14:paraId="24072A7D" w14:textId="77777777" w:rsidR="00A71A76" w:rsidRPr="00B96D19" w:rsidRDefault="00A71A76" w:rsidP="00B96D19">
            <w:pPr>
              <w:rPr>
                <w:rFonts w:eastAsia="Courier New"/>
                <w:lang w:val="sk-SK"/>
              </w:rPr>
            </w:pPr>
          </w:p>
        </w:tc>
        <w:tc>
          <w:tcPr>
            <w:tcW w:w="1309" w:type="dxa"/>
          </w:tcPr>
          <w:p w14:paraId="41F5CAE3" w14:textId="77777777" w:rsidR="00A71A76" w:rsidRPr="00B96D19" w:rsidRDefault="00851AB6" w:rsidP="00B96D19">
            <w:pPr>
              <w:rPr>
                <w:rFonts w:eastAsia="Courier New"/>
                <w:lang w:val="sk-SK"/>
              </w:rPr>
            </w:pPr>
            <w:r w:rsidRPr="00B96D19">
              <w:rPr>
                <w:rFonts w:eastAsia="Courier New"/>
                <w:lang w:val="sk-SK"/>
              </w:rPr>
              <w:t>250 mg</w:t>
            </w:r>
          </w:p>
          <w:p w14:paraId="0D753944" w14:textId="77777777" w:rsidR="00A71A76" w:rsidRPr="00B96D19" w:rsidRDefault="00A71A76" w:rsidP="00B96D19">
            <w:pPr>
              <w:rPr>
                <w:rFonts w:eastAsia="Courier New"/>
                <w:lang w:val="sk-SK"/>
              </w:rPr>
            </w:pPr>
          </w:p>
        </w:tc>
        <w:tc>
          <w:tcPr>
            <w:tcW w:w="1202" w:type="dxa"/>
          </w:tcPr>
          <w:p w14:paraId="65228E2A" w14:textId="77777777" w:rsidR="00A71A76" w:rsidRPr="00B96D19" w:rsidRDefault="00851AB6" w:rsidP="00B96D19">
            <w:pPr>
              <w:rPr>
                <w:rFonts w:eastAsia="Courier New"/>
                <w:lang w:val="sk-SK"/>
              </w:rPr>
            </w:pPr>
            <w:r w:rsidRPr="00B96D19">
              <w:rPr>
                <w:rFonts w:eastAsia="Courier New"/>
                <w:lang w:val="sk-SK"/>
              </w:rPr>
              <w:t>313 mg</w:t>
            </w:r>
          </w:p>
          <w:p w14:paraId="79B4BE64" w14:textId="77777777" w:rsidR="00A71A76" w:rsidRPr="00B96D19" w:rsidRDefault="00A71A76" w:rsidP="00B96D19">
            <w:pPr>
              <w:rPr>
                <w:rFonts w:eastAsia="Courier New"/>
                <w:lang w:val="sk-SK"/>
              </w:rPr>
            </w:pPr>
          </w:p>
        </w:tc>
      </w:tr>
      <w:tr w:rsidR="00A71A76" w:rsidRPr="00B96D19" w14:paraId="182E06A6" w14:textId="77777777" w:rsidTr="00B96D19">
        <w:tc>
          <w:tcPr>
            <w:tcW w:w="2093" w:type="dxa"/>
            <w:vMerge/>
          </w:tcPr>
          <w:p w14:paraId="5B9E1BD7" w14:textId="77777777" w:rsidR="00A71A76" w:rsidRPr="00B96D19" w:rsidRDefault="00A71A76" w:rsidP="00B96D19">
            <w:pPr>
              <w:rPr>
                <w:rFonts w:eastAsia="Courier New"/>
                <w:lang w:val="sk-SK"/>
              </w:rPr>
            </w:pPr>
          </w:p>
        </w:tc>
        <w:tc>
          <w:tcPr>
            <w:tcW w:w="1134" w:type="dxa"/>
            <w:vMerge/>
            <w:vAlign w:val="center"/>
          </w:tcPr>
          <w:p w14:paraId="5B9EF3C0" w14:textId="77777777" w:rsidR="00A71A76" w:rsidRPr="00B96D19" w:rsidRDefault="00A71A76" w:rsidP="00B96D19">
            <w:pPr>
              <w:rPr>
                <w:rFonts w:eastAsia="Courier New"/>
                <w:lang w:val="sk-SK"/>
              </w:rPr>
            </w:pPr>
          </w:p>
        </w:tc>
        <w:tc>
          <w:tcPr>
            <w:tcW w:w="1134" w:type="dxa"/>
          </w:tcPr>
          <w:p w14:paraId="7BF9F51F" w14:textId="77777777" w:rsidR="00A71A76" w:rsidRPr="00B96D19" w:rsidRDefault="00851AB6" w:rsidP="00B96D19">
            <w:pPr>
              <w:rPr>
                <w:rFonts w:eastAsia="Courier New"/>
                <w:lang w:val="sk-SK"/>
              </w:rPr>
            </w:pPr>
            <w:r w:rsidRPr="00B96D19">
              <w:rPr>
                <w:rFonts w:eastAsia="Courier New"/>
                <w:lang w:val="sk-SK"/>
              </w:rPr>
              <w:t>0,35 ml</w:t>
            </w:r>
          </w:p>
        </w:tc>
        <w:tc>
          <w:tcPr>
            <w:tcW w:w="1134" w:type="dxa"/>
          </w:tcPr>
          <w:p w14:paraId="3F3DA770" w14:textId="77777777" w:rsidR="00A71A76" w:rsidRPr="00B96D19" w:rsidRDefault="00851AB6" w:rsidP="00B96D19">
            <w:pPr>
              <w:rPr>
                <w:rFonts w:eastAsia="Courier New"/>
                <w:lang w:val="sk-SK"/>
              </w:rPr>
            </w:pPr>
            <w:r w:rsidRPr="00B96D19">
              <w:rPr>
                <w:rFonts w:eastAsia="Courier New"/>
                <w:lang w:val="sk-SK"/>
              </w:rPr>
              <w:t>0,69 ml</w:t>
            </w:r>
          </w:p>
        </w:tc>
        <w:tc>
          <w:tcPr>
            <w:tcW w:w="1174" w:type="dxa"/>
          </w:tcPr>
          <w:p w14:paraId="3B4D5339" w14:textId="77777777" w:rsidR="00A71A76" w:rsidRPr="00B96D19" w:rsidRDefault="00851AB6" w:rsidP="00B96D19">
            <w:pPr>
              <w:rPr>
                <w:rFonts w:eastAsia="Courier New"/>
                <w:lang w:val="sk-SK"/>
              </w:rPr>
            </w:pPr>
            <w:r w:rsidRPr="00B96D19">
              <w:rPr>
                <w:rFonts w:eastAsia="Courier New"/>
                <w:lang w:val="sk-SK"/>
              </w:rPr>
              <w:t>1,04 ml</w:t>
            </w:r>
          </w:p>
        </w:tc>
        <w:tc>
          <w:tcPr>
            <w:tcW w:w="1309" w:type="dxa"/>
          </w:tcPr>
          <w:p w14:paraId="207E7BE3" w14:textId="77777777" w:rsidR="00A71A76" w:rsidRPr="00B96D19" w:rsidRDefault="00851AB6" w:rsidP="00B96D19">
            <w:pPr>
              <w:rPr>
                <w:rFonts w:eastAsia="Courier New"/>
                <w:lang w:val="sk-SK"/>
              </w:rPr>
            </w:pPr>
            <w:r w:rsidRPr="00B96D19">
              <w:rPr>
                <w:rFonts w:eastAsia="Courier New"/>
                <w:lang w:val="sk-SK"/>
              </w:rPr>
              <w:t>1,39 ml</w:t>
            </w:r>
          </w:p>
        </w:tc>
        <w:tc>
          <w:tcPr>
            <w:tcW w:w="1202" w:type="dxa"/>
          </w:tcPr>
          <w:p w14:paraId="2F638690" w14:textId="77777777" w:rsidR="00A71A76" w:rsidRPr="00B96D19" w:rsidRDefault="00851AB6" w:rsidP="00B96D19">
            <w:pPr>
              <w:rPr>
                <w:rFonts w:eastAsia="Courier New"/>
                <w:lang w:val="sk-SK"/>
              </w:rPr>
            </w:pPr>
            <w:r w:rsidRPr="00B96D19">
              <w:rPr>
                <w:rFonts w:eastAsia="Courier New"/>
                <w:lang w:val="sk-SK"/>
              </w:rPr>
              <w:t>1,74 ml</w:t>
            </w:r>
          </w:p>
        </w:tc>
      </w:tr>
      <w:tr w:rsidR="00A71A76" w:rsidRPr="00B96D19" w14:paraId="587F46B1" w14:textId="77777777" w:rsidTr="00A71A76">
        <w:trPr>
          <w:trHeight w:val="732"/>
        </w:trPr>
        <w:tc>
          <w:tcPr>
            <w:tcW w:w="2093" w:type="dxa"/>
            <w:vMerge w:val="restart"/>
          </w:tcPr>
          <w:p w14:paraId="38C1DAF5" w14:textId="77777777" w:rsidR="00A71A76" w:rsidRPr="00B96D19" w:rsidRDefault="00851AB6" w:rsidP="00B96D19">
            <w:pPr>
              <w:rPr>
                <w:rFonts w:eastAsia="Courier New"/>
                <w:lang w:val="sk-SK"/>
              </w:rPr>
            </w:pPr>
            <w:r w:rsidRPr="00B96D19">
              <w:rPr>
                <w:rFonts w:eastAsia="Courier New"/>
                <w:lang w:val="sk-SK"/>
              </w:rPr>
              <w:t>Rozdelená dávka každých 8 hodín pri 100 mg /kg telesnej hmotnosti/deň</w:t>
            </w:r>
          </w:p>
        </w:tc>
        <w:tc>
          <w:tcPr>
            <w:tcW w:w="1134" w:type="dxa"/>
            <w:vMerge w:val="restart"/>
            <w:vAlign w:val="center"/>
          </w:tcPr>
          <w:p w14:paraId="7FF9BBDF" w14:textId="77777777" w:rsidR="00A71A76" w:rsidRPr="00B96D19" w:rsidRDefault="00851AB6" w:rsidP="00B96D19">
            <w:pPr>
              <w:rPr>
                <w:rFonts w:eastAsia="Courier New"/>
                <w:lang w:val="sk-SK"/>
              </w:rPr>
            </w:pPr>
            <w:r w:rsidRPr="00B96D19">
              <w:rPr>
                <w:rFonts w:eastAsia="Courier New"/>
                <w:lang w:val="sk-SK"/>
              </w:rPr>
              <w:t>2 g liekovka</w:t>
            </w:r>
          </w:p>
        </w:tc>
        <w:tc>
          <w:tcPr>
            <w:tcW w:w="1134" w:type="dxa"/>
          </w:tcPr>
          <w:p w14:paraId="2AA9562B" w14:textId="77777777" w:rsidR="00A71A76" w:rsidRPr="00B96D19" w:rsidRDefault="00851AB6" w:rsidP="00B96D19">
            <w:pPr>
              <w:rPr>
                <w:rFonts w:eastAsia="Courier New"/>
                <w:lang w:val="sk-SK"/>
              </w:rPr>
            </w:pPr>
            <w:r w:rsidRPr="00B96D19">
              <w:rPr>
                <w:rFonts w:eastAsia="Courier New"/>
                <w:lang w:val="sk-SK"/>
              </w:rPr>
              <w:t>167 mg</w:t>
            </w:r>
          </w:p>
          <w:p w14:paraId="3D5B88B6" w14:textId="77777777" w:rsidR="00A71A76" w:rsidRPr="00B96D19" w:rsidRDefault="00A71A76" w:rsidP="00B96D19">
            <w:pPr>
              <w:rPr>
                <w:rFonts w:eastAsia="Courier New"/>
                <w:lang w:val="sk-SK"/>
              </w:rPr>
            </w:pPr>
          </w:p>
        </w:tc>
        <w:tc>
          <w:tcPr>
            <w:tcW w:w="1134" w:type="dxa"/>
          </w:tcPr>
          <w:p w14:paraId="7B9886D4" w14:textId="77777777" w:rsidR="00A71A76" w:rsidRPr="00B96D19" w:rsidRDefault="00851AB6" w:rsidP="00B96D19">
            <w:pPr>
              <w:rPr>
                <w:rFonts w:eastAsia="Courier New"/>
                <w:lang w:val="sk-SK"/>
              </w:rPr>
            </w:pPr>
            <w:r w:rsidRPr="00B96D19">
              <w:rPr>
                <w:rFonts w:eastAsia="Courier New"/>
                <w:lang w:val="sk-SK"/>
              </w:rPr>
              <w:t>333 mg</w:t>
            </w:r>
          </w:p>
          <w:p w14:paraId="2579759E" w14:textId="77777777" w:rsidR="00A71A76" w:rsidRPr="00B96D19" w:rsidRDefault="00A71A76" w:rsidP="00B96D19">
            <w:pPr>
              <w:rPr>
                <w:rFonts w:eastAsia="Courier New"/>
                <w:lang w:val="sk-SK"/>
              </w:rPr>
            </w:pPr>
          </w:p>
        </w:tc>
        <w:tc>
          <w:tcPr>
            <w:tcW w:w="1174" w:type="dxa"/>
          </w:tcPr>
          <w:p w14:paraId="3FA1F8F4" w14:textId="77777777" w:rsidR="00A71A76" w:rsidRPr="00B96D19" w:rsidRDefault="00851AB6" w:rsidP="00B96D19">
            <w:pPr>
              <w:rPr>
                <w:rFonts w:eastAsia="Courier New"/>
                <w:lang w:val="sk-SK"/>
              </w:rPr>
            </w:pPr>
            <w:r w:rsidRPr="00B96D19">
              <w:rPr>
                <w:rFonts w:eastAsia="Courier New"/>
                <w:lang w:val="sk-SK"/>
              </w:rPr>
              <w:t>500 mg</w:t>
            </w:r>
          </w:p>
          <w:p w14:paraId="43D87837" w14:textId="77777777" w:rsidR="00A71A76" w:rsidRPr="00B96D19" w:rsidRDefault="00A71A76" w:rsidP="00B96D19">
            <w:pPr>
              <w:rPr>
                <w:rFonts w:eastAsia="Courier New"/>
                <w:lang w:val="sk-SK"/>
              </w:rPr>
            </w:pPr>
          </w:p>
        </w:tc>
        <w:tc>
          <w:tcPr>
            <w:tcW w:w="1309" w:type="dxa"/>
          </w:tcPr>
          <w:p w14:paraId="6288AC12" w14:textId="77777777" w:rsidR="00A71A76" w:rsidRPr="00B96D19" w:rsidRDefault="00851AB6" w:rsidP="00B96D19">
            <w:pPr>
              <w:rPr>
                <w:rFonts w:eastAsia="Courier New"/>
                <w:lang w:val="sk-SK"/>
              </w:rPr>
            </w:pPr>
            <w:r w:rsidRPr="00B96D19">
              <w:rPr>
                <w:rFonts w:eastAsia="Courier New"/>
                <w:lang w:val="sk-SK"/>
              </w:rPr>
              <w:t>667 mg</w:t>
            </w:r>
          </w:p>
          <w:p w14:paraId="303E236E" w14:textId="77777777" w:rsidR="00A71A76" w:rsidRPr="00B96D19" w:rsidRDefault="00A71A76" w:rsidP="00B96D19">
            <w:pPr>
              <w:rPr>
                <w:rFonts w:eastAsia="Courier New"/>
                <w:lang w:val="sk-SK"/>
              </w:rPr>
            </w:pPr>
          </w:p>
        </w:tc>
        <w:tc>
          <w:tcPr>
            <w:tcW w:w="1202" w:type="dxa"/>
          </w:tcPr>
          <w:p w14:paraId="5AE1F439" w14:textId="77777777" w:rsidR="00A71A76" w:rsidRPr="00B96D19" w:rsidRDefault="00851AB6" w:rsidP="00B96D19">
            <w:pPr>
              <w:rPr>
                <w:rFonts w:eastAsia="Courier New"/>
                <w:lang w:val="sk-SK"/>
              </w:rPr>
            </w:pPr>
            <w:r w:rsidRPr="00B96D19">
              <w:rPr>
                <w:rFonts w:eastAsia="Courier New"/>
                <w:lang w:val="sk-SK"/>
              </w:rPr>
              <w:t>833 mg</w:t>
            </w:r>
          </w:p>
          <w:p w14:paraId="29631091" w14:textId="77777777" w:rsidR="00A71A76" w:rsidRPr="00B96D19" w:rsidRDefault="00A71A76" w:rsidP="00B96D19">
            <w:pPr>
              <w:rPr>
                <w:rFonts w:eastAsia="Courier New"/>
                <w:lang w:val="sk-SK"/>
              </w:rPr>
            </w:pPr>
          </w:p>
        </w:tc>
      </w:tr>
      <w:tr w:rsidR="00A71A76" w:rsidRPr="00B96D19" w14:paraId="1DEED872" w14:textId="77777777" w:rsidTr="00A71A76">
        <w:trPr>
          <w:trHeight w:val="357"/>
        </w:trPr>
        <w:tc>
          <w:tcPr>
            <w:tcW w:w="2093" w:type="dxa"/>
            <w:vMerge/>
          </w:tcPr>
          <w:p w14:paraId="25C7E119" w14:textId="77777777" w:rsidR="00A71A76" w:rsidRPr="00B96D19" w:rsidRDefault="00A71A76" w:rsidP="00B96D19">
            <w:pPr>
              <w:rPr>
                <w:rFonts w:eastAsia="Courier New"/>
                <w:lang w:val="sk-SK"/>
              </w:rPr>
            </w:pPr>
          </w:p>
        </w:tc>
        <w:tc>
          <w:tcPr>
            <w:tcW w:w="1134" w:type="dxa"/>
            <w:vMerge/>
            <w:vAlign w:val="center"/>
          </w:tcPr>
          <w:p w14:paraId="00134C09" w14:textId="77777777" w:rsidR="00A71A76" w:rsidRPr="00B96D19" w:rsidRDefault="00A71A76" w:rsidP="00B96D19">
            <w:pPr>
              <w:rPr>
                <w:rFonts w:eastAsia="Courier New"/>
                <w:lang w:val="sk-SK"/>
              </w:rPr>
            </w:pPr>
          </w:p>
        </w:tc>
        <w:tc>
          <w:tcPr>
            <w:tcW w:w="1134" w:type="dxa"/>
          </w:tcPr>
          <w:p w14:paraId="7F58A179" w14:textId="77777777" w:rsidR="00A71A76" w:rsidRPr="00B96D19" w:rsidRDefault="00851AB6" w:rsidP="00B96D19">
            <w:pPr>
              <w:rPr>
                <w:rFonts w:eastAsia="Courier New"/>
                <w:lang w:val="sk-SK"/>
              </w:rPr>
            </w:pPr>
            <w:r w:rsidRPr="00B96D19">
              <w:rPr>
                <w:rFonts w:eastAsia="Courier New"/>
                <w:lang w:val="sk-SK"/>
              </w:rPr>
              <w:t>0,93 ml</w:t>
            </w:r>
          </w:p>
          <w:p w14:paraId="0637A59C" w14:textId="77777777" w:rsidR="00A71A76" w:rsidRPr="00B96D19" w:rsidRDefault="00A71A76" w:rsidP="00B96D19">
            <w:pPr>
              <w:rPr>
                <w:rFonts w:eastAsia="Courier New"/>
                <w:lang w:val="sk-SK"/>
              </w:rPr>
            </w:pPr>
          </w:p>
        </w:tc>
        <w:tc>
          <w:tcPr>
            <w:tcW w:w="1134" w:type="dxa"/>
          </w:tcPr>
          <w:p w14:paraId="1FD8FC29" w14:textId="77777777" w:rsidR="00A71A76" w:rsidRPr="00B96D19" w:rsidRDefault="00851AB6" w:rsidP="00B96D19">
            <w:pPr>
              <w:rPr>
                <w:rFonts w:eastAsia="Courier New"/>
                <w:lang w:val="sk-SK"/>
              </w:rPr>
            </w:pPr>
            <w:r w:rsidRPr="00B96D19">
              <w:rPr>
                <w:rFonts w:eastAsia="Courier New"/>
                <w:lang w:val="sk-SK"/>
              </w:rPr>
              <w:t>1,85 ml</w:t>
            </w:r>
          </w:p>
        </w:tc>
        <w:tc>
          <w:tcPr>
            <w:tcW w:w="1174" w:type="dxa"/>
          </w:tcPr>
          <w:p w14:paraId="624E63FE" w14:textId="77777777" w:rsidR="00A71A76" w:rsidRPr="00B96D19" w:rsidRDefault="00851AB6" w:rsidP="00B96D19">
            <w:pPr>
              <w:rPr>
                <w:rFonts w:eastAsia="Courier New"/>
                <w:lang w:val="sk-SK"/>
              </w:rPr>
            </w:pPr>
            <w:r w:rsidRPr="00B96D19">
              <w:rPr>
                <w:rFonts w:eastAsia="Courier New"/>
                <w:lang w:val="sk-SK"/>
              </w:rPr>
              <w:t>2,78 ml</w:t>
            </w:r>
          </w:p>
        </w:tc>
        <w:tc>
          <w:tcPr>
            <w:tcW w:w="1309" w:type="dxa"/>
          </w:tcPr>
          <w:p w14:paraId="745F02D4" w14:textId="77777777" w:rsidR="00A71A76" w:rsidRPr="00B96D19" w:rsidRDefault="00851AB6" w:rsidP="00B96D19">
            <w:pPr>
              <w:rPr>
                <w:rFonts w:eastAsia="Courier New"/>
                <w:lang w:val="sk-SK"/>
              </w:rPr>
            </w:pPr>
            <w:r w:rsidRPr="00B96D19">
              <w:rPr>
                <w:rFonts w:eastAsia="Courier New"/>
                <w:lang w:val="sk-SK"/>
              </w:rPr>
              <w:t>3,7 ml</w:t>
            </w:r>
          </w:p>
        </w:tc>
        <w:tc>
          <w:tcPr>
            <w:tcW w:w="1202" w:type="dxa"/>
          </w:tcPr>
          <w:p w14:paraId="7BFC6D02" w14:textId="77777777" w:rsidR="00A71A76" w:rsidRPr="00B96D19" w:rsidRDefault="00851AB6" w:rsidP="00B96D19">
            <w:pPr>
              <w:rPr>
                <w:rFonts w:eastAsia="Courier New"/>
                <w:lang w:val="sk-SK"/>
              </w:rPr>
            </w:pPr>
            <w:r w:rsidRPr="00B96D19">
              <w:rPr>
                <w:rFonts w:eastAsia="Courier New"/>
                <w:lang w:val="sk-SK"/>
              </w:rPr>
              <w:t>4,63 ml</w:t>
            </w:r>
          </w:p>
        </w:tc>
      </w:tr>
      <w:tr w:rsidR="00A71A76" w:rsidRPr="00B96D19" w14:paraId="4DFE8A6B" w14:textId="77777777" w:rsidTr="00B96D19">
        <w:trPr>
          <w:trHeight w:val="400"/>
        </w:trPr>
        <w:tc>
          <w:tcPr>
            <w:tcW w:w="2093" w:type="dxa"/>
            <w:vMerge w:val="restart"/>
          </w:tcPr>
          <w:p w14:paraId="6EF2447C" w14:textId="77777777" w:rsidR="00A71A76" w:rsidRPr="00B96D19" w:rsidRDefault="00851AB6" w:rsidP="00B96D19">
            <w:pPr>
              <w:rPr>
                <w:rFonts w:eastAsia="Courier New"/>
                <w:lang w:val="sk-SK"/>
              </w:rPr>
            </w:pPr>
            <w:r w:rsidRPr="00B96D19">
              <w:rPr>
                <w:rFonts w:eastAsia="Courier New"/>
                <w:lang w:val="sk-SK"/>
              </w:rPr>
              <w:t>Rozdelená dávka každých 6 hodín pri 100 mg /kg telesnej hmotnosti/deň</w:t>
            </w:r>
          </w:p>
        </w:tc>
        <w:tc>
          <w:tcPr>
            <w:tcW w:w="1134" w:type="dxa"/>
            <w:vMerge w:val="restart"/>
            <w:vAlign w:val="center"/>
          </w:tcPr>
          <w:p w14:paraId="5F3A364A" w14:textId="77777777" w:rsidR="00A71A76" w:rsidRPr="00B96D19" w:rsidRDefault="00851AB6" w:rsidP="00B96D19">
            <w:pPr>
              <w:rPr>
                <w:rFonts w:eastAsia="Courier New"/>
                <w:lang w:val="sk-SK"/>
              </w:rPr>
            </w:pPr>
            <w:r w:rsidRPr="00B96D19">
              <w:rPr>
                <w:rFonts w:eastAsia="Courier New"/>
                <w:lang w:val="sk-SK"/>
              </w:rPr>
              <w:t>2 g liekovka</w:t>
            </w:r>
          </w:p>
        </w:tc>
        <w:tc>
          <w:tcPr>
            <w:tcW w:w="1134" w:type="dxa"/>
          </w:tcPr>
          <w:p w14:paraId="5741AECA" w14:textId="77777777" w:rsidR="00A71A76" w:rsidRPr="00B96D19" w:rsidRDefault="00851AB6" w:rsidP="00B96D19">
            <w:pPr>
              <w:rPr>
                <w:rFonts w:eastAsia="Courier New"/>
                <w:lang w:val="sk-SK"/>
              </w:rPr>
            </w:pPr>
            <w:r w:rsidRPr="00B96D19">
              <w:rPr>
                <w:rFonts w:eastAsia="Courier New"/>
                <w:lang w:val="sk-SK"/>
              </w:rPr>
              <w:t>125 mg</w:t>
            </w:r>
          </w:p>
          <w:p w14:paraId="0DDB6988" w14:textId="77777777" w:rsidR="00A71A76" w:rsidRPr="00B96D19" w:rsidRDefault="00A71A76" w:rsidP="00B96D19">
            <w:pPr>
              <w:rPr>
                <w:rFonts w:eastAsia="Courier New"/>
                <w:lang w:val="sk-SK"/>
              </w:rPr>
            </w:pPr>
          </w:p>
        </w:tc>
        <w:tc>
          <w:tcPr>
            <w:tcW w:w="1134" w:type="dxa"/>
          </w:tcPr>
          <w:p w14:paraId="356C3A55" w14:textId="77777777" w:rsidR="00A71A76" w:rsidRPr="00B96D19" w:rsidRDefault="00851AB6" w:rsidP="00B96D19">
            <w:pPr>
              <w:rPr>
                <w:rFonts w:eastAsia="Courier New"/>
                <w:lang w:val="sk-SK"/>
              </w:rPr>
            </w:pPr>
            <w:r w:rsidRPr="00B96D19">
              <w:rPr>
                <w:rFonts w:eastAsia="Courier New"/>
                <w:lang w:val="sk-SK"/>
              </w:rPr>
              <w:t>250 mg</w:t>
            </w:r>
          </w:p>
        </w:tc>
        <w:tc>
          <w:tcPr>
            <w:tcW w:w="1174" w:type="dxa"/>
          </w:tcPr>
          <w:p w14:paraId="1406A400" w14:textId="77777777" w:rsidR="00A71A76" w:rsidRPr="00B96D19" w:rsidRDefault="00851AB6" w:rsidP="00B96D19">
            <w:pPr>
              <w:rPr>
                <w:rFonts w:eastAsia="Courier New"/>
                <w:lang w:val="sk-SK"/>
              </w:rPr>
            </w:pPr>
            <w:r w:rsidRPr="00B96D19">
              <w:rPr>
                <w:rFonts w:eastAsia="Courier New"/>
                <w:lang w:val="sk-SK"/>
              </w:rPr>
              <w:t>375 mg</w:t>
            </w:r>
          </w:p>
        </w:tc>
        <w:tc>
          <w:tcPr>
            <w:tcW w:w="1309" w:type="dxa"/>
          </w:tcPr>
          <w:p w14:paraId="5DCE54A9" w14:textId="77777777" w:rsidR="00A71A76" w:rsidRPr="00B96D19" w:rsidRDefault="00851AB6" w:rsidP="00B96D19">
            <w:pPr>
              <w:rPr>
                <w:rFonts w:eastAsia="Courier New"/>
                <w:lang w:val="sk-SK"/>
              </w:rPr>
            </w:pPr>
            <w:r w:rsidRPr="00B96D19">
              <w:rPr>
                <w:rFonts w:eastAsia="Courier New"/>
                <w:lang w:val="sk-SK"/>
              </w:rPr>
              <w:t>500 mg</w:t>
            </w:r>
          </w:p>
        </w:tc>
        <w:tc>
          <w:tcPr>
            <w:tcW w:w="1202" w:type="dxa"/>
          </w:tcPr>
          <w:p w14:paraId="4F92CE3B" w14:textId="77777777" w:rsidR="00A71A76" w:rsidRPr="00B96D19" w:rsidRDefault="00851AB6" w:rsidP="00B96D19">
            <w:pPr>
              <w:rPr>
                <w:rFonts w:eastAsia="Courier New"/>
                <w:lang w:val="sk-SK"/>
              </w:rPr>
            </w:pPr>
            <w:r w:rsidRPr="00B96D19">
              <w:rPr>
                <w:rFonts w:eastAsia="Courier New"/>
                <w:lang w:val="sk-SK"/>
              </w:rPr>
              <w:t>625 mg</w:t>
            </w:r>
          </w:p>
        </w:tc>
      </w:tr>
      <w:tr w:rsidR="00A71A76" w:rsidRPr="00B96D19" w14:paraId="20497DE6" w14:textId="77777777" w:rsidTr="00B96D19">
        <w:tc>
          <w:tcPr>
            <w:tcW w:w="2093" w:type="dxa"/>
            <w:vMerge/>
          </w:tcPr>
          <w:p w14:paraId="391114AC" w14:textId="77777777" w:rsidR="00A71A76" w:rsidRPr="00B96D19" w:rsidRDefault="00A71A76" w:rsidP="00B96D19">
            <w:pPr>
              <w:rPr>
                <w:rFonts w:eastAsia="Courier New"/>
                <w:lang w:val="sk-SK"/>
              </w:rPr>
            </w:pPr>
          </w:p>
        </w:tc>
        <w:tc>
          <w:tcPr>
            <w:tcW w:w="1134" w:type="dxa"/>
            <w:vMerge/>
          </w:tcPr>
          <w:p w14:paraId="5F52D03E" w14:textId="77777777" w:rsidR="00A71A76" w:rsidRPr="00B96D19" w:rsidRDefault="00A71A76" w:rsidP="00B96D19">
            <w:pPr>
              <w:rPr>
                <w:rFonts w:eastAsia="Courier New"/>
                <w:lang w:val="sk-SK"/>
              </w:rPr>
            </w:pPr>
          </w:p>
        </w:tc>
        <w:tc>
          <w:tcPr>
            <w:tcW w:w="1134" w:type="dxa"/>
          </w:tcPr>
          <w:p w14:paraId="070BB87D" w14:textId="77777777" w:rsidR="00A71A76" w:rsidRPr="00B96D19" w:rsidRDefault="00851AB6" w:rsidP="00B96D19">
            <w:pPr>
              <w:rPr>
                <w:rFonts w:eastAsia="Courier New"/>
                <w:lang w:val="sk-SK"/>
              </w:rPr>
            </w:pPr>
            <w:r w:rsidRPr="00B96D19">
              <w:rPr>
                <w:rFonts w:eastAsia="Courier New"/>
                <w:lang w:val="sk-SK"/>
              </w:rPr>
              <w:t>0,69 ml</w:t>
            </w:r>
          </w:p>
          <w:p w14:paraId="67B13E58" w14:textId="77777777" w:rsidR="00A71A76" w:rsidRPr="00B96D19" w:rsidRDefault="00A71A76" w:rsidP="00B96D19">
            <w:pPr>
              <w:rPr>
                <w:rFonts w:eastAsia="Courier New"/>
                <w:lang w:val="sk-SK"/>
              </w:rPr>
            </w:pPr>
          </w:p>
        </w:tc>
        <w:tc>
          <w:tcPr>
            <w:tcW w:w="1134" w:type="dxa"/>
          </w:tcPr>
          <w:p w14:paraId="15B192E2" w14:textId="77777777" w:rsidR="00A71A76" w:rsidRPr="00B96D19" w:rsidRDefault="00851AB6" w:rsidP="00B96D19">
            <w:pPr>
              <w:rPr>
                <w:rFonts w:eastAsia="Courier New"/>
                <w:lang w:val="sk-SK"/>
              </w:rPr>
            </w:pPr>
            <w:r w:rsidRPr="00B96D19">
              <w:rPr>
                <w:rFonts w:eastAsia="Courier New"/>
                <w:lang w:val="sk-SK"/>
              </w:rPr>
              <w:t>1,39 ml</w:t>
            </w:r>
          </w:p>
        </w:tc>
        <w:tc>
          <w:tcPr>
            <w:tcW w:w="1174" w:type="dxa"/>
          </w:tcPr>
          <w:p w14:paraId="585CA491" w14:textId="77777777" w:rsidR="00A71A76" w:rsidRPr="00B96D19" w:rsidRDefault="00851AB6" w:rsidP="00B96D19">
            <w:pPr>
              <w:rPr>
                <w:rFonts w:eastAsia="Courier New"/>
                <w:lang w:val="sk-SK"/>
              </w:rPr>
            </w:pPr>
            <w:r w:rsidRPr="00B96D19">
              <w:rPr>
                <w:rFonts w:eastAsia="Courier New"/>
                <w:lang w:val="sk-SK"/>
              </w:rPr>
              <w:t>2,08 ml</w:t>
            </w:r>
          </w:p>
        </w:tc>
        <w:tc>
          <w:tcPr>
            <w:tcW w:w="1309" w:type="dxa"/>
          </w:tcPr>
          <w:p w14:paraId="75223EEA" w14:textId="77777777" w:rsidR="00A71A76" w:rsidRPr="00B96D19" w:rsidRDefault="00851AB6" w:rsidP="00B96D19">
            <w:pPr>
              <w:rPr>
                <w:rFonts w:eastAsia="Courier New"/>
                <w:lang w:val="sk-SK"/>
              </w:rPr>
            </w:pPr>
            <w:r w:rsidRPr="00B96D19">
              <w:rPr>
                <w:rFonts w:eastAsia="Courier New"/>
                <w:lang w:val="sk-SK"/>
              </w:rPr>
              <w:t>2,78 ml</w:t>
            </w:r>
          </w:p>
        </w:tc>
        <w:tc>
          <w:tcPr>
            <w:tcW w:w="1202" w:type="dxa"/>
          </w:tcPr>
          <w:p w14:paraId="3DD49AF5" w14:textId="77777777" w:rsidR="00A71A76" w:rsidRPr="00B96D19" w:rsidRDefault="00851AB6" w:rsidP="00B96D19">
            <w:pPr>
              <w:rPr>
                <w:rFonts w:eastAsia="Courier New"/>
                <w:lang w:val="sk-SK"/>
              </w:rPr>
            </w:pPr>
            <w:r w:rsidRPr="00B96D19">
              <w:rPr>
                <w:rFonts w:eastAsia="Courier New"/>
                <w:lang w:val="sk-SK"/>
              </w:rPr>
              <w:t>3,47 ml</w:t>
            </w:r>
          </w:p>
        </w:tc>
      </w:tr>
    </w:tbl>
    <w:p w14:paraId="3E6FB2AD" w14:textId="77777777" w:rsidR="00EE0B04" w:rsidRPr="00B96D19" w:rsidRDefault="00EE0B04" w:rsidP="00667033">
      <w:pPr>
        <w:pStyle w:val="Normlndobloku"/>
      </w:pPr>
    </w:p>
    <w:p w14:paraId="5E2673AF" w14:textId="77777777" w:rsidR="000275C2" w:rsidRPr="00B96D19" w:rsidRDefault="000275C2" w:rsidP="00667033">
      <w:pPr>
        <w:pStyle w:val="Normlndobloku"/>
      </w:pPr>
      <w:r w:rsidRPr="00B96D19">
        <w:t>Pre objemy menšie ako 1 ml, použite 0,5 ml injekčnú striekačku pre vyššiu presnosť dávkovania.</w:t>
      </w:r>
    </w:p>
    <w:p w14:paraId="0430DC71" w14:textId="77777777" w:rsidR="000275C2" w:rsidRPr="00B96D19" w:rsidRDefault="000275C2" w:rsidP="00667033">
      <w:pPr>
        <w:pStyle w:val="Normlndobloku"/>
      </w:pPr>
    </w:p>
    <w:p w14:paraId="618582B0" w14:textId="77777777" w:rsidR="000275C2" w:rsidRPr="00B96D19" w:rsidRDefault="000275C2" w:rsidP="000275C2">
      <w:pPr>
        <w:pStyle w:val="Styl3"/>
        <w:spacing w:after="0"/>
        <w:rPr>
          <w:lang w:val="sk-SK"/>
        </w:rPr>
      </w:pPr>
      <w:r w:rsidRPr="00B96D19">
        <w:rPr>
          <w:lang w:val="sk-SK"/>
        </w:rPr>
        <w:t>Intramuskulárna injekcia</w:t>
      </w:r>
    </w:p>
    <w:p w14:paraId="59F37726" w14:textId="77777777" w:rsidR="00E76A68" w:rsidRPr="00B96D19" w:rsidRDefault="00E76A68" w:rsidP="000275C2">
      <w:pPr>
        <w:pStyle w:val="Styl3"/>
        <w:spacing w:after="0"/>
        <w:rPr>
          <w:lang w:val="sk-SK"/>
        </w:rPr>
      </w:pPr>
    </w:p>
    <w:p w14:paraId="6C2EC525" w14:textId="77777777" w:rsidR="000275C2" w:rsidRDefault="000275C2" w:rsidP="00667033">
      <w:pPr>
        <w:pStyle w:val="Normlndobloku"/>
      </w:pPr>
      <w:r w:rsidRPr="00B96D19">
        <w:t xml:space="preserve">Obsah </w:t>
      </w:r>
      <w:r w:rsidR="00E76A68" w:rsidRPr="00B96D19">
        <w:t>1</w:t>
      </w:r>
      <w:r w:rsidRPr="00B96D19">
        <w:t xml:space="preserve"> liekovky (1</w:t>
      </w:r>
      <w:r w:rsidR="00CD4E05">
        <w:t xml:space="preserve"> </w:t>
      </w:r>
      <w:r w:rsidRPr="00B96D19">
        <w:t xml:space="preserve">000 mg cefazolínu) sa rozpustí v 4 ml kompatibilného rozpúšťadla (t.j. približná koncentrácia 220 mg/ml) a príslušný objem (uvedený v tabuľke 1) sa </w:t>
      </w:r>
      <w:r w:rsidR="00E76A68" w:rsidRPr="00B96D19">
        <w:t xml:space="preserve">odoberie </w:t>
      </w:r>
      <w:r w:rsidRPr="00B96D19">
        <w:t>z rekonštituovaného roztoku a podá sa intramuskulárnou injekciou.</w:t>
      </w:r>
    </w:p>
    <w:p w14:paraId="594DFC33" w14:textId="77777777" w:rsidR="00F45C16" w:rsidRDefault="00F45C16" w:rsidP="00667033">
      <w:pPr>
        <w:pStyle w:val="Normlndobloku"/>
      </w:pPr>
    </w:p>
    <w:p w14:paraId="1FD10FC3" w14:textId="77777777" w:rsidR="00F45C16" w:rsidRPr="00B96D19" w:rsidRDefault="00F45C16" w:rsidP="00667033">
      <w:pPr>
        <w:pStyle w:val="Normlndobloku"/>
      </w:pPr>
      <w:r w:rsidRPr="00F45C16">
        <w:t>Pre podanie u detí mladších ako 30 mesiacov sa cefazolín nesmie rozpúšťať v roztoku lidokaínu</w:t>
      </w:r>
      <w:r>
        <w:t>.</w:t>
      </w:r>
    </w:p>
    <w:p w14:paraId="32568083" w14:textId="77777777" w:rsidR="000275C2" w:rsidRPr="00B96D19" w:rsidRDefault="000275C2" w:rsidP="00667033">
      <w:pPr>
        <w:pStyle w:val="Normlndobloku"/>
      </w:pPr>
    </w:p>
    <w:p w14:paraId="3B8CDECF" w14:textId="77777777" w:rsidR="000275C2" w:rsidRPr="00B96D19" w:rsidRDefault="000275C2" w:rsidP="000275C2">
      <w:pPr>
        <w:pStyle w:val="Styl3"/>
        <w:spacing w:after="0"/>
        <w:rPr>
          <w:lang w:val="sk-SK"/>
        </w:rPr>
      </w:pPr>
      <w:r w:rsidRPr="00B96D19">
        <w:rPr>
          <w:lang w:val="sk-SK"/>
        </w:rPr>
        <w:t>Intravenózna infúzia</w:t>
      </w:r>
    </w:p>
    <w:p w14:paraId="264C6E0A" w14:textId="77777777" w:rsidR="000275C2" w:rsidRPr="00B96D19" w:rsidRDefault="000275C2" w:rsidP="00667033">
      <w:pPr>
        <w:pStyle w:val="Normlndobloku"/>
      </w:pPr>
    </w:p>
    <w:p w14:paraId="5D262A02" w14:textId="7FBACE75" w:rsidR="000275C2" w:rsidRPr="00B96D19" w:rsidRDefault="000275C2" w:rsidP="00667033">
      <w:pPr>
        <w:pStyle w:val="Normlndobloku"/>
      </w:pPr>
      <w:r w:rsidRPr="00B96D19">
        <w:t>Dávku možno podať ako intravenóznu infúziu pri použití rekonštituovaného a ďalej r</w:t>
      </w:r>
      <w:r w:rsidR="00394D71" w:rsidRPr="00B96D19">
        <w:t>ied</w:t>
      </w:r>
      <w:r w:rsidRPr="00B96D19">
        <w:t xml:space="preserve">eného roztoku (10 mg/ml) ako je popísané v </w:t>
      </w:r>
      <w:r w:rsidR="00394D71" w:rsidRPr="00B96D19">
        <w:t>pod</w:t>
      </w:r>
      <w:r w:rsidRPr="00B96D19">
        <w:t xml:space="preserve">časti </w:t>
      </w:r>
      <w:r w:rsidR="00F45C16">
        <w:rPr>
          <w:i/>
        </w:rPr>
        <w:t>„</w:t>
      </w:r>
      <w:r w:rsidR="00851AB6" w:rsidRPr="00B96D19">
        <w:rPr>
          <w:i/>
        </w:rPr>
        <w:t>Intravenózna infúzia</w:t>
      </w:r>
      <w:r w:rsidR="00F45C16">
        <w:rPr>
          <w:i/>
        </w:rPr>
        <w:t>“</w:t>
      </w:r>
      <w:r w:rsidR="00394D71" w:rsidRPr="00B96D19">
        <w:t xml:space="preserve"> časti </w:t>
      </w:r>
      <w:r w:rsidR="00394D71" w:rsidRPr="00B96D19">
        <w:rPr>
          <w:b/>
        </w:rPr>
        <w:t>Usmernenia pre dávkovanie u dospelých</w:t>
      </w:r>
      <w:r w:rsidR="00851AB6" w:rsidRPr="00B96D19">
        <w:t>.</w:t>
      </w:r>
    </w:p>
    <w:p w14:paraId="1C26674B" w14:textId="77777777" w:rsidR="000275C2" w:rsidRPr="00B96D19" w:rsidRDefault="000275C2" w:rsidP="00667033">
      <w:pPr>
        <w:pStyle w:val="Normlndobloku"/>
      </w:pPr>
    </w:p>
    <w:p w14:paraId="0855768D" w14:textId="77777777" w:rsidR="000275C2" w:rsidRPr="000A2067" w:rsidRDefault="00851AB6" w:rsidP="00667033">
      <w:pPr>
        <w:pStyle w:val="Normlndobloku"/>
        <w:rPr>
          <w:b/>
        </w:rPr>
      </w:pPr>
      <w:r w:rsidRPr="000A2067">
        <w:rPr>
          <w:b/>
        </w:rPr>
        <w:t>Pediatrickí pacienti s poruchou funkcie obličiek</w:t>
      </w:r>
    </w:p>
    <w:p w14:paraId="51B1AB94" w14:textId="77777777" w:rsidR="000275C2" w:rsidRPr="00B96D19" w:rsidRDefault="000275C2" w:rsidP="00667033">
      <w:pPr>
        <w:pStyle w:val="Normlndobloku"/>
      </w:pPr>
      <w:r w:rsidRPr="00B96D19">
        <w:t>U detí s poruchou funkcie obličiek (ako u dospelých) môže byť potrebná nižšia dávka, aby sa zabránilo akumulácii liečiva.</w:t>
      </w:r>
    </w:p>
    <w:p w14:paraId="28103AFD" w14:textId="77777777" w:rsidR="000275C2" w:rsidRPr="00B96D19" w:rsidRDefault="000275C2" w:rsidP="00667033">
      <w:pPr>
        <w:pStyle w:val="Normlndobloku"/>
      </w:pPr>
      <w:r w:rsidRPr="00B96D19">
        <w:t>Veľkosť tejto nižšej dávky možno určiť na základe hladiny liečiva v krvi. Ak to nie je možné, dávku možno určiť na základe klírensu kreatinínu podľa nasledovných usmernení.</w:t>
      </w:r>
    </w:p>
    <w:p w14:paraId="11B3B6CF" w14:textId="77777777" w:rsidR="000275C2" w:rsidRPr="00B96D19" w:rsidRDefault="000275C2" w:rsidP="00667033">
      <w:pPr>
        <w:pStyle w:val="Normlndobloku"/>
      </w:pPr>
    </w:p>
    <w:p w14:paraId="3678CDD6" w14:textId="77777777" w:rsidR="000275C2" w:rsidRPr="00B96D19" w:rsidRDefault="000275C2" w:rsidP="00667033">
      <w:pPr>
        <w:pStyle w:val="Normlndobloku"/>
      </w:pPr>
      <w:r w:rsidRPr="00B96D19">
        <w:t>U detí s</w:t>
      </w:r>
      <w:r w:rsidR="00944A8A" w:rsidRPr="00B96D19">
        <w:t>o</w:t>
      </w:r>
      <w:r w:rsidRPr="00B96D19">
        <w:t> </w:t>
      </w:r>
      <w:r w:rsidR="00944A8A" w:rsidRPr="00B96D19">
        <w:t>stredne</w:t>
      </w:r>
      <w:r w:rsidRPr="00B96D19">
        <w:t xml:space="preserve"> závažnou poruchou funkcie obličiek (klí</w:t>
      </w:r>
      <w:r w:rsidR="00AA67E5">
        <w:t>rens kreatinínu 40</w:t>
      </w:r>
      <w:r w:rsidR="00667033">
        <w:t>–</w:t>
      </w:r>
      <w:r w:rsidR="00AA67E5">
        <w:t>20 ml/min)</w:t>
      </w:r>
      <w:r w:rsidRPr="00B96D19">
        <w:t xml:space="preserve"> </w:t>
      </w:r>
      <w:r w:rsidR="00AA67E5" w:rsidRPr="00B96D19">
        <w:t>je postačujúc</w:t>
      </w:r>
      <w:r w:rsidR="00AA67E5">
        <w:t>ich</w:t>
      </w:r>
      <w:r w:rsidR="00AA67E5" w:rsidRPr="00B96D19">
        <w:t xml:space="preserve"> </w:t>
      </w:r>
      <w:r w:rsidRPr="00B96D19">
        <w:t>25</w:t>
      </w:r>
      <w:r w:rsidRPr="00B96D19">
        <w:rPr>
          <w:iCs/>
        </w:rPr>
        <w:t>%</w:t>
      </w:r>
      <w:r w:rsidRPr="00B96D19">
        <w:t xml:space="preserve"> zvyčajnej dennej dávky, rozde</w:t>
      </w:r>
      <w:r w:rsidR="00AA67E5">
        <w:t>lenej do dávok každých 12 hodín</w:t>
      </w:r>
      <w:r w:rsidRPr="00B96D19">
        <w:t>.</w:t>
      </w:r>
    </w:p>
    <w:p w14:paraId="537D4BC7" w14:textId="77777777" w:rsidR="000275C2" w:rsidRPr="00B96D19" w:rsidRDefault="00944A8A" w:rsidP="00667033">
      <w:pPr>
        <w:pStyle w:val="Normlndobloku"/>
      </w:pPr>
      <w:r w:rsidRPr="00B96D19">
        <w:t>U detí so </w:t>
      </w:r>
      <w:r w:rsidR="000275C2" w:rsidRPr="00B96D19">
        <w:t>závažnou poruchou funkcie obličiek (kl</w:t>
      </w:r>
      <w:r w:rsidR="00AA67E5">
        <w:t>írens kreatinínu 20</w:t>
      </w:r>
      <w:r w:rsidR="00667033">
        <w:t>–</w:t>
      </w:r>
      <w:r w:rsidR="00AA67E5">
        <w:t>5 ml/min)</w:t>
      </w:r>
      <w:r w:rsidR="000275C2" w:rsidRPr="00B96D19">
        <w:t xml:space="preserve"> </w:t>
      </w:r>
      <w:r w:rsidR="00AA67E5" w:rsidRPr="00B96D19">
        <w:t>je postačujúc</w:t>
      </w:r>
      <w:r w:rsidR="00AA67E5">
        <w:t>ich</w:t>
      </w:r>
      <w:r w:rsidR="00AA67E5" w:rsidRPr="00B96D19">
        <w:t xml:space="preserve"> </w:t>
      </w:r>
      <w:r w:rsidR="000275C2" w:rsidRPr="00B96D19">
        <w:t xml:space="preserve">10% zvyčajnej dennej </w:t>
      </w:r>
      <w:r w:rsidR="00AA67E5">
        <w:t>dávky, podanej každých 24 hodín</w:t>
      </w:r>
      <w:r w:rsidR="000275C2" w:rsidRPr="00B96D19">
        <w:t>.</w:t>
      </w:r>
    </w:p>
    <w:p w14:paraId="08D1049C" w14:textId="77777777" w:rsidR="000275C2" w:rsidRPr="00B96D19" w:rsidRDefault="000275C2" w:rsidP="00667033">
      <w:pPr>
        <w:pStyle w:val="Normlndobloku"/>
      </w:pPr>
      <w:r w:rsidRPr="00B96D19">
        <w:t>Tieto usmernenia sú platné po po</w:t>
      </w:r>
      <w:r w:rsidR="00944A8A" w:rsidRPr="00B96D19">
        <w:t>daní úvodnej dávky.</w:t>
      </w:r>
    </w:p>
    <w:p w14:paraId="55AA9D0D" w14:textId="77777777" w:rsidR="000275C2" w:rsidRPr="00B96D19" w:rsidRDefault="000275C2" w:rsidP="00667033">
      <w:pPr>
        <w:pStyle w:val="Normlndobloku"/>
      </w:pPr>
    </w:p>
    <w:p w14:paraId="0D57E766" w14:textId="77777777" w:rsidR="000275C2" w:rsidRPr="00B96D19" w:rsidRDefault="000275C2" w:rsidP="000275C2">
      <w:pPr>
        <w:pStyle w:val="Styl3"/>
        <w:spacing w:after="0"/>
        <w:rPr>
          <w:i/>
          <w:lang w:val="sk-SK" w:eastAsia="en-US"/>
        </w:rPr>
      </w:pPr>
      <w:r w:rsidRPr="00B96D19">
        <w:rPr>
          <w:i/>
          <w:iCs/>
          <w:u w:val="none"/>
          <w:lang w:val="sk-SK" w:eastAsia="en-US"/>
        </w:rPr>
        <w:t>Starší pacienti</w:t>
      </w:r>
    </w:p>
    <w:p w14:paraId="0054E836" w14:textId="77777777" w:rsidR="000275C2" w:rsidRPr="00B96D19" w:rsidRDefault="000275C2" w:rsidP="00667033">
      <w:pPr>
        <w:pStyle w:val="Normlndobloku"/>
      </w:pPr>
      <w:r w:rsidRPr="00B96D19">
        <w:t>U starších pacientov s normálnou funkciou obličiek nie je potrebná úprava dávkovania.</w:t>
      </w:r>
    </w:p>
    <w:p w14:paraId="545CFCEA" w14:textId="77777777" w:rsidR="000275C2" w:rsidRPr="00B96D19" w:rsidRDefault="000275C2" w:rsidP="00667033">
      <w:pPr>
        <w:pStyle w:val="Normlndobloku"/>
      </w:pPr>
    </w:p>
    <w:p w14:paraId="0E5F77AD" w14:textId="77777777" w:rsidR="000275C2" w:rsidRPr="000A2067" w:rsidRDefault="000275C2" w:rsidP="00667033">
      <w:pPr>
        <w:pStyle w:val="Normlndobloku"/>
        <w:rPr>
          <w:b/>
        </w:rPr>
      </w:pPr>
      <w:r w:rsidRPr="000A2067">
        <w:rPr>
          <w:b/>
        </w:rPr>
        <w:t>Spôsob podávania</w:t>
      </w:r>
    </w:p>
    <w:p w14:paraId="7F7EE177" w14:textId="77777777" w:rsidR="000275C2" w:rsidRPr="00B96D19" w:rsidRDefault="000275C2" w:rsidP="00667033">
      <w:pPr>
        <w:pStyle w:val="Normlndobloku"/>
      </w:pPr>
    </w:p>
    <w:p w14:paraId="419C8638" w14:textId="3C8F6BAB" w:rsidR="000275C2" w:rsidRPr="00B96D19" w:rsidRDefault="00944A8A" w:rsidP="00667033">
      <w:pPr>
        <w:pStyle w:val="Normlndobloku"/>
      </w:pPr>
      <w:r w:rsidRPr="00B96D19">
        <w:rPr>
          <w:rFonts w:eastAsia="Times New Roman"/>
          <w:color w:val="000000"/>
          <w:lang w:eastAsia="el-GR"/>
        </w:rPr>
        <w:t>Cefazol</w:t>
      </w:r>
      <w:r w:rsidR="00851942">
        <w:rPr>
          <w:rFonts w:eastAsia="Times New Roman"/>
          <w:color w:val="000000"/>
          <w:lang w:eastAsia="el-GR"/>
        </w:rPr>
        <w:t>í</w:t>
      </w:r>
      <w:r w:rsidRPr="00B96D19">
        <w:rPr>
          <w:rFonts w:eastAsia="Times New Roman"/>
          <w:color w:val="000000"/>
          <w:lang w:eastAsia="el-GR"/>
        </w:rPr>
        <w:t>n Noridem</w:t>
      </w:r>
      <w:r w:rsidR="000275C2" w:rsidRPr="00B96D19">
        <w:t xml:space="preserve"> 1 g možno podávať ako hlbokú i</w:t>
      </w:r>
      <w:r w:rsidR="00F84D13" w:rsidRPr="00B96D19">
        <w:t>.</w:t>
      </w:r>
      <w:r w:rsidR="000275C2" w:rsidRPr="00B96D19">
        <w:t>m</w:t>
      </w:r>
      <w:r w:rsidR="00F84D13" w:rsidRPr="00B96D19">
        <w:t>.</w:t>
      </w:r>
      <w:r w:rsidR="000275C2" w:rsidRPr="00B96D19">
        <w:t xml:space="preserve"> injekciu alebo pomalou intravenóznou injekciou alebo intravenóznou infúziou po zriedení.</w:t>
      </w:r>
    </w:p>
    <w:p w14:paraId="2CD5F314" w14:textId="6522610D" w:rsidR="000275C2" w:rsidRPr="00B96D19" w:rsidRDefault="00851AB6" w:rsidP="00667033">
      <w:pPr>
        <w:pStyle w:val="Normlndobloku"/>
      </w:pPr>
      <w:r w:rsidRPr="00B96D19">
        <w:rPr>
          <w:rFonts w:eastAsia="Times New Roman"/>
          <w:color w:val="000000"/>
          <w:lang w:eastAsia="el-GR"/>
        </w:rPr>
        <w:t>Cefazol</w:t>
      </w:r>
      <w:r w:rsidR="00851942">
        <w:rPr>
          <w:rFonts w:eastAsia="Times New Roman"/>
          <w:color w:val="000000"/>
          <w:lang w:eastAsia="el-GR"/>
        </w:rPr>
        <w:t>í</w:t>
      </w:r>
      <w:r w:rsidRPr="00B96D19">
        <w:rPr>
          <w:rFonts w:eastAsia="Times New Roman"/>
          <w:color w:val="000000"/>
          <w:lang w:eastAsia="el-GR"/>
        </w:rPr>
        <w:t>n Noridem</w:t>
      </w:r>
      <w:r w:rsidRPr="00B96D19">
        <w:t xml:space="preserve"> 2 g možno podávať pomalou intravenóznou injekciou alebo intravenóznou infúziou po zriedení.</w:t>
      </w:r>
      <w:r w:rsidR="006672FA">
        <w:t xml:space="preserve"> </w:t>
      </w:r>
      <w:r w:rsidR="006672FA" w:rsidRPr="006672FA">
        <w:t>Jednotlivé dávky presahujúce 1 g sa majú podávať intravenóznou infúziou.</w:t>
      </w:r>
    </w:p>
    <w:p w14:paraId="26DB0CDA" w14:textId="77777777" w:rsidR="000275C2" w:rsidRPr="00B96D19" w:rsidRDefault="000275C2" w:rsidP="00667033">
      <w:pPr>
        <w:pStyle w:val="Normlndobloku"/>
      </w:pPr>
      <w:r w:rsidRPr="00B96D19">
        <w:t>Objem a typ rozpúšťadla použitého na rekonštitúciu závisí od spôsobu podávania.</w:t>
      </w:r>
    </w:p>
    <w:p w14:paraId="3C88BEB8" w14:textId="77777777" w:rsidR="000275C2" w:rsidRDefault="000275C2" w:rsidP="00667033">
      <w:pPr>
        <w:pStyle w:val="Normlndobloku"/>
      </w:pPr>
    </w:p>
    <w:p w14:paraId="6509632C" w14:textId="77777777" w:rsidR="006672FA" w:rsidRDefault="006672FA" w:rsidP="00667033">
      <w:pPr>
        <w:pStyle w:val="Normlndobloku"/>
      </w:pPr>
      <w:r w:rsidRPr="006672FA">
        <w:t>Pokyny na rekonštitúciu lieku pred podaním</w:t>
      </w:r>
      <w:r>
        <w:t xml:space="preserve">, pozri časť </w:t>
      </w:r>
      <w:r w:rsidRPr="006672FA">
        <w:t>Príprava a</w:t>
      </w:r>
      <w:r>
        <w:t> </w:t>
      </w:r>
      <w:r w:rsidRPr="006672FA">
        <w:t>zaobchádzanie</w:t>
      </w:r>
      <w:r>
        <w:t>.</w:t>
      </w:r>
    </w:p>
    <w:p w14:paraId="342E7004" w14:textId="77777777" w:rsidR="006672FA" w:rsidRDefault="006672FA" w:rsidP="00667033">
      <w:pPr>
        <w:pStyle w:val="Normlndobloku"/>
      </w:pPr>
    </w:p>
    <w:p w14:paraId="748C2BE8" w14:textId="77777777" w:rsidR="006672FA" w:rsidRDefault="006672FA" w:rsidP="00667033">
      <w:pPr>
        <w:pStyle w:val="Normlndobloku"/>
      </w:pPr>
      <w:r w:rsidRPr="006672FA">
        <w:t>Ak sa ako rozpúšťadlo používa lidokaín, výsledný roztok sa za žiadnych okolností nesmie pod</w:t>
      </w:r>
      <w:r>
        <w:t>ať intravenózne</w:t>
      </w:r>
      <w:r w:rsidRPr="006672FA">
        <w:t>. Majú sa vziať do úvahy informácie uvedené v súhrne charakteristických vlastností lidokaínu.</w:t>
      </w:r>
    </w:p>
    <w:p w14:paraId="407D570C" w14:textId="77777777" w:rsidR="006672FA" w:rsidRPr="00B96D19" w:rsidRDefault="006672FA" w:rsidP="00667033">
      <w:pPr>
        <w:pStyle w:val="Normlndobloku"/>
      </w:pPr>
    </w:p>
    <w:p w14:paraId="23813344" w14:textId="77777777" w:rsidR="000275C2" w:rsidRPr="00B96D19" w:rsidRDefault="000275C2" w:rsidP="000275C2">
      <w:pPr>
        <w:pStyle w:val="Styl3"/>
        <w:spacing w:after="0"/>
        <w:rPr>
          <w:b/>
          <w:bCs/>
          <w:lang w:val="sk-SK"/>
        </w:rPr>
      </w:pPr>
      <w:r w:rsidRPr="00B96D19">
        <w:rPr>
          <w:b/>
          <w:bCs/>
          <w:u w:val="none"/>
          <w:lang w:val="sk-SK"/>
        </w:rPr>
        <w:t xml:space="preserve">Dĺžka </w:t>
      </w:r>
      <w:r w:rsidR="00EA0160">
        <w:rPr>
          <w:b/>
          <w:bCs/>
          <w:u w:val="none"/>
          <w:lang w:val="sk-SK"/>
        </w:rPr>
        <w:t xml:space="preserve">trvania </w:t>
      </w:r>
      <w:r w:rsidRPr="00B96D19">
        <w:rPr>
          <w:b/>
          <w:bCs/>
          <w:u w:val="none"/>
          <w:lang w:val="sk-SK"/>
        </w:rPr>
        <w:t>liečby</w:t>
      </w:r>
    </w:p>
    <w:p w14:paraId="2E986B41" w14:textId="77777777" w:rsidR="000275C2" w:rsidRPr="00B96D19" w:rsidRDefault="000275C2" w:rsidP="00667033">
      <w:pPr>
        <w:pStyle w:val="Normlndobloku"/>
      </w:pPr>
      <w:r w:rsidRPr="00B96D19">
        <w:t xml:space="preserve">Dĺžka </w:t>
      </w:r>
      <w:r w:rsidR="00EA0160">
        <w:t xml:space="preserve">trvania </w:t>
      </w:r>
      <w:r w:rsidRPr="00B96D19">
        <w:t>liečby závisí od závažnosti infekcie</w:t>
      </w:r>
      <w:r w:rsidR="00F84D13" w:rsidRPr="00B96D19">
        <w:t>,</w:t>
      </w:r>
      <w:r w:rsidRPr="00B96D19">
        <w:t xml:space="preserve"> a</w:t>
      </w:r>
      <w:r w:rsidR="00F84D13" w:rsidRPr="00B96D19">
        <w:t>ko aj</w:t>
      </w:r>
      <w:r w:rsidRPr="00B96D19">
        <w:t> od klinického a bakteriologického progresu.</w:t>
      </w:r>
    </w:p>
    <w:p w14:paraId="28577541" w14:textId="77777777" w:rsidR="001C3CAF" w:rsidRPr="00B96D19" w:rsidRDefault="001C3CAF" w:rsidP="00667033">
      <w:pPr>
        <w:pStyle w:val="Normlndobloku"/>
      </w:pPr>
    </w:p>
    <w:p w14:paraId="3E3A13E2" w14:textId="77777777" w:rsidR="00F84D13" w:rsidRPr="000A2067" w:rsidRDefault="00851AB6" w:rsidP="00667033">
      <w:pPr>
        <w:pStyle w:val="Normlndobloku"/>
        <w:rPr>
          <w:b/>
        </w:rPr>
      </w:pPr>
      <w:r w:rsidRPr="000A2067">
        <w:rPr>
          <w:b/>
        </w:rPr>
        <w:t>Likvidácia</w:t>
      </w:r>
    </w:p>
    <w:p w14:paraId="551993B3" w14:textId="77777777" w:rsidR="00F57241" w:rsidRPr="00B96D19" w:rsidRDefault="00F57241" w:rsidP="00667033">
      <w:pPr>
        <w:pStyle w:val="Normlndobloku"/>
      </w:pPr>
      <w:r w:rsidRPr="00B96D19">
        <w:t>Všetok nepoužitý liek alebo odpad vzniknutý z lieku sa má zlikvidovať v súlade s národnými požiadavkami.</w:t>
      </w:r>
    </w:p>
    <w:p w14:paraId="5144289F" w14:textId="77777777" w:rsidR="00F57241" w:rsidRPr="00B96D19" w:rsidRDefault="00F57241">
      <w:pPr>
        <w:pStyle w:val="Styl2"/>
      </w:pPr>
    </w:p>
    <w:p w14:paraId="3ED7397F" w14:textId="77777777" w:rsidR="00F84D13" w:rsidRPr="00B96D19" w:rsidRDefault="00F84D13">
      <w:pPr>
        <w:pStyle w:val="Styl2"/>
      </w:pPr>
      <w:r w:rsidRPr="00B96D19">
        <w:t>Predávkovanie</w:t>
      </w:r>
    </w:p>
    <w:p w14:paraId="61C59FE4" w14:textId="4CB8B037" w:rsidR="00F63A9E" w:rsidRPr="00B96D19" w:rsidRDefault="00F63A9E" w:rsidP="00667033">
      <w:pPr>
        <w:pStyle w:val="Normlndobloku"/>
      </w:pPr>
      <w:r w:rsidRPr="00B96D19">
        <w:t xml:space="preserve">Príznaky predávkovania </w:t>
      </w:r>
      <w:r w:rsidR="006672FA">
        <w:t>sú</w:t>
      </w:r>
      <w:r w:rsidRPr="00B96D19">
        <w:t xml:space="preserve"> bolesť</w:t>
      </w:r>
      <w:r w:rsidR="004E452D" w:rsidRPr="00B96D19">
        <w:t xml:space="preserve"> hlavy</w:t>
      </w:r>
      <w:r w:rsidRPr="00B96D19">
        <w:t>, vertigo, parestézi</w:t>
      </w:r>
      <w:r w:rsidR="006672FA">
        <w:t>a</w:t>
      </w:r>
      <w:r w:rsidRPr="00B96D19">
        <w:t>, poruchy centrálnej nervo</w:t>
      </w:r>
      <w:r w:rsidR="004E452D" w:rsidRPr="00B96D19">
        <w:t>vej sústavy ako agitácia, myokló</w:t>
      </w:r>
      <w:r w:rsidRPr="00B96D19">
        <w:t>nia a záchvaty.</w:t>
      </w:r>
    </w:p>
    <w:p w14:paraId="7593D719" w14:textId="77777777" w:rsidR="00F63A9E" w:rsidRPr="00B96D19" w:rsidRDefault="00F63A9E" w:rsidP="00667033">
      <w:pPr>
        <w:pStyle w:val="Normlndobloku"/>
      </w:pPr>
    </w:p>
    <w:p w14:paraId="43AFE227" w14:textId="77777777" w:rsidR="00F63A9E" w:rsidRPr="00B96D19" w:rsidRDefault="00F63A9E" w:rsidP="00667033">
      <w:pPr>
        <w:pStyle w:val="Normlndobloku"/>
        <w:rPr>
          <w:iCs/>
        </w:rPr>
      </w:pPr>
      <w:r w:rsidRPr="00B96D19">
        <w:t xml:space="preserve">V prípade otravy sú indikované opatrenia zrýchľujúce elimináciu. Neexistuje špecifické antidotum. </w:t>
      </w:r>
      <w:r w:rsidRPr="00B96D19">
        <w:rPr>
          <w:iCs/>
        </w:rPr>
        <w:t>Cefazolín možno hemodialyzovať.</w:t>
      </w:r>
    </w:p>
    <w:p w14:paraId="4D83C69D" w14:textId="77777777" w:rsidR="00B64ACE" w:rsidRPr="00B96D19" w:rsidRDefault="00B64ACE" w:rsidP="00667033">
      <w:pPr>
        <w:pStyle w:val="Normlndobloku"/>
      </w:pPr>
    </w:p>
    <w:sectPr w:rsidR="00B64ACE" w:rsidRPr="00B96D19" w:rsidSect="000A2067">
      <w:headerReference w:type="default" r:id="rId9"/>
      <w:footerReference w:type="even" r:id="rId10"/>
      <w:footerReference w:type="default" r:id="rId11"/>
      <w:headerReference w:type="first" r:id="rId12"/>
      <w:pgSz w:w="11906" w:h="16838" w:code="9"/>
      <w:pgMar w:top="1134" w:right="1418" w:bottom="1134" w:left="1418" w:header="737" w:footer="737" w:gutter="0"/>
      <w:cols w:space="708"/>
      <w:docGrid w:linePitch="299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8846E6E" w16cid:durableId="2004243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E63A37" w14:textId="77777777" w:rsidR="000A2067" w:rsidRDefault="000A2067" w:rsidP="00BB06C8">
      <w:r>
        <w:separator/>
      </w:r>
    </w:p>
    <w:p w14:paraId="445424CD" w14:textId="77777777" w:rsidR="000A2067" w:rsidRDefault="000A2067"/>
    <w:p w14:paraId="6B1497A0" w14:textId="77777777" w:rsidR="000A2067" w:rsidRDefault="000A2067" w:rsidP="00562B66"/>
    <w:p w14:paraId="1009B616" w14:textId="77777777" w:rsidR="000A2067" w:rsidRDefault="000A2067" w:rsidP="00562B66"/>
  </w:endnote>
  <w:endnote w:type="continuationSeparator" w:id="0">
    <w:p w14:paraId="5D0B5329" w14:textId="77777777" w:rsidR="000A2067" w:rsidRDefault="000A2067" w:rsidP="00BB06C8">
      <w:r>
        <w:continuationSeparator/>
      </w:r>
    </w:p>
    <w:p w14:paraId="16823579" w14:textId="77777777" w:rsidR="000A2067" w:rsidRDefault="000A2067"/>
    <w:p w14:paraId="1C4A13D0" w14:textId="77777777" w:rsidR="000A2067" w:rsidRDefault="000A2067" w:rsidP="00562B66"/>
    <w:p w14:paraId="60E6D685" w14:textId="77777777" w:rsidR="000A2067" w:rsidRDefault="000A2067" w:rsidP="00562B6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AE954B" w14:textId="77777777" w:rsidR="000A2067" w:rsidRDefault="000A2067" w:rsidP="00B65DDE">
    <w:pPr>
      <w:pStyle w:val="Pta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05A23458" w14:textId="77777777" w:rsidR="000A2067" w:rsidRDefault="000A2067" w:rsidP="00B65DDE">
    <w:pPr>
      <w:pStyle w:val="Pta"/>
    </w:pPr>
  </w:p>
  <w:p w14:paraId="3ABEBC22" w14:textId="77777777" w:rsidR="000A2067" w:rsidRDefault="000A2067"/>
  <w:p w14:paraId="4244259D" w14:textId="77777777" w:rsidR="000A2067" w:rsidRDefault="000A2067" w:rsidP="00562B66"/>
  <w:p w14:paraId="4B63D9E4" w14:textId="77777777" w:rsidR="000A2067" w:rsidRDefault="000A2067" w:rsidP="00562B6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96558322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46B4F80D" w14:textId="77777777" w:rsidR="000A2067" w:rsidRPr="000A2067" w:rsidRDefault="000A2067">
        <w:pPr>
          <w:pStyle w:val="Pta"/>
          <w:jc w:val="center"/>
          <w:rPr>
            <w:sz w:val="18"/>
            <w:szCs w:val="18"/>
          </w:rPr>
        </w:pPr>
        <w:r w:rsidRPr="000A2067">
          <w:rPr>
            <w:sz w:val="18"/>
            <w:szCs w:val="18"/>
          </w:rPr>
          <w:fldChar w:fldCharType="begin"/>
        </w:r>
        <w:r w:rsidRPr="000A2067">
          <w:rPr>
            <w:sz w:val="18"/>
            <w:szCs w:val="18"/>
          </w:rPr>
          <w:instrText>PAGE   \* MERGEFORMAT</w:instrText>
        </w:r>
        <w:r w:rsidRPr="000A2067">
          <w:rPr>
            <w:sz w:val="18"/>
            <w:szCs w:val="18"/>
          </w:rPr>
          <w:fldChar w:fldCharType="separate"/>
        </w:r>
        <w:r w:rsidR="00A90788" w:rsidRPr="00A90788">
          <w:rPr>
            <w:noProof/>
            <w:sz w:val="18"/>
            <w:szCs w:val="18"/>
            <w:lang w:val="sk-SK"/>
          </w:rPr>
          <w:t>1</w:t>
        </w:r>
        <w:r w:rsidRPr="000A2067">
          <w:rPr>
            <w:sz w:val="18"/>
            <w:szCs w:val="18"/>
          </w:rPr>
          <w:fldChar w:fldCharType="end"/>
        </w:r>
      </w:p>
    </w:sdtContent>
  </w:sdt>
  <w:p w14:paraId="279CDAAC" w14:textId="77777777" w:rsidR="000A2067" w:rsidRDefault="000A2067" w:rsidP="00562B6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C6DADE" w14:textId="77777777" w:rsidR="000A2067" w:rsidRDefault="000A2067" w:rsidP="00BB06C8">
      <w:r>
        <w:separator/>
      </w:r>
    </w:p>
    <w:p w14:paraId="6BC76A43" w14:textId="77777777" w:rsidR="000A2067" w:rsidRDefault="000A2067"/>
    <w:p w14:paraId="5C447098" w14:textId="77777777" w:rsidR="000A2067" w:rsidRDefault="000A2067" w:rsidP="00562B66"/>
    <w:p w14:paraId="48A0528E" w14:textId="77777777" w:rsidR="000A2067" w:rsidRDefault="000A2067" w:rsidP="00562B66"/>
  </w:footnote>
  <w:footnote w:type="continuationSeparator" w:id="0">
    <w:p w14:paraId="1FB92E86" w14:textId="77777777" w:rsidR="000A2067" w:rsidRDefault="000A2067" w:rsidP="00BB06C8">
      <w:r>
        <w:continuationSeparator/>
      </w:r>
    </w:p>
    <w:p w14:paraId="1E3A9BFB" w14:textId="77777777" w:rsidR="000A2067" w:rsidRDefault="000A2067"/>
    <w:p w14:paraId="497EA2BB" w14:textId="77777777" w:rsidR="000A2067" w:rsidRDefault="000A2067" w:rsidP="00562B66"/>
    <w:p w14:paraId="1A35C2C4" w14:textId="77777777" w:rsidR="000A2067" w:rsidRDefault="000A2067" w:rsidP="00562B6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8F10C8" w14:textId="77777777" w:rsidR="000A2067" w:rsidRDefault="000A2067">
    <w:pPr>
      <w:pStyle w:val="Hlavika"/>
      <w:rPr>
        <w:bCs/>
        <w:sz w:val="18"/>
        <w:szCs w:val="18"/>
        <w:lang w:val="sk-SK" w:eastAsia="en-US"/>
      </w:rPr>
    </w:pPr>
    <w:r w:rsidRPr="00E10452">
      <w:rPr>
        <w:bCs/>
        <w:sz w:val="18"/>
        <w:szCs w:val="18"/>
        <w:lang w:val="sk-SK" w:eastAsia="en-US"/>
      </w:rPr>
      <w:t>Schválený text k rozhodnutiu o registrácii, ev. č.: 2017/05542-REG, 2017/05543-REG</w:t>
    </w:r>
  </w:p>
  <w:p w14:paraId="5683A411" w14:textId="77777777" w:rsidR="000A2067" w:rsidRDefault="000A2067">
    <w:pPr>
      <w:pStyle w:val="Hlavika"/>
    </w:pPr>
    <w:r>
      <w:rPr>
        <w:noProof/>
        <w:sz w:val="18"/>
        <w:szCs w:val="18"/>
        <w:lang w:val="sk-SK"/>
      </w:rPr>
      <w:pict w14:anchorId="0EB985AD">
        <v:shapetype id="_x0000_t202" coordsize="21600,21600" o:spt="202" path="m,l,21600r21600,l21600,xe">
          <v:stroke joinstyle="miter"/>
          <v:path gradientshapeok="t" o:connecttype="rect"/>
        </v:shapetype>
        <v:shape id="MSIPCMdd0146969d5b735c336d84af" o:spid="_x0000_s2049" type="#_x0000_t202" alt="{&quot;HashCode&quot;:-1781889872,&quot;Height&quot;:841.0,&quot;Width&quot;:595.0,&quot;Placement&quot;:&quot;Header&quot;,&quot;Index&quot;:&quot;Primary&quot;,&quot;Section&quot;:1,&quot;Top&quot;:0.0,&quot;Left&quot;:0.0}" style="position:absolute;margin-left:0;margin-top:15pt;width:595.35pt;height:21pt;z-index:251659264;mso-wrap-style:square;mso-wrap-edited:f;mso-width-percent:0;mso-height-percent:0;mso-position-horizontal-relative:page;mso-position-vertical-relative:page;mso-width-percent:0;mso-height-percent:0;v-text-anchor:top" o:allowincell="f" filled="f" stroked="f">
          <v:textbox style="mso-next-textbox:#MSIPCMdd0146969d5b735c336d84af" inset="20pt,0,,0">
            <w:txbxContent>
              <w:p w14:paraId="7E4A003B" w14:textId="77777777" w:rsidR="000A2067" w:rsidRPr="005949B6" w:rsidRDefault="000A2067" w:rsidP="00E10452">
                <w:pPr>
                  <w:rPr>
                    <w:rFonts w:ascii="Calibri" w:hAnsi="Calibri" w:cs="Calibri"/>
                    <w:color w:val="317100"/>
                    <w:sz w:val="18"/>
                  </w:rPr>
                </w:pP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E3B85E" w14:textId="77777777" w:rsidR="000A2067" w:rsidRDefault="000A2067" w:rsidP="00BB06C8">
    <w:pPr>
      <w:pStyle w:val="Hlavika"/>
    </w:pPr>
  </w:p>
  <w:p w14:paraId="1E24D7A6" w14:textId="77777777" w:rsidR="000A2067" w:rsidRDefault="000A2067"/>
  <w:p w14:paraId="0671CB8F" w14:textId="77777777" w:rsidR="000A2067" w:rsidRDefault="000A2067" w:rsidP="00562B66"/>
  <w:p w14:paraId="569ACEAA" w14:textId="77777777" w:rsidR="000A2067" w:rsidRDefault="000A2067" w:rsidP="00562B6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84D17"/>
    <w:multiLevelType w:val="singleLevel"/>
    <w:tmpl w:val="04050001"/>
    <w:lvl w:ilvl="0">
      <w:start w:val="9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9C6DFA"/>
    <w:multiLevelType w:val="hybridMultilevel"/>
    <w:tmpl w:val="CFEC417C"/>
    <w:lvl w:ilvl="0" w:tplc="7870BEC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E234A5"/>
    <w:multiLevelType w:val="hybridMultilevel"/>
    <w:tmpl w:val="2E9A1334"/>
    <w:lvl w:ilvl="0" w:tplc="F7F06412">
      <w:numFmt w:val="bullet"/>
      <w:pStyle w:val="Normlndoblokusodrkami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C23DEE"/>
    <w:multiLevelType w:val="hybridMultilevel"/>
    <w:tmpl w:val="7080559A"/>
    <w:lvl w:ilvl="0" w:tplc="6AA820A8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B66F34"/>
    <w:multiLevelType w:val="hybridMultilevel"/>
    <w:tmpl w:val="D1C62BD2"/>
    <w:lvl w:ilvl="0" w:tplc="FFFFFFFF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4C7DB5"/>
    <w:multiLevelType w:val="hybridMultilevel"/>
    <w:tmpl w:val="4DCE25B4"/>
    <w:lvl w:ilvl="0" w:tplc="ADA290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5B58C6"/>
    <w:multiLevelType w:val="hybridMultilevel"/>
    <w:tmpl w:val="C38428A6"/>
    <w:lvl w:ilvl="0" w:tplc="FFFFFFFF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C40FC5"/>
    <w:multiLevelType w:val="singleLevel"/>
    <w:tmpl w:val="46245AC0"/>
    <w:lvl w:ilvl="0">
      <w:start w:val="7"/>
      <w:numFmt w:val="decimal"/>
      <w:lvlText w:val="4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8" w15:restartNumberingAfterBreak="0">
    <w:nsid w:val="284E00B9"/>
    <w:multiLevelType w:val="hybridMultilevel"/>
    <w:tmpl w:val="C7E0992A"/>
    <w:lvl w:ilvl="0" w:tplc="7870BEC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E905EC"/>
    <w:multiLevelType w:val="hybridMultilevel"/>
    <w:tmpl w:val="D17E52EA"/>
    <w:lvl w:ilvl="0" w:tplc="7870BEC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1D1383"/>
    <w:multiLevelType w:val="hybridMultilevel"/>
    <w:tmpl w:val="7954FDE6"/>
    <w:lvl w:ilvl="0" w:tplc="FFFFFFFF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50585E"/>
    <w:multiLevelType w:val="hybridMultilevel"/>
    <w:tmpl w:val="C94630A4"/>
    <w:lvl w:ilvl="0" w:tplc="FFFFFFFF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C26BBA"/>
    <w:multiLevelType w:val="hybridMultilevel"/>
    <w:tmpl w:val="283625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086226"/>
    <w:multiLevelType w:val="hybridMultilevel"/>
    <w:tmpl w:val="C2F02C7A"/>
    <w:lvl w:ilvl="0" w:tplc="9288F23A">
      <w:start w:val="1"/>
      <w:numFmt w:val="bullet"/>
      <w:pStyle w:val="Odrky2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AD4AA7"/>
    <w:multiLevelType w:val="multilevel"/>
    <w:tmpl w:val="A866D78C"/>
    <w:lvl w:ilvl="0">
      <w:start w:val="1"/>
      <w:numFmt w:val="decimal"/>
      <w:pStyle w:val="Styl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5" w15:restartNumberingAfterBreak="0">
    <w:nsid w:val="6B380B94"/>
    <w:multiLevelType w:val="hybridMultilevel"/>
    <w:tmpl w:val="C23AD532"/>
    <w:lvl w:ilvl="0" w:tplc="FFFFFFFF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4"/>
  </w:num>
  <w:num w:numId="3">
    <w:abstractNumId w:val="5"/>
  </w:num>
  <w:num w:numId="4">
    <w:abstractNumId w:val="13"/>
  </w:num>
  <w:num w:numId="5">
    <w:abstractNumId w:val="0"/>
  </w:num>
  <w:num w:numId="6">
    <w:abstractNumId w:val="7"/>
  </w:num>
  <w:num w:numId="7">
    <w:abstractNumId w:val="12"/>
  </w:num>
  <w:num w:numId="8">
    <w:abstractNumId w:val="15"/>
  </w:num>
  <w:num w:numId="9">
    <w:abstractNumId w:val="10"/>
  </w:num>
  <w:num w:numId="10">
    <w:abstractNumId w:val="11"/>
  </w:num>
  <w:num w:numId="11">
    <w:abstractNumId w:val="3"/>
  </w:num>
  <w:num w:numId="12">
    <w:abstractNumId w:val="2"/>
  </w:num>
  <w:num w:numId="13">
    <w:abstractNumId w:val="5"/>
  </w:num>
  <w:num w:numId="14">
    <w:abstractNumId w:val="5"/>
  </w:num>
  <w:num w:numId="15">
    <w:abstractNumId w:val="5"/>
  </w:num>
  <w:num w:numId="16">
    <w:abstractNumId w:val="5"/>
  </w:num>
  <w:num w:numId="17">
    <w:abstractNumId w:val="5"/>
  </w:num>
  <w:num w:numId="18">
    <w:abstractNumId w:val="5"/>
  </w:num>
  <w:num w:numId="19">
    <w:abstractNumId w:val="5"/>
  </w:num>
  <w:num w:numId="20">
    <w:abstractNumId w:val="5"/>
  </w:num>
  <w:num w:numId="21">
    <w:abstractNumId w:val="5"/>
  </w:num>
  <w:num w:numId="22">
    <w:abstractNumId w:val="5"/>
  </w:num>
  <w:num w:numId="23">
    <w:abstractNumId w:val="5"/>
  </w:num>
  <w:num w:numId="24">
    <w:abstractNumId w:val="5"/>
  </w:num>
  <w:num w:numId="25">
    <w:abstractNumId w:val="4"/>
  </w:num>
  <w:num w:numId="26">
    <w:abstractNumId w:val="6"/>
  </w:num>
  <w:num w:numId="27">
    <w:abstractNumId w:val="8"/>
  </w:num>
  <w:num w:numId="28">
    <w:abstractNumId w:val="1"/>
  </w:num>
  <w:num w:numId="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trackRevisions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B12B9"/>
    <w:rsid w:val="000006C9"/>
    <w:rsid w:val="0000709B"/>
    <w:rsid w:val="00007B94"/>
    <w:rsid w:val="000275C2"/>
    <w:rsid w:val="000322B8"/>
    <w:rsid w:val="00050078"/>
    <w:rsid w:val="000615BB"/>
    <w:rsid w:val="00081D67"/>
    <w:rsid w:val="0008359C"/>
    <w:rsid w:val="00087F0F"/>
    <w:rsid w:val="00092454"/>
    <w:rsid w:val="00092B5B"/>
    <w:rsid w:val="000A2067"/>
    <w:rsid w:val="000A7AAE"/>
    <w:rsid w:val="000B652D"/>
    <w:rsid w:val="000C6F83"/>
    <w:rsid w:val="000D1439"/>
    <w:rsid w:val="000E606B"/>
    <w:rsid w:val="000F29BC"/>
    <w:rsid w:val="000F5090"/>
    <w:rsid w:val="00162F23"/>
    <w:rsid w:val="00164678"/>
    <w:rsid w:val="001A6C82"/>
    <w:rsid w:val="001B584C"/>
    <w:rsid w:val="001B7569"/>
    <w:rsid w:val="001C3CAF"/>
    <w:rsid w:val="001D0E32"/>
    <w:rsid w:val="001D2793"/>
    <w:rsid w:val="001E5850"/>
    <w:rsid w:val="001F7FDF"/>
    <w:rsid w:val="002116BA"/>
    <w:rsid w:val="00213B26"/>
    <w:rsid w:val="002201F5"/>
    <w:rsid w:val="0022182E"/>
    <w:rsid w:val="00226594"/>
    <w:rsid w:val="002425E0"/>
    <w:rsid w:val="00252DAC"/>
    <w:rsid w:val="00257C90"/>
    <w:rsid w:val="00261C72"/>
    <w:rsid w:val="002638D8"/>
    <w:rsid w:val="0026710C"/>
    <w:rsid w:val="00272EE0"/>
    <w:rsid w:val="00273CC3"/>
    <w:rsid w:val="00274C8C"/>
    <w:rsid w:val="00293F53"/>
    <w:rsid w:val="00295C69"/>
    <w:rsid w:val="002B12B9"/>
    <w:rsid w:val="002C5B42"/>
    <w:rsid w:val="002D1073"/>
    <w:rsid w:val="002D6BA5"/>
    <w:rsid w:val="002F506F"/>
    <w:rsid w:val="002F65D7"/>
    <w:rsid w:val="00305A5F"/>
    <w:rsid w:val="003223DF"/>
    <w:rsid w:val="003265FE"/>
    <w:rsid w:val="00333D58"/>
    <w:rsid w:val="003354DC"/>
    <w:rsid w:val="00342111"/>
    <w:rsid w:val="00343410"/>
    <w:rsid w:val="00350C8C"/>
    <w:rsid w:val="003576F9"/>
    <w:rsid w:val="00373D16"/>
    <w:rsid w:val="00374F01"/>
    <w:rsid w:val="003856B2"/>
    <w:rsid w:val="00394D71"/>
    <w:rsid w:val="003B59F5"/>
    <w:rsid w:val="003D2497"/>
    <w:rsid w:val="003D3D4F"/>
    <w:rsid w:val="003D449F"/>
    <w:rsid w:val="003E0BB9"/>
    <w:rsid w:val="003E7899"/>
    <w:rsid w:val="003F5EBC"/>
    <w:rsid w:val="004342F0"/>
    <w:rsid w:val="00447495"/>
    <w:rsid w:val="00453743"/>
    <w:rsid w:val="004568BF"/>
    <w:rsid w:val="0046395D"/>
    <w:rsid w:val="00473D7A"/>
    <w:rsid w:val="00483F27"/>
    <w:rsid w:val="00496240"/>
    <w:rsid w:val="004B03F2"/>
    <w:rsid w:val="004C2558"/>
    <w:rsid w:val="004C6BA5"/>
    <w:rsid w:val="004D10D9"/>
    <w:rsid w:val="004E1E58"/>
    <w:rsid w:val="004E452D"/>
    <w:rsid w:val="004E4A75"/>
    <w:rsid w:val="004E6452"/>
    <w:rsid w:val="004F5D0D"/>
    <w:rsid w:val="005021AC"/>
    <w:rsid w:val="005119DA"/>
    <w:rsid w:val="00511F2D"/>
    <w:rsid w:val="0053570C"/>
    <w:rsid w:val="0055120B"/>
    <w:rsid w:val="00555291"/>
    <w:rsid w:val="005565D9"/>
    <w:rsid w:val="00562B66"/>
    <w:rsid w:val="00573DB0"/>
    <w:rsid w:val="00581F28"/>
    <w:rsid w:val="00593308"/>
    <w:rsid w:val="005B337B"/>
    <w:rsid w:val="005C18A6"/>
    <w:rsid w:val="005D7B4B"/>
    <w:rsid w:val="005E3255"/>
    <w:rsid w:val="005F6166"/>
    <w:rsid w:val="005F7C7C"/>
    <w:rsid w:val="00610F05"/>
    <w:rsid w:val="006152B6"/>
    <w:rsid w:val="00616B81"/>
    <w:rsid w:val="00656608"/>
    <w:rsid w:val="00667033"/>
    <w:rsid w:val="006672FA"/>
    <w:rsid w:val="00675E7C"/>
    <w:rsid w:val="00682A62"/>
    <w:rsid w:val="00684AF7"/>
    <w:rsid w:val="00685375"/>
    <w:rsid w:val="00687D8E"/>
    <w:rsid w:val="006B3060"/>
    <w:rsid w:val="006C364B"/>
    <w:rsid w:val="006E27DB"/>
    <w:rsid w:val="006E74EB"/>
    <w:rsid w:val="006F1380"/>
    <w:rsid w:val="006F3597"/>
    <w:rsid w:val="006F5459"/>
    <w:rsid w:val="007262A1"/>
    <w:rsid w:val="00731CC3"/>
    <w:rsid w:val="00744D70"/>
    <w:rsid w:val="007458D0"/>
    <w:rsid w:val="00792F09"/>
    <w:rsid w:val="007C3113"/>
    <w:rsid w:val="007C503D"/>
    <w:rsid w:val="007D073A"/>
    <w:rsid w:val="007D0C54"/>
    <w:rsid w:val="007E7981"/>
    <w:rsid w:val="007F3AE7"/>
    <w:rsid w:val="007F42E0"/>
    <w:rsid w:val="007F47D9"/>
    <w:rsid w:val="007F5379"/>
    <w:rsid w:val="008061F0"/>
    <w:rsid w:val="00813D26"/>
    <w:rsid w:val="00827A84"/>
    <w:rsid w:val="008306A6"/>
    <w:rsid w:val="00830F3F"/>
    <w:rsid w:val="00842F8A"/>
    <w:rsid w:val="00843CDD"/>
    <w:rsid w:val="00845EA8"/>
    <w:rsid w:val="00851942"/>
    <w:rsid w:val="00851AB6"/>
    <w:rsid w:val="00853637"/>
    <w:rsid w:val="00853C00"/>
    <w:rsid w:val="00861388"/>
    <w:rsid w:val="008709DC"/>
    <w:rsid w:val="008726A3"/>
    <w:rsid w:val="0088761F"/>
    <w:rsid w:val="00890471"/>
    <w:rsid w:val="00891F00"/>
    <w:rsid w:val="008A1149"/>
    <w:rsid w:val="008C3250"/>
    <w:rsid w:val="008C4BF9"/>
    <w:rsid w:val="008D0658"/>
    <w:rsid w:val="008E3B08"/>
    <w:rsid w:val="00900711"/>
    <w:rsid w:val="00900CC1"/>
    <w:rsid w:val="00900DCD"/>
    <w:rsid w:val="009040ED"/>
    <w:rsid w:val="00911120"/>
    <w:rsid w:val="00911598"/>
    <w:rsid w:val="009202A0"/>
    <w:rsid w:val="009261F0"/>
    <w:rsid w:val="0093612F"/>
    <w:rsid w:val="00944A8A"/>
    <w:rsid w:val="0095212A"/>
    <w:rsid w:val="00993838"/>
    <w:rsid w:val="009A01EC"/>
    <w:rsid w:val="009A0F55"/>
    <w:rsid w:val="009A717D"/>
    <w:rsid w:val="009D305B"/>
    <w:rsid w:val="00A07DFD"/>
    <w:rsid w:val="00A10DEE"/>
    <w:rsid w:val="00A274DF"/>
    <w:rsid w:val="00A52981"/>
    <w:rsid w:val="00A71A76"/>
    <w:rsid w:val="00A836BB"/>
    <w:rsid w:val="00A9070C"/>
    <w:rsid w:val="00A90788"/>
    <w:rsid w:val="00AA575E"/>
    <w:rsid w:val="00AA67E5"/>
    <w:rsid w:val="00AA6E0E"/>
    <w:rsid w:val="00AB3D4E"/>
    <w:rsid w:val="00AC1A49"/>
    <w:rsid w:val="00AC7570"/>
    <w:rsid w:val="00AE26D4"/>
    <w:rsid w:val="00AE7B8A"/>
    <w:rsid w:val="00AF7303"/>
    <w:rsid w:val="00B04D66"/>
    <w:rsid w:val="00B506D8"/>
    <w:rsid w:val="00B51E13"/>
    <w:rsid w:val="00B527A4"/>
    <w:rsid w:val="00B64ACE"/>
    <w:rsid w:val="00B65DDE"/>
    <w:rsid w:val="00B70847"/>
    <w:rsid w:val="00B80E69"/>
    <w:rsid w:val="00B83292"/>
    <w:rsid w:val="00B85D0C"/>
    <w:rsid w:val="00B909C8"/>
    <w:rsid w:val="00B96D19"/>
    <w:rsid w:val="00BA2EA0"/>
    <w:rsid w:val="00BA6844"/>
    <w:rsid w:val="00BB06C8"/>
    <w:rsid w:val="00BB1F4C"/>
    <w:rsid w:val="00BE3314"/>
    <w:rsid w:val="00BF0582"/>
    <w:rsid w:val="00C2056B"/>
    <w:rsid w:val="00C351B8"/>
    <w:rsid w:val="00C47ACE"/>
    <w:rsid w:val="00C53D1D"/>
    <w:rsid w:val="00C66829"/>
    <w:rsid w:val="00C74E70"/>
    <w:rsid w:val="00C81510"/>
    <w:rsid w:val="00C816E1"/>
    <w:rsid w:val="00C96682"/>
    <w:rsid w:val="00CA0B81"/>
    <w:rsid w:val="00CB1822"/>
    <w:rsid w:val="00CC0884"/>
    <w:rsid w:val="00CD0199"/>
    <w:rsid w:val="00CD4E05"/>
    <w:rsid w:val="00D02594"/>
    <w:rsid w:val="00D13ACD"/>
    <w:rsid w:val="00D36730"/>
    <w:rsid w:val="00D42AB7"/>
    <w:rsid w:val="00D46143"/>
    <w:rsid w:val="00D529C7"/>
    <w:rsid w:val="00D62E55"/>
    <w:rsid w:val="00D6362D"/>
    <w:rsid w:val="00D677A3"/>
    <w:rsid w:val="00D76E8B"/>
    <w:rsid w:val="00D7756D"/>
    <w:rsid w:val="00D808BA"/>
    <w:rsid w:val="00D94868"/>
    <w:rsid w:val="00D962B0"/>
    <w:rsid w:val="00DA0A2F"/>
    <w:rsid w:val="00DB3C9A"/>
    <w:rsid w:val="00DB6A00"/>
    <w:rsid w:val="00DB72EA"/>
    <w:rsid w:val="00DB7857"/>
    <w:rsid w:val="00DC3202"/>
    <w:rsid w:val="00DC3B51"/>
    <w:rsid w:val="00DD6237"/>
    <w:rsid w:val="00E07E55"/>
    <w:rsid w:val="00E10452"/>
    <w:rsid w:val="00E1585D"/>
    <w:rsid w:val="00E21ABC"/>
    <w:rsid w:val="00E302B2"/>
    <w:rsid w:val="00E40328"/>
    <w:rsid w:val="00E5178E"/>
    <w:rsid w:val="00E537DA"/>
    <w:rsid w:val="00E6129D"/>
    <w:rsid w:val="00E63D13"/>
    <w:rsid w:val="00E66554"/>
    <w:rsid w:val="00E75EA0"/>
    <w:rsid w:val="00E76A68"/>
    <w:rsid w:val="00E80726"/>
    <w:rsid w:val="00E807F2"/>
    <w:rsid w:val="00E811E9"/>
    <w:rsid w:val="00E82AB6"/>
    <w:rsid w:val="00EA0160"/>
    <w:rsid w:val="00EA5CED"/>
    <w:rsid w:val="00EB777C"/>
    <w:rsid w:val="00EC1FF6"/>
    <w:rsid w:val="00ED3540"/>
    <w:rsid w:val="00ED4234"/>
    <w:rsid w:val="00EE0B04"/>
    <w:rsid w:val="00EE48BD"/>
    <w:rsid w:val="00EF2FB8"/>
    <w:rsid w:val="00F03CFD"/>
    <w:rsid w:val="00F173A7"/>
    <w:rsid w:val="00F252B5"/>
    <w:rsid w:val="00F45C16"/>
    <w:rsid w:val="00F53D88"/>
    <w:rsid w:val="00F554A6"/>
    <w:rsid w:val="00F57241"/>
    <w:rsid w:val="00F6252F"/>
    <w:rsid w:val="00F63A9E"/>
    <w:rsid w:val="00F72675"/>
    <w:rsid w:val="00F73D2C"/>
    <w:rsid w:val="00F84D13"/>
    <w:rsid w:val="00F91A1F"/>
    <w:rsid w:val="00F96B37"/>
    <w:rsid w:val="00FA07C7"/>
    <w:rsid w:val="00FD1775"/>
    <w:rsid w:val="00FD237F"/>
    <w:rsid w:val="00FE1E97"/>
    <w:rsid w:val="00FE3647"/>
    <w:rsid w:val="00FE643E"/>
    <w:rsid w:val="00FF6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07AAEC45"/>
  <w15:docId w15:val="{59572079-0C63-9843-8255-F226C0275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autoRedefine/>
    <w:qFormat/>
    <w:rsid w:val="00BB06C8"/>
    <w:pPr>
      <w:spacing w:after="0" w:line="240" w:lineRule="auto"/>
    </w:pPr>
    <w:rPr>
      <w:rFonts w:ascii="Times New Roman" w:eastAsia="Times New Roman" w:hAnsi="Times New Roman" w:cs="Times New Roman"/>
      <w:szCs w:val="20"/>
      <w:lang w:val="en-US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yl1">
    <w:name w:val="Styl1"/>
    <w:basedOn w:val="Normlny"/>
    <w:autoRedefine/>
    <w:rsid w:val="006C364B"/>
    <w:pPr>
      <w:keepNext/>
      <w:numPr>
        <w:numId w:val="1"/>
      </w:numPr>
      <w:spacing w:before="120" w:after="120"/>
      <w:ind w:left="357" w:hanging="357"/>
    </w:pPr>
    <w:rPr>
      <w:b/>
      <w:bCs/>
      <w:caps/>
      <w:szCs w:val="24"/>
    </w:rPr>
  </w:style>
  <w:style w:type="paragraph" w:customStyle="1" w:styleId="Styl2">
    <w:name w:val="Styl2"/>
    <w:basedOn w:val="Normlny"/>
    <w:link w:val="Styl2Char"/>
    <w:autoRedefine/>
    <w:qFormat/>
    <w:rsid w:val="00226594"/>
    <w:pPr>
      <w:keepNext/>
    </w:pPr>
    <w:rPr>
      <w:b/>
      <w:bCs/>
      <w:lang w:val="sk-SK"/>
    </w:rPr>
  </w:style>
  <w:style w:type="paragraph" w:customStyle="1" w:styleId="Styl2-2">
    <w:name w:val="Styl2-2"/>
    <w:basedOn w:val="Styl2"/>
    <w:next w:val="Normlny"/>
    <w:autoRedefine/>
    <w:qFormat/>
    <w:rsid w:val="00DB72EA"/>
    <w:rPr>
      <w:lang w:val="en-GB"/>
    </w:rPr>
  </w:style>
  <w:style w:type="paragraph" w:customStyle="1" w:styleId="Styl3">
    <w:name w:val="Styl3"/>
    <w:basedOn w:val="Normlny"/>
    <w:link w:val="Styl3Char"/>
    <w:rsid w:val="00DB72EA"/>
    <w:pPr>
      <w:tabs>
        <w:tab w:val="left" w:pos="6946"/>
      </w:tabs>
      <w:spacing w:after="120"/>
      <w:jc w:val="both"/>
    </w:pPr>
    <w:rPr>
      <w:rFonts w:eastAsia="Calibri"/>
      <w:szCs w:val="24"/>
      <w:u w:val="single"/>
    </w:rPr>
  </w:style>
  <w:style w:type="character" w:customStyle="1" w:styleId="Styl3Char">
    <w:name w:val="Styl3 Char"/>
    <w:link w:val="Styl3"/>
    <w:rsid w:val="00DB72EA"/>
    <w:rPr>
      <w:rFonts w:ascii="Times New Roman" w:eastAsia="Calibri" w:hAnsi="Times New Roman" w:cs="Times New Roman"/>
      <w:szCs w:val="24"/>
      <w:u w:val="single"/>
    </w:rPr>
  </w:style>
  <w:style w:type="character" w:customStyle="1" w:styleId="Bacil">
    <w:name w:val="Bacil"/>
    <w:qFormat/>
    <w:rsid w:val="00DB72EA"/>
    <w:rPr>
      <w:i/>
    </w:rPr>
  </w:style>
  <w:style w:type="paragraph" w:customStyle="1" w:styleId="Normlndobloku">
    <w:name w:val="Normální do bloku"/>
    <w:basedOn w:val="Normlny"/>
    <w:link w:val="NormlndoblokuChar"/>
    <w:autoRedefine/>
    <w:rsid w:val="00667033"/>
    <w:pPr>
      <w:suppressAutoHyphens/>
    </w:pPr>
    <w:rPr>
      <w:rFonts w:eastAsia="Calibri"/>
      <w:szCs w:val="24"/>
      <w:lang w:val="sk-SK"/>
    </w:rPr>
  </w:style>
  <w:style w:type="character" w:customStyle="1" w:styleId="NormlndoblokuChar">
    <w:name w:val="Normální do bloku Char"/>
    <w:link w:val="Normlndobloku"/>
    <w:rsid w:val="00667033"/>
    <w:rPr>
      <w:rFonts w:ascii="Times New Roman" w:eastAsia="Calibri" w:hAnsi="Times New Roman" w:cs="Times New Roman"/>
      <w:szCs w:val="24"/>
      <w:lang w:val="sk-SK" w:eastAsia="cs-CZ"/>
    </w:rPr>
  </w:style>
  <w:style w:type="paragraph" w:customStyle="1" w:styleId="Normlndoblokusodrkami">
    <w:name w:val="Normální do bloku s odrážkami"/>
    <w:basedOn w:val="Normlndobloku"/>
    <w:next w:val="Normlndobloku"/>
    <w:autoRedefine/>
    <w:qFormat/>
    <w:rsid w:val="00A836BB"/>
    <w:pPr>
      <w:numPr>
        <w:numId w:val="12"/>
      </w:numPr>
      <w:ind w:hanging="720"/>
    </w:pPr>
    <w:rPr>
      <w:noProof/>
    </w:rPr>
  </w:style>
  <w:style w:type="paragraph" w:customStyle="1" w:styleId="Odrky2">
    <w:name w:val="Odrážky 2"/>
    <w:basedOn w:val="Normlndoblokusodrkami"/>
    <w:autoRedefine/>
    <w:qFormat/>
    <w:rsid w:val="00DB72EA"/>
    <w:pPr>
      <w:numPr>
        <w:numId w:val="4"/>
      </w:numPr>
    </w:pPr>
  </w:style>
  <w:style w:type="paragraph" w:customStyle="1" w:styleId="SPCaPILhlavika">
    <w:name w:val="SPC a PIL hlavička"/>
    <w:basedOn w:val="Normlny"/>
    <w:qFormat/>
    <w:rsid w:val="00C96682"/>
    <w:pPr>
      <w:spacing w:after="120"/>
      <w:jc w:val="center"/>
    </w:pPr>
    <w:rPr>
      <w:b/>
    </w:rPr>
  </w:style>
  <w:style w:type="character" w:styleId="Hypertextovprepojenie">
    <w:name w:val="Hyperlink"/>
    <w:rsid w:val="00BB06C8"/>
    <w:rPr>
      <w:color w:val="0000FF"/>
      <w:u w:val="single"/>
    </w:rPr>
  </w:style>
  <w:style w:type="paragraph" w:styleId="Hlavika">
    <w:name w:val="header"/>
    <w:basedOn w:val="Normlny"/>
    <w:link w:val="HlavikaChar"/>
    <w:uiPriority w:val="99"/>
    <w:rsid w:val="00BB06C8"/>
    <w:pPr>
      <w:tabs>
        <w:tab w:val="center" w:pos="4320"/>
        <w:tab w:val="right" w:pos="8640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B06C8"/>
    <w:rPr>
      <w:rFonts w:ascii="Times New Roman" w:eastAsia="Times New Roman" w:hAnsi="Times New Roman" w:cs="Times New Roman"/>
      <w:szCs w:val="20"/>
      <w:lang w:val="en-US" w:eastAsia="cs-CZ"/>
    </w:rPr>
  </w:style>
  <w:style w:type="paragraph" w:styleId="Pta">
    <w:name w:val="footer"/>
    <w:basedOn w:val="Normlny"/>
    <w:link w:val="PtaChar"/>
    <w:uiPriority w:val="99"/>
    <w:rsid w:val="00BB06C8"/>
    <w:pPr>
      <w:tabs>
        <w:tab w:val="center" w:pos="4320"/>
        <w:tab w:val="right" w:pos="8640"/>
      </w:tabs>
    </w:pPr>
  </w:style>
  <w:style w:type="character" w:customStyle="1" w:styleId="PtaChar">
    <w:name w:val="Päta Char"/>
    <w:basedOn w:val="Predvolenpsmoodseku"/>
    <w:link w:val="Pta"/>
    <w:uiPriority w:val="99"/>
    <w:rsid w:val="00BB06C8"/>
    <w:rPr>
      <w:rFonts w:ascii="Times New Roman" w:eastAsia="Times New Roman" w:hAnsi="Times New Roman" w:cs="Times New Roman"/>
      <w:szCs w:val="20"/>
      <w:lang w:val="en-US" w:eastAsia="cs-CZ"/>
    </w:rPr>
  </w:style>
  <w:style w:type="character" w:styleId="slostrany">
    <w:name w:val="page number"/>
    <w:basedOn w:val="Predvolenpsmoodseku"/>
    <w:rsid w:val="00BB06C8"/>
  </w:style>
  <w:style w:type="character" w:customStyle="1" w:styleId="shorttext">
    <w:name w:val="short_text"/>
    <w:rsid w:val="00BB06C8"/>
  </w:style>
  <w:style w:type="character" w:customStyle="1" w:styleId="Styl2Char">
    <w:name w:val="Styl2 Char"/>
    <w:link w:val="Styl2"/>
    <w:locked/>
    <w:rsid w:val="00226594"/>
    <w:rPr>
      <w:rFonts w:ascii="Times New Roman" w:eastAsia="Times New Roman" w:hAnsi="Times New Roman" w:cs="Times New Roman"/>
      <w:b/>
      <w:bCs/>
      <w:szCs w:val="20"/>
      <w:lang w:val="sk-SK" w:eastAsia="cs-CZ"/>
    </w:rPr>
  </w:style>
  <w:style w:type="paragraph" w:customStyle="1" w:styleId="Tabulkynormlndoblokuzarovnndoleva">
    <w:name w:val="Tabulky = normální do bloku + zarovnání doleva"/>
    <w:basedOn w:val="Normlndobloku"/>
    <w:rsid w:val="00BB06C8"/>
    <w:pPr>
      <w:framePr w:hSpace="142" w:wrap="around" w:vAnchor="text" w:hAnchor="text" w:y="1"/>
      <w:suppressOverlap/>
    </w:pPr>
    <w:rPr>
      <w:rFonts w:ascii="TimesNewRoman" w:hAnsi="TimesNewRoman" w:cs="TimesNewRoman"/>
      <w:szCs w:val="20"/>
    </w:rPr>
  </w:style>
  <w:style w:type="paragraph" w:customStyle="1" w:styleId="Nadpisuvnittabulky">
    <w:name w:val="Nadpis uvnitř tabulky"/>
    <w:basedOn w:val="Tabulkynormlndoblokuzarovnndoleva"/>
    <w:qFormat/>
    <w:rsid w:val="00BB06C8"/>
    <w:pPr>
      <w:framePr w:hSpace="0" w:wrap="auto" w:vAnchor="margin" w:yAlign="inline"/>
      <w:spacing w:before="120"/>
      <w:suppressOverlap w:val="0"/>
    </w:pPr>
    <w:rPr>
      <w:b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C6F8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C6F83"/>
    <w:rPr>
      <w:rFonts w:ascii="Tahoma" w:eastAsia="Times New Roman" w:hAnsi="Tahoma" w:cs="Tahoma"/>
      <w:sz w:val="16"/>
      <w:szCs w:val="16"/>
      <w:lang w:val="en-US" w:eastAsia="cs-CZ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62B66"/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62B66"/>
    <w:rPr>
      <w:rFonts w:ascii="Times New Roman" w:eastAsia="Times New Roman" w:hAnsi="Times New Roman" w:cs="Times New Roman"/>
      <w:sz w:val="20"/>
      <w:szCs w:val="20"/>
      <w:lang w:val="en-US" w:eastAsia="cs-CZ"/>
    </w:rPr>
  </w:style>
  <w:style w:type="paragraph" w:styleId="Predmetkomentra">
    <w:name w:val="annotation subject"/>
    <w:basedOn w:val="Textkomentra"/>
    <w:next w:val="Textkomentra"/>
    <w:link w:val="PredmetkomentraChar"/>
    <w:rsid w:val="00562B66"/>
    <w:rPr>
      <w:b/>
      <w:bCs/>
      <w:lang w:eastAsia="en-US"/>
    </w:rPr>
  </w:style>
  <w:style w:type="character" w:customStyle="1" w:styleId="PredmetkomentraChar">
    <w:name w:val="Predmet komentára Char"/>
    <w:basedOn w:val="TextkomentraChar"/>
    <w:link w:val="Predmetkomentra"/>
    <w:rsid w:val="00562B66"/>
    <w:rPr>
      <w:rFonts w:ascii="Times New Roman" w:eastAsia="Times New Roman" w:hAnsi="Times New Roman" w:cs="Times New Roman"/>
      <w:b/>
      <w:bCs/>
      <w:sz w:val="20"/>
      <w:szCs w:val="20"/>
      <w:lang w:val="en-US" w:eastAsia="cs-CZ"/>
    </w:rPr>
  </w:style>
  <w:style w:type="table" w:styleId="Mriekatabuky">
    <w:name w:val="Table Grid"/>
    <w:basedOn w:val="Normlnatabuka"/>
    <w:uiPriority w:val="39"/>
    <w:rsid w:val="003D3D4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Odkaznakomentr">
    <w:name w:val="annotation reference"/>
    <w:rsid w:val="003D3D4F"/>
    <w:rPr>
      <w:sz w:val="16"/>
      <w:szCs w:val="16"/>
    </w:rPr>
  </w:style>
  <w:style w:type="table" w:customStyle="1" w:styleId="Mriekatabuky1">
    <w:name w:val="Mriežka tabuľky1"/>
    <w:basedOn w:val="Normlnatabuka"/>
    <w:next w:val="Mriekatabuky"/>
    <w:uiPriority w:val="39"/>
    <w:unhideWhenUsed/>
    <w:rsid w:val="00F625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E13807-6EA6-47FA-BE01-67198596B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375</TotalTime>
  <Pages>13</Pages>
  <Words>4780</Words>
  <Characters>27248</Characters>
  <Application>Microsoft Office Word</Application>
  <DocSecurity>0</DocSecurity>
  <Lines>227</Lines>
  <Paragraphs>63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Lacková, Beáta</cp:lastModifiedBy>
  <cp:revision>21</cp:revision>
  <cp:lastPrinted>2016-03-21T10:59:00Z</cp:lastPrinted>
  <dcterms:created xsi:type="dcterms:W3CDTF">2018-11-12T20:06:00Z</dcterms:created>
  <dcterms:modified xsi:type="dcterms:W3CDTF">2019-02-06T09:16:00Z</dcterms:modified>
</cp:coreProperties>
</file>