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A2560" w14:textId="5880E54A" w:rsidR="00D86D14" w:rsidRPr="006A6EC0" w:rsidRDefault="00D86D14" w:rsidP="00D86D14">
      <w:pPr>
        <w:tabs>
          <w:tab w:val="clear" w:pos="567"/>
        </w:tabs>
        <w:spacing w:line="240" w:lineRule="auto"/>
        <w:outlineLvl w:val="0"/>
        <w:rPr>
          <w:bCs/>
          <w:noProof/>
          <w:sz w:val="18"/>
          <w:szCs w:val="18"/>
          <w:lang w:val="de-DE"/>
        </w:rPr>
      </w:pPr>
      <w:bookmarkStart w:id="0" w:name="_GoBack"/>
      <w:bookmarkEnd w:id="0"/>
    </w:p>
    <w:p w14:paraId="7CB8AADD" w14:textId="77777777" w:rsidR="00D86D14" w:rsidRDefault="00D86D14" w:rsidP="00D86D14">
      <w:pPr>
        <w:tabs>
          <w:tab w:val="clear" w:pos="567"/>
        </w:tabs>
        <w:spacing w:line="240" w:lineRule="auto"/>
        <w:outlineLvl w:val="0"/>
        <w:rPr>
          <w:b/>
          <w:noProof/>
          <w:lang w:val="sk-SK"/>
        </w:rPr>
      </w:pPr>
    </w:p>
    <w:p w14:paraId="537FDC11" w14:textId="7AE58B0A" w:rsidR="00D86D14" w:rsidRPr="00D06041" w:rsidRDefault="00E63834" w:rsidP="00D86D14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sk-SK"/>
        </w:rPr>
      </w:pPr>
      <w:r w:rsidRPr="006A6EC0">
        <w:rPr>
          <w:b/>
          <w:noProof/>
          <w:lang w:val="sk-SK"/>
        </w:rPr>
        <w:t>Písomná informácia pre používateľa</w:t>
      </w:r>
    </w:p>
    <w:p w14:paraId="6B2A54B6" w14:textId="77777777" w:rsidR="00D86D14" w:rsidRPr="00D06041" w:rsidRDefault="00D86D14" w:rsidP="00D86D14">
      <w:pPr>
        <w:tabs>
          <w:tab w:val="clear" w:pos="567"/>
        </w:tabs>
        <w:spacing w:line="240" w:lineRule="auto"/>
        <w:outlineLvl w:val="0"/>
        <w:rPr>
          <w:b/>
          <w:noProof/>
          <w:lang w:val="sk-SK"/>
        </w:rPr>
      </w:pPr>
    </w:p>
    <w:p w14:paraId="5200B078" w14:textId="582EC705" w:rsidR="00D86D14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lang w:val="sk-SK"/>
        </w:rPr>
      </w:pPr>
      <w:r>
        <w:rPr>
          <w:b/>
          <w:bCs/>
          <w:noProof/>
          <w:lang w:val="sk-SK"/>
        </w:rPr>
        <w:t>Cefotaxim Eberth</w:t>
      </w:r>
      <w:r w:rsidRPr="00D06041">
        <w:rPr>
          <w:b/>
          <w:bCs/>
          <w:noProof/>
          <w:lang w:val="sk-SK"/>
        </w:rPr>
        <w:t xml:space="preserve"> 0,5 g</w:t>
      </w:r>
      <w:r>
        <w:rPr>
          <w:b/>
          <w:bCs/>
          <w:noProof/>
          <w:lang w:val="sk-SK"/>
        </w:rPr>
        <w:t xml:space="preserve"> </w:t>
      </w:r>
      <w:r w:rsidRPr="00D06041">
        <w:rPr>
          <w:b/>
          <w:bCs/>
          <w:noProof/>
          <w:lang w:val="sk-SK"/>
        </w:rPr>
        <w:t>prášok na injekčný roztok</w:t>
      </w:r>
    </w:p>
    <w:p w14:paraId="7F7ECA3A" w14:textId="1595FE95" w:rsidR="00D86D14" w:rsidRPr="00910C2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lang w:val="sk-SK"/>
        </w:rPr>
      </w:pPr>
      <w:r w:rsidRPr="00910C21">
        <w:rPr>
          <w:b/>
          <w:bCs/>
          <w:noProof/>
          <w:lang w:val="sk-SK"/>
        </w:rPr>
        <w:t>Cefotaxim Eberth 1 g</w:t>
      </w:r>
      <w:r>
        <w:rPr>
          <w:b/>
          <w:bCs/>
          <w:noProof/>
          <w:lang w:val="sk-SK"/>
        </w:rPr>
        <w:t xml:space="preserve"> prášok na injekčný alebo infúzny roztok</w:t>
      </w:r>
      <w:r w:rsidRPr="00910C21">
        <w:rPr>
          <w:b/>
          <w:bCs/>
          <w:noProof/>
          <w:lang w:val="sk-SK"/>
        </w:rPr>
        <w:t xml:space="preserve"> </w:t>
      </w:r>
    </w:p>
    <w:p w14:paraId="3E20FCB8" w14:textId="365465F5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lang w:val="sk-SK"/>
        </w:rPr>
      </w:pPr>
      <w:r w:rsidRPr="00910C21">
        <w:rPr>
          <w:b/>
          <w:bCs/>
          <w:noProof/>
          <w:lang w:val="sk-SK"/>
        </w:rPr>
        <w:t>Cefotaxim Eberth 2 g</w:t>
      </w:r>
      <w:r>
        <w:rPr>
          <w:b/>
          <w:bCs/>
          <w:noProof/>
          <w:lang w:val="sk-SK"/>
        </w:rPr>
        <w:t xml:space="preserve"> </w:t>
      </w:r>
      <w:r w:rsidRPr="00910C21">
        <w:rPr>
          <w:b/>
          <w:bCs/>
          <w:noProof/>
          <w:lang w:val="sk-SK"/>
        </w:rPr>
        <w:t>prášok na injekčný alebo infúzny roztok</w:t>
      </w:r>
    </w:p>
    <w:p w14:paraId="128BFD2E" w14:textId="77777777" w:rsidR="00D86D14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lang w:val="sk-SK"/>
        </w:rPr>
      </w:pPr>
    </w:p>
    <w:p w14:paraId="1F7C9B7D" w14:textId="5ED83AF3" w:rsidR="00D86D14" w:rsidRPr="00D06041" w:rsidRDefault="007241F9" w:rsidP="00D86D1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Cs/>
          <w:noProof/>
          <w:sz w:val="18"/>
          <w:szCs w:val="18"/>
          <w:lang w:val="sk-SK"/>
        </w:rPr>
      </w:pPr>
      <w:r>
        <w:rPr>
          <w:noProof/>
          <w:lang w:val="sk-SK"/>
        </w:rPr>
        <w:t>c</w:t>
      </w:r>
      <w:r w:rsidR="00D86D14">
        <w:rPr>
          <w:noProof/>
          <w:lang w:val="sk-SK"/>
        </w:rPr>
        <w:t>efotaxím</w:t>
      </w:r>
    </w:p>
    <w:p w14:paraId="0A65D2B8" w14:textId="77777777" w:rsidR="00D86D14" w:rsidRPr="00D06041" w:rsidRDefault="00D86D14" w:rsidP="00D86D14">
      <w:pPr>
        <w:rPr>
          <w:lang w:val="sk-SK"/>
        </w:rPr>
      </w:pPr>
    </w:p>
    <w:p w14:paraId="7F519B2E" w14:textId="5972722A" w:rsidR="00D86D14" w:rsidRPr="00D06041" w:rsidRDefault="00D86D14" w:rsidP="00D86D14">
      <w:pPr>
        <w:ind w:right="-2"/>
        <w:rPr>
          <w:noProof/>
          <w:szCs w:val="22"/>
          <w:lang w:val="sk-SK"/>
        </w:rPr>
      </w:pPr>
      <w:r w:rsidRPr="00D06041">
        <w:rPr>
          <w:b/>
          <w:noProof/>
          <w:szCs w:val="22"/>
          <w:lang w:val="sk-SK"/>
        </w:rPr>
        <w:t xml:space="preserve">Pozorne si prečítajte celú písomnú informáciu </w:t>
      </w:r>
      <w:r w:rsidR="004F0FB1">
        <w:rPr>
          <w:b/>
          <w:noProof/>
          <w:szCs w:val="22"/>
          <w:lang w:val="sk-SK"/>
        </w:rPr>
        <w:t>predtým</w:t>
      </w:r>
      <w:r w:rsidRPr="00D06041">
        <w:rPr>
          <w:b/>
          <w:noProof/>
          <w:szCs w:val="22"/>
          <w:lang w:val="sk-SK"/>
        </w:rPr>
        <w:t xml:space="preserve">, ako začnete </w:t>
      </w:r>
      <w:r w:rsidR="006F4451">
        <w:rPr>
          <w:b/>
          <w:noProof/>
          <w:szCs w:val="22"/>
          <w:lang w:val="sk-SK"/>
        </w:rPr>
        <w:t>po</w:t>
      </w:r>
      <w:r w:rsidRPr="00D06041">
        <w:rPr>
          <w:b/>
          <w:noProof/>
          <w:szCs w:val="22"/>
          <w:lang w:val="sk-SK"/>
        </w:rPr>
        <w:t>užívať</w:t>
      </w:r>
      <w:r w:rsidRPr="00D06041">
        <w:rPr>
          <w:noProof/>
          <w:szCs w:val="22"/>
          <w:lang w:val="sk-SK"/>
        </w:rPr>
        <w:t xml:space="preserve"> </w:t>
      </w:r>
      <w:r w:rsidR="004F0FB1">
        <w:rPr>
          <w:b/>
          <w:noProof/>
          <w:szCs w:val="22"/>
          <w:lang w:val="sk-SK"/>
        </w:rPr>
        <w:t>tento</w:t>
      </w:r>
      <w:r w:rsidRPr="00D06041">
        <w:rPr>
          <w:b/>
          <w:noProof/>
          <w:szCs w:val="22"/>
          <w:lang w:val="sk-SK"/>
        </w:rPr>
        <w:t xml:space="preserve"> liek</w:t>
      </w:r>
      <w:r w:rsidR="004F0FB1" w:rsidRPr="006A6EC0">
        <w:rPr>
          <w:b/>
          <w:noProof/>
          <w:lang w:val="sk-SK"/>
        </w:rPr>
        <w:t>, pretože obsahuje pre vás dôležité informácie</w:t>
      </w:r>
      <w:r w:rsidRPr="00D06041">
        <w:rPr>
          <w:b/>
          <w:noProof/>
          <w:szCs w:val="22"/>
          <w:lang w:val="sk-SK"/>
        </w:rPr>
        <w:t>.</w:t>
      </w:r>
    </w:p>
    <w:p w14:paraId="78BB38B5" w14:textId="77777777" w:rsidR="00D86D14" w:rsidRPr="00D06041" w:rsidRDefault="00D86D14" w:rsidP="00D86D1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/>
        </w:rPr>
      </w:pPr>
      <w:r w:rsidRPr="00D06041">
        <w:rPr>
          <w:noProof/>
          <w:szCs w:val="22"/>
          <w:lang w:val="sk-SK"/>
        </w:rPr>
        <w:t>Túto písomnú informáciu si uschovajte. Možno bude potrebné, aby ste si ju znovu prečítali.</w:t>
      </w:r>
    </w:p>
    <w:p w14:paraId="417B617A" w14:textId="0FFB7E96" w:rsidR="00D86D14" w:rsidRDefault="00D86D14" w:rsidP="00D86D1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/>
        </w:rPr>
      </w:pPr>
      <w:r w:rsidRPr="00D06041">
        <w:rPr>
          <w:noProof/>
          <w:szCs w:val="22"/>
          <w:lang w:val="sk-SK"/>
        </w:rPr>
        <w:t>Ak máte akékoľvek ďalšie otázky, obráťte sa na svojho lekára</w:t>
      </w:r>
      <w:r w:rsidR="00D667DA">
        <w:rPr>
          <w:noProof/>
          <w:szCs w:val="22"/>
          <w:lang w:val="sk-SK"/>
        </w:rPr>
        <w:t>,</w:t>
      </w:r>
      <w:r w:rsidRPr="00D06041">
        <w:rPr>
          <w:noProof/>
          <w:szCs w:val="22"/>
          <w:lang w:val="sk-SK"/>
        </w:rPr>
        <w:t xml:space="preserve"> </w:t>
      </w:r>
      <w:r w:rsidR="0014363C">
        <w:rPr>
          <w:noProof/>
          <w:szCs w:val="22"/>
          <w:lang w:val="sk-SK"/>
        </w:rPr>
        <w:t>lekárnika</w:t>
      </w:r>
      <w:r w:rsidR="00D667DA" w:rsidRPr="00D667DA">
        <w:rPr>
          <w:noProof/>
          <w:szCs w:val="22"/>
          <w:lang w:val="sk-SK"/>
        </w:rPr>
        <w:t xml:space="preserve"> </w:t>
      </w:r>
      <w:r w:rsidR="00D667DA" w:rsidRPr="00D06041">
        <w:rPr>
          <w:noProof/>
          <w:szCs w:val="22"/>
          <w:lang w:val="sk-SK"/>
        </w:rPr>
        <w:t>alebo</w:t>
      </w:r>
      <w:r w:rsidR="00D667DA">
        <w:rPr>
          <w:noProof/>
          <w:szCs w:val="22"/>
          <w:lang w:val="sk-SK"/>
        </w:rPr>
        <w:t xml:space="preserve"> zdravotnú sestru</w:t>
      </w:r>
      <w:r w:rsidRPr="00164C90">
        <w:rPr>
          <w:noProof/>
          <w:szCs w:val="22"/>
          <w:lang w:val="sk-SK"/>
        </w:rPr>
        <w:t>.</w:t>
      </w:r>
    </w:p>
    <w:p w14:paraId="7F156871" w14:textId="725781A7" w:rsidR="00D86D14" w:rsidRPr="00D06041" w:rsidRDefault="00D86D14" w:rsidP="00190F7C">
      <w:pPr>
        <w:numPr>
          <w:ilvl w:val="0"/>
          <w:numId w:val="1"/>
        </w:numPr>
        <w:rPr>
          <w:noProof/>
          <w:szCs w:val="22"/>
          <w:lang w:val="sk-SK"/>
        </w:rPr>
      </w:pPr>
      <w:r w:rsidRPr="00D06041">
        <w:rPr>
          <w:noProof/>
          <w:szCs w:val="22"/>
          <w:lang w:val="sk-SK"/>
        </w:rPr>
        <w:t xml:space="preserve">   </w:t>
      </w:r>
      <w:r w:rsidR="00FF31FA">
        <w:rPr>
          <w:noProof/>
          <w:szCs w:val="22"/>
          <w:lang w:val="sk-SK"/>
        </w:rPr>
        <w:t xml:space="preserve"> </w:t>
      </w:r>
      <w:r w:rsidRPr="00D06041">
        <w:rPr>
          <w:noProof/>
          <w:szCs w:val="22"/>
          <w:lang w:val="sk-SK"/>
        </w:rPr>
        <w:t xml:space="preserve">Ak </w:t>
      </w:r>
      <w:r w:rsidR="0075667A">
        <w:rPr>
          <w:noProof/>
          <w:szCs w:val="22"/>
          <w:lang w:val="sk-SK"/>
        </w:rPr>
        <w:t xml:space="preserve">sa u vás vyskytne </w:t>
      </w:r>
      <w:r w:rsidRPr="00D06041">
        <w:rPr>
          <w:noProof/>
          <w:szCs w:val="22"/>
          <w:lang w:val="sk-SK"/>
        </w:rPr>
        <w:t>akýkoľvek vedľajší účinok</w:t>
      </w:r>
      <w:r w:rsidR="00A011D5">
        <w:rPr>
          <w:noProof/>
          <w:szCs w:val="22"/>
          <w:lang w:val="sk-SK"/>
        </w:rPr>
        <w:t>, obráťte sa na</w:t>
      </w:r>
      <w:r w:rsidRPr="00D06041">
        <w:rPr>
          <w:noProof/>
          <w:szCs w:val="22"/>
          <w:lang w:val="sk-SK"/>
        </w:rPr>
        <w:t xml:space="preserve"> svoj</w:t>
      </w:r>
      <w:r w:rsidR="00A011D5">
        <w:rPr>
          <w:noProof/>
          <w:szCs w:val="22"/>
          <w:lang w:val="sk-SK"/>
        </w:rPr>
        <w:t>ho</w:t>
      </w:r>
      <w:r w:rsidRPr="00D06041">
        <w:rPr>
          <w:noProof/>
          <w:szCs w:val="22"/>
          <w:lang w:val="sk-SK"/>
        </w:rPr>
        <w:t xml:space="preserve"> lekár</w:t>
      </w:r>
      <w:r w:rsidR="00382F4D">
        <w:rPr>
          <w:noProof/>
          <w:szCs w:val="22"/>
          <w:lang w:val="sk-SK"/>
        </w:rPr>
        <w:t>a, lekárnika</w:t>
      </w:r>
      <w:r w:rsidRPr="00D06041">
        <w:rPr>
          <w:noProof/>
          <w:szCs w:val="22"/>
          <w:lang w:val="sk-SK"/>
        </w:rPr>
        <w:t xml:space="preserve"> alebo </w:t>
      </w:r>
      <w:r w:rsidR="00382F4D">
        <w:rPr>
          <w:noProof/>
          <w:szCs w:val="22"/>
          <w:lang w:val="sk-SK"/>
        </w:rPr>
        <w:br/>
      </w:r>
      <w:r w:rsidR="00382F4D">
        <w:rPr>
          <w:noProof/>
          <w:szCs w:val="22"/>
          <w:lang w:val="sk-SK"/>
        </w:rPr>
        <w:tab/>
        <w:t>alebo zdravotnú sestru</w:t>
      </w:r>
      <w:r w:rsidRPr="00D06041">
        <w:rPr>
          <w:noProof/>
          <w:szCs w:val="22"/>
          <w:lang w:val="sk-SK"/>
        </w:rPr>
        <w:t>.</w:t>
      </w:r>
      <w:r w:rsidR="00151171">
        <w:rPr>
          <w:noProof/>
          <w:szCs w:val="22"/>
          <w:lang w:val="sk-SK"/>
        </w:rPr>
        <w:t xml:space="preserve"> </w:t>
      </w:r>
      <w:r w:rsidR="00151171" w:rsidRPr="00151171">
        <w:rPr>
          <w:noProof/>
          <w:szCs w:val="22"/>
          <w:lang w:val="sk-SK"/>
        </w:rPr>
        <w:t xml:space="preserve">To sa týka aj akýchkoľvek vedľajších účinkov, ktoré nie sú uvedené v tejto </w:t>
      </w:r>
      <w:r w:rsidR="00151171">
        <w:rPr>
          <w:noProof/>
          <w:szCs w:val="22"/>
          <w:lang w:val="sk-SK"/>
        </w:rPr>
        <w:br/>
      </w:r>
      <w:r w:rsidR="00151171">
        <w:rPr>
          <w:noProof/>
          <w:szCs w:val="22"/>
          <w:lang w:val="sk-SK"/>
        </w:rPr>
        <w:tab/>
      </w:r>
      <w:r w:rsidR="00151171" w:rsidRPr="00151171">
        <w:rPr>
          <w:noProof/>
          <w:szCs w:val="22"/>
          <w:lang w:val="sk-SK"/>
        </w:rPr>
        <w:t>písomnej informácii. Pozri časť 4.</w:t>
      </w:r>
    </w:p>
    <w:p w14:paraId="7354BE4B" w14:textId="77777777" w:rsidR="00D86D14" w:rsidRPr="00D06041" w:rsidRDefault="00D86D14" w:rsidP="00D86D14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14:paraId="15153E35" w14:textId="2215D496" w:rsidR="00D86D14" w:rsidRPr="00D06041" w:rsidRDefault="00D86D14" w:rsidP="00D86D14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D06041">
        <w:rPr>
          <w:b/>
          <w:noProof/>
          <w:szCs w:val="22"/>
          <w:lang w:val="sk-SK"/>
        </w:rPr>
        <w:t>V tejto písomnej informácii sa dozviete</w:t>
      </w:r>
      <w:r w:rsidRPr="00D06041">
        <w:rPr>
          <w:noProof/>
          <w:szCs w:val="22"/>
          <w:lang w:val="sk-SK"/>
        </w:rPr>
        <w:t xml:space="preserve">: </w:t>
      </w:r>
    </w:p>
    <w:p w14:paraId="6B002D93" w14:textId="77777777" w:rsidR="00D86D14" w:rsidRPr="00D06041" w:rsidRDefault="00D86D14" w:rsidP="00D86D14">
      <w:pPr>
        <w:ind w:right="-29"/>
        <w:rPr>
          <w:noProof/>
          <w:szCs w:val="22"/>
          <w:lang w:val="sk-SK"/>
        </w:rPr>
      </w:pPr>
      <w:r w:rsidRPr="00D06041">
        <w:rPr>
          <w:noProof/>
          <w:szCs w:val="22"/>
          <w:lang w:val="sk-SK"/>
        </w:rPr>
        <w:t>1.</w:t>
      </w:r>
      <w:r w:rsidRPr="00D06041">
        <w:rPr>
          <w:noProof/>
          <w:szCs w:val="22"/>
          <w:lang w:val="sk-SK"/>
        </w:rPr>
        <w:tab/>
        <w:t>Čo je Cefotaxim Eberth a na čo sa používa</w:t>
      </w:r>
    </w:p>
    <w:p w14:paraId="00E154B2" w14:textId="3A894E24" w:rsidR="00D86D14" w:rsidRPr="00D06041" w:rsidRDefault="00D86D14" w:rsidP="00D86D14">
      <w:pPr>
        <w:ind w:right="-29"/>
        <w:rPr>
          <w:noProof/>
          <w:szCs w:val="22"/>
          <w:lang w:val="sk-SK"/>
        </w:rPr>
      </w:pPr>
      <w:r w:rsidRPr="00D06041">
        <w:rPr>
          <w:noProof/>
          <w:szCs w:val="22"/>
          <w:lang w:val="sk-SK"/>
        </w:rPr>
        <w:t>2.</w:t>
      </w:r>
      <w:r w:rsidRPr="00D06041">
        <w:rPr>
          <w:noProof/>
          <w:szCs w:val="22"/>
          <w:lang w:val="sk-SK"/>
        </w:rPr>
        <w:tab/>
      </w:r>
      <w:r w:rsidR="00024FCC" w:rsidRPr="00024FCC">
        <w:rPr>
          <w:noProof/>
          <w:szCs w:val="22"/>
          <w:lang w:val="sk-SK"/>
        </w:rPr>
        <w:t xml:space="preserve">Čo potrebujete vedieť predtým, </w:t>
      </w:r>
      <w:r w:rsidRPr="00D06041">
        <w:rPr>
          <w:noProof/>
          <w:szCs w:val="22"/>
          <w:lang w:val="sk-SK"/>
        </w:rPr>
        <w:t xml:space="preserve">ako </w:t>
      </w:r>
      <w:r w:rsidR="00666686">
        <w:rPr>
          <w:noProof/>
          <w:szCs w:val="22"/>
          <w:lang w:val="sk-SK"/>
        </w:rPr>
        <w:t>po</w:t>
      </w:r>
      <w:r w:rsidRPr="00D06041">
        <w:rPr>
          <w:noProof/>
          <w:szCs w:val="22"/>
          <w:lang w:val="sk-SK"/>
        </w:rPr>
        <w:t>užijete Cefotaxim Eberth</w:t>
      </w:r>
    </w:p>
    <w:p w14:paraId="5F7AE08B" w14:textId="77777777" w:rsidR="00D86D14" w:rsidRPr="00D06041" w:rsidRDefault="00D86D14" w:rsidP="00D86D14">
      <w:pPr>
        <w:ind w:right="-29"/>
        <w:rPr>
          <w:noProof/>
          <w:szCs w:val="22"/>
          <w:lang w:val="sk-SK"/>
        </w:rPr>
      </w:pPr>
      <w:r w:rsidRPr="00D06041">
        <w:rPr>
          <w:noProof/>
          <w:szCs w:val="22"/>
          <w:lang w:val="sk-SK"/>
        </w:rPr>
        <w:t>3.</w:t>
      </w:r>
      <w:r w:rsidRPr="00D06041">
        <w:rPr>
          <w:noProof/>
          <w:szCs w:val="22"/>
          <w:lang w:val="sk-SK"/>
        </w:rPr>
        <w:tab/>
        <w:t xml:space="preserve">Ako </w:t>
      </w:r>
      <w:r w:rsidR="00513110">
        <w:rPr>
          <w:noProof/>
          <w:szCs w:val="22"/>
          <w:lang w:val="sk-SK"/>
        </w:rPr>
        <w:t>po</w:t>
      </w:r>
      <w:r w:rsidRPr="00D06041">
        <w:rPr>
          <w:noProof/>
          <w:szCs w:val="22"/>
          <w:lang w:val="sk-SK"/>
        </w:rPr>
        <w:t>užívať Cefotaxim Eberth</w:t>
      </w:r>
    </w:p>
    <w:p w14:paraId="080510F6" w14:textId="40879824" w:rsidR="00D86D14" w:rsidRPr="00D06041" w:rsidRDefault="00D86D14" w:rsidP="00286DE3">
      <w:pPr>
        <w:tabs>
          <w:tab w:val="clear" w:pos="567"/>
        </w:tabs>
        <w:ind w:right="-29"/>
        <w:rPr>
          <w:noProof/>
          <w:szCs w:val="22"/>
          <w:lang w:val="sk-SK"/>
        </w:rPr>
      </w:pPr>
      <w:r w:rsidRPr="00D06041">
        <w:rPr>
          <w:noProof/>
          <w:szCs w:val="22"/>
          <w:lang w:val="sk-SK"/>
        </w:rPr>
        <w:t>4.</w:t>
      </w:r>
      <w:r w:rsidR="0069500D">
        <w:rPr>
          <w:noProof/>
          <w:szCs w:val="22"/>
          <w:lang w:val="sk-SK"/>
        </w:rPr>
        <w:t xml:space="preserve">        </w:t>
      </w:r>
      <w:r w:rsidRPr="00D06041">
        <w:rPr>
          <w:noProof/>
          <w:szCs w:val="22"/>
          <w:lang w:val="sk-SK"/>
        </w:rPr>
        <w:t>Možné vedľajšie účinky</w:t>
      </w:r>
    </w:p>
    <w:p w14:paraId="456871DA" w14:textId="77777777" w:rsidR="00D86D14" w:rsidRPr="00D06041" w:rsidRDefault="00D86D14" w:rsidP="00D86D14">
      <w:pPr>
        <w:ind w:right="-29"/>
        <w:rPr>
          <w:noProof/>
          <w:szCs w:val="22"/>
          <w:lang w:val="sk-SK"/>
        </w:rPr>
      </w:pPr>
      <w:r w:rsidRPr="00D06041">
        <w:rPr>
          <w:noProof/>
          <w:szCs w:val="22"/>
          <w:lang w:val="sk-SK"/>
        </w:rPr>
        <w:t>5.</w:t>
      </w:r>
      <w:r w:rsidRPr="00D06041">
        <w:rPr>
          <w:noProof/>
          <w:szCs w:val="22"/>
          <w:lang w:val="sk-SK"/>
        </w:rPr>
        <w:tab/>
        <w:t>Ako uchovávať Cefotaxim Eberth</w:t>
      </w:r>
    </w:p>
    <w:p w14:paraId="52E492C8" w14:textId="2CE4677C" w:rsidR="00D86D14" w:rsidRPr="00D06041" w:rsidRDefault="00D86D14" w:rsidP="00D86D14">
      <w:pPr>
        <w:ind w:right="-29"/>
        <w:rPr>
          <w:noProof/>
          <w:szCs w:val="22"/>
          <w:lang w:val="sk-SK"/>
        </w:rPr>
      </w:pPr>
      <w:r w:rsidRPr="00D06041">
        <w:rPr>
          <w:noProof/>
          <w:szCs w:val="22"/>
          <w:lang w:val="sk-SK"/>
        </w:rPr>
        <w:t>6.</w:t>
      </w:r>
      <w:r w:rsidRPr="00D06041">
        <w:rPr>
          <w:noProof/>
          <w:szCs w:val="22"/>
          <w:lang w:val="sk-SK"/>
        </w:rPr>
        <w:tab/>
      </w:r>
      <w:r w:rsidR="0012163A" w:rsidRPr="0012163A">
        <w:rPr>
          <w:noProof/>
          <w:szCs w:val="22"/>
          <w:lang w:val="sk-SK"/>
        </w:rPr>
        <w:t>Obsah balenia a ď</w:t>
      </w:r>
      <w:r w:rsidRPr="00D06041">
        <w:rPr>
          <w:noProof/>
          <w:szCs w:val="22"/>
          <w:lang w:val="sk-SK"/>
        </w:rPr>
        <w:t>alšie informácie</w:t>
      </w:r>
    </w:p>
    <w:p w14:paraId="25DFF3A6" w14:textId="77777777" w:rsidR="00D86D14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1B92FDD9" w14:textId="77777777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71213FCD" w14:textId="70A2C9D5" w:rsidR="00D86D14" w:rsidRPr="00D06041" w:rsidRDefault="00D86D14" w:rsidP="00677C14">
      <w:pPr>
        <w:numPr>
          <w:ilvl w:val="0"/>
          <w:numId w:val="2"/>
        </w:numPr>
        <w:spacing w:line="240" w:lineRule="auto"/>
        <w:ind w:right="-2"/>
        <w:rPr>
          <w:b/>
          <w:noProof/>
          <w:lang w:val="sk-SK"/>
        </w:rPr>
      </w:pPr>
      <w:r w:rsidRPr="00D06041">
        <w:rPr>
          <w:b/>
          <w:noProof/>
          <w:lang w:val="sk-SK"/>
        </w:rPr>
        <w:t>Č</w:t>
      </w:r>
      <w:r w:rsidR="00E965A6">
        <w:rPr>
          <w:b/>
          <w:noProof/>
          <w:lang w:val="sk-SK"/>
        </w:rPr>
        <w:t>o</w:t>
      </w:r>
      <w:r w:rsidRPr="00D06041">
        <w:rPr>
          <w:b/>
          <w:noProof/>
          <w:lang w:val="sk-SK"/>
        </w:rPr>
        <w:t xml:space="preserve"> </w:t>
      </w:r>
      <w:r w:rsidR="00E965A6">
        <w:rPr>
          <w:b/>
          <w:noProof/>
          <w:lang w:val="sk-SK"/>
        </w:rPr>
        <w:t>je</w:t>
      </w:r>
      <w:r w:rsidRPr="00D06041">
        <w:rPr>
          <w:b/>
          <w:noProof/>
          <w:lang w:val="sk-SK"/>
        </w:rPr>
        <w:t xml:space="preserve"> </w:t>
      </w:r>
      <w:r w:rsidR="00677C14" w:rsidRPr="006A6EC0">
        <w:rPr>
          <w:b/>
          <w:noProof/>
          <w:lang w:val="sk-SK"/>
        </w:rPr>
        <w:t>Cefotaxim Eberth</w:t>
      </w:r>
      <w:r w:rsidR="00677C14" w:rsidRPr="00677C14">
        <w:rPr>
          <w:b/>
          <w:caps/>
          <w:noProof/>
          <w:lang w:val="sk-SK"/>
        </w:rPr>
        <w:t xml:space="preserve"> </w:t>
      </w:r>
      <w:r w:rsidR="00AA5296">
        <w:rPr>
          <w:b/>
          <w:noProof/>
          <w:lang w:val="sk-SK"/>
        </w:rPr>
        <w:t>a na čo sa používa</w:t>
      </w:r>
    </w:p>
    <w:p w14:paraId="239990BD" w14:textId="77777777" w:rsidR="00D86D14" w:rsidRDefault="00D86D14" w:rsidP="00D86D14">
      <w:pPr>
        <w:rPr>
          <w:lang w:val="sk-SK" w:eastAsia="da-DK"/>
        </w:rPr>
      </w:pPr>
    </w:p>
    <w:p w14:paraId="5552607A" w14:textId="77777777" w:rsidR="00D86D14" w:rsidRPr="00D06041" w:rsidRDefault="00D86D14" w:rsidP="00D86D14">
      <w:pPr>
        <w:rPr>
          <w:lang w:val="sk-SK" w:eastAsia="da-DK"/>
        </w:rPr>
      </w:pPr>
      <w:r w:rsidRPr="00D06041">
        <w:rPr>
          <w:lang w:val="sk-SK" w:eastAsia="da-DK"/>
        </w:rPr>
        <w:t xml:space="preserve">Cefotaxím prášok na injekčný alebo infúzny roztok je antibiotikum, </w:t>
      </w:r>
      <w:r>
        <w:rPr>
          <w:lang w:val="sk-SK" w:eastAsia="da-DK"/>
        </w:rPr>
        <w:t xml:space="preserve">ktoré patrí do skupiny </w:t>
      </w:r>
      <w:proofErr w:type="spellStart"/>
      <w:r>
        <w:rPr>
          <w:lang w:val="sk-SK" w:eastAsia="da-DK"/>
        </w:rPr>
        <w:t>cefalosporínov</w:t>
      </w:r>
      <w:proofErr w:type="spellEnd"/>
      <w:r>
        <w:rPr>
          <w:lang w:val="sk-SK" w:eastAsia="da-DK"/>
        </w:rPr>
        <w:t>.</w:t>
      </w:r>
      <w:r w:rsidRPr="00D06041">
        <w:rPr>
          <w:lang w:val="sk-SK" w:eastAsia="da-DK"/>
        </w:rPr>
        <w:t xml:space="preserve"> Je všeobecne účinný voči mnohým mikroorganizmom.</w:t>
      </w:r>
    </w:p>
    <w:p w14:paraId="544BFC8A" w14:textId="77777777" w:rsidR="00D86D14" w:rsidRDefault="00D86D14" w:rsidP="00D86D14">
      <w:pPr>
        <w:rPr>
          <w:lang w:val="sk-SK" w:eastAsia="da-DK"/>
        </w:rPr>
      </w:pPr>
    </w:p>
    <w:p w14:paraId="02241A45" w14:textId="77777777" w:rsidR="00D86D14" w:rsidRPr="00D06041" w:rsidRDefault="00D86D14" w:rsidP="00D86D14">
      <w:pPr>
        <w:rPr>
          <w:lang w:val="sk-SK" w:eastAsia="da-DK"/>
        </w:rPr>
      </w:pPr>
      <w:r w:rsidRPr="00D06041">
        <w:rPr>
          <w:lang w:val="sk-SK" w:eastAsia="da-DK"/>
        </w:rPr>
        <w:t xml:space="preserve">Používa sa na liečbu mnohých </w:t>
      </w:r>
      <w:r>
        <w:rPr>
          <w:lang w:val="sk-SK" w:eastAsia="da-DK"/>
        </w:rPr>
        <w:t>závažných</w:t>
      </w:r>
      <w:r w:rsidRPr="00D06041">
        <w:rPr>
          <w:lang w:val="sk-SK" w:eastAsia="da-DK"/>
        </w:rPr>
        <w:t xml:space="preserve"> bakteriálnych infekcií:</w:t>
      </w:r>
    </w:p>
    <w:p w14:paraId="3E107E44" w14:textId="77777777" w:rsidR="00D86D14" w:rsidRPr="00D06041" w:rsidRDefault="00D86D14" w:rsidP="0095298A">
      <w:pPr>
        <w:numPr>
          <w:ilvl w:val="0"/>
          <w:numId w:val="6"/>
        </w:numPr>
        <w:tabs>
          <w:tab w:val="clear" w:pos="567"/>
        </w:tabs>
        <w:ind w:left="567" w:hanging="283"/>
        <w:rPr>
          <w:lang w:val="sk-SK" w:eastAsia="da-DK"/>
        </w:rPr>
      </w:pPr>
      <w:r>
        <w:rPr>
          <w:lang w:val="sk-SK" w:eastAsia="da-DK"/>
        </w:rPr>
        <w:t>krvného riečiska</w:t>
      </w:r>
      <w:r w:rsidRPr="00D06041">
        <w:rPr>
          <w:lang w:val="sk-SK" w:eastAsia="da-DK"/>
        </w:rPr>
        <w:t xml:space="preserve"> (</w:t>
      </w:r>
      <w:proofErr w:type="spellStart"/>
      <w:r>
        <w:rPr>
          <w:lang w:val="sk-SK" w:eastAsia="da-DK"/>
        </w:rPr>
        <w:t>septiké</w:t>
      </w:r>
      <w:r w:rsidRPr="00D06041">
        <w:rPr>
          <w:lang w:val="sk-SK" w:eastAsia="da-DK"/>
        </w:rPr>
        <w:t>mia</w:t>
      </w:r>
      <w:proofErr w:type="spellEnd"/>
      <w:r w:rsidRPr="00D06041">
        <w:rPr>
          <w:lang w:val="sk-SK" w:eastAsia="da-DK"/>
        </w:rPr>
        <w:t>)</w:t>
      </w:r>
    </w:p>
    <w:p w14:paraId="19C8CF33" w14:textId="77777777" w:rsidR="00D86D14" w:rsidRPr="00D06041" w:rsidRDefault="00D86D14" w:rsidP="0095298A">
      <w:pPr>
        <w:numPr>
          <w:ilvl w:val="0"/>
          <w:numId w:val="6"/>
        </w:numPr>
        <w:ind w:left="567" w:hanging="283"/>
        <w:rPr>
          <w:lang w:val="sk-SK" w:eastAsia="da-DK"/>
        </w:rPr>
      </w:pPr>
      <w:r w:rsidRPr="00D06041">
        <w:rPr>
          <w:lang w:val="sk-SK" w:eastAsia="da-DK"/>
        </w:rPr>
        <w:t>kože a mäkkých tkanív</w:t>
      </w:r>
    </w:p>
    <w:p w14:paraId="47C18F80" w14:textId="77777777" w:rsidR="00D86D14" w:rsidRPr="00D06041" w:rsidRDefault="00D86D14" w:rsidP="0095298A">
      <w:pPr>
        <w:numPr>
          <w:ilvl w:val="0"/>
          <w:numId w:val="6"/>
        </w:numPr>
        <w:tabs>
          <w:tab w:val="clear" w:pos="567"/>
        </w:tabs>
        <w:ind w:left="567" w:hanging="283"/>
        <w:rPr>
          <w:lang w:val="sk-SK" w:eastAsia="da-DK"/>
        </w:rPr>
      </w:pPr>
      <w:r>
        <w:rPr>
          <w:lang w:val="sk-SK" w:eastAsia="da-DK"/>
        </w:rPr>
        <w:t>pľúc (pneumó</w:t>
      </w:r>
      <w:r w:rsidRPr="00D06041">
        <w:rPr>
          <w:lang w:val="sk-SK" w:eastAsia="da-DK"/>
        </w:rPr>
        <w:t>nia)</w:t>
      </w:r>
    </w:p>
    <w:p w14:paraId="67AAEF46" w14:textId="77777777" w:rsidR="00D86D14" w:rsidRDefault="00D86D14" w:rsidP="0095298A">
      <w:pPr>
        <w:numPr>
          <w:ilvl w:val="0"/>
          <w:numId w:val="6"/>
        </w:numPr>
        <w:ind w:left="567" w:hanging="283"/>
        <w:rPr>
          <w:lang w:val="sk-SK" w:eastAsia="da-DK"/>
        </w:rPr>
      </w:pPr>
      <w:r>
        <w:rPr>
          <w:lang w:val="sk-SK" w:eastAsia="da-DK"/>
        </w:rPr>
        <w:t>obličiek a horných močových ciest</w:t>
      </w:r>
    </w:p>
    <w:p w14:paraId="23AA3F1A" w14:textId="77777777" w:rsidR="00D86D14" w:rsidRPr="00D06041" w:rsidRDefault="00D86D14" w:rsidP="0095298A">
      <w:pPr>
        <w:numPr>
          <w:ilvl w:val="0"/>
          <w:numId w:val="6"/>
        </w:numPr>
        <w:ind w:left="567" w:hanging="283"/>
        <w:rPr>
          <w:lang w:val="sk-SK" w:eastAsia="da-DK"/>
        </w:rPr>
      </w:pPr>
      <w:r>
        <w:rPr>
          <w:lang w:val="sk-SK" w:eastAsia="da-DK"/>
        </w:rPr>
        <w:t>g</w:t>
      </w:r>
      <w:r w:rsidRPr="00702BA6">
        <w:rPr>
          <w:lang w:val="sk-SK" w:eastAsia="da-DK"/>
        </w:rPr>
        <w:t>enitálne infekcie spôsoben</w:t>
      </w:r>
      <w:r>
        <w:rPr>
          <w:lang w:val="sk-SK" w:eastAsia="da-DK"/>
        </w:rPr>
        <w:t>é</w:t>
      </w:r>
      <w:r w:rsidRPr="00702BA6">
        <w:rPr>
          <w:lang w:val="sk-SK" w:eastAsia="da-DK"/>
        </w:rPr>
        <w:t xml:space="preserve"> mikroorganizm</w:t>
      </w:r>
      <w:r>
        <w:rPr>
          <w:lang w:val="sk-SK" w:eastAsia="da-DK"/>
        </w:rPr>
        <w:t>om nazývaným</w:t>
      </w:r>
      <w:r w:rsidRPr="00702BA6">
        <w:rPr>
          <w:lang w:val="sk-SK" w:eastAsia="da-DK"/>
        </w:rPr>
        <w:t xml:space="preserve"> </w:t>
      </w:r>
      <w:proofErr w:type="spellStart"/>
      <w:r w:rsidRPr="00900A54">
        <w:rPr>
          <w:i/>
          <w:lang w:val="sk-SK" w:eastAsia="da-DK"/>
        </w:rPr>
        <w:t>gonococci</w:t>
      </w:r>
      <w:proofErr w:type="spellEnd"/>
      <w:r w:rsidRPr="00702BA6">
        <w:rPr>
          <w:lang w:val="sk-SK" w:eastAsia="da-DK"/>
        </w:rPr>
        <w:t xml:space="preserve">, najmä keď penicilín </w:t>
      </w:r>
      <w:r>
        <w:rPr>
          <w:lang w:val="sk-SK" w:eastAsia="da-DK"/>
        </w:rPr>
        <w:t>zlyhal alebo je nevhodný</w:t>
      </w:r>
    </w:p>
    <w:p w14:paraId="1A96ABA8" w14:textId="3B434D99" w:rsidR="00D86D14" w:rsidRPr="00F06953" w:rsidRDefault="00D86D14" w:rsidP="0095298A">
      <w:pPr>
        <w:numPr>
          <w:ilvl w:val="0"/>
          <w:numId w:val="6"/>
        </w:numPr>
        <w:tabs>
          <w:tab w:val="clear" w:pos="567"/>
        </w:tabs>
        <w:ind w:left="567" w:hanging="283"/>
        <w:rPr>
          <w:lang w:val="sk-SK" w:eastAsia="da-DK"/>
        </w:rPr>
      </w:pPr>
      <w:r w:rsidRPr="00286DE3">
        <w:rPr>
          <w:lang w:val="sk-SK" w:eastAsia="da-DK"/>
        </w:rPr>
        <w:t>mozgových blán</w:t>
      </w:r>
      <w:r w:rsidRPr="00F06953">
        <w:rPr>
          <w:lang w:val="sk-SK" w:eastAsia="da-DK"/>
        </w:rPr>
        <w:t xml:space="preserve"> (</w:t>
      </w:r>
      <w:proofErr w:type="spellStart"/>
      <w:r w:rsidRPr="00F06953">
        <w:rPr>
          <w:lang w:val="sk-SK" w:eastAsia="da-DK"/>
        </w:rPr>
        <w:t>meningitída</w:t>
      </w:r>
      <w:proofErr w:type="spellEnd"/>
      <w:r w:rsidRPr="00F06953">
        <w:rPr>
          <w:lang w:val="sk-SK" w:eastAsia="da-DK"/>
        </w:rPr>
        <w:t xml:space="preserve">) </w:t>
      </w:r>
      <w:r w:rsidR="00286DE3" w:rsidRPr="00F06953">
        <w:rPr>
          <w:lang w:val="sk-SK" w:eastAsia="da-DK"/>
        </w:rPr>
        <w:br/>
      </w:r>
      <w:r w:rsidRPr="00286DE3">
        <w:rPr>
          <w:lang w:val="sk-SK" w:eastAsia="da-DK"/>
        </w:rPr>
        <w:t>brucha</w:t>
      </w:r>
      <w:r w:rsidR="006216CA" w:rsidRPr="00F06953">
        <w:rPr>
          <w:lang w:val="sk-SK" w:eastAsia="da-DK"/>
        </w:rPr>
        <w:t xml:space="preserve"> (</w:t>
      </w:r>
      <w:r w:rsidR="00286DE3" w:rsidRPr="00F06953">
        <w:rPr>
          <w:lang w:val="sk-SK" w:eastAsia="da-DK"/>
        </w:rPr>
        <w:t xml:space="preserve">ako je zápal </w:t>
      </w:r>
      <w:r w:rsidR="005F515E">
        <w:rPr>
          <w:lang w:val="sk-SK" w:eastAsia="da-DK"/>
        </w:rPr>
        <w:t>pobrušnice</w:t>
      </w:r>
      <w:r w:rsidR="00F95B10">
        <w:rPr>
          <w:lang w:val="sk-SK" w:eastAsia="da-DK"/>
        </w:rPr>
        <w:t>)</w:t>
      </w:r>
    </w:p>
    <w:p w14:paraId="21440F52" w14:textId="77777777" w:rsidR="00D86D14" w:rsidRDefault="00D86D14" w:rsidP="00F06953">
      <w:pPr>
        <w:ind w:hanging="360"/>
        <w:rPr>
          <w:lang w:val="sk-SK" w:eastAsia="da-DK"/>
        </w:rPr>
      </w:pPr>
    </w:p>
    <w:p w14:paraId="4B0C749C" w14:textId="77777777" w:rsidR="00D86D14" w:rsidRPr="00D06041" w:rsidRDefault="00D86D14" w:rsidP="00D86D14">
      <w:pPr>
        <w:rPr>
          <w:lang w:val="sk-SK"/>
        </w:rPr>
      </w:pPr>
    </w:p>
    <w:p w14:paraId="37E26AE0" w14:textId="7308CD60" w:rsidR="00D86D14" w:rsidRPr="00D06041" w:rsidRDefault="00F27BA9" w:rsidP="00D86D14">
      <w:pPr>
        <w:numPr>
          <w:ilvl w:val="0"/>
          <w:numId w:val="3"/>
        </w:numPr>
        <w:tabs>
          <w:tab w:val="clear" w:pos="570"/>
        </w:tabs>
        <w:spacing w:line="240" w:lineRule="auto"/>
        <w:ind w:right="-2"/>
        <w:rPr>
          <w:b/>
          <w:noProof/>
          <w:lang w:val="sk-SK"/>
        </w:rPr>
      </w:pPr>
      <w:r w:rsidRPr="00F27BA9">
        <w:rPr>
          <w:b/>
          <w:noProof/>
          <w:lang w:val="sk-SK"/>
        </w:rPr>
        <w:t xml:space="preserve">Čo potrebujete vedieť predtým, </w:t>
      </w:r>
      <w:r>
        <w:rPr>
          <w:b/>
          <w:noProof/>
          <w:lang w:val="sk-SK"/>
        </w:rPr>
        <w:t>ako použijete</w:t>
      </w:r>
      <w:r w:rsidR="00D86D14" w:rsidRPr="00D06041">
        <w:rPr>
          <w:b/>
          <w:noProof/>
          <w:lang w:val="sk-SK"/>
        </w:rPr>
        <w:t xml:space="preserve"> </w:t>
      </w:r>
      <w:r w:rsidR="00677C14" w:rsidRPr="00767075">
        <w:rPr>
          <w:b/>
          <w:noProof/>
          <w:lang w:val="sk-SK"/>
        </w:rPr>
        <w:t>Cefotaxim Eberth</w:t>
      </w:r>
    </w:p>
    <w:p w14:paraId="042AE3ED" w14:textId="77777777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7C76B8AF" w14:textId="77777777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lang w:val="sk-SK"/>
        </w:rPr>
      </w:pPr>
      <w:r w:rsidRPr="00D06041">
        <w:rPr>
          <w:b/>
          <w:noProof/>
          <w:lang w:val="sk-SK"/>
        </w:rPr>
        <w:t>Ne</w:t>
      </w:r>
      <w:r w:rsidR="00F27BA9">
        <w:rPr>
          <w:b/>
          <w:noProof/>
          <w:lang w:val="sk-SK"/>
        </w:rPr>
        <w:t>po</w:t>
      </w:r>
      <w:r w:rsidRPr="00D06041">
        <w:rPr>
          <w:b/>
          <w:noProof/>
          <w:lang w:val="sk-SK"/>
        </w:rPr>
        <w:t>užívajte Cefotaxim Eberth</w:t>
      </w:r>
    </w:p>
    <w:p w14:paraId="71981D9D" w14:textId="68CADFDC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lang w:val="sk-SK"/>
        </w:rPr>
      </w:pPr>
      <w:r w:rsidRPr="00D06041">
        <w:rPr>
          <w:noProof/>
          <w:lang w:val="sk-SK"/>
        </w:rPr>
        <w:t>-</w:t>
      </w:r>
      <w:r>
        <w:rPr>
          <w:noProof/>
          <w:lang w:val="sk-SK"/>
        </w:rPr>
        <w:t xml:space="preserve">         ak ste alergický na cefotax</w:t>
      </w:r>
      <w:r w:rsidR="009670D1">
        <w:rPr>
          <w:noProof/>
          <w:lang w:val="sk-SK"/>
        </w:rPr>
        <w:t>í</w:t>
      </w:r>
      <w:r>
        <w:rPr>
          <w:noProof/>
          <w:lang w:val="sk-SK"/>
        </w:rPr>
        <w:t>m</w:t>
      </w:r>
      <w:r w:rsidR="00696D9D">
        <w:rPr>
          <w:noProof/>
          <w:lang w:val="sk-SK"/>
        </w:rPr>
        <w:t xml:space="preserve"> alebo</w:t>
      </w:r>
      <w:r>
        <w:rPr>
          <w:noProof/>
          <w:lang w:val="sk-SK"/>
        </w:rPr>
        <w:t xml:space="preserve"> iné cefalosporíny</w:t>
      </w:r>
      <w:r w:rsidR="0039609E" w:rsidRPr="0039609E">
        <w:rPr>
          <w:noProof/>
          <w:lang w:val="sk-SK"/>
        </w:rPr>
        <w:t>.</w:t>
      </w:r>
    </w:p>
    <w:p w14:paraId="73B4FC9A" w14:textId="49FAEA31" w:rsidR="00D86D14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lang w:val="sk-SK"/>
        </w:rPr>
      </w:pPr>
      <w:r>
        <w:rPr>
          <w:noProof/>
          <w:lang w:val="sk-SK"/>
        </w:rPr>
        <w:t>-</w:t>
      </w:r>
      <w:r>
        <w:rPr>
          <w:noProof/>
          <w:lang w:val="sk-SK"/>
        </w:rPr>
        <w:tab/>
        <w:t>a</w:t>
      </w:r>
      <w:r w:rsidRPr="00067018">
        <w:rPr>
          <w:noProof/>
          <w:lang w:val="sk-SK"/>
        </w:rPr>
        <w:t xml:space="preserve">k ste v minulosti mali alergickú </w:t>
      </w:r>
      <w:r w:rsidR="005F515E">
        <w:rPr>
          <w:noProof/>
          <w:lang w:val="sk-SK"/>
        </w:rPr>
        <w:t>s</w:t>
      </w:r>
      <w:r>
        <w:rPr>
          <w:noProof/>
          <w:lang w:val="sk-SK"/>
        </w:rPr>
        <w:t>kríž</w:t>
      </w:r>
      <w:r w:rsidR="005F515E">
        <w:rPr>
          <w:noProof/>
          <w:lang w:val="sk-SK"/>
        </w:rPr>
        <w:t>en</w:t>
      </w:r>
      <w:r>
        <w:rPr>
          <w:noProof/>
          <w:lang w:val="sk-SK"/>
        </w:rPr>
        <w:t xml:space="preserve">ú </w:t>
      </w:r>
      <w:r w:rsidRPr="00067018">
        <w:rPr>
          <w:noProof/>
          <w:lang w:val="sk-SK"/>
        </w:rPr>
        <w:t xml:space="preserve">reakciu na </w:t>
      </w:r>
      <w:r>
        <w:rPr>
          <w:noProof/>
          <w:lang w:val="sk-SK"/>
        </w:rPr>
        <w:t>akékoľvek</w:t>
      </w:r>
      <w:r w:rsidRPr="00067018">
        <w:rPr>
          <w:noProof/>
          <w:lang w:val="sk-SK"/>
        </w:rPr>
        <w:t xml:space="preserve"> beta-laktámové</w:t>
      </w:r>
      <w:r>
        <w:rPr>
          <w:noProof/>
          <w:lang w:val="sk-SK"/>
        </w:rPr>
        <w:t xml:space="preserve"> antibiotikum (napr. penicilín).</w:t>
      </w:r>
    </w:p>
    <w:p w14:paraId="014BA7CB" w14:textId="77777777" w:rsidR="00D86D14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lang w:val="sk-SK"/>
        </w:rPr>
      </w:pPr>
    </w:p>
    <w:p w14:paraId="4E70D65C" w14:textId="39F72986" w:rsidR="00D86D14" w:rsidRDefault="009E270A" w:rsidP="00544AF2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>p</w:t>
      </w:r>
      <w:r w:rsidR="00D86D14">
        <w:rPr>
          <w:noProof/>
          <w:lang w:val="sk-SK"/>
        </w:rPr>
        <w:t>re lieky s obsahom lidokaínu:</w:t>
      </w:r>
    </w:p>
    <w:p w14:paraId="59DC696E" w14:textId="5A00DDB5" w:rsidR="00D86D14" w:rsidRDefault="00D86D14" w:rsidP="001C5359">
      <w:pPr>
        <w:numPr>
          <w:ilvl w:val="0"/>
          <w:numId w:val="1"/>
        </w:numPr>
        <w:tabs>
          <w:tab w:val="clear" w:pos="567"/>
        </w:tabs>
        <w:spacing w:line="240" w:lineRule="auto"/>
        <w:ind w:left="720"/>
        <w:rPr>
          <w:noProof/>
          <w:lang w:val="sk-SK"/>
        </w:rPr>
      </w:pPr>
      <w:r>
        <w:rPr>
          <w:noProof/>
          <w:lang w:val="sk-SK"/>
        </w:rPr>
        <w:t xml:space="preserve">v minulosti zaznamenaná </w:t>
      </w:r>
      <w:r w:rsidR="005F515E">
        <w:rPr>
          <w:noProof/>
          <w:lang w:val="sk-SK"/>
        </w:rPr>
        <w:t xml:space="preserve">precitlivenosť </w:t>
      </w:r>
      <w:r>
        <w:rPr>
          <w:noProof/>
          <w:lang w:val="sk-SK"/>
        </w:rPr>
        <w:t xml:space="preserve">na lidokaín alebo iné lokálne anestetiká amidového typu </w:t>
      </w:r>
    </w:p>
    <w:p w14:paraId="77C57660" w14:textId="77777777" w:rsidR="00D86D14" w:rsidRDefault="00D86D14" w:rsidP="001C5359">
      <w:pPr>
        <w:numPr>
          <w:ilvl w:val="0"/>
          <w:numId w:val="1"/>
        </w:numPr>
        <w:tabs>
          <w:tab w:val="clear" w:pos="567"/>
        </w:tabs>
        <w:spacing w:line="240" w:lineRule="auto"/>
        <w:ind w:left="720"/>
        <w:rPr>
          <w:noProof/>
          <w:lang w:val="sk-SK"/>
        </w:rPr>
      </w:pPr>
      <w:r>
        <w:rPr>
          <w:noProof/>
          <w:lang w:val="sk-SK"/>
        </w:rPr>
        <w:lastRenderedPageBreak/>
        <w:t xml:space="preserve">srdcová blokáda, ktorá nie je liečená kardiostimulátorom </w:t>
      </w:r>
    </w:p>
    <w:p w14:paraId="6D5B43C6" w14:textId="77777777" w:rsidR="00D86D14" w:rsidRDefault="00D86D14" w:rsidP="001C5359">
      <w:pPr>
        <w:numPr>
          <w:ilvl w:val="0"/>
          <w:numId w:val="1"/>
        </w:numPr>
        <w:tabs>
          <w:tab w:val="clear" w:pos="567"/>
        </w:tabs>
        <w:spacing w:line="240" w:lineRule="auto"/>
        <w:ind w:left="720"/>
        <w:rPr>
          <w:noProof/>
          <w:lang w:val="sk-SK"/>
        </w:rPr>
      </w:pPr>
      <w:r>
        <w:rPr>
          <w:noProof/>
          <w:lang w:val="sk-SK"/>
        </w:rPr>
        <w:t xml:space="preserve">závažné zlyhanie srdca </w:t>
      </w:r>
    </w:p>
    <w:p w14:paraId="6143E95B" w14:textId="77777777" w:rsidR="00D86D14" w:rsidRDefault="00D86D14" w:rsidP="001C5359">
      <w:pPr>
        <w:numPr>
          <w:ilvl w:val="0"/>
          <w:numId w:val="1"/>
        </w:numPr>
        <w:tabs>
          <w:tab w:val="clear" w:pos="567"/>
        </w:tabs>
        <w:spacing w:line="240" w:lineRule="auto"/>
        <w:ind w:left="720"/>
        <w:rPr>
          <w:noProof/>
          <w:lang w:val="sk-SK"/>
        </w:rPr>
      </w:pPr>
      <w:r>
        <w:rPr>
          <w:noProof/>
          <w:lang w:val="sk-SK"/>
        </w:rPr>
        <w:t>intravenózna injekcia alebo infúzia</w:t>
      </w:r>
    </w:p>
    <w:p w14:paraId="055C2D97" w14:textId="77777777" w:rsidR="00D86D14" w:rsidRDefault="00D86D14" w:rsidP="001C5359">
      <w:pPr>
        <w:numPr>
          <w:ilvl w:val="0"/>
          <w:numId w:val="1"/>
        </w:numPr>
        <w:tabs>
          <w:tab w:val="clear" w:pos="567"/>
        </w:tabs>
        <w:spacing w:line="240" w:lineRule="auto"/>
        <w:ind w:left="720"/>
        <w:rPr>
          <w:noProof/>
          <w:lang w:val="sk-SK"/>
        </w:rPr>
      </w:pPr>
      <w:r>
        <w:rPr>
          <w:noProof/>
          <w:lang w:val="sk-SK"/>
        </w:rPr>
        <w:t>dojčatá mladšie ako 30 mesiacov</w:t>
      </w:r>
      <w:r w:rsidR="0040050C">
        <w:rPr>
          <w:noProof/>
          <w:lang w:val="sk-SK"/>
        </w:rPr>
        <w:t>.</w:t>
      </w:r>
    </w:p>
    <w:p w14:paraId="3C4DB20D" w14:textId="77777777" w:rsidR="00D86D14" w:rsidRPr="00067018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lang w:val="sk-SK"/>
        </w:rPr>
      </w:pPr>
    </w:p>
    <w:p w14:paraId="0BB47F68" w14:textId="77777777" w:rsidR="0040050C" w:rsidRPr="00B13F68" w:rsidRDefault="0040050C" w:rsidP="0040050C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13F68">
        <w:rPr>
          <w:b/>
          <w:noProof/>
          <w:szCs w:val="22"/>
        </w:rPr>
        <w:t>Upozornenia a opatrenia</w:t>
      </w:r>
    </w:p>
    <w:p w14:paraId="268874BA" w14:textId="19055A7C" w:rsidR="00D86D14" w:rsidRPr="00D06041" w:rsidRDefault="00B80EC6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6546DE">
        <w:rPr>
          <w:noProof/>
          <w:lang w:val="sk-SK"/>
        </w:rPr>
        <w:t xml:space="preserve">Predtým, ako začnete používať </w:t>
      </w:r>
      <w:r w:rsidRPr="00B80EC6">
        <w:rPr>
          <w:noProof/>
          <w:lang w:val="sk-SK"/>
        </w:rPr>
        <w:t>Cefotaxim Eberth</w:t>
      </w:r>
      <w:r w:rsidRPr="006546DE">
        <w:rPr>
          <w:noProof/>
          <w:lang w:val="sk-SK"/>
        </w:rPr>
        <w:t>, obráťte sa na svojho lekára, lekárnika alebo zdravotnú sestru</w:t>
      </w:r>
      <w:r>
        <w:rPr>
          <w:b/>
          <w:noProof/>
          <w:lang w:val="sk-SK"/>
        </w:rPr>
        <w:t>.</w:t>
      </w:r>
    </w:p>
    <w:p w14:paraId="5BF2C308" w14:textId="77777777" w:rsidR="00B80EC6" w:rsidRDefault="00B80EC6" w:rsidP="00D86D14">
      <w:pPr>
        <w:tabs>
          <w:tab w:val="clear" w:pos="567"/>
          <w:tab w:val="left" w:pos="360"/>
        </w:tabs>
        <w:rPr>
          <w:szCs w:val="22"/>
          <w:lang w:val="sk-SK"/>
        </w:rPr>
      </w:pPr>
    </w:p>
    <w:p w14:paraId="0B310458" w14:textId="7D6CF56D" w:rsidR="00D86D14" w:rsidRPr="00D06041" w:rsidRDefault="00D86D14" w:rsidP="00D86D14">
      <w:pPr>
        <w:tabs>
          <w:tab w:val="clear" w:pos="567"/>
          <w:tab w:val="left" w:pos="360"/>
        </w:tabs>
        <w:rPr>
          <w:szCs w:val="22"/>
          <w:lang w:val="sk-SK"/>
        </w:rPr>
      </w:pPr>
      <w:r>
        <w:rPr>
          <w:szCs w:val="22"/>
          <w:lang w:val="sk-SK"/>
        </w:rPr>
        <w:t>Povedzte svojmu lekárovi alebo zdravotn</w:t>
      </w:r>
      <w:r w:rsidR="00AD16A2">
        <w:rPr>
          <w:szCs w:val="22"/>
          <w:lang w:val="sk-SK"/>
        </w:rPr>
        <w:t>ej sestre</w:t>
      </w:r>
      <w:r w:rsidR="00E6173E">
        <w:rPr>
          <w:szCs w:val="22"/>
          <w:lang w:val="sk-SK"/>
        </w:rPr>
        <w:t xml:space="preserve"> ak</w:t>
      </w:r>
      <w:r w:rsidRPr="00D06041">
        <w:rPr>
          <w:szCs w:val="22"/>
          <w:lang w:val="sk-SK"/>
        </w:rPr>
        <w:t>:</w:t>
      </w:r>
    </w:p>
    <w:p w14:paraId="72804FCD" w14:textId="1CAC5ECA" w:rsidR="00D86D14" w:rsidRDefault="00D86D14" w:rsidP="00E52216">
      <w:pPr>
        <w:numPr>
          <w:ilvl w:val="0"/>
          <w:numId w:val="4"/>
        </w:numPr>
        <w:tabs>
          <w:tab w:val="clear" w:pos="360"/>
          <w:tab w:val="clear" w:pos="567"/>
          <w:tab w:val="num" w:pos="426"/>
        </w:tabs>
        <w:spacing w:line="240" w:lineRule="auto"/>
        <w:ind w:left="426"/>
        <w:rPr>
          <w:szCs w:val="22"/>
          <w:lang w:val="sk-SK"/>
        </w:rPr>
      </w:pPr>
      <w:r>
        <w:rPr>
          <w:szCs w:val="22"/>
          <w:lang w:val="sk-SK"/>
        </w:rPr>
        <w:t xml:space="preserve">ste mali v minulosti alergickú </w:t>
      </w:r>
      <w:r w:rsidR="005F515E">
        <w:rPr>
          <w:szCs w:val="22"/>
          <w:lang w:val="sk-SK"/>
        </w:rPr>
        <w:t xml:space="preserve">skríženú </w:t>
      </w:r>
      <w:r>
        <w:rPr>
          <w:szCs w:val="22"/>
          <w:lang w:val="sk-SK"/>
        </w:rPr>
        <w:t>reakciu na penicilín alebo na iné lie</w:t>
      </w:r>
      <w:r w:rsidR="00DD181D">
        <w:rPr>
          <w:szCs w:val="22"/>
          <w:lang w:val="sk-SK"/>
        </w:rPr>
        <w:t>ky zo skupiny penicilínov (</w:t>
      </w:r>
      <w:proofErr w:type="spellStart"/>
      <w:r w:rsidR="00DD181D">
        <w:rPr>
          <w:szCs w:val="22"/>
          <w:lang w:val="sk-SK"/>
        </w:rPr>
        <w:t>beta</w:t>
      </w:r>
      <w:r>
        <w:rPr>
          <w:szCs w:val="22"/>
          <w:lang w:val="sk-SK"/>
        </w:rPr>
        <w:t>laktámové</w:t>
      </w:r>
      <w:proofErr w:type="spellEnd"/>
      <w:r>
        <w:rPr>
          <w:szCs w:val="22"/>
          <w:lang w:val="sk-SK"/>
        </w:rPr>
        <w:t xml:space="preserve"> antibiotiká)</w:t>
      </w:r>
      <w:r w:rsidR="005F515E">
        <w:rPr>
          <w:szCs w:val="22"/>
          <w:lang w:val="sk-SK"/>
        </w:rPr>
        <w:t>, pretože</w:t>
      </w:r>
      <w:r>
        <w:rPr>
          <w:szCs w:val="22"/>
          <w:lang w:val="sk-SK"/>
        </w:rPr>
        <w:t xml:space="preserve">  </w:t>
      </w:r>
      <w:r w:rsidR="005F515E">
        <w:rPr>
          <w:szCs w:val="22"/>
          <w:lang w:val="sk-SK"/>
        </w:rPr>
        <w:t>s</w:t>
      </w:r>
      <w:r>
        <w:rPr>
          <w:szCs w:val="22"/>
          <w:lang w:val="sk-SK"/>
        </w:rPr>
        <w:t>kríž</w:t>
      </w:r>
      <w:r w:rsidR="005F515E">
        <w:rPr>
          <w:szCs w:val="22"/>
          <w:lang w:val="sk-SK"/>
        </w:rPr>
        <w:t>ené</w:t>
      </w:r>
      <w:r>
        <w:rPr>
          <w:szCs w:val="22"/>
          <w:lang w:val="sk-SK"/>
        </w:rPr>
        <w:t xml:space="preserve"> reakcie</w:t>
      </w:r>
      <w:r w:rsidR="005F515E">
        <w:rPr>
          <w:szCs w:val="22"/>
          <w:lang w:val="sk-SK"/>
        </w:rPr>
        <w:t xml:space="preserve"> sa môžu vyskytnúť</w:t>
      </w:r>
      <w:r>
        <w:rPr>
          <w:szCs w:val="22"/>
          <w:lang w:val="sk-SK"/>
        </w:rPr>
        <w:t>.</w:t>
      </w:r>
    </w:p>
    <w:p w14:paraId="3F824F47" w14:textId="77777777" w:rsidR="00D86D14" w:rsidRPr="00D06041" w:rsidRDefault="00D86D14" w:rsidP="00D86D14">
      <w:pPr>
        <w:tabs>
          <w:tab w:val="clear" w:pos="567"/>
        </w:tabs>
        <w:spacing w:line="240" w:lineRule="auto"/>
        <w:ind w:left="426"/>
        <w:rPr>
          <w:szCs w:val="22"/>
          <w:lang w:val="sk-SK"/>
        </w:rPr>
      </w:pPr>
      <w:r>
        <w:rPr>
          <w:szCs w:val="22"/>
          <w:lang w:val="sk-SK"/>
        </w:rPr>
        <w:t xml:space="preserve">U pacientov, ktorým sa podával cefotaxím boli zaznamenané závažné alergické reakcie, vrátane fatálnych. Ak sa vyskytne </w:t>
      </w:r>
      <w:proofErr w:type="spellStart"/>
      <w:r>
        <w:rPr>
          <w:szCs w:val="22"/>
          <w:lang w:val="sk-SK"/>
        </w:rPr>
        <w:t>anafylaktická</w:t>
      </w:r>
      <w:proofErr w:type="spellEnd"/>
      <w:r>
        <w:rPr>
          <w:szCs w:val="22"/>
          <w:lang w:val="sk-SK"/>
        </w:rPr>
        <w:t xml:space="preserve"> reakcia, liečba musí byť ukončená a musí sa zahájiť vhodná pohotovostná liečba.</w:t>
      </w:r>
    </w:p>
    <w:p w14:paraId="05282E8A" w14:textId="5D43A7DF" w:rsidR="00057FE7" w:rsidRPr="00057FE7" w:rsidRDefault="00D86D14" w:rsidP="00057FE7">
      <w:pPr>
        <w:numPr>
          <w:ilvl w:val="0"/>
          <w:numId w:val="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057FE7">
        <w:rPr>
          <w:szCs w:val="22"/>
          <w:lang w:val="sk-SK"/>
        </w:rPr>
        <w:t xml:space="preserve"> </w:t>
      </w:r>
      <w:r w:rsidR="00057FE7" w:rsidRPr="00057FE7">
        <w:rPr>
          <w:szCs w:val="22"/>
          <w:lang w:val="sk-SK"/>
        </w:rPr>
        <w:t>máte alergickú reakciu (napríklad senn</w:t>
      </w:r>
      <w:r w:rsidR="00057FE7">
        <w:rPr>
          <w:szCs w:val="22"/>
          <w:lang w:val="sk-SK"/>
        </w:rPr>
        <w:t>ú nádchu</w:t>
      </w:r>
      <w:r w:rsidR="00057FE7" w:rsidRPr="00057FE7">
        <w:rPr>
          <w:szCs w:val="22"/>
          <w:lang w:val="sk-SK"/>
        </w:rPr>
        <w:t>, bronchiáln</w:t>
      </w:r>
      <w:r w:rsidR="00057FE7">
        <w:rPr>
          <w:szCs w:val="22"/>
          <w:lang w:val="sk-SK"/>
        </w:rPr>
        <w:t>u</w:t>
      </w:r>
      <w:r w:rsidR="00057FE7" w:rsidRPr="00057FE7">
        <w:rPr>
          <w:szCs w:val="22"/>
          <w:lang w:val="sk-SK"/>
        </w:rPr>
        <w:t xml:space="preserve"> astm</w:t>
      </w:r>
      <w:r w:rsidR="00057FE7">
        <w:rPr>
          <w:szCs w:val="22"/>
          <w:lang w:val="sk-SK"/>
        </w:rPr>
        <w:t>u</w:t>
      </w:r>
      <w:r w:rsidR="00057FE7" w:rsidRPr="00057FE7">
        <w:rPr>
          <w:szCs w:val="22"/>
          <w:lang w:val="sk-SK"/>
        </w:rPr>
        <w:t>, žihľavk</w:t>
      </w:r>
      <w:r w:rsidR="00057FE7">
        <w:rPr>
          <w:szCs w:val="22"/>
          <w:lang w:val="sk-SK"/>
        </w:rPr>
        <w:t>u</w:t>
      </w:r>
      <w:r w:rsidR="00057FE7" w:rsidRPr="00057FE7">
        <w:rPr>
          <w:szCs w:val="22"/>
          <w:lang w:val="sk-SK"/>
        </w:rPr>
        <w:t xml:space="preserve">) alebo </w:t>
      </w:r>
      <w:r w:rsidR="005F515E">
        <w:rPr>
          <w:szCs w:val="22"/>
          <w:lang w:val="sk-SK"/>
        </w:rPr>
        <w:t>ste</w:t>
      </w:r>
      <w:r w:rsidR="00057FE7" w:rsidRPr="00057FE7">
        <w:rPr>
          <w:szCs w:val="22"/>
          <w:lang w:val="sk-SK"/>
        </w:rPr>
        <w:t xml:space="preserve"> </w:t>
      </w:r>
      <w:r w:rsidR="00057FE7">
        <w:rPr>
          <w:szCs w:val="22"/>
          <w:lang w:val="sk-SK"/>
        </w:rPr>
        <w:t>tieto reakcie</w:t>
      </w:r>
      <w:r w:rsidR="00C64DE6">
        <w:rPr>
          <w:szCs w:val="22"/>
          <w:lang w:val="sk-SK"/>
        </w:rPr>
        <w:br/>
        <w:t xml:space="preserve"> </w:t>
      </w:r>
      <w:r w:rsidR="005F515E">
        <w:rPr>
          <w:szCs w:val="22"/>
          <w:lang w:val="sk-SK"/>
        </w:rPr>
        <w:t xml:space="preserve">mali v </w:t>
      </w:r>
      <w:r w:rsidR="00C64DE6">
        <w:rPr>
          <w:szCs w:val="22"/>
          <w:lang w:val="sk-SK"/>
        </w:rPr>
        <w:t> minulosti.</w:t>
      </w:r>
      <w:r w:rsidR="00057FE7" w:rsidRPr="00057FE7">
        <w:rPr>
          <w:szCs w:val="22"/>
          <w:lang w:val="sk-SK"/>
        </w:rPr>
        <w:t xml:space="preserve"> Potom máte zvýšené riziko závažnejších (</w:t>
      </w:r>
      <w:r w:rsidR="00815DA3">
        <w:rPr>
          <w:szCs w:val="22"/>
          <w:lang w:val="sk-SK"/>
        </w:rPr>
        <w:t>výnimočne</w:t>
      </w:r>
      <w:r w:rsidR="00057FE7" w:rsidRPr="00057FE7">
        <w:rPr>
          <w:szCs w:val="22"/>
          <w:lang w:val="sk-SK"/>
        </w:rPr>
        <w:t xml:space="preserve"> smrteľných) reakcií z </w:t>
      </w:r>
      <w:r w:rsidR="00057FE7">
        <w:rPr>
          <w:szCs w:val="22"/>
          <w:lang w:val="sk-SK"/>
        </w:rPr>
        <w:br/>
        <w:t xml:space="preserve"> </w:t>
      </w:r>
      <w:r w:rsidR="00057FE7" w:rsidRPr="00057FE7">
        <w:rPr>
          <w:szCs w:val="22"/>
          <w:lang w:val="sk-SK"/>
        </w:rPr>
        <w:t xml:space="preserve">precitlivenosti. Ak sa u vás objaví pocit napätia v hrudníku, pocit závratu, </w:t>
      </w:r>
      <w:r w:rsidR="00CF289D">
        <w:rPr>
          <w:szCs w:val="22"/>
          <w:lang w:val="sk-SK"/>
        </w:rPr>
        <w:t>nevoľn</w:t>
      </w:r>
      <w:r w:rsidR="00057FE7" w:rsidRPr="00057FE7">
        <w:rPr>
          <w:szCs w:val="22"/>
          <w:lang w:val="sk-SK"/>
        </w:rPr>
        <w:t xml:space="preserve">osť alebo slabosť, </w:t>
      </w:r>
      <w:r w:rsidR="00057FE7">
        <w:rPr>
          <w:szCs w:val="22"/>
          <w:lang w:val="sk-SK"/>
        </w:rPr>
        <w:br/>
        <w:t xml:space="preserve"> </w:t>
      </w:r>
      <w:r w:rsidR="00057FE7" w:rsidRPr="00057FE7">
        <w:rPr>
          <w:szCs w:val="22"/>
          <w:lang w:val="sk-SK"/>
        </w:rPr>
        <w:t>môžu to byť príznaky takejto reakcie z precitlivenosti (pozri časť 4.).</w:t>
      </w:r>
    </w:p>
    <w:p w14:paraId="718E0C24" w14:textId="078C0702" w:rsidR="00D86D14" w:rsidRPr="00D06041" w:rsidRDefault="00DC2C43" w:rsidP="006913D1">
      <w:pPr>
        <w:tabs>
          <w:tab w:val="clear" w:pos="567"/>
          <w:tab w:val="num" w:pos="426"/>
        </w:tabs>
        <w:spacing w:line="240" w:lineRule="auto"/>
        <w:ind w:left="360"/>
        <w:rPr>
          <w:szCs w:val="22"/>
          <w:lang w:val="sk-SK"/>
        </w:rPr>
      </w:pPr>
      <w:r>
        <w:rPr>
          <w:szCs w:val="22"/>
          <w:lang w:val="sk-SK"/>
        </w:rPr>
        <w:t xml:space="preserve"> </w:t>
      </w:r>
      <w:r w:rsidR="00057FE7" w:rsidRPr="00057FE7">
        <w:rPr>
          <w:szCs w:val="22"/>
          <w:lang w:val="sk-SK"/>
        </w:rPr>
        <w:t>Ak sa vyskytne reakcia z precitlivenosti, liečba sa musí zastaviť</w:t>
      </w:r>
      <w:r w:rsidR="00D86D14">
        <w:rPr>
          <w:szCs w:val="22"/>
          <w:lang w:val="sk-SK"/>
        </w:rPr>
        <w:t>.</w:t>
      </w:r>
    </w:p>
    <w:p w14:paraId="7174C121" w14:textId="21F587E8" w:rsidR="00D86D14" w:rsidRDefault="00D86D14" w:rsidP="00D86D14">
      <w:pPr>
        <w:numPr>
          <w:ilvl w:val="0"/>
          <w:numId w:val="4"/>
        </w:numPr>
        <w:tabs>
          <w:tab w:val="clear" w:pos="567"/>
          <w:tab w:val="num" w:pos="426"/>
        </w:tabs>
        <w:autoSpaceDE w:val="0"/>
        <w:autoSpaceDN w:val="0"/>
        <w:adjustRightInd w:val="0"/>
        <w:spacing w:line="240" w:lineRule="auto"/>
        <w:ind w:left="426" w:hanging="426"/>
        <w:rPr>
          <w:szCs w:val="22"/>
          <w:lang w:val="sk-SK"/>
        </w:rPr>
      </w:pPr>
      <w:r>
        <w:rPr>
          <w:szCs w:val="22"/>
          <w:lang w:val="sk-SK"/>
        </w:rPr>
        <w:t xml:space="preserve"> </w:t>
      </w:r>
      <w:r w:rsidRPr="00AF5FDC">
        <w:rPr>
          <w:szCs w:val="22"/>
          <w:lang w:val="sk-SK"/>
        </w:rPr>
        <w:t>sa u vás objav</w:t>
      </w:r>
      <w:r>
        <w:rPr>
          <w:szCs w:val="22"/>
          <w:lang w:val="sk-SK"/>
        </w:rPr>
        <w:t>í</w:t>
      </w:r>
      <w:r w:rsidRPr="00AF5FDC">
        <w:rPr>
          <w:szCs w:val="22"/>
          <w:lang w:val="sk-SK"/>
        </w:rPr>
        <w:t xml:space="preserve"> </w:t>
      </w:r>
      <w:r w:rsidRPr="00A24A9F">
        <w:rPr>
          <w:b/>
          <w:szCs w:val="22"/>
          <w:lang w:val="sk-SK"/>
        </w:rPr>
        <w:t>vážna neustupujúca (krvav</w:t>
      </w:r>
      <w:r>
        <w:rPr>
          <w:b/>
          <w:szCs w:val="22"/>
          <w:lang w:val="sk-SK"/>
        </w:rPr>
        <w:t>á</w:t>
      </w:r>
      <w:r w:rsidRPr="00A24A9F">
        <w:rPr>
          <w:b/>
          <w:szCs w:val="22"/>
          <w:lang w:val="sk-SK"/>
        </w:rPr>
        <w:t>) hnačka</w:t>
      </w:r>
      <w:r w:rsidRPr="00AF5FDC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Hnačka sa môže objaviť až do dvoch mesiacov po ukončení liečby a môže byť príznakom závažného a niekedy život ohrozujúceho zápalu </w:t>
      </w:r>
      <w:r w:rsidRPr="00AF5FDC">
        <w:rPr>
          <w:szCs w:val="22"/>
          <w:lang w:val="sk-SK"/>
        </w:rPr>
        <w:t xml:space="preserve">hrubého čreva </w:t>
      </w:r>
      <w:r>
        <w:rPr>
          <w:szCs w:val="22"/>
          <w:lang w:val="sk-SK"/>
        </w:rPr>
        <w:t>spôsobeného</w:t>
      </w:r>
      <w:r w:rsidRPr="00AF5FDC">
        <w:rPr>
          <w:szCs w:val="22"/>
          <w:lang w:val="sk-SK"/>
        </w:rPr>
        <w:t xml:space="preserve"> použitím </w:t>
      </w:r>
      <w:proofErr w:type="spellStart"/>
      <w:r>
        <w:rPr>
          <w:szCs w:val="22"/>
          <w:lang w:val="sk-SK"/>
        </w:rPr>
        <w:t>cefotaxímu</w:t>
      </w:r>
      <w:proofErr w:type="spellEnd"/>
      <w:r>
        <w:rPr>
          <w:szCs w:val="22"/>
          <w:lang w:val="sk-SK"/>
        </w:rPr>
        <w:t xml:space="preserve"> a baktériou </w:t>
      </w:r>
      <w:proofErr w:type="spellStart"/>
      <w:r>
        <w:rPr>
          <w:i/>
          <w:szCs w:val="22"/>
          <w:lang w:val="sk-SK"/>
        </w:rPr>
        <w:t>Clostridium</w:t>
      </w:r>
      <w:proofErr w:type="spellEnd"/>
      <w:r>
        <w:rPr>
          <w:i/>
          <w:szCs w:val="22"/>
          <w:lang w:val="sk-SK"/>
        </w:rPr>
        <w:t xml:space="preserve"> </w:t>
      </w:r>
      <w:proofErr w:type="spellStart"/>
      <w:r>
        <w:rPr>
          <w:i/>
          <w:szCs w:val="22"/>
          <w:lang w:val="sk-SK"/>
        </w:rPr>
        <w:t>difficile</w:t>
      </w:r>
      <w:proofErr w:type="spellEnd"/>
      <w:r>
        <w:rPr>
          <w:szCs w:val="22"/>
          <w:lang w:val="sk-SK"/>
        </w:rPr>
        <w:t xml:space="preserve">. Táto baktéria rastie vo </w:t>
      </w:r>
      <w:r w:rsidR="007D1106">
        <w:rPr>
          <w:szCs w:val="22"/>
          <w:lang w:val="sk-SK"/>
        </w:rPr>
        <w:t>v</w:t>
      </w:r>
      <w:r>
        <w:rPr>
          <w:szCs w:val="22"/>
          <w:lang w:val="sk-SK"/>
        </w:rPr>
        <w:t>ašom čreve a produkuje toxíny. Príznaky môžu siahať od miernej alebo silnej hnačky po vysokú horúčku, kŕče, bolesti brucha a dehydratáciu</w:t>
      </w:r>
      <w:r w:rsidRPr="00AF5FDC">
        <w:rPr>
          <w:szCs w:val="22"/>
          <w:lang w:val="sk-SK"/>
        </w:rPr>
        <w:t xml:space="preserve">. V takom prípade </w:t>
      </w:r>
      <w:r w:rsidRPr="00FF5B83">
        <w:rPr>
          <w:b/>
          <w:szCs w:val="22"/>
          <w:lang w:val="sk-SK"/>
        </w:rPr>
        <w:t>musí byť</w:t>
      </w:r>
      <w:r w:rsidRPr="00AF5FDC">
        <w:rPr>
          <w:szCs w:val="22"/>
          <w:lang w:val="sk-SK"/>
        </w:rPr>
        <w:t xml:space="preserve"> používanie </w:t>
      </w:r>
      <w:r>
        <w:rPr>
          <w:szCs w:val="22"/>
          <w:lang w:val="sk-SK"/>
        </w:rPr>
        <w:t xml:space="preserve">lieku </w:t>
      </w:r>
      <w:proofErr w:type="spellStart"/>
      <w:r w:rsidRPr="00AF5FDC">
        <w:rPr>
          <w:szCs w:val="22"/>
          <w:lang w:val="sk-SK"/>
        </w:rPr>
        <w:t>Cefotaxim</w:t>
      </w:r>
      <w:proofErr w:type="spellEnd"/>
      <w:r w:rsidRPr="00AF5FDC">
        <w:rPr>
          <w:szCs w:val="22"/>
          <w:lang w:val="sk-SK"/>
        </w:rPr>
        <w:t xml:space="preserve"> </w:t>
      </w:r>
      <w:proofErr w:type="spellStart"/>
      <w:r w:rsidRPr="00AF5FDC">
        <w:rPr>
          <w:szCs w:val="22"/>
          <w:lang w:val="sk-SK"/>
        </w:rPr>
        <w:t>Eberth</w:t>
      </w:r>
      <w:proofErr w:type="spellEnd"/>
      <w:r w:rsidRPr="00AF5FDC">
        <w:rPr>
          <w:szCs w:val="22"/>
          <w:lang w:val="sk-SK"/>
        </w:rPr>
        <w:t xml:space="preserve"> </w:t>
      </w:r>
      <w:r w:rsidRPr="00FF5B83">
        <w:rPr>
          <w:b/>
          <w:szCs w:val="22"/>
          <w:lang w:val="sk-SK"/>
        </w:rPr>
        <w:t>okamžite ukončené</w:t>
      </w:r>
      <w:r>
        <w:rPr>
          <w:b/>
          <w:szCs w:val="22"/>
          <w:lang w:val="sk-SK"/>
        </w:rPr>
        <w:t xml:space="preserve"> a musia byť zahájené vhodné liečebné opatrenia</w:t>
      </w:r>
      <w:r w:rsidRPr="00AF5FDC">
        <w:rPr>
          <w:szCs w:val="22"/>
          <w:lang w:val="sk-SK"/>
        </w:rPr>
        <w:t>.</w:t>
      </w:r>
      <w:r>
        <w:rPr>
          <w:szCs w:val="22"/>
          <w:lang w:val="sk-SK"/>
        </w:rPr>
        <w:t xml:space="preserve"> Neužívajte lieky, ktoré znižujú pohyblivosť čreva.</w:t>
      </w:r>
      <w:r w:rsidRPr="00AF5FDC">
        <w:rPr>
          <w:szCs w:val="22"/>
          <w:lang w:val="sk-SK"/>
        </w:rPr>
        <w:t xml:space="preserve"> </w:t>
      </w:r>
    </w:p>
    <w:p w14:paraId="2721F92A" w14:textId="61A7DBEA" w:rsidR="00D86D14" w:rsidRPr="008000A8" w:rsidRDefault="00D86D14" w:rsidP="00A64B64">
      <w:pPr>
        <w:numPr>
          <w:ilvl w:val="0"/>
          <w:numId w:val="4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8000A8">
        <w:rPr>
          <w:szCs w:val="22"/>
          <w:lang w:val="sk-SK"/>
        </w:rPr>
        <w:t xml:space="preserve"> máte </w:t>
      </w:r>
      <w:r w:rsidRPr="008000A8">
        <w:rPr>
          <w:b/>
          <w:szCs w:val="22"/>
          <w:lang w:val="sk-SK"/>
        </w:rPr>
        <w:t>problémy s</w:t>
      </w:r>
      <w:r>
        <w:rPr>
          <w:b/>
          <w:szCs w:val="22"/>
          <w:lang w:val="sk-SK"/>
        </w:rPr>
        <w:t> </w:t>
      </w:r>
      <w:r w:rsidRPr="008000A8">
        <w:rPr>
          <w:b/>
          <w:szCs w:val="22"/>
          <w:lang w:val="sk-SK"/>
        </w:rPr>
        <w:t>obličkami</w:t>
      </w:r>
      <w:r>
        <w:rPr>
          <w:b/>
          <w:szCs w:val="22"/>
          <w:lang w:val="sk-SK"/>
        </w:rPr>
        <w:t xml:space="preserve">. Vaša dávka závisí od </w:t>
      </w:r>
      <w:r w:rsidR="00D2360E">
        <w:rPr>
          <w:b/>
          <w:szCs w:val="22"/>
          <w:lang w:val="sk-SK"/>
        </w:rPr>
        <w:t xml:space="preserve">určitých </w:t>
      </w:r>
      <w:r>
        <w:rPr>
          <w:b/>
          <w:szCs w:val="22"/>
          <w:lang w:val="sk-SK"/>
        </w:rPr>
        <w:t>laboratórnych výsledkov.</w:t>
      </w:r>
    </w:p>
    <w:p w14:paraId="5D608291" w14:textId="185DB967" w:rsidR="009C1EEC" w:rsidRDefault="00B0720E" w:rsidP="00D86D14">
      <w:pPr>
        <w:numPr>
          <w:ilvl w:val="0"/>
          <w:numId w:val="4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>
        <w:rPr>
          <w:szCs w:val="22"/>
          <w:lang w:val="sk-SK"/>
        </w:rPr>
        <w:t xml:space="preserve"> </w:t>
      </w:r>
      <w:r w:rsidR="00D86D14">
        <w:rPr>
          <w:szCs w:val="22"/>
          <w:lang w:val="sk-SK"/>
        </w:rPr>
        <w:t>máte diétu s nízkym obsahom sodíka (</w:t>
      </w:r>
      <w:r w:rsidR="00FD1F59">
        <w:rPr>
          <w:szCs w:val="22"/>
          <w:lang w:val="sk-SK"/>
        </w:rPr>
        <w:t xml:space="preserve">nízkym obsahom </w:t>
      </w:r>
      <w:r w:rsidR="00D86D14">
        <w:rPr>
          <w:szCs w:val="22"/>
          <w:lang w:val="sk-SK"/>
        </w:rPr>
        <w:t>soli)</w:t>
      </w:r>
      <w:r w:rsidR="009C1EEC">
        <w:rPr>
          <w:szCs w:val="22"/>
          <w:lang w:val="sk-SK"/>
        </w:rPr>
        <w:t>.</w:t>
      </w:r>
      <w:r w:rsidR="00D86D14">
        <w:rPr>
          <w:szCs w:val="22"/>
          <w:lang w:val="sk-SK"/>
        </w:rPr>
        <w:t xml:space="preserve"> </w:t>
      </w:r>
    </w:p>
    <w:p w14:paraId="5A7DEB5C" w14:textId="77777777" w:rsidR="00D86D14" w:rsidRDefault="009C1EEC" w:rsidP="00D86D14">
      <w:pPr>
        <w:numPr>
          <w:ilvl w:val="0"/>
          <w:numId w:val="4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>
        <w:rPr>
          <w:szCs w:val="22"/>
          <w:lang w:val="sk-SK"/>
        </w:rPr>
        <w:t xml:space="preserve"> </w:t>
      </w:r>
      <w:r w:rsidR="00D86D14">
        <w:rPr>
          <w:szCs w:val="22"/>
          <w:lang w:val="sk-SK"/>
        </w:rPr>
        <w:t xml:space="preserve">ste liečení </w:t>
      </w:r>
      <w:proofErr w:type="spellStart"/>
      <w:r w:rsidR="00D86D14">
        <w:rPr>
          <w:szCs w:val="22"/>
          <w:lang w:val="sk-SK"/>
        </w:rPr>
        <w:t>aminoglykozidmi</w:t>
      </w:r>
      <w:proofErr w:type="spellEnd"/>
      <w:r w:rsidR="00D86D14">
        <w:rPr>
          <w:szCs w:val="22"/>
          <w:lang w:val="sk-SK"/>
        </w:rPr>
        <w:t xml:space="preserve"> (ďalšia antibiotická liečba)</w:t>
      </w:r>
      <w:r w:rsidR="00AB226E" w:rsidRPr="00B82C42">
        <w:rPr>
          <w:szCs w:val="22"/>
          <w:lang w:val="sk-SK"/>
        </w:rPr>
        <w:t xml:space="preserve">, </w:t>
      </w:r>
      <w:proofErr w:type="spellStart"/>
      <w:r w:rsidR="00652D97">
        <w:rPr>
          <w:szCs w:val="22"/>
          <w:lang w:val="sk-SK"/>
        </w:rPr>
        <w:t>pr</w:t>
      </w:r>
      <w:r w:rsidR="000C2CD4">
        <w:rPr>
          <w:szCs w:val="22"/>
          <w:lang w:val="sk-SK"/>
        </w:rPr>
        <w:t>o</w:t>
      </w:r>
      <w:r w:rsidR="00652D97">
        <w:rPr>
          <w:szCs w:val="22"/>
          <w:lang w:val="sk-SK"/>
        </w:rPr>
        <w:t>benecidom</w:t>
      </w:r>
      <w:proofErr w:type="spellEnd"/>
      <w:r w:rsidR="00FD2AE7">
        <w:rPr>
          <w:szCs w:val="22"/>
          <w:lang w:val="sk-SK"/>
        </w:rPr>
        <w:t xml:space="preserve"> (na liečbu dny</w:t>
      </w:r>
      <w:r w:rsidR="009516A1">
        <w:rPr>
          <w:szCs w:val="22"/>
          <w:lang w:val="sk-SK"/>
        </w:rPr>
        <w:t xml:space="preserve"> a</w:t>
      </w:r>
      <w:r w:rsidR="00285DB9">
        <w:rPr>
          <w:szCs w:val="22"/>
          <w:lang w:val="sk-SK"/>
        </w:rPr>
        <w:t> </w:t>
      </w:r>
      <w:r w:rsidR="009516A1">
        <w:rPr>
          <w:szCs w:val="22"/>
          <w:lang w:val="sk-SK"/>
        </w:rPr>
        <w:t>artritídy</w:t>
      </w:r>
      <w:r w:rsidR="00285DB9">
        <w:rPr>
          <w:szCs w:val="22"/>
          <w:lang w:val="sk-SK"/>
        </w:rPr>
        <w:t xml:space="preserve">, tieto lieky patria do skupiny liekov nazývaných </w:t>
      </w:r>
      <w:proofErr w:type="spellStart"/>
      <w:r w:rsidR="00285DB9">
        <w:rPr>
          <w:szCs w:val="22"/>
          <w:lang w:val="sk-SK"/>
        </w:rPr>
        <w:t>urikosuriká</w:t>
      </w:r>
      <w:proofErr w:type="spellEnd"/>
      <w:r w:rsidR="00FD2AE7">
        <w:rPr>
          <w:szCs w:val="22"/>
          <w:lang w:val="sk-SK"/>
        </w:rPr>
        <w:t>)</w:t>
      </w:r>
      <w:r w:rsidR="009516A1">
        <w:rPr>
          <w:szCs w:val="22"/>
          <w:lang w:val="sk-SK"/>
        </w:rPr>
        <w:t>,</w:t>
      </w:r>
      <w:r w:rsidR="00652D97">
        <w:rPr>
          <w:szCs w:val="22"/>
          <w:lang w:val="sk-SK"/>
        </w:rPr>
        <w:t xml:space="preserve"> alebo inými liekmi</w:t>
      </w:r>
      <w:r w:rsidR="000C2CD4">
        <w:rPr>
          <w:szCs w:val="22"/>
          <w:lang w:val="sk-SK"/>
        </w:rPr>
        <w:t>, ktoré poškodzujú obličky</w:t>
      </w:r>
      <w:r w:rsidR="00D86D14">
        <w:rPr>
          <w:szCs w:val="22"/>
          <w:lang w:val="sk-SK"/>
        </w:rPr>
        <w:t>.</w:t>
      </w:r>
    </w:p>
    <w:p w14:paraId="2BBB1DD6" w14:textId="5D05E2AB" w:rsidR="00D86D14" w:rsidRDefault="00B0720E" w:rsidP="00D86D14">
      <w:pPr>
        <w:numPr>
          <w:ilvl w:val="0"/>
          <w:numId w:val="4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>
        <w:rPr>
          <w:szCs w:val="22"/>
          <w:lang w:val="sk-SK"/>
        </w:rPr>
        <w:t xml:space="preserve"> </w:t>
      </w:r>
      <w:r w:rsidR="00D2360E">
        <w:rPr>
          <w:szCs w:val="22"/>
          <w:lang w:val="sk-SK"/>
        </w:rPr>
        <w:t xml:space="preserve">máte </w:t>
      </w:r>
      <w:r w:rsidR="00D86D14">
        <w:rPr>
          <w:szCs w:val="22"/>
          <w:lang w:val="sk-SK"/>
        </w:rPr>
        <w:t>nepravidelný srdcový rytm</w:t>
      </w:r>
      <w:r w:rsidR="00D2360E">
        <w:rPr>
          <w:szCs w:val="22"/>
          <w:lang w:val="sk-SK"/>
        </w:rPr>
        <w:t>us</w:t>
      </w:r>
      <w:r w:rsidR="00D86D14">
        <w:rPr>
          <w:szCs w:val="22"/>
          <w:lang w:val="sk-SK"/>
        </w:rPr>
        <w:t>.</w:t>
      </w:r>
    </w:p>
    <w:p w14:paraId="4474666B" w14:textId="3006FA1B" w:rsidR="009C1EEC" w:rsidRDefault="00067AD7" w:rsidP="00332BB0">
      <w:pPr>
        <w:numPr>
          <w:ilvl w:val="0"/>
          <w:numId w:val="4"/>
        </w:numPr>
        <w:tabs>
          <w:tab w:val="clear" w:pos="360"/>
          <w:tab w:val="clear" w:pos="567"/>
        </w:tabs>
        <w:spacing w:line="240" w:lineRule="auto"/>
        <w:ind w:left="426"/>
        <w:rPr>
          <w:szCs w:val="22"/>
          <w:lang w:val="sk-SK"/>
        </w:rPr>
      </w:pPr>
      <w:r w:rsidRPr="00067AD7">
        <w:rPr>
          <w:szCs w:val="22"/>
          <w:lang w:val="sk-SK"/>
        </w:rPr>
        <w:t xml:space="preserve">máte príznaky novej infekcie (napríklad </w:t>
      </w:r>
      <w:r w:rsidR="00FD1F59">
        <w:rPr>
          <w:szCs w:val="22"/>
          <w:lang w:val="sk-SK"/>
        </w:rPr>
        <w:t>plesň</w:t>
      </w:r>
      <w:r w:rsidRPr="00067AD7">
        <w:rPr>
          <w:szCs w:val="22"/>
          <w:lang w:val="sk-SK"/>
        </w:rPr>
        <w:t xml:space="preserve">ovú infekciu slizníc so začervenaním a belavým </w:t>
      </w:r>
      <w:r w:rsidR="00D2360E">
        <w:rPr>
          <w:szCs w:val="22"/>
          <w:lang w:val="sk-SK"/>
        </w:rPr>
        <w:t>povlakom</w:t>
      </w:r>
      <w:r w:rsidRPr="00067AD7">
        <w:rPr>
          <w:szCs w:val="22"/>
          <w:lang w:val="sk-SK"/>
        </w:rPr>
        <w:t xml:space="preserve">). Akékoľvek použitie antibiotík môže viesť k množeniu </w:t>
      </w:r>
      <w:r w:rsidR="00D2360E">
        <w:rPr>
          <w:szCs w:val="22"/>
          <w:lang w:val="sk-SK"/>
        </w:rPr>
        <w:t>choroboplodných mikroorganizmov</w:t>
      </w:r>
      <w:r w:rsidRPr="00067AD7">
        <w:rPr>
          <w:szCs w:val="22"/>
          <w:lang w:val="sk-SK"/>
        </w:rPr>
        <w:t>, ktoré sú necitlivé na použitý liek. Dávajte pozor na príznaky novej infekcie a v prípade potreby informujte svojho lekára</w:t>
      </w:r>
      <w:r w:rsidR="008675E4">
        <w:rPr>
          <w:szCs w:val="22"/>
          <w:lang w:val="sk-SK"/>
        </w:rPr>
        <w:t>.</w:t>
      </w:r>
    </w:p>
    <w:p w14:paraId="408A023E" w14:textId="77777777" w:rsidR="00D86D14" w:rsidRDefault="00D86D14" w:rsidP="00D86D1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984E988" w14:textId="16B5AF69" w:rsidR="00D86D14" w:rsidRDefault="00D86D14" w:rsidP="00D86D14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Ak dostávate vysoké dávky lieku </w:t>
      </w:r>
      <w:proofErr w:type="spellStart"/>
      <w:r>
        <w:rPr>
          <w:szCs w:val="22"/>
          <w:lang w:val="sk-SK"/>
        </w:rPr>
        <w:t>Cefotaxim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Eberth</w:t>
      </w:r>
      <w:proofErr w:type="spellEnd"/>
      <w:r>
        <w:rPr>
          <w:szCs w:val="22"/>
          <w:lang w:val="sk-SK"/>
        </w:rPr>
        <w:t xml:space="preserve"> a zaznamenali ste vedľajšie účinky ako poruchy vedomia, </w:t>
      </w:r>
      <w:r w:rsidR="00AB2E7A">
        <w:rPr>
          <w:szCs w:val="22"/>
          <w:lang w:val="sk-SK"/>
        </w:rPr>
        <w:t>nezvyčajné</w:t>
      </w:r>
      <w:r w:rsidR="00D64969">
        <w:rPr>
          <w:szCs w:val="22"/>
          <w:lang w:val="sk-SK"/>
        </w:rPr>
        <w:t xml:space="preserve"> (abnormálne)</w:t>
      </w:r>
      <w:r w:rsidR="00AB2E7A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pohyby a kŕče, okamžite informujte svojho lekára. </w:t>
      </w:r>
    </w:p>
    <w:p w14:paraId="4AFFB430" w14:textId="77777777" w:rsidR="00D86D14" w:rsidRDefault="00D86D14" w:rsidP="00D86D14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Pravdepodobnejší výskyt týchto nežiadúcich reakcií je u pacientov, ktorí majú problémy s obličkami.</w:t>
      </w:r>
    </w:p>
    <w:p w14:paraId="4EB06E9A" w14:textId="77777777" w:rsidR="00D86D14" w:rsidRDefault="00D86D14" w:rsidP="00D86D1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18FE9A1" w14:textId="77777777" w:rsidR="00D86D14" w:rsidRDefault="00D86D14" w:rsidP="00D86D14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Ak sa u </w:t>
      </w:r>
      <w:r w:rsidR="007D1106">
        <w:rPr>
          <w:szCs w:val="22"/>
          <w:lang w:val="sk-SK"/>
        </w:rPr>
        <w:t>v</w:t>
      </w:r>
      <w:r>
        <w:rPr>
          <w:szCs w:val="22"/>
          <w:lang w:val="sk-SK"/>
        </w:rPr>
        <w:t xml:space="preserve">ás prejavia závažné </w:t>
      </w:r>
      <w:proofErr w:type="spellStart"/>
      <w:r>
        <w:rPr>
          <w:szCs w:val="22"/>
          <w:lang w:val="sk-SK"/>
        </w:rPr>
        <w:t>bulózne</w:t>
      </w:r>
      <w:proofErr w:type="spellEnd"/>
      <w:r>
        <w:rPr>
          <w:szCs w:val="22"/>
          <w:lang w:val="sk-SK"/>
        </w:rPr>
        <w:t xml:space="preserve"> kožné reakcie s pľuzgiermi a olupovaním kože, okamžite ukončite liečbu liekom </w:t>
      </w:r>
      <w:proofErr w:type="spellStart"/>
      <w:r>
        <w:rPr>
          <w:szCs w:val="22"/>
          <w:lang w:val="sk-SK"/>
        </w:rPr>
        <w:t>Cefotaxim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Eberth</w:t>
      </w:r>
      <w:proofErr w:type="spellEnd"/>
      <w:r>
        <w:rPr>
          <w:szCs w:val="22"/>
          <w:lang w:val="sk-SK"/>
        </w:rPr>
        <w:t xml:space="preserve"> a informujte svojho lekára.</w:t>
      </w:r>
    </w:p>
    <w:p w14:paraId="69029D9A" w14:textId="77777777" w:rsidR="00D86D14" w:rsidRDefault="00D86D14" w:rsidP="00D86D1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4650E2A" w14:textId="77777777" w:rsidR="00D86D14" w:rsidRDefault="00D86D14" w:rsidP="00D86D14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Ak zaznamenáte opuchy alebo zápal v mieste podania infúzie, okamžite informujte svojho lekára.</w:t>
      </w:r>
    </w:p>
    <w:p w14:paraId="53DD2657" w14:textId="77777777" w:rsidR="00D86D14" w:rsidRPr="001E66F1" w:rsidRDefault="00D86D14" w:rsidP="00D86D14">
      <w:pPr>
        <w:rPr>
          <w:color w:val="FF6600"/>
          <w:szCs w:val="22"/>
          <w:lang w:val="sk-SK"/>
        </w:rPr>
      </w:pPr>
    </w:p>
    <w:p w14:paraId="6614C393" w14:textId="77777777" w:rsidR="00D86D14" w:rsidRPr="008A6D0C" w:rsidRDefault="00D86D14" w:rsidP="00D86D14">
      <w:pPr>
        <w:rPr>
          <w:szCs w:val="22"/>
          <w:lang w:val="sk-SK"/>
        </w:rPr>
      </w:pPr>
      <w:r>
        <w:rPr>
          <w:szCs w:val="22"/>
          <w:lang w:val="sk-SK"/>
        </w:rPr>
        <w:t xml:space="preserve">Ak sa vás týka niečo z uvedeného, môže </w:t>
      </w:r>
      <w:r w:rsidR="007D1106">
        <w:rPr>
          <w:szCs w:val="22"/>
          <w:lang w:val="sk-SK"/>
        </w:rPr>
        <w:t>v</w:t>
      </w:r>
      <w:r>
        <w:rPr>
          <w:szCs w:val="22"/>
          <w:lang w:val="sk-SK"/>
        </w:rPr>
        <w:t xml:space="preserve">ám lekár zmeniť liečbu alebo </w:t>
      </w:r>
      <w:r w:rsidR="007D1106">
        <w:rPr>
          <w:szCs w:val="22"/>
          <w:lang w:val="sk-SK"/>
        </w:rPr>
        <w:t>v</w:t>
      </w:r>
      <w:r>
        <w:rPr>
          <w:szCs w:val="22"/>
          <w:lang w:val="sk-SK"/>
        </w:rPr>
        <w:t xml:space="preserve">ám poskytne špeciálne poučenie. </w:t>
      </w:r>
    </w:p>
    <w:p w14:paraId="459FD4CA" w14:textId="77777777" w:rsidR="00D86D14" w:rsidRDefault="00D86D14" w:rsidP="00D86D14">
      <w:pPr>
        <w:rPr>
          <w:b/>
          <w:szCs w:val="22"/>
          <w:lang w:val="sk-SK"/>
        </w:rPr>
      </w:pPr>
    </w:p>
    <w:p w14:paraId="1FB322ED" w14:textId="77777777" w:rsidR="00411BEE" w:rsidRDefault="00D86D14" w:rsidP="00D86D14">
      <w:pPr>
        <w:rPr>
          <w:b/>
          <w:szCs w:val="22"/>
          <w:lang w:val="sk-SK"/>
        </w:rPr>
      </w:pPr>
      <w:r w:rsidRPr="004F7F8B">
        <w:rPr>
          <w:b/>
          <w:szCs w:val="22"/>
          <w:lang w:val="sk-SK"/>
        </w:rPr>
        <w:t xml:space="preserve">Tento liek môže </w:t>
      </w:r>
      <w:r>
        <w:rPr>
          <w:b/>
          <w:szCs w:val="22"/>
          <w:lang w:val="sk-SK"/>
        </w:rPr>
        <w:t>ovplyvni</w:t>
      </w:r>
      <w:r w:rsidRPr="004F7F8B">
        <w:rPr>
          <w:b/>
          <w:szCs w:val="22"/>
          <w:lang w:val="sk-SK"/>
        </w:rPr>
        <w:t xml:space="preserve">ť výsledky niektorých </w:t>
      </w:r>
      <w:r>
        <w:rPr>
          <w:b/>
          <w:szCs w:val="22"/>
          <w:lang w:val="sk-SK"/>
        </w:rPr>
        <w:t>vyšetrení krvi a moču</w:t>
      </w:r>
      <w:r w:rsidRPr="004F7F8B">
        <w:rPr>
          <w:b/>
          <w:szCs w:val="22"/>
          <w:lang w:val="sk-SK"/>
        </w:rPr>
        <w:t>.</w:t>
      </w:r>
      <w:r>
        <w:rPr>
          <w:b/>
          <w:szCs w:val="22"/>
          <w:lang w:val="sk-SK"/>
        </w:rPr>
        <w:t xml:space="preserve"> </w:t>
      </w:r>
    </w:p>
    <w:p w14:paraId="364F93E6" w14:textId="33AFCC3D" w:rsidR="00D86D14" w:rsidRDefault="00D86D14" w:rsidP="00D86D14">
      <w:pPr>
        <w:rPr>
          <w:b/>
          <w:szCs w:val="22"/>
          <w:lang w:val="sk-SK"/>
        </w:rPr>
      </w:pPr>
      <w:r>
        <w:rPr>
          <w:szCs w:val="22"/>
          <w:lang w:val="sk-SK"/>
        </w:rPr>
        <w:lastRenderedPageBreak/>
        <w:t xml:space="preserve">Ak sa podrobíte krvnému testu (ako </w:t>
      </w:r>
      <w:proofErr w:type="spellStart"/>
      <w:r>
        <w:rPr>
          <w:szCs w:val="22"/>
          <w:lang w:val="sk-SK"/>
        </w:rPr>
        <w:t>Coombsov</w:t>
      </w:r>
      <w:proofErr w:type="spellEnd"/>
      <w:r>
        <w:rPr>
          <w:szCs w:val="22"/>
          <w:lang w:val="sk-SK"/>
        </w:rPr>
        <w:t xml:space="preserve"> test) alebo testu na cukor v moči (typu </w:t>
      </w:r>
      <w:proofErr w:type="spellStart"/>
      <w:r>
        <w:rPr>
          <w:szCs w:val="22"/>
          <w:lang w:val="sk-SK"/>
        </w:rPr>
        <w:t>Fehlingovho</w:t>
      </w:r>
      <w:proofErr w:type="spellEnd"/>
      <w:r>
        <w:rPr>
          <w:szCs w:val="22"/>
          <w:lang w:val="sk-SK"/>
        </w:rPr>
        <w:t xml:space="preserve"> roztoku, ktorým sa testuje zníženie cukru), povedzte svojmu lekárovi, že</w:t>
      </w:r>
      <w:r w:rsidR="00AB2E7A">
        <w:rPr>
          <w:szCs w:val="22"/>
          <w:lang w:val="sk-SK"/>
        </w:rPr>
        <w:t xml:space="preserve"> po</w:t>
      </w:r>
      <w:r>
        <w:rPr>
          <w:szCs w:val="22"/>
          <w:lang w:val="sk-SK"/>
        </w:rPr>
        <w:t>užívate tento liek</w:t>
      </w:r>
      <w:r w:rsidR="00617E40">
        <w:rPr>
          <w:szCs w:val="22"/>
          <w:lang w:val="sk-SK"/>
        </w:rPr>
        <w:t>,</w:t>
      </w:r>
      <w:r>
        <w:rPr>
          <w:szCs w:val="22"/>
          <w:lang w:val="sk-SK"/>
        </w:rPr>
        <w:t xml:space="preserve"> </w:t>
      </w:r>
      <w:r w:rsidR="00AB2E7A">
        <w:rPr>
          <w:szCs w:val="22"/>
          <w:lang w:val="sk-SK"/>
        </w:rPr>
        <w:t>preto</w:t>
      </w:r>
      <w:r>
        <w:rPr>
          <w:szCs w:val="22"/>
          <w:lang w:val="sk-SK"/>
        </w:rPr>
        <w:t>že tento liek môže vyvolať falošne pozitívne výsledky.</w:t>
      </w:r>
    </w:p>
    <w:p w14:paraId="25E9A211" w14:textId="77777777" w:rsidR="00D86D14" w:rsidRDefault="00D86D14" w:rsidP="00D86D14">
      <w:pPr>
        <w:rPr>
          <w:szCs w:val="22"/>
          <w:lang w:val="sk-SK"/>
        </w:rPr>
      </w:pPr>
    </w:p>
    <w:p w14:paraId="0EFB32E8" w14:textId="77777777" w:rsidR="00D86D14" w:rsidRDefault="00D86D14" w:rsidP="00D86D14">
      <w:pPr>
        <w:rPr>
          <w:szCs w:val="22"/>
          <w:lang w:val="sk-SK"/>
        </w:rPr>
      </w:pPr>
      <w:r w:rsidRPr="004454C3">
        <w:rPr>
          <w:szCs w:val="22"/>
          <w:lang w:val="sk-SK"/>
        </w:rPr>
        <w:t xml:space="preserve">Váš lekár môže rozhodnúť </w:t>
      </w:r>
      <w:r>
        <w:rPr>
          <w:szCs w:val="22"/>
          <w:lang w:val="sk-SK"/>
        </w:rPr>
        <w:t>o vykonaní krvných</w:t>
      </w:r>
      <w:r w:rsidRPr="004454C3">
        <w:rPr>
          <w:szCs w:val="22"/>
          <w:lang w:val="sk-SK"/>
        </w:rPr>
        <w:t xml:space="preserve"> test</w:t>
      </w:r>
      <w:r>
        <w:rPr>
          <w:szCs w:val="22"/>
          <w:lang w:val="sk-SK"/>
        </w:rPr>
        <w:t>ov</w:t>
      </w:r>
      <w:r w:rsidRPr="004454C3">
        <w:rPr>
          <w:szCs w:val="22"/>
          <w:lang w:val="sk-SK"/>
        </w:rPr>
        <w:t xml:space="preserve">, </w:t>
      </w:r>
      <w:r>
        <w:rPr>
          <w:szCs w:val="22"/>
          <w:lang w:val="sk-SK"/>
        </w:rPr>
        <w:t>a</w:t>
      </w:r>
      <w:r w:rsidRPr="008D7C48">
        <w:rPr>
          <w:szCs w:val="22"/>
          <w:lang w:val="sk-SK"/>
        </w:rPr>
        <w:t xml:space="preserve">k </w:t>
      </w:r>
      <w:r w:rsidR="007D1106">
        <w:rPr>
          <w:szCs w:val="22"/>
          <w:lang w:val="sk-SK"/>
        </w:rPr>
        <w:t>v</w:t>
      </w:r>
      <w:r>
        <w:rPr>
          <w:szCs w:val="22"/>
          <w:lang w:val="sk-SK"/>
        </w:rPr>
        <w:t xml:space="preserve">ám bol </w:t>
      </w:r>
      <w:proofErr w:type="spellStart"/>
      <w:r>
        <w:rPr>
          <w:szCs w:val="22"/>
          <w:lang w:val="sk-SK"/>
        </w:rPr>
        <w:t>Cefotaxim</w:t>
      </w:r>
      <w:proofErr w:type="spellEnd"/>
      <w:r w:rsidRPr="008D7C48">
        <w:rPr>
          <w:szCs w:val="22"/>
          <w:lang w:val="sk-SK"/>
        </w:rPr>
        <w:t xml:space="preserve"> </w:t>
      </w:r>
      <w:proofErr w:type="spellStart"/>
      <w:r w:rsidRPr="008D7C48">
        <w:rPr>
          <w:szCs w:val="22"/>
          <w:lang w:val="sk-SK"/>
        </w:rPr>
        <w:t>Eberth</w:t>
      </w:r>
      <w:proofErr w:type="spellEnd"/>
      <w:r w:rsidRPr="008D7C48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podávaný dlhšie ako</w:t>
      </w:r>
      <w:r w:rsidRPr="008D7C48">
        <w:rPr>
          <w:szCs w:val="22"/>
          <w:lang w:val="sk-SK"/>
        </w:rPr>
        <w:t xml:space="preserve"> 7 dní</w:t>
      </w:r>
      <w:r>
        <w:rPr>
          <w:szCs w:val="22"/>
          <w:lang w:val="sk-SK"/>
        </w:rPr>
        <w:t>, pretože počet leukocytov (bielych krviniek) sa musí kontrolovať.</w:t>
      </w:r>
    </w:p>
    <w:p w14:paraId="55DCA1C2" w14:textId="77777777" w:rsidR="00D86D14" w:rsidRPr="008D7C48" w:rsidRDefault="00D86D14" w:rsidP="00E8168C">
      <w:pPr>
        <w:tabs>
          <w:tab w:val="clear" w:pos="567"/>
        </w:tabs>
        <w:rPr>
          <w:szCs w:val="22"/>
          <w:lang w:val="sk-SK"/>
        </w:rPr>
      </w:pPr>
    </w:p>
    <w:p w14:paraId="0C366127" w14:textId="3358220D" w:rsidR="00D86D14" w:rsidRPr="00D06041" w:rsidRDefault="000C470A" w:rsidP="00E8168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0C470A">
        <w:rPr>
          <w:b/>
          <w:noProof/>
          <w:lang w:val="sk-SK"/>
        </w:rPr>
        <w:t xml:space="preserve">Iné lieky a </w:t>
      </w:r>
      <w:r w:rsidR="00E8168C" w:rsidRPr="00E8168C">
        <w:rPr>
          <w:b/>
          <w:noProof/>
          <w:lang w:val="sk-SK"/>
        </w:rPr>
        <w:t xml:space="preserve">Cefotaxim Eberth </w:t>
      </w:r>
    </w:p>
    <w:p w14:paraId="1D39C832" w14:textId="571F2656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 xml:space="preserve">Ak </w:t>
      </w:r>
      <w:r w:rsidR="00EE61F1">
        <w:rPr>
          <w:noProof/>
          <w:lang w:val="sk-SK"/>
        </w:rPr>
        <w:t xml:space="preserve">teraz </w:t>
      </w:r>
      <w:r>
        <w:rPr>
          <w:noProof/>
          <w:lang w:val="sk-SK"/>
        </w:rPr>
        <w:t>užívate alebo ste v poslednom čase užívali</w:t>
      </w:r>
      <w:r w:rsidR="00EE61F1">
        <w:rPr>
          <w:noProof/>
          <w:lang w:val="sk-SK"/>
        </w:rPr>
        <w:t>, či práve budete užívať</w:t>
      </w:r>
      <w:r>
        <w:rPr>
          <w:noProof/>
          <w:lang w:val="sk-SK"/>
        </w:rPr>
        <w:t xml:space="preserve"> </w:t>
      </w:r>
      <w:r w:rsidR="00EE61F1">
        <w:rPr>
          <w:noProof/>
          <w:lang w:val="sk-SK"/>
        </w:rPr>
        <w:t>ďalšie</w:t>
      </w:r>
      <w:r>
        <w:rPr>
          <w:noProof/>
          <w:lang w:val="sk-SK"/>
        </w:rPr>
        <w:t xml:space="preserve"> lieky, </w:t>
      </w:r>
      <w:r w:rsidR="00833D3B">
        <w:rPr>
          <w:noProof/>
          <w:lang w:val="sk-SK"/>
        </w:rPr>
        <w:t>povedz</w:t>
      </w:r>
      <w:r>
        <w:rPr>
          <w:noProof/>
          <w:lang w:val="sk-SK"/>
        </w:rPr>
        <w:t xml:space="preserve">te to svojmu lekárovi alebo </w:t>
      </w:r>
      <w:r w:rsidR="00C450EE">
        <w:rPr>
          <w:noProof/>
          <w:lang w:val="sk-SK"/>
        </w:rPr>
        <w:t>lekárnikovi</w:t>
      </w:r>
      <w:r>
        <w:rPr>
          <w:noProof/>
          <w:lang w:val="sk-SK"/>
        </w:rPr>
        <w:t xml:space="preserve">. </w:t>
      </w:r>
      <w:r w:rsidRPr="00D06041">
        <w:rPr>
          <w:noProof/>
          <w:lang w:val="sk-SK"/>
        </w:rPr>
        <w:t xml:space="preserve"> </w:t>
      </w:r>
    </w:p>
    <w:p w14:paraId="4CC1F464" w14:textId="77777777" w:rsidR="00D86D14" w:rsidRDefault="00E8168C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 xml:space="preserve"> </w:t>
      </w:r>
    </w:p>
    <w:p w14:paraId="47C96C15" w14:textId="610E945F" w:rsidR="00D86D14" w:rsidRDefault="008B00C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8B00C4">
        <w:rPr>
          <w:noProof/>
          <w:lang w:val="sk-SK"/>
        </w:rPr>
        <w:t>Účinok lieku Cefotaxim Eberth sa môže zvýšiť alebo znížiť pri súbežnom podávaní</w:t>
      </w:r>
      <w:r w:rsidRPr="008B00C4" w:rsidDel="008B00C4">
        <w:rPr>
          <w:noProof/>
          <w:lang w:val="sk-SK"/>
        </w:rPr>
        <w:t xml:space="preserve"> </w:t>
      </w:r>
    </w:p>
    <w:p w14:paraId="73967430" w14:textId="77777777" w:rsidR="00D86D14" w:rsidRPr="00D06041" w:rsidRDefault="00D86D14" w:rsidP="00D86D14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 xml:space="preserve">iných antibiotík, ako sú </w:t>
      </w:r>
      <w:r w:rsidRPr="00D06041">
        <w:rPr>
          <w:noProof/>
          <w:lang w:val="sk-SK"/>
        </w:rPr>
        <w:t>ami</w:t>
      </w:r>
      <w:r>
        <w:rPr>
          <w:noProof/>
          <w:lang w:val="sk-SK"/>
        </w:rPr>
        <w:t>noglykozidy</w:t>
      </w:r>
      <w:r w:rsidRPr="00D06041">
        <w:rPr>
          <w:noProof/>
          <w:lang w:val="sk-SK"/>
        </w:rPr>
        <w:t xml:space="preserve"> </w:t>
      </w:r>
      <w:r w:rsidR="00303C72" w:rsidRPr="00B82C42">
        <w:rPr>
          <w:noProof/>
          <w:lang w:val="sk-SK"/>
        </w:rPr>
        <w:t>(aminoglykozidové antibiotiká)</w:t>
      </w:r>
    </w:p>
    <w:p w14:paraId="6DF45051" w14:textId="77777777" w:rsidR="00D86D14" w:rsidRPr="00D06041" w:rsidRDefault="00D86D14" w:rsidP="00D86D14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>močopudných liekov (napr. furosemid</w:t>
      </w:r>
      <w:r w:rsidRPr="00D06041">
        <w:rPr>
          <w:noProof/>
          <w:lang w:val="sk-SK"/>
        </w:rPr>
        <w:t>)</w:t>
      </w:r>
    </w:p>
    <w:p w14:paraId="50BA2F6E" w14:textId="77777777" w:rsidR="00D86D14" w:rsidRDefault="00D86D14" w:rsidP="00D86D14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D06041">
        <w:rPr>
          <w:noProof/>
          <w:lang w:val="sk-SK"/>
        </w:rPr>
        <w:t>probenecid</w:t>
      </w:r>
      <w:r>
        <w:rPr>
          <w:noProof/>
          <w:lang w:val="sk-SK"/>
        </w:rPr>
        <w:t>u (na liečbu dny a artritídy</w:t>
      </w:r>
      <w:r w:rsidRPr="00D06041">
        <w:rPr>
          <w:noProof/>
          <w:lang w:val="sk-SK"/>
        </w:rPr>
        <w:t>)</w:t>
      </w:r>
    </w:p>
    <w:p w14:paraId="3ADFA947" w14:textId="1B7AA0EA" w:rsidR="00D86D14" w:rsidRPr="002524B8" w:rsidRDefault="00D86D14" w:rsidP="003F7B8F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F7B8F">
        <w:rPr>
          <w:noProof/>
          <w:lang w:val="sk-SK"/>
        </w:rPr>
        <w:t>tet</w:t>
      </w:r>
      <w:r w:rsidRPr="000E39A9">
        <w:rPr>
          <w:noProof/>
          <w:lang w:val="sk-SK"/>
        </w:rPr>
        <w:t xml:space="preserve">racyklínov, erytromycínu a chloramfenykolu </w:t>
      </w:r>
      <w:r w:rsidRPr="00AE6212">
        <w:rPr>
          <w:noProof/>
          <w:lang w:val="sk-SK"/>
        </w:rPr>
        <w:t>(antibiotiká)</w:t>
      </w:r>
      <w:r w:rsidR="00E61CB1" w:rsidRPr="002524B8">
        <w:rPr>
          <w:noProof/>
          <w:lang w:val="sk-SK"/>
        </w:rPr>
        <w:t>.</w:t>
      </w:r>
    </w:p>
    <w:p w14:paraId="316DE448" w14:textId="77777777" w:rsidR="00D86D14" w:rsidRPr="00D06041" w:rsidRDefault="00D86D14" w:rsidP="00D86D14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52761D39" w14:textId="77777777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D06041">
        <w:rPr>
          <w:b/>
          <w:noProof/>
          <w:lang w:val="sk-SK"/>
        </w:rPr>
        <w:t>Tehotenstvo a dojčenie</w:t>
      </w:r>
    </w:p>
    <w:p w14:paraId="184C0514" w14:textId="392AA4D3" w:rsidR="00D86D14" w:rsidRDefault="00E4484B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>
        <w:rPr>
          <w:noProof/>
          <w:lang w:val="sk-SK"/>
        </w:rPr>
        <w:t xml:space="preserve">Ak ste tehotná alebo dojčíte, ak si myslíte, že ste tehotná alebo ak plánujete otehotnieť, poraďte sa so svojim lekárom alebo lekárnikom predtým, ako začnete </w:t>
      </w:r>
      <w:r w:rsidR="000E39A9">
        <w:rPr>
          <w:noProof/>
          <w:lang w:val="sk-SK"/>
        </w:rPr>
        <w:t>po</w:t>
      </w:r>
      <w:r>
        <w:rPr>
          <w:noProof/>
          <w:lang w:val="sk-SK"/>
        </w:rPr>
        <w:t>užívať tento liek.</w:t>
      </w:r>
    </w:p>
    <w:p w14:paraId="376B8B4F" w14:textId="77777777" w:rsidR="002156C9" w:rsidRPr="00D06041" w:rsidRDefault="002156C9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</w:p>
    <w:p w14:paraId="33CC34A2" w14:textId="77777777" w:rsidR="00D86D14" w:rsidRPr="006A6EC0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u w:val="single"/>
          <w:lang w:val="sk-SK"/>
        </w:rPr>
      </w:pPr>
      <w:r w:rsidRPr="006A6EC0">
        <w:rPr>
          <w:noProof/>
          <w:u w:val="single"/>
          <w:lang w:val="sk-SK"/>
        </w:rPr>
        <w:t>Tehotenstvo</w:t>
      </w:r>
    </w:p>
    <w:p w14:paraId="3C0C0A03" w14:textId="2E08D953" w:rsidR="00007168" w:rsidRPr="00467D17" w:rsidRDefault="00007168" w:rsidP="00462D5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 w:rsidRPr="00B72C4F">
        <w:rPr>
          <w:lang w:val="sk-SK"/>
        </w:rPr>
        <w:t xml:space="preserve">Štúdie na zvieratách nepreukázali priame alebo nepriame škodlivé účinky </w:t>
      </w:r>
      <w:r w:rsidR="00B828A6" w:rsidRPr="00B72C4F">
        <w:rPr>
          <w:lang w:val="sk-SK"/>
        </w:rPr>
        <w:t>vz</w:t>
      </w:r>
      <w:r w:rsidRPr="00B72C4F">
        <w:rPr>
          <w:lang w:val="sk-SK"/>
        </w:rPr>
        <w:t xml:space="preserve">hľadom na </w:t>
      </w:r>
      <w:r w:rsidR="00E4484B">
        <w:rPr>
          <w:lang w:val="sk-SK"/>
        </w:rPr>
        <w:t xml:space="preserve">vaše </w:t>
      </w:r>
      <w:r w:rsidR="00055C8C">
        <w:rPr>
          <w:lang w:val="sk-SK"/>
        </w:rPr>
        <w:t>nenarodené dieťa</w:t>
      </w:r>
      <w:r w:rsidRPr="00B72C4F">
        <w:rPr>
          <w:lang w:val="sk-SK"/>
        </w:rPr>
        <w:t xml:space="preserve">. </w:t>
      </w:r>
    </w:p>
    <w:p w14:paraId="34E8E2CB" w14:textId="77777777" w:rsidR="00D86D14" w:rsidRDefault="00D86D14" w:rsidP="00462D5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>
        <w:rPr>
          <w:noProof/>
          <w:lang w:val="sk-SK"/>
        </w:rPr>
        <w:t xml:space="preserve">Ak ste tehotná alebo plánujete otehotnieť, </w:t>
      </w:r>
      <w:r w:rsidR="00DB3613">
        <w:rPr>
          <w:noProof/>
          <w:lang w:val="sk-SK"/>
        </w:rPr>
        <w:t>v</w:t>
      </w:r>
      <w:r>
        <w:rPr>
          <w:noProof/>
          <w:lang w:val="sk-SK"/>
        </w:rPr>
        <w:t xml:space="preserve">áš lekár určí, či je pre </w:t>
      </w:r>
      <w:r w:rsidR="00DB3613">
        <w:rPr>
          <w:noProof/>
          <w:lang w:val="sk-SK"/>
        </w:rPr>
        <w:t>v</w:t>
      </w:r>
      <w:r>
        <w:rPr>
          <w:noProof/>
          <w:lang w:val="sk-SK"/>
        </w:rPr>
        <w:t xml:space="preserve">ás vhodná liečba s liekom Cefotaxim Eberth. </w:t>
      </w:r>
    </w:p>
    <w:p w14:paraId="65514715" w14:textId="77777777" w:rsidR="00D86D14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</w:p>
    <w:p w14:paraId="7A20D973" w14:textId="77777777" w:rsidR="00D86D14" w:rsidRPr="006A6EC0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u w:val="single"/>
          <w:lang w:val="sk-SK"/>
        </w:rPr>
      </w:pPr>
      <w:r w:rsidRPr="006A6EC0">
        <w:rPr>
          <w:noProof/>
          <w:u w:val="single"/>
          <w:lang w:val="sk-SK"/>
        </w:rPr>
        <w:t>Dojčenie</w:t>
      </w:r>
    </w:p>
    <w:p w14:paraId="59431566" w14:textId="77777777" w:rsidR="00D86D14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>
        <w:rPr>
          <w:noProof/>
          <w:lang w:val="sk-SK"/>
        </w:rPr>
        <w:t>Cefotaxím sa vylučuje do materského mlieka v nízkych koncentráciach a môže spôsobiť hnačku, osídlenie kvasinkovými plesňami a precitlive</w:t>
      </w:r>
      <w:r w:rsidR="008E235D">
        <w:rPr>
          <w:noProof/>
          <w:lang w:val="sk-SK"/>
        </w:rPr>
        <w:t>n</w:t>
      </w:r>
      <w:r>
        <w:rPr>
          <w:noProof/>
          <w:lang w:val="sk-SK"/>
        </w:rPr>
        <w:t>osť</w:t>
      </w:r>
      <w:r w:rsidR="000A781B" w:rsidRPr="001C0E6A">
        <w:rPr>
          <w:bCs/>
          <w:szCs w:val="22"/>
          <w:lang w:val="sk-SK"/>
        </w:rPr>
        <w:t xml:space="preserve"> </w:t>
      </w:r>
      <w:r w:rsidR="00007168">
        <w:rPr>
          <w:bCs/>
          <w:szCs w:val="22"/>
          <w:lang w:val="sk-SK"/>
        </w:rPr>
        <w:t>dojčiat</w:t>
      </w:r>
      <w:r>
        <w:rPr>
          <w:noProof/>
          <w:lang w:val="sk-SK"/>
        </w:rPr>
        <w:t xml:space="preserve">. </w:t>
      </w:r>
    </w:p>
    <w:p w14:paraId="7D98D75F" w14:textId="24860538" w:rsidR="00D86D14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  <w:noProof/>
          <w:lang w:val="sk-SK"/>
        </w:rPr>
      </w:pPr>
      <w:r>
        <w:rPr>
          <w:noProof/>
          <w:lang w:val="sk-SK"/>
        </w:rPr>
        <w:t xml:space="preserve">Váš lekár rozhodne, či sa </w:t>
      </w:r>
      <w:r w:rsidR="008150C8">
        <w:rPr>
          <w:noProof/>
          <w:lang w:val="sk-SK"/>
        </w:rPr>
        <w:t xml:space="preserve">ukončí </w:t>
      </w:r>
      <w:r>
        <w:rPr>
          <w:noProof/>
          <w:lang w:val="sk-SK"/>
        </w:rPr>
        <w:t>dojčenie alebo liečba</w:t>
      </w:r>
      <w:r w:rsidR="0058250C">
        <w:rPr>
          <w:noProof/>
          <w:lang w:val="sk-SK"/>
        </w:rPr>
        <w:t>.</w:t>
      </w:r>
      <w:r w:rsidR="007C10A8" w:rsidRPr="00B82C42">
        <w:rPr>
          <w:bCs/>
          <w:noProof/>
          <w:lang w:val="sk-SK"/>
        </w:rPr>
        <w:t xml:space="preserve"> </w:t>
      </w:r>
    </w:p>
    <w:p w14:paraId="6B8B583C" w14:textId="77777777" w:rsidR="00EB0E72" w:rsidRPr="00FB2B3E" w:rsidRDefault="00EB0E72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</w:p>
    <w:p w14:paraId="5BC4F865" w14:textId="4482F46F" w:rsidR="00D86D14" w:rsidRPr="00D06041" w:rsidRDefault="00D86D14" w:rsidP="00D86D14">
      <w:pPr>
        <w:rPr>
          <w:b/>
          <w:noProof/>
          <w:lang w:val="sk-SK"/>
        </w:rPr>
      </w:pPr>
      <w:r w:rsidRPr="00D06041">
        <w:rPr>
          <w:b/>
          <w:noProof/>
          <w:lang w:val="sk-SK"/>
        </w:rPr>
        <w:t>Vedenie vozid</w:t>
      </w:r>
      <w:r w:rsidR="0072110C">
        <w:rPr>
          <w:b/>
          <w:noProof/>
          <w:lang w:val="sk-SK"/>
        </w:rPr>
        <w:t>ie</w:t>
      </w:r>
      <w:r w:rsidRPr="00D06041">
        <w:rPr>
          <w:b/>
          <w:noProof/>
          <w:lang w:val="sk-SK"/>
        </w:rPr>
        <w:t>l a obsluha strojov</w:t>
      </w:r>
    </w:p>
    <w:p w14:paraId="1926E68B" w14:textId="77777777" w:rsidR="00AE6212" w:rsidRDefault="00D86D14" w:rsidP="00D86D14">
      <w:pPr>
        <w:spacing w:line="240" w:lineRule="auto"/>
        <w:rPr>
          <w:lang w:val="sk-SK"/>
        </w:rPr>
      </w:pPr>
      <w:r>
        <w:rPr>
          <w:lang w:val="sk-SK"/>
        </w:rPr>
        <w:t xml:space="preserve">Nebol preukázaný priamy vplyv cefotaxímu na schopnosť viesť vozidlá a obsluhovať stroje. </w:t>
      </w:r>
    </w:p>
    <w:p w14:paraId="2E7A2B9C" w14:textId="2EEA6722" w:rsidR="00522F5B" w:rsidRDefault="00D86D14" w:rsidP="00D86D14">
      <w:pPr>
        <w:spacing w:line="240" w:lineRule="auto"/>
        <w:rPr>
          <w:lang w:val="sk-SK"/>
        </w:rPr>
      </w:pPr>
      <w:r>
        <w:rPr>
          <w:lang w:val="sk-SK"/>
        </w:rPr>
        <w:t xml:space="preserve">Ak </w:t>
      </w:r>
      <w:r w:rsidR="00D64969">
        <w:rPr>
          <w:lang w:val="sk-SK"/>
        </w:rPr>
        <w:t>máte poruchu</w:t>
      </w:r>
      <w:r>
        <w:rPr>
          <w:lang w:val="sk-SK"/>
        </w:rPr>
        <w:t xml:space="preserve"> funkci</w:t>
      </w:r>
      <w:r w:rsidR="00D64969">
        <w:rPr>
          <w:lang w:val="sk-SK"/>
        </w:rPr>
        <w:t>e</w:t>
      </w:r>
      <w:r>
        <w:rPr>
          <w:lang w:val="sk-SK"/>
        </w:rPr>
        <w:t xml:space="preserve"> obličiek, vysoké dávky cefotaxímu môžu spôsobiť poruchu mozgu nazývanú „</w:t>
      </w:r>
      <w:proofErr w:type="spellStart"/>
      <w:r>
        <w:rPr>
          <w:lang w:val="sk-SK"/>
        </w:rPr>
        <w:t>encefalopatia</w:t>
      </w:r>
      <w:proofErr w:type="spellEnd"/>
      <w:r>
        <w:rPr>
          <w:lang w:val="sk-SK"/>
        </w:rPr>
        <w:t xml:space="preserve">“ s príznakmi ako </w:t>
      </w:r>
      <w:r w:rsidR="002524B8">
        <w:rPr>
          <w:lang w:val="sk-SK"/>
        </w:rPr>
        <w:t xml:space="preserve">zmätenosť, </w:t>
      </w:r>
      <w:r>
        <w:rPr>
          <w:lang w:val="sk-SK"/>
        </w:rPr>
        <w:t xml:space="preserve">poruchy vedomia, abnormálne pohyby a kŕče. </w:t>
      </w:r>
    </w:p>
    <w:p w14:paraId="1FE7CF3F" w14:textId="542E39EB" w:rsidR="00D86D14" w:rsidRDefault="00D86D14" w:rsidP="00D86D14">
      <w:pPr>
        <w:spacing w:line="240" w:lineRule="auto"/>
        <w:rPr>
          <w:szCs w:val="22"/>
          <w:lang w:val="sk-SK"/>
        </w:rPr>
      </w:pPr>
      <w:r>
        <w:rPr>
          <w:lang w:val="sk-SK"/>
        </w:rPr>
        <w:t xml:space="preserve">Ak sa vyskytnú akékoľvek takéto príznaky, </w:t>
      </w:r>
      <w:r w:rsidR="00D64969">
        <w:rPr>
          <w:lang w:val="sk-SK"/>
        </w:rPr>
        <w:t>nesmiete</w:t>
      </w:r>
      <w:r w:rsidR="000E0977">
        <w:rPr>
          <w:lang w:val="sk-SK"/>
        </w:rPr>
        <w:t xml:space="preserve"> </w:t>
      </w:r>
      <w:r>
        <w:rPr>
          <w:lang w:val="sk-SK"/>
        </w:rPr>
        <w:t xml:space="preserve">viesť vozidlo alebo obsluhovať stroje. </w:t>
      </w:r>
    </w:p>
    <w:p w14:paraId="1B0679FB" w14:textId="77777777" w:rsidR="00D86D14" w:rsidRPr="007A0754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</w:p>
    <w:p w14:paraId="628260B5" w14:textId="5C06A795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D06041">
        <w:rPr>
          <w:b/>
          <w:noProof/>
          <w:lang w:val="sk-SK"/>
        </w:rPr>
        <w:t>Cefotaxim Eberth</w:t>
      </w:r>
      <w:r w:rsidR="00522F5B">
        <w:rPr>
          <w:b/>
          <w:noProof/>
          <w:lang w:val="sk-SK"/>
        </w:rPr>
        <w:t xml:space="preserve"> obsahuje sodík</w:t>
      </w:r>
    </w:p>
    <w:p w14:paraId="3EC4E761" w14:textId="77777777" w:rsidR="00D86D14" w:rsidRPr="00D06041" w:rsidRDefault="00D86D14" w:rsidP="00D86D14">
      <w:pPr>
        <w:pStyle w:val="knZulassung02"/>
        <w:ind w:left="0"/>
        <w:rPr>
          <w:rFonts w:ascii="Times New Roman" w:hAnsi="Times New Roman"/>
          <w:i/>
          <w:sz w:val="22"/>
          <w:szCs w:val="22"/>
          <w:lang w:val="sk-SK"/>
        </w:rPr>
      </w:pPr>
      <w:proofErr w:type="spellStart"/>
      <w:r w:rsidRPr="00D06041">
        <w:rPr>
          <w:rFonts w:ascii="Times New Roman" w:hAnsi="Times New Roman"/>
          <w:i/>
          <w:sz w:val="22"/>
          <w:szCs w:val="22"/>
          <w:lang w:val="sk-SK"/>
        </w:rPr>
        <w:t>Cefotaxim</w:t>
      </w:r>
      <w:proofErr w:type="spellEnd"/>
      <w:r w:rsidRPr="00D06041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D06041">
        <w:rPr>
          <w:rFonts w:ascii="Times New Roman" w:hAnsi="Times New Roman"/>
          <w:i/>
          <w:sz w:val="22"/>
          <w:szCs w:val="22"/>
          <w:lang w:val="sk-SK"/>
        </w:rPr>
        <w:t>Eberth</w:t>
      </w:r>
      <w:proofErr w:type="spellEnd"/>
      <w:r w:rsidRPr="00D06041">
        <w:rPr>
          <w:rFonts w:ascii="Times New Roman" w:hAnsi="Times New Roman"/>
          <w:i/>
          <w:sz w:val="22"/>
          <w:szCs w:val="22"/>
          <w:lang w:val="sk-SK"/>
        </w:rPr>
        <w:t>, 0</w:t>
      </w:r>
      <w:r>
        <w:rPr>
          <w:rFonts w:ascii="Times New Roman" w:hAnsi="Times New Roman"/>
          <w:i/>
          <w:sz w:val="22"/>
          <w:szCs w:val="22"/>
          <w:lang w:val="sk-SK"/>
        </w:rPr>
        <w:t>,</w:t>
      </w:r>
      <w:r w:rsidRPr="00D06041">
        <w:rPr>
          <w:rFonts w:ascii="Times New Roman" w:hAnsi="Times New Roman"/>
          <w:i/>
          <w:sz w:val="22"/>
          <w:szCs w:val="22"/>
          <w:lang w:val="sk-SK"/>
        </w:rPr>
        <w:t xml:space="preserve">5 g </w:t>
      </w:r>
    </w:p>
    <w:p w14:paraId="22ED5619" w14:textId="0657ED0D" w:rsidR="00D86D14" w:rsidRDefault="00D86D14" w:rsidP="00D86D14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1 injekčná liekovka obsahuje 24 mg sodíka. </w:t>
      </w:r>
      <w:r w:rsidR="002A3E12">
        <w:rPr>
          <w:rFonts w:ascii="Times New Roman" w:hAnsi="Times New Roman"/>
          <w:sz w:val="22"/>
          <w:szCs w:val="22"/>
          <w:lang w:val="sk-SK"/>
        </w:rPr>
        <w:t>V</w:t>
      </w:r>
      <w:r>
        <w:rPr>
          <w:rFonts w:ascii="Times New Roman" w:hAnsi="Times New Roman"/>
          <w:sz w:val="22"/>
          <w:szCs w:val="22"/>
          <w:lang w:val="sk-SK"/>
        </w:rPr>
        <w:t>ezmite to do úvahy, ak máte diétu s kontrolovaným obsahom</w:t>
      </w:r>
      <w:r w:rsidR="005F38CC">
        <w:rPr>
          <w:rFonts w:ascii="Times New Roman" w:hAnsi="Times New Roman"/>
          <w:sz w:val="22"/>
          <w:szCs w:val="22"/>
          <w:lang w:val="sk-SK"/>
        </w:rPr>
        <w:t xml:space="preserve"> soli (nízkym obsahom</w:t>
      </w:r>
      <w:r>
        <w:rPr>
          <w:rFonts w:ascii="Times New Roman" w:hAnsi="Times New Roman"/>
          <w:sz w:val="22"/>
          <w:szCs w:val="22"/>
          <w:lang w:val="sk-SK"/>
        </w:rPr>
        <w:t xml:space="preserve"> sodíka</w:t>
      </w:r>
      <w:r w:rsidR="005F38CC">
        <w:rPr>
          <w:rFonts w:ascii="Times New Roman" w:hAnsi="Times New Roman"/>
          <w:sz w:val="22"/>
          <w:szCs w:val="22"/>
          <w:lang w:val="sk-SK"/>
        </w:rPr>
        <w:t>)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14:paraId="060CB91A" w14:textId="77777777" w:rsidR="00D86D14" w:rsidRPr="006A6EC0" w:rsidRDefault="00D86D14" w:rsidP="00D86D14">
      <w:pPr>
        <w:pStyle w:val="knZulassung02"/>
        <w:ind w:left="0"/>
        <w:rPr>
          <w:rFonts w:ascii="Times New Roman" w:hAnsi="Times New Roman"/>
          <w:i/>
          <w:sz w:val="22"/>
          <w:szCs w:val="22"/>
          <w:highlight w:val="lightGray"/>
          <w:lang w:val="sk-SK"/>
        </w:rPr>
      </w:pPr>
      <w:proofErr w:type="spellStart"/>
      <w:r w:rsidRPr="006A6EC0">
        <w:rPr>
          <w:rFonts w:ascii="Times New Roman" w:hAnsi="Times New Roman"/>
          <w:i/>
          <w:sz w:val="22"/>
          <w:szCs w:val="22"/>
          <w:highlight w:val="lightGray"/>
          <w:lang w:val="sk-SK"/>
        </w:rPr>
        <w:t>Cefotaxim</w:t>
      </w:r>
      <w:proofErr w:type="spellEnd"/>
      <w:r w:rsidRPr="006A6EC0">
        <w:rPr>
          <w:rFonts w:ascii="Times New Roman" w:hAnsi="Times New Roman"/>
          <w:i/>
          <w:sz w:val="22"/>
          <w:szCs w:val="22"/>
          <w:highlight w:val="lightGray"/>
          <w:lang w:val="sk-SK"/>
        </w:rPr>
        <w:t xml:space="preserve"> </w:t>
      </w:r>
      <w:proofErr w:type="spellStart"/>
      <w:r w:rsidRPr="006A6EC0">
        <w:rPr>
          <w:rFonts w:ascii="Times New Roman" w:hAnsi="Times New Roman"/>
          <w:i/>
          <w:sz w:val="22"/>
          <w:szCs w:val="22"/>
          <w:highlight w:val="lightGray"/>
          <w:lang w:val="sk-SK"/>
        </w:rPr>
        <w:t>Eberth</w:t>
      </w:r>
      <w:proofErr w:type="spellEnd"/>
      <w:r w:rsidRPr="006A6EC0">
        <w:rPr>
          <w:rFonts w:ascii="Times New Roman" w:hAnsi="Times New Roman"/>
          <w:i/>
          <w:sz w:val="22"/>
          <w:szCs w:val="22"/>
          <w:highlight w:val="lightGray"/>
          <w:lang w:val="sk-SK"/>
        </w:rPr>
        <w:t>, 1 g</w:t>
      </w:r>
    </w:p>
    <w:p w14:paraId="3125E0E1" w14:textId="762DD11A" w:rsidR="00D86D14" w:rsidRPr="006A6EC0" w:rsidRDefault="00D86D14" w:rsidP="00D86D14">
      <w:pPr>
        <w:pStyle w:val="knZulassung02"/>
        <w:ind w:left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6A6EC0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1 injekčná liekovka obsahuje 48 mg sodíka. </w:t>
      </w:r>
      <w:r w:rsidR="002A3E12" w:rsidRPr="00E86092">
        <w:rPr>
          <w:rFonts w:ascii="Times New Roman" w:hAnsi="Times New Roman"/>
          <w:sz w:val="22"/>
          <w:szCs w:val="22"/>
          <w:highlight w:val="lightGray"/>
          <w:lang w:val="sk-SK"/>
        </w:rPr>
        <w:t>V</w:t>
      </w:r>
      <w:r w:rsidRPr="006A6EC0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ezmite to do úvahy, ak máte diétu s kontrolovaným obsahom </w:t>
      </w:r>
      <w:r w:rsidR="00772CF3" w:rsidRPr="006A6EC0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soli (nízkym obsahom </w:t>
      </w:r>
      <w:r w:rsidRPr="006A6EC0">
        <w:rPr>
          <w:rFonts w:ascii="Times New Roman" w:hAnsi="Times New Roman"/>
          <w:sz w:val="22"/>
          <w:szCs w:val="22"/>
          <w:highlight w:val="lightGray"/>
          <w:lang w:val="sk-SK"/>
        </w:rPr>
        <w:t>sodíka</w:t>
      </w:r>
      <w:r w:rsidR="00772CF3" w:rsidRPr="006A6EC0">
        <w:rPr>
          <w:rFonts w:ascii="Times New Roman" w:hAnsi="Times New Roman"/>
          <w:sz w:val="22"/>
          <w:szCs w:val="22"/>
          <w:highlight w:val="lightGray"/>
          <w:lang w:val="sk-SK"/>
        </w:rPr>
        <w:t>)</w:t>
      </w:r>
      <w:r w:rsidRPr="006A6EC0">
        <w:rPr>
          <w:rFonts w:ascii="Times New Roman" w:hAnsi="Times New Roman"/>
          <w:sz w:val="22"/>
          <w:szCs w:val="22"/>
          <w:highlight w:val="lightGray"/>
          <w:lang w:val="sk-SK"/>
        </w:rPr>
        <w:t>.</w:t>
      </w:r>
    </w:p>
    <w:p w14:paraId="1530E7B1" w14:textId="77777777" w:rsidR="00D86D14" w:rsidRPr="006A6EC0" w:rsidRDefault="00D86D14" w:rsidP="00D86D14">
      <w:pPr>
        <w:pStyle w:val="knZulassung02"/>
        <w:ind w:left="0"/>
        <w:rPr>
          <w:rFonts w:ascii="Times New Roman" w:hAnsi="Times New Roman"/>
          <w:i/>
          <w:sz w:val="22"/>
          <w:szCs w:val="22"/>
          <w:highlight w:val="lightGray"/>
          <w:lang w:val="sk-SK"/>
        </w:rPr>
      </w:pPr>
      <w:proofErr w:type="spellStart"/>
      <w:r w:rsidRPr="006A6EC0">
        <w:rPr>
          <w:rFonts w:ascii="Times New Roman" w:hAnsi="Times New Roman"/>
          <w:i/>
          <w:sz w:val="22"/>
          <w:szCs w:val="22"/>
          <w:highlight w:val="lightGray"/>
          <w:lang w:val="sk-SK"/>
        </w:rPr>
        <w:t>Cefotaxim</w:t>
      </w:r>
      <w:proofErr w:type="spellEnd"/>
      <w:r w:rsidRPr="006A6EC0">
        <w:rPr>
          <w:rFonts w:ascii="Times New Roman" w:hAnsi="Times New Roman"/>
          <w:i/>
          <w:sz w:val="22"/>
          <w:szCs w:val="22"/>
          <w:highlight w:val="lightGray"/>
          <w:lang w:val="sk-SK"/>
        </w:rPr>
        <w:t xml:space="preserve"> </w:t>
      </w:r>
      <w:proofErr w:type="spellStart"/>
      <w:r w:rsidRPr="006A6EC0">
        <w:rPr>
          <w:rFonts w:ascii="Times New Roman" w:hAnsi="Times New Roman"/>
          <w:i/>
          <w:sz w:val="22"/>
          <w:szCs w:val="22"/>
          <w:highlight w:val="lightGray"/>
          <w:lang w:val="sk-SK"/>
        </w:rPr>
        <w:t>Eberth</w:t>
      </w:r>
      <w:proofErr w:type="spellEnd"/>
      <w:r w:rsidRPr="006A6EC0">
        <w:rPr>
          <w:rFonts w:ascii="Times New Roman" w:hAnsi="Times New Roman"/>
          <w:i/>
          <w:sz w:val="22"/>
          <w:szCs w:val="22"/>
          <w:highlight w:val="lightGray"/>
          <w:lang w:val="sk-SK"/>
        </w:rPr>
        <w:t>, 2 g</w:t>
      </w:r>
    </w:p>
    <w:p w14:paraId="10351D83" w14:textId="56BBDA4A" w:rsidR="00D86D14" w:rsidRPr="006A6EC0" w:rsidRDefault="00D86D14" w:rsidP="00D86D14">
      <w:pPr>
        <w:pStyle w:val="knZulassung02"/>
        <w:ind w:left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6A6EC0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1 injekčná liekovka obsahuje 96 mg sodíka. </w:t>
      </w:r>
      <w:r w:rsidR="002A3E12" w:rsidRPr="00E86092">
        <w:rPr>
          <w:rFonts w:ascii="Times New Roman" w:hAnsi="Times New Roman"/>
          <w:sz w:val="22"/>
          <w:szCs w:val="22"/>
          <w:highlight w:val="lightGray"/>
          <w:lang w:val="sk-SK"/>
        </w:rPr>
        <w:t>V</w:t>
      </w:r>
      <w:r w:rsidRPr="006A6EC0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ezmite to do úvahy, ak máte diétu s kontrolovaným obsahom </w:t>
      </w:r>
      <w:r w:rsidR="00772CF3" w:rsidRPr="006A6EC0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soli (nízkym obsahom </w:t>
      </w:r>
      <w:r w:rsidRPr="006A6EC0">
        <w:rPr>
          <w:rFonts w:ascii="Times New Roman" w:hAnsi="Times New Roman"/>
          <w:sz w:val="22"/>
          <w:szCs w:val="22"/>
          <w:highlight w:val="lightGray"/>
          <w:lang w:val="sk-SK"/>
        </w:rPr>
        <w:t>sodíka</w:t>
      </w:r>
      <w:r w:rsidR="00772CF3" w:rsidRPr="006A6EC0">
        <w:rPr>
          <w:rFonts w:ascii="Times New Roman" w:hAnsi="Times New Roman"/>
          <w:sz w:val="22"/>
          <w:szCs w:val="22"/>
          <w:highlight w:val="lightGray"/>
          <w:lang w:val="sk-SK"/>
        </w:rPr>
        <w:t>)</w:t>
      </w:r>
      <w:r w:rsidRPr="006A6EC0">
        <w:rPr>
          <w:rFonts w:ascii="Times New Roman" w:hAnsi="Times New Roman"/>
          <w:sz w:val="22"/>
          <w:szCs w:val="22"/>
          <w:highlight w:val="lightGray"/>
          <w:lang w:val="sk-SK"/>
        </w:rPr>
        <w:t>.</w:t>
      </w:r>
    </w:p>
    <w:p w14:paraId="60B9E482" w14:textId="77777777" w:rsidR="00D86D14" w:rsidRPr="00BF49A1" w:rsidRDefault="00D86D14" w:rsidP="00D86D14">
      <w:pPr>
        <w:pStyle w:val="knZulassung02"/>
        <w:ind w:left="0"/>
        <w:rPr>
          <w:lang w:val="sk-SK"/>
        </w:rPr>
      </w:pPr>
    </w:p>
    <w:p w14:paraId="568038B9" w14:textId="77777777" w:rsidR="00D86D14" w:rsidRPr="00D06041" w:rsidRDefault="00D86D14" w:rsidP="00D86D14">
      <w:pPr>
        <w:rPr>
          <w:lang w:val="sk-SK"/>
        </w:rPr>
      </w:pPr>
    </w:p>
    <w:p w14:paraId="100D07D2" w14:textId="69EA676A" w:rsidR="00D86D14" w:rsidRPr="006F4024" w:rsidRDefault="00D86D14" w:rsidP="00D86D14">
      <w:pPr>
        <w:numPr>
          <w:ilvl w:val="0"/>
          <w:numId w:val="3"/>
        </w:numPr>
        <w:tabs>
          <w:tab w:val="clear" w:pos="570"/>
        </w:tabs>
        <w:spacing w:line="240" w:lineRule="auto"/>
        <w:ind w:right="-2"/>
        <w:rPr>
          <w:b/>
          <w:noProof/>
          <w:lang w:val="sk-SK"/>
        </w:rPr>
      </w:pPr>
      <w:r w:rsidRPr="006F4024">
        <w:rPr>
          <w:b/>
          <w:noProof/>
          <w:lang w:val="sk-SK"/>
        </w:rPr>
        <w:t>A</w:t>
      </w:r>
      <w:r w:rsidR="009E3891">
        <w:rPr>
          <w:b/>
          <w:noProof/>
          <w:lang w:val="sk-SK"/>
        </w:rPr>
        <w:t>ko používať</w:t>
      </w:r>
      <w:r w:rsidRPr="006F4024">
        <w:rPr>
          <w:b/>
          <w:noProof/>
          <w:lang w:val="sk-SK"/>
        </w:rPr>
        <w:t xml:space="preserve"> </w:t>
      </w:r>
      <w:r w:rsidR="00677C14" w:rsidRPr="00767075">
        <w:rPr>
          <w:b/>
          <w:noProof/>
          <w:lang w:val="sk-SK"/>
        </w:rPr>
        <w:t>Cefotaxim Eberth</w:t>
      </w:r>
    </w:p>
    <w:p w14:paraId="5EF1CB5E" w14:textId="77777777" w:rsidR="00D86D14" w:rsidRPr="00D06041" w:rsidRDefault="00D86D14" w:rsidP="00D86D14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7D13CB4F" w14:textId="2B1BCEF3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lastRenderedPageBreak/>
        <w:t xml:space="preserve">Cefotaxim Eberth podáva lekár alebo zdravotná sestra. </w:t>
      </w:r>
    </w:p>
    <w:p w14:paraId="7B6B80B2" w14:textId="608E3223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 xml:space="preserve">Ak si nie ste niečím istý, poraďte sa so svojim lekárom alebo </w:t>
      </w:r>
      <w:r w:rsidR="00A57D07">
        <w:rPr>
          <w:noProof/>
          <w:lang w:val="sk-SK"/>
        </w:rPr>
        <w:t>zdravotnou sestrou</w:t>
      </w:r>
      <w:r w:rsidRPr="0084644E">
        <w:rPr>
          <w:noProof/>
          <w:lang w:val="sk-SK"/>
        </w:rPr>
        <w:t>.</w:t>
      </w:r>
    </w:p>
    <w:p w14:paraId="66351530" w14:textId="77777777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86ED79A" w14:textId="4A264061" w:rsidR="00D86D14" w:rsidRDefault="00D86D14" w:rsidP="00D86D14">
      <w:pPr>
        <w:rPr>
          <w:noProof/>
          <w:lang w:val="sk-SK"/>
        </w:rPr>
      </w:pPr>
      <w:r w:rsidRPr="000C7975">
        <w:rPr>
          <w:noProof/>
          <w:lang w:val="sk-SK"/>
        </w:rPr>
        <w:t xml:space="preserve">Cefotaxim Eberth </w:t>
      </w:r>
      <w:r>
        <w:rPr>
          <w:noProof/>
          <w:lang w:val="sk-SK"/>
        </w:rPr>
        <w:t xml:space="preserve">sa </w:t>
      </w:r>
      <w:r w:rsidRPr="000C7975">
        <w:rPr>
          <w:noProof/>
          <w:lang w:val="sk-SK"/>
        </w:rPr>
        <w:t>m</w:t>
      </w:r>
      <w:r>
        <w:rPr>
          <w:noProof/>
          <w:lang w:val="sk-SK"/>
        </w:rPr>
        <w:t>á</w:t>
      </w:r>
      <w:r w:rsidRPr="000C7975">
        <w:rPr>
          <w:noProof/>
          <w:lang w:val="sk-SK"/>
        </w:rPr>
        <w:t xml:space="preserve"> vždy podáva</w:t>
      </w:r>
      <w:r>
        <w:rPr>
          <w:noProof/>
          <w:lang w:val="sk-SK"/>
        </w:rPr>
        <w:t>ť</w:t>
      </w:r>
      <w:r w:rsidRPr="000C7975">
        <w:rPr>
          <w:noProof/>
          <w:lang w:val="sk-SK"/>
        </w:rPr>
        <w:t xml:space="preserve"> intravenózne (do žily) alebo </w:t>
      </w:r>
      <w:r>
        <w:rPr>
          <w:noProof/>
          <w:lang w:val="sk-SK"/>
        </w:rPr>
        <w:t>intramuskulárne</w:t>
      </w:r>
      <w:r w:rsidRPr="000C7975">
        <w:rPr>
          <w:noProof/>
          <w:lang w:val="sk-SK"/>
        </w:rPr>
        <w:t xml:space="preserve"> (</w:t>
      </w:r>
      <w:r>
        <w:rPr>
          <w:noProof/>
          <w:lang w:val="sk-SK"/>
        </w:rPr>
        <w:t>do</w:t>
      </w:r>
      <w:r w:rsidRPr="000C7975">
        <w:rPr>
          <w:noProof/>
          <w:lang w:val="sk-SK"/>
        </w:rPr>
        <w:t xml:space="preserve"> sval</w:t>
      </w:r>
      <w:r>
        <w:rPr>
          <w:noProof/>
          <w:lang w:val="sk-SK"/>
        </w:rPr>
        <w:t>u</w:t>
      </w:r>
      <w:r w:rsidRPr="000C7975">
        <w:rPr>
          <w:noProof/>
          <w:lang w:val="sk-SK"/>
        </w:rPr>
        <w:t xml:space="preserve">). </w:t>
      </w:r>
    </w:p>
    <w:p w14:paraId="1F51F5C1" w14:textId="77777777" w:rsidR="00D86D14" w:rsidRDefault="00D86D14" w:rsidP="00D86D14">
      <w:pPr>
        <w:rPr>
          <w:noProof/>
          <w:lang w:val="sk-SK"/>
        </w:rPr>
      </w:pPr>
    </w:p>
    <w:p w14:paraId="264DB98B" w14:textId="5050627E" w:rsidR="00D86D14" w:rsidRDefault="00D86D14" w:rsidP="00D86D14">
      <w:pPr>
        <w:rPr>
          <w:noProof/>
          <w:lang w:val="sk-SK"/>
        </w:rPr>
      </w:pPr>
      <w:r>
        <w:rPr>
          <w:noProof/>
          <w:lang w:val="sk-SK"/>
        </w:rPr>
        <w:t>Dávkovanie, spôsob pod</w:t>
      </w:r>
      <w:r w:rsidR="000E0977">
        <w:rPr>
          <w:noProof/>
          <w:lang w:val="sk-SK"/>
        </w:rPr>
        <w:t>áv</w:t>
      </w:r>
      <w:r>
        <w:rPr>
          <w:noProof/>
          <w:lang w:val="sk-SK"/>
        </w:rPr>
        <w:t>ania a interval medzi injekciami závisí od citlivosti mikroorganizmu, závažnosti infekcie a </w:t>
      </w:r>
      <w:r w:rsidR="00A73D76">
        <w:rPr>
          <w:noProof/>
          <w:lang w:val="sk-SK"/>
        </w:rPr>
        <w:t>v</w:t>
      </w:r>
      <w:r>
        <w:rPr>
          <w:noProof/>
          <w:lang w:val="sk-SK"/>
        </w:rPr>
        <w:t xml:space="preserve">ášho stavu. </w:t>
      </w:r>
    </w:p>
    <w:p w14:paraId="0ED3C777" w14:textId="77777777" w:rsidR="00D86D14" w:rsidRPr="006A6EC0" w:rsidRDefault="00D86D14" w:rsidP="00D86D14">
      <w:pPr>
        <w:widowControl w:val="0"/>
        <w:spacing w:before="100" w:beforeAutospacing="1"/>
        <w:jc w:val="both"/>
        <w:outlineLvl w:val="0"/>
        <w:rPr>
          <w:b/>
          <w:bCs/>
          <w:lang w:val="sk-SK"/>
        </w:rPr>
      </w:pPr>
      <w:r w:rsidRPr="006A6EC0">
        <w:rPr>
          <w:b/>
          <w:bCs/>
          <w:lang w:val="sk-SK"/>
        </w:rPr>
        <w:t>Odporúčané dávky:</w:t>
      </w:r>
    </w:p>
    <w:p w14:paraId="6D97DC05" w14:textId="77777777" w:rsidR="00D86D14" w:rsidRPr="004229C9" w:rsidRDefault="00D86D14" w:rsidP="00D86D14">
      <w:pPr>
        <w:widowControl w:val="0"/>
        <w:tabs>
          <w:tab w:val="clear" w:pos="567"/>
        </w:tabs>
        <w:spacing w:before="100" w:beforeAutospacing="1" w:line="240" w:lineRule="auto"/>
        <w:jc w:val="both"/>
        <w:outlineLvl w:val="0"/>
        <w:rPr>
          <w:bCs/>
          <w:lang w:val="sk-SK"/>
        </w:rPr>
      </w:pPr>
      <w:r w:rsidRPr="004229C9">
        <w:rPr>
          <w:bCs/>
          <w:i/>
          <w:u w:val="single"/>
          <w:lang w:val="sk-SK"/>
        </w:rPr>
        <w:t xml:space="preserve">Dospelí a </w:t>
      </w:r>
      <w:r>
        <w:rPr>
          <w:bCs/>
          <w:i/>
          <w:u w:val="single"/>
          <w:lang w:val="sk-SK"/>
        </w:rPr>
        <w:t>dospievajúci (</w:t>
      </w:r>
      <w:r w:rsidRPr="004229C9">
        <w:rPr>
          <w:bCs/>
          <w:i/>
          <w:u w:val="single"/>
          <w:lang w:val="sk-SK"/>
        </w:rPr>
        <w:t>12</w:t>
      </w:r>
      <w:r>
        <w:rPr>
          <w:bCs/>
          <w:i/>
          <w:u w:val="single"/>
          <w:lang w:val="sk-SK"/>
        </w:rPr>
        <w:t xml:space="preserve"> až 18 </w:t>
      </w:r>
      <w:r w:rsidRPr="004229C9">
        <w:rPr>
          <w:bCs/>
          <w:i/>
          <w:u w:val="single"/>
          <w:lang w:val="sk-SK"/>
        </w:rPr>
        <w:t xml:space="preserve"> rokov</w:t>
      </w:r>
      <w:r>
        <w:rPr>
          <w:bCs/>
          <w:i/>
          <w:u w:val="single"/>
          <w:lang w:val="sk-SK"/>
        </w:rPr>
        <w:t>):</w:t>
      </w:r>
    </w:p>
    <w:p w14:paraId="75E0AA11" w14:textId="3296462E" w:rsidR="00D86D14" w:rsidRDefault="00D86D14" w:rsidP="00D86D14">
      <w:pPr>
        <w:widowControl w:val="0"/>
        <w:spacing w:line="240" w:lineRule="auto"/>
        <w:jc w:val="both"/>
        <w:outlineLvl w:val="0"/>
        <w:rPr>
          <w:bCs/>
          <w:i/>
          <w:color w:val="FF0000"/>
          <w:u w:val="single"/>
          <w:lang w:val="sk-SK"/>
        </w:rPr>
      </w:pPr>
      <w:r w:rsidRPr="004229C9">
        <w:rPr>
          <w:lang w:val="sk-SK"/>
        </w:rPr>
        <w:t xml:space="preserve">Obvyklá dávka pre dospelých a dospievajúcich je 2 až 6 g denne. Denná dávka </w:t>
      </w:r>
      <w:r>
        <w:rPr>
          <w:lang w:val="sk-SK"/>
        </w:rPr>
        <w:t>má</w:t>
      </w:r>
      <w:r w:rsidRPr="004229C9">
        <w:rPr>
          <w:lang w:val="sk-SK"/>
        </w:rPr>
        <w:t xml:space="preserve"> byť rozdelená na dve jednotlivé dávky každých 12 hodín. Avšak dávka sa môže zmeniť podľa závažnosti infekcie, citlivosti patogénnych organizmov a</w:t>
      </w:r>
      <w:r w:rsidR="00CA22BE">
        <w:rPr>
          <w:lang w:val="sk-SK"/>
        </w:rPr>
        <w:t xml:space="preserve"> vášho </w:t>
      </w:r>
      <w:r w:rsidRPr="004229C9">
        <w:rPr>
          <w:lang w:val="sk-SK"/>
        </w:rPr>
        <w:t>stavu.</w:t>
      </w:r>
    </w:p>
    <w:p w14:paraId="46E950ED" w14:textId="77777777" w:rsidR="00D86D14" w:rsidRPr="003E07FD" w:rsidRDefault="00D86D14" w:rsidP="00D86D14">
      <w:pPr>
        <w:widowControl w:val="0"/>
        <w:tabs>
          <w:tab w:val="left" w:pos="5250"/>
        </w:tabs>
        <w:rPr>
          <w:color w:val="FF0000"/>
          <w:lang w:val="sk-SK"/>
        </w:rPr>
      </w:pPr>
      <w:r w:rsidRPr="003E07FD">
        <w:rPr>
          <w:color w:val="FF0000"/>
          <w:lang w:val="sk-SK"/>
        </w:rPr>
        <w:tab/>
      </w:r>
    </w:p>
    <w:p w14:paraId="7FD26C96" w14:textId="77777777" w:rsidR="00D86D14" w:rsidRPr="004229C9" w:rsidRDefault="00D86D14" w:rsidP="00D86D14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sk-SK"/>
        </w:rPr>
      </w:pPr>
      <w:r w:rsidRPr="005024D7">
        <w:rPr>
          <w:i/>
          <w:lang w:val="sk-SK"/>
        </w:rPr>
        <w:t xml:space="preserve">Nekomplikované </w:t>
      </w:r>
      <w:r w:rsidRPr="004229C9">
        <w:rPr>
          <w:i/>
          <w:lang w:val="sk-SK"/>
        </w:rPr>
        <w:t xml:space="preserve">infekcie za prítomnosti (alebo podozrenia) citlivého patogénu: </w:t>
      </w:r>
      <w:r w:rsidRPr="004229C9">
        <w:rPr>
          <w:lang w:val="sk-SK"/>
        </w:rPr>
        <w:t>1 g každých 12 hodín zodpovedajúci celkovej dennej dávke 2 g</w:t>
      </w:r>
      <w:r>
        <w:rPr>
          <w:lang w:val="sk-SK"/>
        </w:rPr>
        <w:t>.</w:t>
      </w:r>
    </w:p>
    <w:p w14:paraId="469CA430" w14:textId="77777777" w:rsidR="00D86D14" w:rsidRPr="003E07FD" w:rsidRDefault="00D86D14" w:rsidP="00D86D14">
      <w:pPr>
        <w:widowControl w:val="0"/>
        <w:rPr>
          <w:color w:val="FF0000"/>
          <w:lang w:val="sk-SK"/>
        </w:rPr>
      </w:pPr>
    </w:p>
    <w:p w14:paraId="02539C49" w14:textId="41D6DE49" w:rsidR="00D86D14" w:rsidRPr="004229C9" w:rsidRDefault="00D86D14" w:rsidP="00D86D14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sk-SK"/>
        </w:rPr>
      </w:pPr>
      <w:bookmarkStart w:id="1" w:name="OLE_LINK3"/>
      <w:bookmarkStart w:id="2" w:name="OLE_LINK4"/>
      <w:r w:rsidRPr="004229C9">
        <w:rPr>
          <w:i/>
          <w:lang w:val="sk-SK"/>
        </w:rPr>
        <w:t>Infekcie za prítomnosti (alebo podozrenia)</w:t>
      </w:r>
      <w:r>
        <w:rPr>
          <w:i/>
          <w:lang w:val="sk-SK"/>
        </w:rPr>
        <w:t xml:space="preserve"> </w:t>
      </w:r>
      <w:r w:rsidR="004C2558">
        <w:rPr>
          <w:i/>
          <w:lang w:val="sk-SK"/>
        </w:rPr>
        <w:t>niekoľkých</w:t>
      </w:r>
      <w:r w:rsidR="004C2558" w:rsidRPr="004229C9">
        <w:rPr>
          <w:i/>
          <w:lang w:val="sk-SK"/>
        </w:rPr>
        <w:t xml:space="preserve"> </w:t>
      </w:r>
      <w:r w:rsidR="004C2558">
        <w:rPr>
          <w:i/>
          <w:lang w:val="sk-SK"/>
        </w:rPr>
        <w:t xml:space="preserve">citlivých </w:t>
      </w:r>
      <w:r w:rsidRPr="004229C9">
        <w:rPr>
          <w:i/>
          <w:lang w:val="sk-SK"/>
        </w:rPr>
        <w:t>alebo stredne citlivých patogénov:</w:t>
      </w:r>
      <w:r w:rsidRPr="004229C9">
        <w:rPr>
          <w:lang w:val="sk-SK"/>
        </w:rPr>
        <w:t xml:space="preserve"> 1</w:t>
      </w:r>
      <w:r>
        <w:rPr>
          <w:lang w:val="sk-SK"/>
        </w:rPr>
        <w:t xml:space="preserve"> </w:t>
      </w:r>
      <w:r w:rsidRPr="004229C9">
        <w:rPr>
          <w:lang w:val="sk-SK"/>
        </w:rPr>
        <w:t>-</w:t>
      </w:r>
      <w:r>
        <w:rPr>
          <w:lang w:val="sk-SK"/>
        </w:rPr>
        <w:t xml:space="preserve"> </w:t>
      </w:r>
      <w:r w:rsidRPr="004229C9">
        <w:rPr>
          <w:lang w:val="sk-SK"/>
        </w:rPr>
        <w:t>2 g každých 12 hodín zodpovedajúcich celkovej dennej dávke 2</w:t>
      </w:r>
      <w:r>
        <w:rPr>
          <w:lang w:val="sk-SK"/>
        </w:rPr>
        <w:t xml:space="preserve"> </w:t>
      </w:r>
      <w:r w:rsidRPr="004229C9">
        <w:rPr>
          <w:lang w:val="sk-SK"/>
        </w:rPr>
        <w:t>-</w:t>
      </w:r>
      <w:r>
        <w:rPr>
          <w:lang w:val="sk-SK"/>
        </w:rPr>
        <w:t xml:space="preserve"> </w:t>
      </w:r>
      <w:r w:rsidRPr="004229C9">
        <w:rPr>
          <w:lang w:val="sk-SK"/>
        </w:rPr>
        <w:t>4 g.</w:t>
      </w:r>
    </w:p>
    <w:p w14:paraId="5C9F3DA3" w14:textId="6B1A6797" w:rsidR="00D86D14" w:rsidRPr="004229C9" w:rsidRDefault="004C2558" w:rsidP="00D86D14">
      <w:pPr>
        <w:widowControl w:val="0"/>
        <w:spacing w:before="100" w:beforeAutospacing="1"/>
        <w:rPr>
          <w:lang w:val="sk-SK"/>
        </w:rPr>
      </w:pPr>
      <w:r>
        <w:rPr>
          <w:i/>
          <w:lang w:val="sk-SK"/>
        </w:rPr>
        <w:t>Závažné</w:t>
      </w:r>
      <w:r w:rsidRPr="004229C9">
        <w:rPr>
          <w:i/>
          <w:lang w:val="sk-SK"/>
        </w:rPr>
        <w:t xml:space="preserve"> </w:t>
      </w:r>
      <w:r w:rsidR="00D86D14" w:rsidRPr="004229C9">
        <w:rPr>
          <w:i/>
          <w:lang w:val="sk-SK"/>
        </w:rPr>
        <w:t>infekcie spôsobené neidentifikovanými patogénmi alebo infekcie, ktoré sa nedajú lokalizovať:</w:t>
      </w:r>
      <w:r w:rsidR="00D86D14" w:rsidRPr="004229C9">
        <w:rPr>
          <w:lang w:val="sk-SK"/>
        </w:rPr>
        <w:t xml:space="preserve"> 2</w:t>
      </w:r>
      <w:r w:rsidR="00D86D14">
        <w:rPr>
          <w:lang w:val="sk-SK"/>
        </w:rPr>
        <w:t xml:space="preserve"> </w:t>
      </w:r>
      <w:r w:rsidR="00D86D14" w:rsidRPr="004229C9">
        <w:rPr>
          <w:lang w:val="sk-SK"/>
        </w:rPr>
        <w:t>-</w:t>
      </w:r>
      <w:r w:rsidR="00D86D14">
        <w:rPr>
          <w:lang w:val="sk-SK"/>
        </w:rPr>
        <w:t xml:space="preserve"> </w:t>
      </w:r>
      <w:r w:rsidR="00D86D14" w:rsidRPr="004229C9">
        <w:rPr>
          <w:lang w:val="sk-SK"/>
        </w:rPr>
        <w:t>3 g ako jednotlivá dávka každých 6 až 8 hodín do maximálnej dennej dávky 12 g.</w:t>
      </w:r>
    </w:p>
    <w:p w14:paraId="640C7AFE" w14:textId="77777777" w:rsidR="00D86D14" w:rsidRDefault="00D86D14" w:rsidP="00D86D14">
      <w:pPr>
        <w:tabs>
          <w:tab w:val="left" w:pos="317"/>
        </w:tabs>
        <w:rPr>
          <w:u w:val="single"/>
          <w:lang w:val="sk-SK"/>
        </w:rPr>
      </w:pPr>
    </w:p>
    <w:p w14:paraId="4DD75EE1" w14:textId="77777777" w:rsidR="00D86D14" w:rsidRPr="00802E3A" w:rsidRDefault="00D86D14" w:rsidP="00D86D14">
      <w:pPr>
        <w:tabs>
          <w:tab w:val="left" w:pos="317"/>
        </w:tabs>
        <w:rPr>
          <w:i/>
          <w:u w:val="single"/>
          <w:lang w:val="sk-SK"/>
        </w:rPr>
      </w:pPr>
      <w:r w:rsidRPr="00802E3A">
        <w:rPr>
          <w:i/>
          <w:u w:val="single"/>
          <w:lang w:val="sk-SK"/>
        </w:rPr>
        <w:t>Dojčatá a deti (od 28 dní do 11 rokov):</w:t>
      </w:r>
    </w:p>
    <w:p w14:paraId="5A5FBA33" w14:textId="77777777" w:rsidR="00D86D14" w:rsidRPr="004229C9" w:rsidRDefault="00D86D14" w:rsidP="00D86D14">
      <w:pPr>
        <w:tabs>
          <w:tab w:val="left" w:pos="317"/>
        </w:tabs>
        <w:rPr>
          <w:lang w:val="sk-SK"/>
        </w:rPr>
      </w:pPr>
      <w:r w:rsidRPr="004229C9">
        <w:rPr>
          <w:lang w:val="sk-SK"/>
        </w:rPr>
        <w:t xml:space="preserve">Obvyklá dávka pre dojčatá a deti &lt;50 kg je 50 – </w:t>
      </w:r>
      <w:r>
        <w:rPr>
          <w:lang w:val="sk-SK"/>
        </w:rPr>
        <w:t>100</w:t>
      </w:r>
      <w:r w:rsidRPr="004229C9">
        <w:rPr>
          <w:lang w:val="sk-SK"/>
        </w:rPr>
        <w:t xml:space="preserve"> mg/kg/deň rozdelená do 2 až 4 dávok</w:t>
      </w:r>
      <w:r>
        <w:rPr>
          <w:lang w:val="sk-SK"/>
        </w:rPr>
        <w:t xml:space="preserve"> (každých 12 až 6 hodín)</w:t>
      </w:r>
      <w:r w:rsidRPr="004229C9">
        <w:rPr>
          <w:lang w:val="sk-SK"/>
        </w:rPr>
        <w:t>.</w:t>
      </w:r>
    </w:p>
    <w:p w14:paraId="257715EA" w14:textId="2D004BFA" w:rsidR="00D86D14" w:rsidRDefault="00D86D14" w:rsidP="00D86D14">
      <w:pPr>
        <w:tabs>
          <w:tab w:val="left" w:pos="317"/>
        </w:tabs>
        <w:rPr>
          <w:lang w:val="sk-SK"/>
        </w:rPr>
      </w:pPr>
      <w:r w:rsidRPr="004229C9">
        <w:rPr>
          <w:lang w:val="sk-SK"/>
        </w:rPr>
        <w:t xml:space="preserve">U veľmi </w:t>
      </w:r>
      <w:r w:rsidR="00E30669">
        <w:rPr>
          <w:lang w:val="sk-SK"/>
        </w:rPr>
        <w:t>závažných</w:t>
      </w:r>
      <w:r w:rsidR="00E30669" w:rsidRPr="004229C9">
        <w:rPr>
          <w:lang w:val="sk-SK"/>
        </w:rPr>
        <w:t xml:space="preserve"> </w:t>
      </w:r>
      <w:r w:rsidRPr="004229C9">
        <w:rPr>
          <w:lang w:val="sk-SK"/>
        </w:rPr>
        <w:t xml:space="preserve">infekcií </w:t>
      </w:r>
      <w:r w:rsidR="00A853F1">
        <w:rPr>
          <w:lang w:val="sk-SK"/>
        </w:rPr>
        <w:t>môže byť potrebná dávka</w:t>
      </w:r>
      <w:r w:rsidR="00A853F1" w:rsidRPr="004229C9">
        <w:rPr>
          <w:lang w:val="sk-SK"/>
        </w:rPr>
        <w:t xml:space="preserve"> </w:t>
      </w:r>
      <w:r w:rsidRPr="004229C9">
        <w:rPr>
          <w:lang w:val="sk-SK"/>
        </w:rPr>
        <w:t>do 200 mg/kg/deň rozdelená do 2</w:t>
      </w:r>
      <w:r>
        <w:rPr>
          <w:lang w:val="sk-SK"/>
        </w:rPr>
        <w:t xml:space="preserve"> </w:t>
      </w:r>
      <w:r w:rsidRPr="004229C9">
        <w:rPr>
          <w:lang w:val="sk-SK"/>
        </w:rPr>
        <w:t>-</w:t>
      </w:r>
      <w:r>
        <w:rPr>
          <w:lang w:val="sk-SK"/>
        </w:rPr>
        <w:t xml:space="preserve"> </w:t>
      </w:r>
      <w:r w:rsidRPr="004229C9">
        <w:rPr>
          <w:lang w:val="sk-SK"/>
        </w:rPr>
        <w:t xml:space="preserve">4 dávok. </w:t>
      </w:r>
    </w:p>
    <w:p w14:paraId="64906E40" w14:textId="77777777" w:rsidR="00D86D14" w:rsidRDefault="00D86D14" w:rsidP="00D86D14">
      <w:pPr>
        <w:tabs>
          <w:tab w:val="left" w:pos="317"/>
        </w:tabs>
        <w:rPr>
          <w:lang w:val="sk-SK"/>
        </w:rPr>
      </w:pPr>
    </w:p>
    <w:p w14:paraId="13E26897" w14:textId="77777777" w:rsidR="00D86D14" w:rsidRPr="004229C9" w:rsidRDefault="00D86D14" w:rsidP="00D86D14">
      <w:pPr>
        <w:tabs>
          <w:tab w:val="left" w:pos="317"/>
        </w:tabs>
        <w:rPr>
          <w:lang w:val="sk-SK"/>
        </w:rPr>
      </w:pPr>
      <w:r w:rsidRPr="004229C9">
        <w:rPr>
          <w:lang w:val="sk-SK"/>
        </w:rPr>
        <w:t>U dojč</w:t>
      </w:r>
      <w:r>
        <w:rPr>
          <w:lang w:val="sk-SK"/>
        </w:rPr>
        <w:t>i</w:t>
      </w:r>
      <w:r w:rsidRPr="004229C9">
        <w:rPr>
          <w:lang w:val="sk-SK"/>
        </w:rPr>
        <w:t>at a det</w:t>
      </w:r>
      <w:r>
        <w:rPr>
          <w:lang w:val="sk-SK"/>
        </w:rPr>
        <w:t>í</w:t>
      </w:r>
      <w:r w:rsidRPr="004229C9">
        <w:rPr>
          <w:lang w:val="sk-SK"/>
        </w:rPr>
        <w:t xml:space="preserve"> </w:t>
      </w:r>
      <w:r>
        <w:rPr>
          <w:rFonts w:ascii="Arial" w:hAnsi="Arial" w:cs="Arial"/>
          <w:lang w:val="sk-SK"/>
        </w:rPr>
        <w:t>&gt;</w:t>
      </w:r>
      <w:r w:rsidRPr="004229C9">
        <w:rPr>
          <w:lang w:val="sk-SK"/>
        </w:rPr>
        <w:t xml:space="preserve">50 kg sa </w:t>
      </w:r>
      <w:r>
        <w:rPr>
          <w:lang w:val="sk-SK"/>
        </w:rPr>
        <w:t>má</w:t>
      </w:r>
      <w:r w:rsidRPr="004229C9">
        <w:rPr>
          <w:lang w:val="sk-SK"/>
        </w:rPr>
        <w:t xml:space="preserve"> podať obvyklá dávka ako u dospelých bez prekročenia maximálnej dennej dávky 12 g.</w:t>
      </w:r>
    </w:p>
    <w:p w14:paraId="6FD32C70" w14:textId="77777777" w:rsidR="00D86D14" w:rsidRDefault="00D86D14" w:rsidP="00D86D14">
      <w:pPr>
        <w:pStyle w:val="Zarkazkladnhotextu3"/>
        <w:tabs>
          <w:tab w:val="clear" w:pos="567"/>
          <w:tab w:val="left" w:pos="743"/>
        </w:tabs>
        <w:spacing w:after="0" w:line="240" w:lineRule="auto"/>
        <w:ind w:left="0"/>
        <w:rPr>
          <w:sz w:val="22"/>
          <w:szCs w:val="22"/>
          <w:u w:val="single"/>
          <w:lang w:val="sk-SK"/>
        </w:rPr>
      </w:pPr>
    </w:p>
    <w:p w14:paraId="135CBEC0" w14:textId="7F6F859E" w:rsidR="00D86D14" w:rsidRPr="00802E3A" w:rsidRDefault="00E30669" w:rsidP="00D86D14">
      <w:pPr>
        <w:pStyle w:val="Zarkazkladnhotextu3"/>
        <w:tabs>
          <w:tab w:val="clear" w:pos="567"/>
          <w:tab w:val="left" w:pos="743"/>
        </w:tabs>
        <w:spacing w:after="0" w:line="240" w:lineRule="auto"/>
        <w:ind w:left="0"/>
        <w:rPr>
          <w:i/>
          <w:sz w:val="22"/>
          <w:szCs w:val="22"/>
          <w:u w:val="single"/>
          <w:lang w:val="sk-SK"/>
        </w:rPr>
      </w:pPr>
      <w:r>
        <w:rPr>
          <w:i/>
          <w:sz w:val="22"/>
          <w:szCs w:val="22"/>
          <w:u w:val="single"/>
          <w:lang w:val="sk-SK"/>
        </w:rPr>
        <w:t>V termíne narodení n</w:t>
      </w:r>
      <w:r w:rsidR="00D86D14" w:rsidRPr="00802E3A">
        <w:rPr>
          <w:i/>
          <w:sz w:val="22"/>
          <w:szCs w:val="22"/>
          <w:u w:val="single"/>
          <w:lang w:val="sk-SK"/>
        </w:rPr>
        <w:t>ovorodenci (0 - 27 dní):</w:t>
      </w:r>
    </w:p>
    <w:p w14:paraId="680E7B2D" w14:textId="7465E965" w:rsidR="00D86D14" w:rsidRDefault="00E30669" w:rsidP="00D86D14">
      <w:pPr>
        <w:pStyle w:val="Zarkazkladnhotextu3"/>
        <w:tabs>
          <w:tab w:val="clear" w:pos="567"/>
          <w:tab w:val="left" w:pos="743"/>
        </w:tabs>
        <w:spacing w:after="0" w:line="240" w:lineRule="auto"/>
        <w:ind w:left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 termíne narodení n</w:t>
      </w:r>
      <w:r w:rsidR="00D86D14" w:rsidRPr="00021FB4">
        <w:rPr>
          <w:sz w:val="22"/>
          <w:szCs w:val="22"/>
          <w:lang w:val="sk-SK"/>
        </w:rPr>
        <w:t>ovorodenc</w:t>
      </w:r>
      <w:r w:rsidR="00D86D14">
        <w:rPr>
          <w:sz w:val="22"/>
          <w:szCs w:val="22"/>
          <w:lang w:val="sk-SK"/>
        </w:rPr>
        <w:t>i 0 – 7 dní (</w:t>
      </w:r>
      <w:r w:rsidR="00D86D14" w:rsidRPr="00751AC7">
        <w:rPr>
          <w:sz w:val="22"/>
          <w:szCs w:val="22"/>
          <w:lang w:val="sk-SK"/>
        </w:rPr>
        <w:t>bez ohľadu na závažnosť</w:t>
      </w:r>
      <w:r w:rsidR="00D86D14">
        <w:rPr>
          <w:sz w:val="22"/>
          <w:szCs w:val="22"/>
          <w:lang w:val="sk-SK"/>
        </w:rPr>
        <w:t>):</w:t>
      </w:r>
    </w:p>
    <w:p w14:paraId="0E986CBB" w14:textId="4EC96849" w:rsidR="00D86D14" w:rsidRDefault="00D86D14" w:rsidP="00D86D14">
      <w:pPr>
        <w:pStyle w:val="Zarkazkladnhotextu3"/>
        <w:tabs>
          <w:tab w:val="clear" w:pos="567"/>
          <w:tab w:val="left" w:pos="743"/>
        </w:tabs>
        <w:spacing w:after="0" w:line="240" w:lineRule="auto"/>
        <w:ind w:left="0"/>
        <w:rPr>
          <w:sz w:val="22"/>
          <w:szCs w:val="22"/>
          <w:lang w:val="sk-SK"/>
        </w:rPr>
      </w:pPr>
      <w:r w:rsidRPr="006749C5">
        <w:rPr>
          <w:sz w:val="22"/>
          <w:szCs w:val="22"/>
          <w:lang w:val="sk-SK"/>
        </w:rPr>
        <w:t xml:space="preserve">Odporúčaná dávka je 50 mg/kg/deň rozdelená do 2 </w:t>
      </w:r>
      <w:r>
        <w:rPr>
          <w:sz w:val="22"/>
          <w:szCs w:val="22"/>
          <w:lang w:val="sk-SK"/>
        </w:rPr>
        <w:t xml:space="preserve">rovnakých </w:t>
      </w:r>
      <w:r w:rsidRPr="006749C5">
        <w:rPr>
          <w:sz w:val="22"/>
          <w:szCs w:val="22"/>
          <w:lang w:val="sk-SK"/>
        </w:rPr>
        <w:t>dávok (každých 12 hodín).</w:t>
      </w:r>
    </w:p>
    <w:p w14:paraId="088FED52" w14:textId="77777777" w:rsidR="00D86D14" w:rsidRDefault="00D86D14" w:rsidP="00D86D14">
      <w:pPr>
        <w:pStyle w:val="Zarkazkladnhotextu3"/>
        <w:tabs>
          <w:tab w:val="clear" w:pos="567"/>
          <w:tab w:val="left" w:pos="743"/>
        </w:tabs>
        <w:spacing w:after="0" w:line="240" w:lineRule="auto"/>
        <w:ind w:left="0"/>
        <w:rPr>
          <w:sz w:val="22"/>
          <w:szCs w:val="22"/>
          <w:lang w:val="sk-SK"/>
        </w:rPr>
      </w:pPr>
    </w:p>
    <w:p w14:paraId="14901CC9" w14:textId="04B7B038" w:rsidR="00D86D14" w:rsidRPr="003C55BA" w:rsidRDefault="00E30669" w:rsidP="00D86D14">
      <w:pPr>
        <w:pStyle w:val="Zarkazkladnhotextu3"/>
        <w:tabs>
          <w:tab w:val="clear" w:pos="567"/>
          <w:tab w:val="left" w:pos="743"/>
        </w:tabs>
        <w:spacing w:after="0" w:line="240" w:lineRule="auto"/>
        <w:ind w:left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 termíne narodení n</w:t>
      </w:r>
      <w:r w:rsidR="00D86D14" w:rsidRPr="003C55BA">
        <w:rPr>
          <w:sz w:val="22"/>
          <w:szCs w:val="22"/>
          <w:lang w:val="sk-SK"/>
        </w:rPr>
        <w:t>ovorodenci 8 – 27 dní:</w:t>
      </w:r>
    </w:p>
    <w:p w14:paraId="77AD151F" w14:textId="77777777" w:rsidR="00D86D14" w:rsidRDefault="00D86D14" w:rsidP="00D86D14">
      <w:pPr>
        <w:pStyle w:val="Zarkazkladnhotextu3"/>
        <w:tabs>
          <w:tab w:val="clear" w:pos="567"/>
          <w:tab w:val="left" w:pos="743"/>
        </w:tabs>
        <w:spacing w:after="0" w:line="240" w:lineRule="auto"/>
        <w:ind w:left="0"/>
        <w:rPr>
          <w:sz w:val="22"/>
          <w:szCs w:val="22"/>
          <w:lang w:val="sk-SK"/>
        </w:rPr>
      </w:pPr>
      <w:r w:rsidRPr="006749C5">
        <w:rPr>
          <w:sz w:val="22"/>
          <w:szCs w:val="22"/>
          <w:lang w:val="sk-SK"/>
        </w:rPr>
        <w:t xml:space="preserve">Odporúčaná dávka je </w:t>
      </w:r>
      <w:r>
        <w:rPr>
          <w:sz w:val="22"/>
          <w:szCs w:val="22"/>
          <w:lang w:val="sk-SK"/>
        </w:rPr>
        <w:t>1</w:t>
      </w:r>
      <w:r w:rsidRPr="006749C5">
        <w:rPr>
          <w:sz w:val="22"/>
          <w:szCs w:val="22"/>
          <w:lang w:val="sk-SK"/>
        </w:rPr>
        <w:t xml:space="preserve">50 mg/kg/deň rozdelená do </w:t>
      </w:r>
      <w:r>
        <w:rPr>
          <w:sz w:val="22"/>
          <w:szCs w:val="22"/>
          <w:lang w:val="sk-SK"/>
        </w:rPr>
        <w:t>3</w:t>
      </w:r>
      <w:r w:rsidRPr="006749C5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rovnakých </w:t>
      </w:r>
      <w:r w:rsidRPr="006749C5">
        <w:rPr>
          <w:sz w:val="22"/>
          <w:szCs w:val="22"/>
          <w:lang w:val="sk-SK"/>
        </w:rPr>
        <w:t xml:space="preserve">dávok (každých </w:t>
      </w:r>
      <w:r>
        <w:rPr>
          <w:sz w:val="22"/>
          <w:szCs w:val="22"/>
          <w:lang w:val="sk-SK"/>
        </w:rPr>
        <w:t>8</w:t>
      </w:r>
      <w:r w:rsidRPr="006749C5">
        <w:rPr>
          <w:sz w:val="22"/>
          <w:szCs w:val="22"/>
          <w:lang w:val="sk-SK"/>
        </w:rPr>
        <w:t xml:space="preserve"> hodín).</w:t>
      </w:r>
    </w:p>
    <w:p w14:paraId="461038C1" w14:textId="77777777" w:rsidR="00D86D14" w:rsidRPr="006749C5" w:rsidRDefault="00D86D14" w:rsidP="00D86D14">
      <w:pPr>
        <w:pStyle w:val="Zarkazkladnhotextu3"/>
        <w:tabs>
          <w:tab w:val="clear" w:pos="567"/>
          <w:tab w:val="left" w:pos="743"/>
        </w:tabs>
        <w:spacing w:after="0" w:line="240" w:lineRule="auto"/>
        <w:ind w:left="0"/>
        <w:rPr>
          <w:sz w:val="22"/>
          <w:szCs w:val="22"/>
          <w:lang w:val="sk-SK"/>
        </w:rPr>
      </w:pPr>
    </w:p>
    <w:p w14:paraId="775E0C91" w14:textId="66EE8AA5" w:rsidR="00440658" w:rsidRPr="00D801FF" w:rsidRDefault="00E30669" w:rsidP="00440658">
      <w:pPr>
        <w:pStyle w:val="Zarkazkladnhotextu3"/>
        <w:tabs>
          <w:tab w:val="clear" w:pos="567"/>
          <w:tab w:val="left" w:pos="743"/>
        </w:tabs>
        <w:spacing w:after="0" w:line="240" w:lineRule="auto"/>
        <w:ind w:left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="00D86D14" w:rsidRPr="006749C5">
        <w:rPr>
          <w:sz w:val="22"/>
          <w:szCs w:val="22"/>
          <w:lang w:val="sk-SK"/>
        </w:rPr>
        <w:t>ozri</w:t>
      </w:r>
      <w:r w:rsidR="00440658">
        <w:rPr>
          <w:sz w:val="22"/>
          <w:szCs w:val="22"/>
          <w:lang w:val="sk-SK"/>
        </w:rPr>
        <w:t>te</w:t>
      </w:r>
      <w:r w:rsidR="00D86D14">
        <w:rPr>
          <w:sz w:val="22"/>
          <w:szCs w:val="22"/>
          <w:lang w:val="sk-SK"/>
        </w:rPr>
        <w:t xml:space="preserve"> </w:t>
      </w:r>
      <w:r w:rsidR="00D86D14" w:rsidRPr="006749C5">
        <w:rPr>
          <w:sz w:val="22"/>
          <w:szCs w:val="22"/>
          <w:lang w:val="sk-SK"/>
        </w:rPr>
        <w:t>tiež</w:t>
      </w:r>
      <w:r w:rsidR="00D86D14">
        <w:rPr>
          <w:sz w:val="22"/>
          <w:szCs w:val="22"/>
          <w:lang w:val="sk-SK"/>
        </w:rPr>
        <w:t xml:space="preserve"> </w:t>
      </w:r>
      <w:r w:rsidR="00BF1859">
        <w:rPr>
          <w:sz w:val="22"/>
          <w:szCs w:val="22"/>
          <w:lang w:val="sk-SK"/>
        </w:rPr>
        <w:t>nižšie uvedené</w:t>
      </w:r>
      <w:r w:rsidR="00BF1859" w:rsidRPr="006749C5">
        <w:rPr>
          <w:sz w:val="22"/>
          <w:szCs w:val="22"/>
          <w:lang w:val="sk-SK"/>
        </w:rPr>
        <w:t xml:space="preserve"> </w:t>
      </w:r>
      <w:r w:rsidR="00EB4F20">
        <w:rPr>
          <w:sz w:val="22"/>
          <w:szCs w:val="22"/>
          <w:lang w:val="sk-SK"/>
        </w:rPr>
        <w:t>„</w:t>
      </w:r>
      <w:r w:rsidR="007640F6">
        <w:rPr>
          <w:sz w:val="22"/>
          <w:szCs w:val="22"/>
          <w:lang w:val="sk-SK"/>
        </w:rPr>
        <w:t>Iné</w:t>
      </w:r>
      <w:r w:rsidR="00EB4F20">
        <w:rPr>
          <w:sz w:val="22"/>
          <w:szCs w:val="22"/>
          <w:lang w:val="sk-SK"/>
        </w:rPr>
        <w:t xml:space="preserve"> </w:t>
      </w:r>
      <w:r w:rsidR="0059346E" w:rsidRPr="0059346E">
        <w:rPr>
          <w:sz w:val="22"/>
          <w:szCs w:val="22"/>
          <w:lang w:val="sk-SK"/>
        </w:rPr>
        <w:t xml:space="preserve">odporúčania pre bakteriálnu </w:t>
      </w:r>
      <w:proofErr w:type="spellStart"/>
      <w:r w:rsidR="00D86D14">
        <w:rPr>
          <w:sz w:val="22"/>
          <w:szCs w:val="22"/>
          <w:lang w:val="sk-SK"/>
        </w:rPr>
        <w:t>meningitídu</w:t>
      </w:r>
      <w:proofErr w:type="spellEnd"/>
      <w:r w:rsidR="0059346E">
        <w:rPr>
          <w:sz w:val="22"/>
          <w:szCs w:val="22"/>
          <w:lang w:val="sk-SK"/>
        </w:rPr>
        <w:t>“</w:t>
      </w:r>
      <w:r w:rsidR="00D86D14" w:rsidRPr="006749C5">
        <w:rPr>
          <w:sz w:val="22"/>
          <w:szCs w:val="22"/>
          <w:lang w:val="sk-SK"/>
        </w:rPr>
        <w:t>.</w:t>
      </w:r>
    </w:p>
    <w:p w14:paraId="6E150950" w14:textId="77777777" w:rsidR="00440658" w:rsidRPr="00D801FF" w:rsidRDefault="00440658" w:rsidP="00D86D14">
      <w:pPr>
        <w:pStyle w:val="Zarkazkladnhotextu3"/>
        <w:tabs>
          <w:tab w:val="clear" w:pos="567"/>
          <w:tab w:val="left" w:pos="743"/>
        </w:tabs>
        <w:spacing w:after="0" w:line="240" w:lineRule="auto"/>
        <w:ind w:left="0"/>
        <w:rPr>
          <w:sz w:val="22"/>
          <w:szCs w:val="22"/>
          <w:lang w:val="sk-SK"/>
        </w:rPr>
      </w:pPr>
    </w:p>
    <w:bookmarkEnd w:id="1"/>
    <w:bookmarkEnd w:id="2"/>
    <w:p w14:paraId="38133EF8" w14:textId="77777777" w:rsidR="00D86D14" w:rsidRDefault="00D86D14" w:rsidP="00D86D14">
      <w:pPr>
        <w:pStyle w:val="Zarkazkladnhotextu3"/>
        <w:tabs>
          <w:tab w:val="clear" w:pos="567"/>
          <w:tab w:val="left" w:pos="743"/>
        </w:tabs>
        <w:spacing w:after="0" w:line="240" w:lineRule="auto"/>
        <w:ind w:left="0"/>
        <w:rPr>
          <w:color w:val="FF0000"/>
          <w:lang w:val="sk-SK"/>
        </w:rPr>
      </w:pPr>
    </w:p>
    <w:p w14:paraId="55638224" w14:textId="6F2E670F" w:rsidR="00D86D14" w:rsidRPr="006B7FD2" w:rsidRDefault="00D86D14" w:rsidP="00D86D14">
      <w:pPr>
        <w:widowControl w:val="0"/>
        <w:jc w:val="both"/>
        <w:rPr>
          <w:i/>
          <w:u w:val="single"/>
          <w:lang w:val="sk-SK"/>
        </w:rPr>
      </w:pPr>
      <w:r w:rsidRPr="006B7FD2">
        <w:rPr>
          <w:i/>
          <w:u w:val="single"/>
          <w:lang w:val="sk-SK"/>
        </w:rPr>
        <w:t>Predčasne naroden</w:t>
      </w:r>
      <w:r w:rsidR="00E30669">
        <w:rPr>
          <w:i/>
          <w:u w:val="single"/>
          <w:lang w:val="sk-SK"/>
        </w:rPr>
        <w:t>í</w:t>
      </w:r>
      <w:r w:rsidRPr="006B7FD2">
        <w:rPr>
          <w:i/>
          <w:u w:val="single"/>
          <w:lang w:val="sk-SK"/>
        </w:rPr>
        <w:t xml:space="preserve"> </w:t>
      </w:r>
      <w:r w:rsidR="00E30669">
        <w:rPr>
          <w:i/>
          <w:u w:val="single"/>
          <w:lang w:val="sk-SK"/>
        </w:rPr>
        <w:t>novorodenci</w:t>
      </w:r>
      <w:r w:rsidRPr="006B7FD2">
        <w:rPr>
          <w:i/>
          <w:u w:val="single"/>
          <w:lang w:val="sk-SK"/>
        </w:rPr>
        <w:t>:</w:t>
      </w:r>
    </w:p>
    <w:p w14:paraId="658474F2" w14:textId="77777777" w:rsidR="00D86D14" w:rsidRPr="004229C9" w:rsidRDefault="00D86D14" w:rsidP="00D86D14">
      <w:pPr>
        <w:widowControl w:val="0"/>
        <w:jc w:val="both"/>
        <w:rPr>
          <w:lang w:val="sk-SK"/>
        </w:rPr>
      </w:pPr>
      <w:r w:rsidRPr="004229C9">
        <w:rPr>
          <w:lang w:val="sk-SK"/>
        </w:rPr>
        <w:t>Odporúčaná dávka je 50 mg/kg/deň rozdelená do 2 až 4 dávok (každých 12 až 6 hodín).</w:t>
      </w:r>
    </w:p>
    <w:p w14:paraId="258747E6" w14:textId="16505F5A" w:rsidR="00D86D14" w:rsidRPr="004229C9" w:rsidRDefault="00D86D14" w:rsidP="00D86D14">
      <w:pPr>
        <w:widowControl w:val="0"/>
        <w:jc w:val="both"/>
        <w:rPr>
          <w:lang w:val="sk-SK"/>
        </w:rPr>
      </w:pPr>
      <w:r w:rsidRPr="004229C9">
        <w:rPr>
          <w:lang w:val="sk-SK"/>
        </w:rPr>
        <w:t>Toto maximum nem</w:t>
      </w:r>
      <w:r>
        <w:rPr>
          <w:lang w:val="sk-SK"/>
        </w:rPr>
        <w:t>á</w:t>
      </w:r>
      <w:r w:rsidRPr="004229C9">
        <w:rPr>
          <w:lang w:val="sk-SK"/>
        </w:rPr>
        <w:t xml:space="preserve"> byť prekročené s ohľadom na </w:t>
      </w:r>
      <w:r w:rsidR="00145AA9">
        <w:rPr>
          <w:lang w:val="sk-SK"/>
        </w:rPr>
        <w:t xml:space="preserve">ešte </w:t>
      </w:r>
      <w:r w:rsidRPr="004229C9">
        <w:rPr>
          <w:lang w:val="sk-SK"/>
        </w:rPr>
        <w:t>nie celkom zrel</w:t>
      </w:r>
      <w:r w:rsidR="000927E1">
        <w:rPr>
          <w:lang w:val="sk-SK"/>
        </w:rPr>
        <w:t>é</w:t>
      </w:r>
      <w:r w:rsidRPr="004229C9">
        <w:rPr>
          <w:lang w:val="sk-SK"/>
        </w:rPr>
        <w:t xml:space="preserve"> </w:t>
      </w:r>
      <w:r w:rsidR="000927E1">
        <w:rPr>
          <w:lang w:val="sk-SK"/>
        </w:rPr>
        <w:t xml:space="preserve">obličky a ich </w:t>
      </w:r>
      <w:r w:rsidRPr="004229C9">
        <w:rPr>
          <w:lang w:val="sk-SK"/>
        </w:rPr>
        <w:t>funkciu.</w:t>
      </w:r>
    </w:p>
    <w:p w14:paraId="51DE102E" w14:textId="77777777" w:rsidR="00D86D14" w:rsidRDefault="00D86D14" w:rsidP="00D86D14">
      <w:pPr>
        <w:widowControl w:val="0"/>
        <w:rPr>
          <w:u w:val="single"/>
          <w:lang w:val="sk-SK"/>
        </w:rPr>
      </w:pPr>
    </w:p>
    <w:p w14:paraId="4F1F9571" w14:textId="77777777" w:rsidR="00D86D14" w:rsidRPr="006B7FD2" w:rsidRDefault="00D86D14" w:rsidP="00D86D14">
      <w:pPr>
        <w:widowControl w:val="0"/>
        <w:rPr>
          <w:i/>
          <w:u w:val="single"/>
          <w:lang w:val="sk-SK"/>
        </w:rPr>
      </w:pPr>
      <w:r w:rsidRPr="006B7FD2">
        <w:rPr>
          <w:i/>
          <w:u w:val="single"/>
          <w:lang w:val="sk-SK"/>
        </w:rPr>
        <w:t>Starší pacienti:</w:t>
      </w:r>
    </w:p>
    <w:p w14:paraId="09B4FD00" w14:textId="77777777" w:rsidR="00D86D14" w:rsidRPr="004229C9" w:rsidRDefault="00D86D14" w:rsidP="00D86D14">
      <w:pPr>
        <w:widowControl w:val="0"/>
        <w:rPr>
          <w:lang w:val="sk-SK"/>
        </w:rPr>
      </w:pPr>
      <w:r w:rsidRPr="004229C9">
        <w:rPr>
          <w:lang w:val="sk-SK"/>
        </w:rPr>
        <w:t>Úprava dávkovania nie je potrebná za predpokladu normálnej funkcie obličiek a pečene.</w:t>
      </w:r>
    </w:p>
    <w:p w14:paraId="7F5AA085" w14:textId="77777777" w:rsidR="00D86D14" w:rsidRDefault="00D86D14" w:rsidP="00D86D14">
      <w:pPr>
        <w:widowControl w:val="0"/>
        <w:rPr>
          <w:i/>
          <w:lang w:val="sk-SK"/>
        </w:rPr>
      </w:pPr>
    </w:p>
    <w:p w14:paraId="52CCFF02" w14:textId="77777777" w:rsidR="00D86D14" w:rsidRDefault="00D86D14" w:rsidP="00D86D14">
      <w:pPr>
        <w:widowControl w:val="0"/>
        <w:rPr>
          <w:b/>
          <w:lang w:val="sk-SK"/>
        </w:rPr>
      </w:pPr>
      <w:r w:rsidRPr="006A6EC0">
        <w:rPr>
          <w:b/>
          <w:lang w:val="sk-SK"/>
        </w:rPr>
        <w:t>Iné odporúčania:</w:t>
      </w:r>
    </w:p>
    <w:p w14:paraId="1D5FD0C3" w14:textId="77777777" w:rsidR="007640F6" w:rsidRPr="006A6EC0" w:rsidRDefault="007640F6" w:rsidP="00D86D14">
      <w:pPr>
        <w:widowControl w:val="0"/>
        <w:rPr>
          <w:b/>
          <w:lang w:val="sk-SK"/>
        </w:rPr>
      </w:pPr>
    </w:p>
    <w:p w14:paraId="7FD884EE" w14:textId="77777777" w:rsidR="00D86D14" w:rsidRPr="004229C9" w:rsidRDefault="00A973FD" w:rsidP="00D86D14">
      <w:pPr>
        <w:widowControl w:val="0"/>
        <w:outlineLvl w:val="0"/>
        <w:rPr>
          <w:i/>
          <w:lang w:val="sk-SK"/>
        </w:rPr>
      </w:pPr>
      <w:r w:rsidRPr="00F4650C">
        <w:rPr>
          <w:i/>
          <w:lang w:val="sk-SK"/>
        </w:rPr>
        <w:t>Kvapavka</w:t>
      </w:r>
      <w:r w:rsidR="00D86D14" w:rsidRPr="00F4650C">
        <w:rPr>
          <w:i/>
          <w:lang w:val="sk-SK"/>
        </w:rPr>
        <w:t>:</w:t>
      </w:r>
    </w:p>
    <w:p w14:paraId="3070923A" w14:textId="77777777" w:rsidR="00D86D14" w:rsidRPr="004229C9" w:rsidRDefault="00D86D14" w:rsidP="00D86D14">
      <w:pPr>
        <w:widowControl w:val="0"/>
        <w:outlineLvl w:val="0"/>
        <w:rPr>
          <w:lang w:val="sk-SK"/>
        </w:rPr>
      </w:pPr>
      <w:r w:rsidRPr="004229C9">
        <w:rPr>
          <w:lang w:val="sk-SK"/>
        </w:rPr>
        <w:lastRenderedPageBreak/>
        <w:t xml:space="preserve">Pri </w:t>
      </w:r>
      <w:r>
        <w:rPr>
          <w:lang w:val="sk-SK"/>
        </w:rPr>
        <w:t xml:space="preserve">nekomplikovanej </w:t>
      </w:r>
      <w:r w:rsidRPr="004229C9">
        <w:rPr>
          <w:lang w:val="sk-SK"/>
        </w:rPr>
        <w:t xml:space="preserve">kvapavke sa podáva </w:t>
      </w:r>
      <w:r w:rsidR="00A73D76" w:rsidRPr="004229C9">
        <w:rPr>
          <w:lang w:val="sk-SK"/>
        </w:rPr>
        <w:t>jednorazová</w:t>
      </w:r>
      <w:r w:rsidRPr="004229C9">
        <w:rPr>
          <w:lang w:val="sk-SK"/>
        </w:rPr>
        <w:t xml:space="preserve"> injekcia </w:t>
      </w:r>
      <w:proofErr w:type="spellStart"/>
      <w:r w:rsidRPr="004229C9">
        <w:rPr>
          <w:lang w:val="sk-SK"/>
        </w:rPr>
        <w:t>Cefotaxim</w:t>
      </w:r>
      <w:proofErr w:type="spellEnd"/>
      <w:r w:rsidRPr="004229C9">
        <w:rPr>
          <w:lang w:val="sk-SK"/>
        </w:rPr>
        <w:t xml:space="preserve"> </w:t>
      </w:r>
      <w:proofErr w:type="spellStart"/>
      <w:r w:rsidRPr="004229C9">
        <w:rPr>
          <w:lang w:val="sk-SK"/>
        </w:rPr>
        <w:t>Eberth</w:t>
      </w:r>
      <w:proofErr w:type="spellEnd"/>
      <w:r w:rsidRPr="004229C9">
        <w:rPr>
          <w:lang w:val="sk-SK"/>
        </w:rPr>
        <w:t xml:space="preserve"> </w:t>
      </w:r>
      <w:r>
        <w:rPr>
          <w:lang w:val="sk-SK"/>
        </w:rPr>
        <w:t>0,5</w:t>
      </w:r>
      <w:r w:rsidRPr="004229C9">
        <w:rPr>
          <w:lang w:val="sk-SK"/>
        </w:rPr>
        <w:t xml:space="preserve"> g </w:t>
      </w:r>
      <w:r w:rsidRPr="000E293D">
        <w:rPr>
          <w:lang w:val="sk-SK"/>
        </w:rPr>
        <w:t>(</w:t>
      </w:r>
      <w:proofErr w:type="spellStart"/>
      <w:r w:rsidRPr="000E293D">
        <w:rPr>
          <w:lang w:val="sk-SK"/>
        </w:rPr>
        <w:t>intramuskulárne</w:t>
      </w:r>
      <w:proofErr w:type="spellEnd"/>
      <w:r w:rsidRPr="000E293D">
        <w:rPr>
          <w:lang w:val="sk-SK"/>
        </w:rPr>
        <w:t>).</w:t>
      </w:r>
      <w:r w:rsidRPr="004229C9">
        <w:rPr>
          <w:lang w:val="sk-SK"/>
        </w:rPr>
        <w:t xml:space="preserve"> Pri </w:t>
      </w:r>
      <w:r>
        <w:rPr>
          <w:lang w:val="sk-SK"/>
        </w:rPr>
        <w:t>liečbe komplikovaných infekcií je potrebné venovať pozornosť oficiálne platným pokynom</w:t>
      </w:r>
      <w:r w:rsidRPr="004229C9">
        <w:rPr>
          <w:lang w:val="sk-SK"/>
        </w:rPr>
        <w:t xml:space="preserve">. Syfilis </w:t>
      </w:r>
      <w:r>
        <w:rPr>
          <w:lang w:val="sk-SK"/>
        </w:rPr>
        <w:t xml:space="preserve">je potrebné </w:t>
      </w:r>
      <w:r w:rsidRPr="004229C9">
        <w:rPr>
          <w:lang w:val="sk-SK"/>
        </w:rPr>
        <w:t xml:space="preserve">pred začatím liečby </w:t>
      </w:r>
      <w:r>
        <w:rPr>
          <w:lang w:val="sk-SK"/>
        </w:rPr>
        <w:t>vylúčiť</w:t>
      </w:r>
      <w:r w:rsidRPr="004229C9">
        <w:rPr>
          <w:lang w:val="sk-SK"/>
        </w:rPr>
        <w:t>.</w:t>
      </w:r>
    </w:p>
    <w:p w14:paraId="69A686F8" w14:textId="77777777" w:rsidR="00D86D14" w:rsidRDefault="00D86D14" w:rsidP="00D86D14">
      <w:pPr>
        <w:widowControl w:val="0"/>
        <w:outlineLvl w:val="0"/>
        <w:rPr>
          <w:i/>
          <w:lang w:val="sk-SK"/>
        </w:rPr>
      </w:pPr>
    </w:p>
    <w:p w14:paraId="3494D85F" w14:textId="77777777" w:rsidR="00D86D14" w:rsidRPr="004229C9" w:rsidRDefault="00D86D14" w:rsidP="00D86D14">
      <w:pPr>
        <w:widowControl w:val="0"/>
        <w:outlineLvl w:val="0"/>
        <w:rPr>
          <w:i/>
          <w:lang w:val="sk-SK"/>
        </w:rPr>
      </w:pPr>
      <w:r w:rsidRPr="004229C9">
        <w:rPr>
          <w:i/>
          <w:lang w:val="sk-SK"/>
        </w:rPr>
        <w:t xml:space="preserve">Bakteriálna </w:t>
      </w:r>
      <w:proofErr w:type="spellStart"/>
      <w:r w:rsidRPr="004229C9">
        <w:rPr>
          <w:i/>
          <w:lang w:val="sk-SK"/>
        </w:rPr>
        <w:t>meningitída</w:t>
      </w:r>
      <w:proofErr w:type="spellEnd"/>
      <w:r>
        <w:rPr>
          <w:i/>
          <w:lang w:val="sk-SK"/>
        </w:rPr>
        <w:t>:</w:t>
      </w:r>
    </w:p>
    <w:p w14:paraId="4D3D8D27" w14:textId="77777777" w:rsidR="00D86D14" w:rsidRPr="004229C9" w:rsidRDefault="00D86D14" w:rsidP="00D86D14">
      <w:pPr>
        <w:widowControl w:val="0"/>
        <w:outlineLvl w:val="0"/>
        <w:rPr>
          <w:lang w:val="sk-SK"/>
        </w:rPr>
      </w:pPr>
      <w:r w:rsidRPr="004229C9">
        <w:rPr>
          <w:lang w:val="sk-SK"/>
        </w:rPr>
        <w:t>Odporúčaná denná dávka pre dospelých je 6 až 12 g rozdelená na rovnaké dávky každých 6 až 8 hodín.</w:t>
      </w:r>
    </w:p>
    <w:p w14:paraId="4D5CE670" w14:textId="77777777" w:rsidR="00D86D14" w:rsidRPr="003E07FD" w:rsidRDefault="00D86D14" w:rsidP="00D86D14">
      <w:pPr>
        <w:widowControl w:val="0"/>
        <w:outlineLvl w:val="0"/>
        <w:rPr>
          <w:color w:val="FF0000"/>
          <w:u w:val="single"/>
          <w:lang w:val="sk-SK"/>
        </w:rPr>
      </w:pPr>
    </w:p>
    <w:p w14:paraId="0001254B" w14:textId="77777777" w:rsidR="00D86D14" w:rsidRDefault="00D86D14" w:rsidP="00D86D14">
      <w:pPr>
        <w:widowControl w:val="0"/>
        <w:outlineLvl w:val="0"/>
        <w:rPr>
          <w:u w:val="single"/>
          <w:lang w:val="sk-SK"/>
        </w:rPr>
      </w:pPr>
      <w:r>
        <w:rPr>
          <w:u w:val="single"/>
          <w:lang w:val="sk-SK"/>
        </w:rPr>
        <w:t>Dojčatá a batoľatá (28 dní až 23 mesiacov) a deti (2 až 11 rokov)</w:t>
      </w:r>
      <w:r w:rsidRPr="00636691">
        <w:rPr>
          <w:u w:val="single"/>
          <w:lang w:val="sk-SK"/>
        </w:rPr>
        <w:t>:</w:t>
      </w:r>
    </w:p>
    <w:p w14:paraId="4700501D" w14:textId="77777777" w:rsidR="00D86D14" w:rsidRPr="004229C9" w:rsidRDefault="00D86D14" w:rsidP="00D86D14">
      <w:pPr>
        <w:widowControl w:val="0"/>
        <w:outlineLvl w:val="0"/>
        <w:rPr>
          <w:lang w:val="sk-SK"/>
        </w:rPr>
      </w:pPr>
      <w:r w:rsidRPr="004229C9">
        <w:rPr>
          <w:lang w:val="sk-SK"/>
        </w:rPr>
        <w:t>150 až 200 mg/kg rozdelených na rovnaké dávky každých 6 až 8 hodín.</w:t>
      </w:r>
    </w:p>
    <w:p w14:paraId="720E4645" w14:textId="77777777" w:rsidR="00D86D14" w:rsidRPr="003E07FD" w:rsidRDefault="00D86D14" w:rsidP="00D86D14">
      <w:pPr>
        <w:widowControl w:val="0"/>
        <w:outlineLvl w:val="0"/>
        <w:rPr>
          <w:color w:val="FF0000"/>
          <w:lang w:val="sk-SK"/>
        </w:rPr>
      </w:pPr>
    </w:p>
    <w:p w14:paraId="28AAB5AF" w14:textId="2466B1E6" w:rsidR="00D86D14" w:rsidRPr="00636691" w:rsidRDefault="00F4650C" w:rsidP="00D86D14">
      <w:pPr>
        <w:widowControl w:val="0"/>
        <w:outlineLvl w:val="0"/>
        <w:rPr>
          <w:u w:val="single"/>
          <w:lang w:val="sk-SK"/>
        </w:rPr>
      </w:pPr>
      <w:r>
        <w:rPr>
          <w:u w:val="single"/>
          <w:lang w:val="sk-SK"/>
        </w:rPr>
        <w:t>V termíne narodení n</w:t>
      </w:r>
      <w:r w:rsidR="00D86D14" w:rsidRPr="00B82C67">
        <w:rPr>
          <w:u w:val="single"/>
          <w:lang w:val="sk-SK"/>
        </w:rPr>
        <w:t>ovorodenci:</w:t>
      </w:r>
    </w:p>
    <w:p w14:paraId="3808D4B7" w14:textId="12C392DC" w:rsidR="00D86D14" w:rsidRPr="004229C9" w:rsidRDefault="00F4650C" w:rsidP="00D86D14">
      <w:pPr>
        <w:widowControl w:val="0"/>
        <w:outlineLvl w:val="0"/>
        <w:rPr>
          <w:lang w:val="sk-SK"/>
        </w:rPr>
      </w:pPr>
      <w:r>
        <w:rPr>
          <w:lang w:val="sk-SK"/>
        </w:rPr>
        <w:t>V termíne narodení n</w:t>
      </w:r>
      <w:r w:rsidR="00D86D14">
        <w:rPr>
          <w:lang w:val="sk-SK"/>
        </w:rPr>
        <w:t xml:space="preserve">ovorodenci 0 až 7 dní: </w:t>
      </w:r>
      <w:r w:rsidR="00D86D14" w:rsidRPr="004229C9">
        <w:rPr>
          <w:lang w:val="sk-SK"/>
        </w:rPr>
        <w:t>50 mg/kg</w:t>
      </w:r>
      <w:r w:rsidR="00D86D14">
        <w:rPr>
          <w:lang w:val="sk-SK"/>
        </w:rPr>
        <w:t>/deň rozdelených do 2 dávok</w:t>
      </w:r>
      <w:r w:rsidR="00D86D14" w:rsidRPr="004229C9">
        <w:rPr>
          <w:lang w:val="sk-SK"/>
        </w:rPr>
        <w:t xml:space="preserve"> </w:t>
      </w:r>
      <w:r w:rsidR="00D86D14">
        <w:rPr>
          <w:lang w:val="sk-SK"/>
        </w:rPr>
        <w:t>(</w:t>
      </w:r>
      <w:r w:rsidR="00D86D14" w:rsidRPr="004229C9">
        <w:rPr>
          <w:lang w:val="sk-SK"/>
        </w:rPr>
        <w:t>každých 12 hodín</w:t>
      </w:r>
      <w:r w:rsidR="00D86D14">
        <w:rPr>
          <w:lang w:val="sk-SK"/>
        </w:rPr>
        <w:t>)</w:t>
      </w:r>
      <w:r w:rsidR="00D86D14" w:rsidRPr="004229C9">
        <w:rPr>
          <w:lang w:val="sk-SK"/>
        </w:rPr>
        <w:t>.</w:t>
      </w:r>
    </w:p>
    <w:p w14:paraId="45D537AA" w14:textId="73E5AE47" w:rsidR="00D86D14" w:rsidRDefault="00F4650C" w:rsidP="00D86D14">
      <w:pPr>
        <w:widowControl w:val="0"/>
        <w:rPr>
          <w:lang w:val="sk-SK"/>
        </w:rPr>
      </w:pPr>
      <w:r>
        <w:rPr>
          <w:lang w:val="sk-SK"/>
        </w:rPr>
        <w:t>V termíne narodení n</w:t>
      </w:r>
      <w:r w:rsidR="00D86D14" w:rsidRPr="00665FA6">
        <w:rPr>
          <w:lang w:val="sk-SK"/>
        </w:rPr>
        <w:t>ovorodenc</w:t>
      </w:r>
      <w:r w:rsidR="00D86D14">
        <w:rPr>
          <w:lang w:val="sk-SK"/>
        </w:rPr>
        <w:t>i</w:t>
      </w:r>
      <w:r w:rsidR="00D86D14" w:rsidRPr="00665FA6">
        <w:rPr>
          <w:lang w:val="sk-SK"/>
        </w:rPr>
        <w:t xml:space="preserve"> 8 </w:t>
      </w:r>
      <w:r w:rsidR="00D86D14">
        <w:rPr>
          <w:lang w:val="sk-SK"/>
        </w:rPr>
        <w:t>až</w:t>
      </w:r>
      <w:r w:rsidR="00D86D14" w:rsidRPr="00665FA6">
        <w:rPr>
          <w:lang w:val="sk-SK"/>
        </w:rPr>
        <w:t xml:space="preserve"> 27 dní:</w:t>
      </w:r>
      <w:r w:rsidR="00D86D14">
        <w:rPr>
          <w:lang w:val="sk-SK"/>
        </w:rPr>
        <w:t xml:space="preserve"> </w:t>
      </w:r>
      <w:r w:rsidR="00D86D14" w:rsidRPr="004229C9">
        <w:rPr>
          <w:lang w:val="sk-SK"/>
        </w:rPr>
        <w:t xml:space="preserve">50 mg/kg každých </w:t>
      </w:r>
      <w:r w:rsidR="00D86D14">
        <w:rPr>
          <w:lang w:val="sk-SK"/>
        </w:rPr>
        <w:t>8</w:t>
      </w:r>
      <w:r w:rsidR="00D86D14" w:rsidRPr="004229C9">
        <w:rPr>
          <w:lang w:val="sk-SK"/>
        </w:rPr>
        <w:t xml:space="preserve"> hodín</w:t>
      </w:r>
      <w:r w:rsidR="00D86D14">
        <w:rPr>
          <w:lang w:val="sk-SK"/>
        </w:rPr>
        <w:t>.</w:t>
      </w:r>
    </w:p>
    <w:p w14:paraId="1FC53DAA" w14:textId="77777777" w:rsidR="00D86D14" w:rsidRDefault="00D86D14" w:rsidP="00D86D14">
      <w:pPr>
        <w:widowControl w:val="0"/>
        <w:rPr>
          <w:lang w:val="sk-SK"/>
        </w:rPr>
      </w:pPr>
    </w:p>
    <w:p w14:paraId="6CDB727B" w14:textId="5514FC6C" w:rsidR="00D86D14" w:rsidRPr="003E07FD" w:rsidRDefault="00D86D14" w:rsidP="00D86D14">
      <w:pPr>
        <w:widowControl w:val="0"/>
        <w:rPr>
          <w:color w:val="FF0000"/>
          <w:lang w:val="sk-SK"/>
        </w:rPr>
      </w:pPr>
      <w:r>
        <w:rPr>
          <w:lang w:val="sk-SK"/>
        </w:rPr>
        <w:t xml:space="preserve">Pre informácie o trvaní liečby a príprave injekčného alebo infúzneho roztoku </w:t>
      </w:r>
      <w:r w:rsidR="00F4650C">
        <w:rPr>
          <w:lang w:val="sk-SK"/>
        </w:rPr>
        <w:t xml:space="preserve">si </w:t>
      </w:r>
      <w:r>
        <w:rPr>
          <w:lang w:val="sk-SK"/>
        </w:rPr>
        <w:t>pozri</w:t>
      </w:r>
      <w:r w:rsidR="00F4650C">
        <w:rPr>
          <w:lang w:val="sk-SK"/>
        </w:rPr>
        <w:t>te</w:t>
      </w:r>
      <w:r>
        <w:rPr>
          <w:lang w:val="sk-SK"/>
        </w:rPr>
        <w:t xml:space="preserve">  odstavec </w:t>
      </w:r>
      <w:r w:rsidRPr="002E3C28">
        <w:rPr>
          <w:i/>
          <w:lang w:val="sk-SK"/>
        </w:rPr>
        <w:t>„Nasledujúca informácia je určená len pre  zdravotníckych pracovníkov“</w:t>
      </w:r>
      <w:r>
        <w:rPr>
          <w:lang w:val="sk-SK"/>
        </w:rPr>
        <w:t xml:space="preserve"> v závere tejto písomnej informácie.</w:t>
      </w:r>
    </w:p>
    <w:p w14:paraId="39C3BCB7" w14:textId="77777777" w:rsidR="00D86D14" w:rsidRDefault="00D86D14" w:rsidP="00D86D14">
      <w:pPr>
        <w:widowControl w:val="0"/>
        <w:rPr>
          <w:i/>
          <w:lang w:val="sk-SK"/>
        </w:rPr>
      </w:pPr>
    </w:p>
    <w:p w14:paraId="252B7ED7" w14:textId="21249334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>
        <w:rPr>
          <w:b/>
          <w:noProof/>
          <w:lang w:val="sk-SK"/>
        </w:rPr>
        <w:t xml:space="preserve">Ak </w:t>
      </w:r>
      <w:r w:rsidR="00F4650C">
        <w:rPr>
          <w:b/>
          <w:noProof/>
          <w:lang w:val="sk-SK"/>
        </w:rPr>
        <w:t>po</w:t>
      </w:r>
      <w:r>
        <w:rPr>
          <w:b/>
          <w:noProof/>
          <w:lang w:val="sk-SK"/>
        </w:rPr>
        <w:t>užijete v</w:t>
      </w:r>
      <w:r w:rsidRPr="00D06041">
        <w:rPr>
          <w:b/>
          <w:noProof/>
          <w:lang w:val="sk-SK"/>
        </w:rPr>
        <w:t>iac Cefotaxim</w:t>
      </w:r>
      <w:r w:rsidR="00A507CD">
        <w:rPr>
          <w:b/>
          <w:noProof/>
          <w:lang w:val="sk-SK"/>
        </w:rPr>
        <w:t>u</w:t>
      </w:r>
      <w:r w:rsidRPr="00D06041">
        <w:rPr>
          <w:b/>
          <w:noProof/>
          <w:lang w:val="sk-SK"/>
        </w:rPr>
        <w:t xml:space="preserve"> Eberth, ako máte</w:t>
      </w:r>
    </w:p>
    <w:p w14:paraId="10ADC717" w14:textId="77777777" w:rsidR="00D86D14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 xml:space="preserve">To je nepravdepodobné, keďže </w:t>
      </w:r>
      <w:r w:rsidR="00EF4CDA">
        <w:rPr>
          <w:noProof/>
          <w:lang w:val="sk-SK"/>
        </w:rPr>
        <w:t>v</w:t>
      </w:r>
      <w:r>
        <w:rPr>
          <w:noProof/>
          <w:lang w:val="sk-SK"/>
        </w:rPr>
        <w:t>ám injekciu podá lekár.</w:t>
      </w:r>
    </w:p>
    <w:p w14:paraId="75BB6DAE" w14:textId="30E94887" w:rsidR="00D86D14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>Ak sa necítite po podaní injekcie</w:t>
      </w:r>
      <w:r w:rsidRPr="00CD1226">
        <w:rPr>
          <w:noProof/>
          <w:lang w:val="sk-SK"/>
        </w:rPr>
        <w:t xml:space="preserve"> </w:t>
      </w:r>
      <w:r>
        <w:rPr>
          <w:noProof/>
          <w:lang w:val="sk-SK"/>
        </w:rPr>
        <w:t>dobre, kontaktujte ihneď svojho lekára.</w:t>
      </w:r>
    </w:p>
    <w:p w14:paraId="326BB27C" w14:textId="77777777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68AB05B4" w14:textId="17A5E69A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D06041">
        <w:rPr>
          <w:b/>
          <w:noProof/>
          <w:lang w:val="sk-SK"/>
        </w:rPr>
        <w:t xml:space="preserve">Ak zabudnete </w:t>
      </w:r>
      <w:r w:rsidR="00A507CD">
        <w:rPr>
          <w:b/>
          <w:noProof/>
          <w:lang w:val="sk-SK"/>
        </w:rPr>
        <w:t>po</w:t>
      </w:r>
      <w:r w:rsidRPr="00D06041">
        <w:rPr>
          <w:b/>
          <w:noProof/>
          <w:lang w:val="sk-SK"/>
        </w:rPr>
        <w:t xml:space="preserve">užiť </w:t>
      </w:r>
      <w:r>
        <w:rPr>
          <w:b/>
          <w:noProof/>
          <w:lang w:val="sk-SK"/>
        </w:rPr>
        <w:t xml:space="preserve">Cefotaxim Eberth </w:t>
      </w:r>
    </w:p>
    <w:p w14:paraId="0406AF40" w14:textId="77777777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>
        <w:rPr>
          <w:noProof/>
          <w:lang w:val="sk-SK"/>
        </w:rPr>
        <w:t xml:space="preserve">Neprichádza do úvahy, keďže injekciu </w:t>
      </w:r>
      <w:r w:rsidR="00EF4CDA">
        <w:rPr>
          <w:noProof/>
          <w:lang w:val="sk-SK"/>
        </w:rPr>
        <w:t>v</w:t>
      </w:r>
      <w:r>
        <w:rPr>
          <w:noProof/>
          <w:lang w:val="sk-SK"/>
        </w:rPr>
        <w:t>ám podá lekár.</w:t>
      </w:r>
    </w:p>
    <w:p w14:paraId="0F7DCA19" w14:textId="77777777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7BEDC20" w14:textId="528C568C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D06041">
        <w:rPr>
          <w:b/>
          <w:noProof/>
          <w:lang w:val="sk-SK"/>
        </w:rPr>
        <w:t xml:space="preserve">Ak prestanete </w:t>
      </w:r>
      <w:r w:rsidR="00A507CD">
        <w:rPr>
          <w:b/>
          <w:noProof/>
          <w:lang w:val="sk-SK"/>
        </w:rPr>
        <w:t>po</w:t>
      </w:r>
      <w:r w:rsidRPr="00D06041">
        <w:rPr>
          <w:b/>
          <w:noProof/>
          <w:lang w:val="sk-SK"/>
        </w:rPr>
        <w:t>užívať Cefotaxim Eberth</w:t>
      </w:r>
    </w:p>
    <w:p w14:paraId="200F9690" w14:textId="77777777" w:rsidR="00D86D14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 xml:space="preserve">Lekár bude pokračovať v liečbe s liekom Cefotaxim Eberth, až kým </w:t>
      </w:r>
      <w:r w:rsidRPr="001D2484">
        <w:rPr>
          <w:noProof/>
          <w:lang w:val="sk-SK"/>
        </w:rPr>
        <w:t>nie je infekcia vyliečená.</w:t>
      </w:r>
    </w:p>
    <w:p w14:paraId="110FCB1D" w14:textId="77777777" w:rsidR="00D86D14" w:rsidRPr="00CD1226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25EFBEE0" w14:textId="4221B4EF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>Ak máte ďalšie otázky týkajúce sa použitia tohto lieku, opýtajte sa svojho lekára</w:t>
      </w:r>
      <w:r w:rsidR="008A7B23">
        <w:rPr>
          <w:noProof/>
          <w:lang w:val="sk-SK"/>
        </w:rPr>
        <w:t xml:space="preserve">, lekárnika alebo </w:t>
      </w:r>
      <w:r w:rsidR="00126B49" w:rsidRPr="00126B49">
        <w:rPr>
          <w:noProof/>
          <w:lang w:val="sk-SK"/>
        </w:rPr>
        <w:t>zdravotníck</w:t>
      </w:r>
      <w:r w:rsidR="00126B49">
        <w:rPr>
          <w:noProof/>
          <w:lang w:val="sk-SK"/>
        </w:rPr>
        <w:t>eho</w:t>
      </w:r>
      <w:r w:rsidR="00126B49" w:rsidRPr="00126B49">
        <w:rPr>
          <w:noProof/>
          <w:lang w:val="sk-SK"/>
        </w:rPr>
        <w:t xml:space="preserve"> pracovník</w:t>
      </w:r>
      <w:r w:rsidR="00126B49">
        <w:rPr>
          <w:noProof/>
          <w:lang w:val="sk-SK"/>
        </w:rPr>
        <w:t>a</w:t>
      </w:r>
      <w:r w:rsidRPr="00D06041">
        <w:rPr>
          <w:noProof/>
          <w:lang w:val="sk-SK"/>
        </w:rPr>
        <w:t>.</w:t>
      </w:r>
    </w:p>
    <w:p w14:paraId="797A58B6" w14:textId="77777777" w:rsidR="00D86D14" w:rsidRDefault="00D86D14" w:rsidP="00D86D14">
      <w:pPr>
        <w:widowControl w:val="0"/>
        <w:rPr>
          <w:lang w:val="sk-SK"/>
        </w:rPr>
      </w:pPr>
    </w:p>
    <w:p w14:paraId="65AA26F1" w14:textId="77777777" w:rsidR="00D86D14" w:rsidRDefault="00D86D14" w:rsidP="00D86D14">
      <w:pPr>
        <w:widowControl w:val="0"/>
        <w:rPr>
          <w:lang w:val="sk-SK"/>
        </w:rPr>
      </w:pPr>
    </w:p>
    <w:p w14:paraId="4BA4C9E3" w14:textId="009027E8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D06041">
        <w:rPr>
          <w:b/>
          <w:noProof/>
          <w:lang w:val="sk-SK"/>
        </w:rPr>
        <w:t>4.</w:t>
      </w:r>
      <w:r w:rsidRPr="00D06041">
        <w:rPr>
          <w:b/>
          <w:noProof/>
          <w:lang w:val="sk-SK"/>
        </w:rPr>
        <w:tab/>
        <w:t>M</w:t>
      </w:r>
      <w:r w:rsidR="008A7B23">
        <w:rPr>
          <w:b/>
          <w:noProof/>
          <w:lang w:val="sk-SK"/>
        </w:rPr>
        <w:t>ožné vedľajšie účinky</w:t>
      </w:r>
    </w:p>
    <w:p w14:paraId="0BE1D73E" w14:textId="77777777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720B2DD4" w14:textId="7DA162EE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>
        <w:rPr>
          <w:noProof/>
          <w:lang w:val="sk-SK"/>
        </w:rPr>
        <w:t>Tak ako všetky lieky</w:t>
      </w:r>
      <w:r w:rsidRPr="00D06041">
        <w:rPr>
          <w:noProof/>
          <w:lang w:val="sk-SK"/>
        </w:rPr>
        <w:t xml:space="preserve">, </w:t>
      </w:r>
      <w:r w:rsidR="000A470E">
        <w:rPr>
          <w:noProof/>
          <w:lang w:val="sk-SK"/>
        </w:rPr>
        <w:t>aj tento liek</w:t>
      </w:r>
      <w:r w:rsidR="00FC61CB">
        <w:rPr>
          <w:noProof/>
          <w:lang w:val="sk-SK"/>
        </w:rPr>
        <w:t xml:space="preserve"> </w:t>
      </w:r>
      <w:r>
        <w:rPr>
          <w:noProof/>
          <w:lang w:val="sk-SK"/>
        </w:rPr>
        <w:t>môže spôsobovať vedľajšie účinky, hoci sa neprejavia u každého.</w:t>
      </w:r>
    </w:p>
    <w:p w14:paraId="31EA02B8" w14:textId="77777777" w:rsidR="00D86D14" w:rsidRPr="00D06041" w:rsidRDefault="00D86D14" w:rsidP="00D86D14">
      <w:pPr>
        <w:ind w:firstLine="540"/>
        <w:rPr>
          <w:rStyle w:val="Siln"/>
          <w:b w:val="0"/>
          <w:i/>
          <w:szCs w:val="22"/>
          <w:u w:val="single"/>
          <w:lang w:val="sk-SK"/>
        </w:rPr>
      </w:pPr>
    </w:p>
    <w:p w14:paraId="79772B7A" w14:textId="1DA29E13" w:rsidR="00D86D14" w:rsidRPr="00D06041" w:rsidRDefault="00D86D14" w:rsidP="00D86D14">
      <w:pPr>
        <w:rPr>
          <w:lang w:val="sk-SK"/>
        </w:rPr>
      </w:pPr>
      <w:r>
        <w:rPr>
          <w:lang w:val="sk-SK"/>
        </w:rPr>
        <w:t xml:space="preserve">Veľmi časté: </w:t>
      </w:r>
      <w:r>
        <w:rPr>
          <w:lang w:val="sk-SK"/>
        </w:rPr>
        <w:tab/>
      </w:r>
      <w:r>
        <w:rPr>
          <w:lang w:val="sk-SK"/>
        </w:rPr>
        <w:tab/>
      </w:r>
      <w:r w:rsidR="0048130A" w:rsidRPr="006A6EC0">
        <w:rPr>
          <w:lang w:val="sk-SK"/>
        </w:rPr>
        <w:t>môžu postihovať viac ako 1 z 10 osôb</w:t>
      </w:r>
    </w:p>
    <w:p w14:paraId="6BCBD0F8" w14:textId="777DBB23" w:rsidR="00D86D14" w:rsidRPr="00D06041" w:rsidRDefault="00D86D14" w:rsidP="00D86D14">
      <w:pPr>
        <w:rPr>
          <w:lang w:val="sk-SK"/>
        </w:rPr>
      </w:pPr>
      <w:r>
        <w:rPr>
          <w:lang w:val="sk-SK"/>
        </w:rPr>
        <w:t>Časté</w:t>
      </w:r>
      <w:r w:rsidRPr="00D06041">
        <w:rPr>
          <w:lang w:val="sk-SK"/>
        </w:rPr>
        <w:t>:</w:t>
      </w:r>
      <w:r w:rsidRPr="00D06041">
        <w:rPr>
          <w:lang w:val="sk-SK"/>
        </w:rPr>
        <w:tab/>
      </w:r>
      <w:r w:rsidRPr="00D06041">
        <w:rPr>
          <w:lang w:val="sk-SK"/>
        </w:rPr>
        <w:tab/>
      </w:r>
      <w:r>
        <w:rPr>
          <w:lang w:val="sk-SK"/>
        </w:rPr>
        <w:t xml:space="preserve">           </w:t>
      </w:r>
      <w:r>
        <w:rPr>
          <w:lang w:val="sk-SK"/>
        </w:rPr>
        <w:tab/>
        <w:t xml:space="preserve"> </w:t>
      </w:r>
      <w:r>
        <w:rPr>
          <w:lang w:val="sk-SK"/>
        </w:rPr>
        <w:tab/>
      </w:r>
      <w:r w:rsidR="0048130A" w:rsidRPr="0048130A">
        <w:rPr>
          <w:lang w:val="sk-SK"/>
        </w:rPr>
        <w:t>môžu postihovať menej ako 1 z 10 osôb</w:t>
      </w:r>
    </w:p>
    <w:p w14:paraId="051C986F" w14:textId="01C565EA" w:rsidR="00D86D14" w:rsidRPr="00D06041" w:rsidRDefault="00D86D14" w:rsidP="00D86D14">
      <w:pPr>
        <w:rPr>
          <w:lang w:val="sk-SK"/>
        </w:rPr>
      </w:pPr>
      <w:r>
        <w:rPr>
          <w:lang w:val="sk-SK"/>
        </w:rPr>
        <w:t>Menej časté:</w:t>
      </w:r>
      <w:r>
        <w:rPr>
          <w:lang w:val="sk-SK"/>
        </w:rPr>
        <w:tab/>
      </w:r>
      <w:r>
        <w:rPr>
          <w:lang w:val="sk-SK"/>
        </w:rPr>
        <w:tab/>
      </w:r>
      <w:r w:rsidR="00CB3F99" w:rsidRPr="00CB3F99">
        <w:rPr>
          <w:lang w:val="sk-SK"/>
        </w:rPr>
        <w:t>môžu postihovať menej ako 1 zo 100 osôb</w:t>
      </w:r>
    </w:p>
    <w:p w14:paraId="351081D0" w14:textId="37AFDFB0" w:rsidR="00D86D14" w:rsidRPr="00D06041" w:rsidRDefault="00D86D14" w:rsidP="00D86D14">
      <w:pPr>
        <w:rPr>
          <w:lang w:val="sk-SK"/>
        </w:rPr>
      </w:pPr>
      <w:r>
        <w:rPr>
          <w:lang w:val="sk-SK"/>
        </w:rPr>
        <w:t>Zriedkavé:</w:t>
      </w:r>
      <w:r>
        <w:rPr>
          <w:lang w:val="sk-SK"/>
        </w:rPr>
        <w:tab/>
      </w:r>
      <w:r>
        <w:rPr>
          <w:lang w:val="sk-SK"/>
        </w:rPr>
        <w:tab/>
      </w:r>
      <w:r w:rsidR="00CB3F99" w:rsidRPr="00CB3F99">
        <w:rPr>
          <w:lang w:val="sk-SK"/>
        </w:rPr>
        <w:t>môžu postihovať menej ako 1 zo 1</w:t>
      </w:r>
      <w:r w:rsidR="00CB3F99">
        <w:rPr>
          <w:lang w:val="sk-SK"/>
        </w:rPr>
        <w:t xml:space="preserve"> 0</w:t>
      </w:r>
      <w:r w:rsidR="00CB3F99" w:rsidRPr="00CB3F99">
        <w:rPr>
          <w:lang w:val="sk-SK"/>
        </w:rPr>
        <w:t>00 osôb</w:t>
      </w:r>
    </w:p>
    <w:p w14:paraId="5550D7D6" w14:textId="21ACE527" w:rsidR="00D86D14" w:rsidRPr="00D06041" w:rsidRDefault="00D86D14" w:rsidP="00D86D14">
      <w:pPr>
        <w:rPr>
          <w:lang w:val="sk-SK"/>
        </w:rPr>
      </w:pPr>
      <w:r>
        <w:rPr>
          <w:lang w:val="sk-SK"/>
        </w:rPr>
        <w:t>Veľmi zriedkavé:</w:t>
      </w:r>
      <w:r>
        <w:rPr>
          <w:lang w:val="sk-SK"/>
        </w:rPr>
        <w:tab/>
      </w:r>
      <w:r w:rsidR="001B0BEA" w:rsidRPr="001B0BEA">
        <w:rPr>
          <w:lang w:val="sk-SK"/>
        </w:rPr>
        <w:t>môžu postihovať</w:t>
      </w:r>
      <w:r>
        <w:rPr>
          <w:lang w:val="sk-SK"/>
        </w:rPr>
        <w:t xml:space="preserve"> menej ako 1 z </w:t>
      </w:r>
      <w:r w:rsidRPr="00D06041">
        <w:rPr>
          <w:lang w:val="sk-SK"/>
        </w:rPr>
        <w:t>10</w:t>
      </w:r>
      <w:r w:rsidR="00F4650C">
        <w:rPr>
          <w:lang w:val="sk-SK"/>
        </w:rPr>
        <w:t> </w:t>
      </w:r>
      <w:r w:rsidRPr="00D06041">
        <w:rPr>
          <w:lang w:val="sk-SK"/>
        </w:rPr>
        <w:t>000</w:t>
      </w:r>
      <w:r w:rsidR="00F4650C" w:rsidRPr="00F4650C">
        <w:rPr>
          <w:lang w:val="sk-SK"/>
        </w:rPr>
        <w:t xml:space="preserve"> </w:t>
      </w:r>
      <w:r w:rsidR="00F4650C">
        <w:rPr>
          <w:lang w:val="sk-SK"/>
        </w:rPr>
        <w:t>osôb</w:t>
      </w:r>
    </w:p>
    <w:p w14:paraId="19750D54" w14:textId="00DFC437" w:rsidR="00D86D14" w:rsidRPr="00D06041" w:rsidRDefault="00D86D14" w:rsidP="00D86D14">
      <w:pPr>
        <w:rPr>
          <w:lang w:val="sk-SK"/>
        </w:rPr>
      </w:pPr>
      <w:r>
        <w:rPr>
          <w:lang w:val="sk-SK"/>
        </w:rPr>
        <w:t>Neznáme:</w:t>
      </w:r>
      <w:r>
        <w:rPr>
          <w:lang w:val="sk-SK"/>
        </w:rPr>
        <w:tab/>
      </w:r>
      <w:r>
        <w:rPr>
          <w:lang w:val="sk-SK"/>
        </w:rPr>
        <w:tab/>
      </w:r>
      <w:r w:rsidR="001349DE" w:rsidRPr="001349DE">
        <w:rPr>
          <w:lang w:val="sk-SK"/>
        </w:rPr>
        <w:t>častosť sa nedá odhadnúť z dostupných údajov</w:t>
      </w:r>
    </w:p>
    <w:p w14:paraId="3A8D0829" w14:textId="23EE162B" w:rsidR="00D86D14" w:rsidRDefault="00D86D14" w:rsidP="00D86D14">
      <w:pPr>
        <w:widowControl w:val="0"/>
        <w:rPr>
          <w:lang w:val="sk-SK"/>
        </w:rPr>
      </w:pPr>
    </w:p>
    <w:p w14:paraId="4F7EF305" w14:textId="2B0782CE" w:rsidR="00D86D14" w:rsidRDefault="00D86D14" w:rsidP="00D86D14">
      <w:pPr>
        <w:widowControl w:val="0"/>
        <w:rPr>
          <w:i/>
          <w:lang w:val="sk-SK"/>
        </w:rPr>
      </w:pPr>
      <w:r>
        <w:rPr>
          <w:i/>
          <w:lang w:val="sk-SK"/>
        </w:rPr>
        <w:t>Veľmi časté</w:t>
      </w:r>
      <w:r w:rsidR="00EF5071">
        <w:rPr>
          <w:i/>
          <w:lang w:val="sk-SK"/>
        </w:rPr>
        <w:t>:</w:t>
      </w:r>
    </w:p>
    <w:p w14:paraId="543DF6C2" w14:textId="7D38ACA2" w:rsidR="00E81EA8" w:rsidRPr="00E81EA8" w:rsidRDefault="0011580B" w:rsidP="0054431B">
      <w:pPr>
        <w:widowControl w:val="0"/>
        <w:numPr>
          <w:ilvl w:val="0"/>
          <w:numId w:val="1"/>
        </w:numPr>
        <w:rPr>
          <w:lang w:val="sk-SK"/>
        </w:rPr>
      </w:pPr>
      <w:r>
        <w:rPr>
          <w:lang w:val="sk-SK"/>
        </w:rPr>
        <w:t>B</w:t>
      </w:r>
      <w:r w:rsidR="00E81EA8" w:rsidRPr="00E81EA8">
        <w:rPr>
          <w:lang w:val="sk-SK"/>
        </w:rPr>
        <w:t xml:space="preserve">olesť v mieste </w:t>
      </w:r>
      <w:r w:rsidR="00992106">
        <w:rPr>
          <w:lang w:val="sk-SK"/>
        </w:rPr>
        <w:t>vpichu</w:t>
      </w:r>
      <w:r w:rsidR="00E81EA8" w:rsidRPr="00E81EA8">
        <w:rPr>
          <w:lang w:val="sk-SK"/>
        </w:rPr>
        <w:t xml:space="preserve"> injekcie</w:t>
      </w:r>
      <w:r>
        <w:rPr>
          <w:lang w:val="sk-SK"/>
        </w:rPr>
        <w:t>.</w:t>
      </w:r>
    </w:p>
    <w:p w14:paraId="6830588D" w14:textId="47BDA987" w:rsidR="00D86D14" w:rsidRDefault="0011580B" w:rsidP="00D86D14">
      <w:pPr>
        <w:widowControl w:val="0"/>
        <w:numPr>
          <w:ilvl w:val="0"/>
          <w:numId w:val="1"/>
        </w:numPr>
        <w:rPr>
          <w:lang w:val="sk-SK"/>
        </w:rPr>
      </w:pPr>
      <w:r>
        <w:rPr>
          <w:lang w:val="sk-SK"/>
        </w:rPr>
        <w:t>P</w:t>
      </w:r>
      <w:r w:rsidR="00D86D14">
        <w:rPr>
          <w:lang w:val="sk-SK"/>
        </w:rPr>
        <w:t xml:space="preserve">ri podaní injekcie do svalu: </w:t>
      </w:r>
      <w:r w:rsidR="00DD7064">
        <w:rPr>
          <w:lang w:val="sk-SK"/>
        </w:rPr>
        <w:t>st</w:t>
      </w:r>
      <w:r w:rsidR="00091D39">
        <w:rPr>
          <w:lang w:val="sk-SK"/>
        </w:rPr>
        <w:t>uh</w:t>
      </w:r>
      <w:r w:rsidR="00DD7064">
        <w:rPr>
          <w:lang w:val="sk-SK"/>
        </w:rPr>
        <w:t>nutie tkaniv</w:t>
      </w:r>
      <w:r w:rsidR="00B66020">
        <w:rPr>
          <w:lang w:val="sk-SK"/>
        </w:rPr>
        <w:t>a</w:t>
      </w:r>
      <w:r>
        <w:rPr>
          <w:lang w:val="sk-SK"/>
        </w:rPr>
        <w:t>.</w:t>
      </w:r>
    </w:p>
    <w:p w14:paraId="21C1FE87" w14:textId="77777777" w:rsidR="00D86D14" w:rsidRDefault="00D86D14" w:rsidP="00D86D14">
      <w:pPr>
        <w:widowControl w:val="0"/>
        <w:rPr>
          <w:lang w:val="sk-SK"/>
        </w:rPr>
      </w:pPr>
    </w:p>
    <w:p w14:paraId="2A4E4AB3" w14:textId="4DA35E40" w:rsidR="00D86D14" w:rsidRDefault="00D86D14" w:rsidP="00D86D14">
      <w:pPr>
        <w:widowControl w:val="0"/>
        <w:rPr>
          <w:i/>
          <w:lang w:val="sk-SK"/>
        </w:rPr>
      </w:pPr>
      <w:r>
        <w:rPr>
          <w:i/>
          <w:lang w:val="sk-SK"/>
        </w:rPr>
        <w:t>Časté</w:t>
      </w:r>
      <w:r w:rsidR="00EF5071">
        <w:rPr>
          <w:i/>
          <w:lang w:val="sk-SK"/>
        </w:rPr>
        <w:t>:</w:t>
      </w:r>
    </w:p>
    <w:p w14:paraId="18947DB6" w14:textId="316423F0" w:rsidR="00AC23B9" w:rsidRDefault="0011580B" w:rsidP="00D86D14">
      <w:pPr>
        <w:widowControl w:val="0"/>
        <w:numPr>
          <w:ilvl w:val="0"/>
          <w:numId w:val="1"/>
        </w:numPr>
        <w:rPr>
          <w:lang w:val="sk-SK"/>
        </w:rPr>
      </w:pPr>
      <w:r>
        <w:rPr>
          <w:lang w:val="sk-SK"/>
        </w:rPr>
        <w:t>K</w:t>
      </w:r>
      <w:r w:rsidR="00CA2400">
        <w:rPr>
          <w:lang w:val="sk-SK"/>
        </w:rPr>
        <w:t>ĺbové ťažkosti</w:t>
      </w:r>
      <w:r w:rsidR="007A5F7C" w:rsidRPr="007A5F7C">
        <w:rPr>
          <w:lang w:val="sk-SK"/>
        </w:rPr>
        <w:t xml:space="preserve"> (napríklad </w:t>
      </w:r>
      <w:proofErr w:type="spellStart"/>
      <w:r w:rsidR="007A5F7C" w:rsidRPr="007A5F7C">
        <w:rPr>
          <w:lang w:val="sk-SK"/>
        </w:rPr>
        <w:t>turgor</w:t>
      </w:r>
      <w:proofErr w:type="spellEnd"/>
      <w:r w:rsidR="007A5F7C" w:rsidRPr="007A5F7C">
        <w:rPr>
          <w:lang w:val="sk-SK"/>
        </w:rPr>
        <w:t>)</w:t>
      </w:r>
      <w:r>
        <w:rPr>
          <w:lang w:val="sk-SK"/>
        </w:rPr>
        <w:t>.</w:t>
      </w:r>
    </w:p>
    <w:p w14:paraId="13A769F0" w14:textId="77777777" w:rsidR="00407318" w:rsidRDefault="00407318" w:rsidP="006A6EC0">
      <w:pPr>
        <w:widowControl w:val="0"/>
        <w:ind w:left="360"/>
        <w:rPr>
          <w:lang w:val="sk-SK"/>
        </w:rPr>
      </w:pPr>
    </w:p>
    <w:p w14:paraId="1897E638" w14:textId="3AAA973B" w:rsidR="00AC23B9" w:rsidRDefault="00AC23B9" w:rsidP="006A6EC0">
      <w:pPr>
        <w:widowControl w:val="0"/>
        <w:rPr>
          <w:i/>
          <w:lang w:val="sk-SK"/>
        </w:rPr>
      </w:pPr>
      <w:r w:rsidRPr="006A6EC0">
        <w:rPr>
          <w:i/>
          <w:lang w:val="sk-SK"/>
        </w:rPr>
        <w:t>Menej časté</w:t>
      </w:r>
      <w:r>
        <w:rPr>
          <w:i/>
          <w:lang w:val="sk-SK"/>
        </w:rPr>
        <w:t>:</w:t>
      </w:r>
    </w:p>
    <w:p w14:paraId="1667B781" w14:textId="4FCE5EFB" w:rsidR="00F141B7" w:rsidRDefault="0011580B" w:rsidP="00F141B7">
      <w:pPr>
        <w:widowControl w:val="0"/>
        <w:numPr>
          <w:ilvl w:val="0"/>
          <w:numId w:val="1"/>
        </w:numPr>
        <w:rPr>
          <w:lang w:val="sk-SK"/>
        </w:rPr>
      </w:pPr>
      <w:proofErr w:type="spellStart"/>
      <w:r>
        <w:rPr>
          <w:lang w:val="sk-SK"/>
        </w:rPr>
        <w:t>G</w:t>
      </w:r>
      <w:r w:rsidR="00F141B7" w:rsidRPr="006A6EC0">
        <w:rPr>
          <w:lang w:val="sk-SK"/>
        </w:rPr>
        <w:t>ranulocytopénia</w:t>
      </w:r>
      <w:proofErr w:type="spellEnd"/>
      <w:r w:rsidR="00F141B7" w:rsidRPr="006A6EC0">
        <w:rPr>
          <w:lang w:val="sk-SK"/>
        </w:rPr>
        <w:t xml:space="preserve"> (pri dlhodobej liečbe) – znížený počet typu bielych krviniek nazývaných </w:t>
      </w:r>
      <w:r w:rsidR="00F141B7">
        <w:rPr>
          <w:lang w:val="sk-SK"/>
        </w:rPr>
        <w:lastRenderedPageBreak/>
        <w:t>„</w:t>
      </w:r>
      <w:proofErr w:type="spellStart"/>
      <w:r w:rsidR="00F141B7" w:rsidRPr="006A6EC0">
        <w:rPr>
          <w:lang w:val="sk-SK"/>
        </w:rPr>
        <w:t>granulocyty</w:t>
      </w:r>
      <w:proofErr w:type="spellEnd"/>
      <w:r w:rsidR="00F141B7">
        <w:rPr>
          <w:lang w:val="sk-SK"/>
        </w:rPr>
        <w:t>“</w:t>
      </w:r>
      <w:r w:rsidRPr="0011580B">
        <w:rPr>
          <w:lang w:val="sk-SK"/>
        </w:rPr>
        <w:t>.</w:t>
      </w:r>
    </w:p>
    <w:p w14:paraId="23F79C71" w14:textId="1DAF9713" w:rsidR="000F30AE" w:rsidRPr="000F30AE" w:rsidRDefault="005412D4" w:rsidP="000F30AE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N</w:t>
      </w:r>
      <w:r w:rsidR="000F30AE" w:rsidRPr="000F30AE">
        <w:rPr>
          <w:lang w:val="sk-SK"/>
        </w:rPr>
        <w:t>ízky počet bielych krviniek</w:t>
      </w:r>
      <w:r>
        <w:rPr>
          <w:lang w:val="sk-SK"/>
        </w:rPr>
        <w:t>.</w:t>
      </w:r>
    </w:p>
    <w:p w14:paraId="4E2F788E" w14:textId="7B857511" w:rsidR="00D86D14" w:rsidRDefault="005412D4" w:rsidP="000F30AE">
      <w:pPr>
        <w:widowControl w:val="0"/>
        <w:numPr>
          <w:ilvl w:val="0"/>
          <w:numId w:val="1"/>
        </w:numPr>
        <w:rPr>
          <w:lang w:val="sk-SK"/>
        </w:rPr>
      </w:pPr>
      <w:proofErr w:type="spellStart"/>
      <w:r>
        <w:rPr>
          <w:lang w:val="sk-SK"/>
        </w:rPr>
        <w:t>T</w:t>
      </w:r>
      <w:r w:rsidR="00D86D14" w:rsidRPr="000F30AE">
        <w:rPr>
          <w:lang w:val="sk-SK"/>
        </w:rPr>
        <w:t>rombocytopénia</w:t>
      </w:r>
      <w:proofErr w:type="spellEnd"/>
      <w:r w:rsidR="00D86D14" w:rsidRPr="000F30AE">
        <w:rPr>
          <w:lang w:val="sk-SK"/>
        </w:rPr>
        <w:t xml:space="preserve"> (porucha, pri ktorej je počet krvných doštičiek abnormálne nízky, niekedy spojená s abnormálnym krvácaním)</w:t>
      </w:r>
      <w:r>
        <w:rPr>
          <w:lang w:val="sk-SK"/>
        </w:rPr>
        <w:t>.</w:t>
      </w:r>
    </w:p>
    <w:p w14:paraId="0E30B83B" w14:textId="229F5330" w:rsidR="000F30AE" w:rsidRDefault="000F30AE" w:rsidP="000F30AE">
      <w:pPr>
        <w:widowControl w:val="0"/>
        <w:numPr>
          <w:ilvl w:val="0"/>
          <w:numId w:val="1"/>
        </w:numPr>
        <w:rPr>
          <w:lang w:val="sk-SK"/>
        </w:rPr>
      </w:pPr>
      <w:proofErr w:type="spellStart"/>
      <w:r w:rsidRPr="000F30AE">
        <w:rPr>
          <w:lang w:val="sk-SK"/>
        </w:rPr>
        <w:t>Jarisch-Herxheimerove</w:t>
      </w:r>
      <w:proofErr w:type="spellEnd"/>
      <w:r w:rsidRPr="000F30AE">
        <w:rPr>
          <w:lang w:val="sk-SK"/>
        </w:rPr>
        <w:t xml:space="preserve"> reakcie (prejavujú sa horúčkou, triaškou, bolesťami hlavy a celkovou bole</w:t>
      </w:r>
      <w:r w:rsidR="005412D4">
        <w:rPr>
          <w:lang w:val="sk-SK"/>
        </w:rPr>
        <w:t>sťou).</w:t>
      </w:r>
    </w:p>
    <w:p w14:paraId="7E185E56" w14:textId="61BC5C1E" w:rsidR="004A7863" w:rsidRPr="000F30AE" w:rsidRDefault="0002413B" w:rsidP="000F30AE">
      <w:pPr>
        <w:widowControl w:val="0"/>
        <w:numPr>
          <w:ilvl w:val="0"/>
          <w:numId w:val="1"/>
        </w:numPr>
        <w:rPr>
          <w:lang w:val="sk-SK"/>
        </w:rPr>
      </w:pPr>
      <w:r>
        <w:rPr>
          <w:lang w:val="sk-SK"/>
        </w:rPr>
        <w:t>K</w:t>
      </w:r>
      <w:r w:rsidR="004A7863">
        <w:rPr>
          <w:lang w:val="sk-SK"/>
        </w:rPr>
        <w:t>ŕče</w:t>
      </w:r>
      <w:r>
        <w:rPr>
          <w:lang w:val="sk-SK"/>
        </w:rPr>
        <w:t>.</w:t>
      </w:r>
    </w:p>
    <w:p w14:paraId="07E7FE36" w14:textId="49E90283" w:rsidR="00D86D14" w:rsidRDefault="0002413B" w:rsidP="00D86D14">
      <w:pPr>
        <w:widowControl w:val="0"/>
        <w:numPr>
          <w:ilvl w:val="0"/>
          <w:numId w:val="1"/>
        </w:numPr>
        <w:rPr>
          <w:lang w:val="sk-SK"/>
        </w:rPr>
      </w:pPr>
      <w:r>
        <w:rPr>
          <w:lang w:val="sk-SK"/>
        </w:rPr>
        <w:t>H</w:t>
      </w:r>
      <w:r w:rsidR="00D86D14">
        <w:rPr>
          <w:lang w:val="sk-SK"/>
        </w:rPr>
        <w:t>načka</w:t>
      </w:r>
      <w:r>
        <w:rPr>
          <w:lang w:val="sk-SK"/>
        </w:rPr>
        <w:t>.</w:t>
      </w:r>
    </w:p>
    <w:p w14:paraId="6A0FFF8F" w14:textId="3D011B33" w:rsidR="004A7863" w:rsidRDefault="0002413B" w:rsidP="00D86D14">
      <w:pPr>
        <w:widowControl w:val="0"/>
        <w:numPr>
          <w:ilvl w:val="0"/>
          <w:numId w:val="1"/>
        </w:numPr>
        <w:rPr>
          <w:lang w:val="sk-SK"/>
        </w:rPr>
      </w:pPr>
      <w:r>
        <w:rPr>
          <w:lang w:val="sk-SK"/>
        </w:rPr>
        <w:t>N</w:t>
      </w:r>
      <w:r w:rsidR="00FA02FD">
        <w:rPr>
          <w:lang w:val="sk-SK"/>
        </w:rPr>
        <w:t>echutenstvo</w:t>
      </w:r>
      <w:r>
        <w:rPr>
          <w:lang w:val="sk-SK"/>
        </w:rPr>
        <w:t>.</w:t>
      </w:r>
    </w:p>
    <w:p w14:paraId="13617879" w14:textId="6B74ACDF" w:rsidR="00E5581B" w:rsidRPr="004411DF" w:rsidRDefault="0002413B" w:rsidP="006A6EC0">
      <w:pPr>
        <w:widowControl w:val="0"/>
        <w:numPr>
          <w:ilvl w:val="0"/>
          <w:numId w:val="1"/>
        </w:numPr>
        <w:rPr>
          <w:lang w:val="sk-SK"/>
        </w:rPr>
      </w:pPr>
      <w:r w:rsidRPr="00625884">
        <w:rPr>
          <w:lang w:val="sk-SK"/>
        </w:rPr>
        <w:t>Z</w:t>
      </w:r>
      <w:r w:rsidR="00D86D14" w:rsidRPr="00625884">
        <w:rPr>
          <w:lang w:val="sk-SK"/>
        </w:rPr>
        <w:t>výšenie pečeňových enzýmov</w:t>
      </w:r>
      <w:r w:rsidR="009D72FF" w:rsidRPr="00625884">
        <w:rPr>
          <w:lang w:val="sk-SK"/>
        </w:rPr>
        <w:t xml:space="preserve"> (ALAT, ASAT, LDH, </w:t>
      </w:r>
      <w:proofErr w:type="spellStart"/>
      <w:r w:rsidR="009D72FF" w:rsidRPr="00625884">
        <w:rPr>
          <w:lang w:val="sk-SK"/>
        </w:rPr>
        <w:t>gamma</w:t>
      </w:r>
      <w:proofErr w:type="spellEnd"/>
      <w:r w:rsidR="009D72FF" w:rsidRPr="00625884">
        <w:rPr>
          <w:lang w:val="sk-SK"/>
        </w:rPr>
        <w:t>-GT, alkali</w:t>
      </w:r>
      <w:r w:rsidR="00AF2965" w:rsidRPr="00625884">
        <w:rPr>
          <w:lang w:val="sk-SK"/>
        </w:rPr>
        <w:t>ckej</w:t>
      </w:r>
      <w:r w:rsidR="009D72FF" w:rsidRPr="00625884">
        <w:rPr>
          <w:lang w:val="sk-SK"/>
        </w:rPr>
        <w:t xml:space="preserve"> </w:t>
      </w:r>
      <w:proofErr w:type="spellStart"/>
      <w:r w:rsidR="00AF2965" w:rsidRPr="00625884">
        <w:rPr>
          <w:lang w:val="sk-SK"/>
        </w:rPr>
        <w:t>fosfatázy</w:t>
      </w:r>
      <w:proofErr w:type="spellEnd"/>
      <w:r w:rsidR="009D72FF" w:rsidRPr="00625884">
        <w:rPr>
          <w:lang w:val="sk-SK"/>
        </w:rPr>
        <w:t>) a</w:t>
      </w:r>
      <w:r w:rsidR="00625884">
        <w:rPr>
          <w:lang w:val="sk-SK"/>
        </w:rPr>
        <w:t> </w:t>
      </w:r>
      <w:proofErr w:type="spellStart"/>
      <w:r w:rsidR="009D72FF" w:rsidRPr="00625884">
        <w:rPr>
          <w:lang w:val="sk-SK"/>
        </w:rPr>
        <w:t>bilirub</w:t>
      </w:r>
      <w:r w:rsidR="00AF2965" w:rsidRPr="00625884">
        <w:rPr>
          <w:lang w:val="sk-SK"/>
        </w:rPr>
        <w:t>í</w:t>
      </w:r>
      <w:r w:rsidR="009D72FF" w:rsidRPr="00625884">
        <w:rPr>
          <w:lang w:val="sk-SK"/>
        </w:rPr>
        <w:t>n</w:t>
      </w:r>
      <w:r w:rsidR="00AF2965" w:rsidRPr="00625884">
        <w:rPr>
          <w:lang w:val="sk-SK"/>
        </w:rPr>
        <w:t>u</w:t>
      </w:r>
      <w:proofErr w:type="spellEnd"/>
      <w:r w:rsidR="00E5581B">
        <w:rPr>
          <w:lang w:val="sk-SK"/>
        </w:rPr>
        <w:t>.</w:t>
      </w:r>
    </w:p>
    <w:p w14:paraId="54398BE1" w14:textId="57E4D635" w:rsidR="00D86D14" w:rsidRPr="004411DF" w:rsidRDefault="00625884" w:rsidP="004411DF">
      <w:pPr>
        <w:widowControl w:val="0"/>
        <w:numPr>
          <w:ilvl w:val="0"/>
          <w:numId w:val="1"/>
        </w:numPr>
        <w:rPr>
          <w:lang w:val="sk-SK"/>
        </w:rPr>
      </w:pPr>
      <w:r>
        <w:rPr>
          <w:lang w:val="sk-SK"/>
        </w:rPr>
        <w:t>V</w:t>
      </w:r>
      <w:r w:rsidR="00D86D14" w:rsidRPr="004411DF">
        <w:rPr>
          <w:lang w:val="sk-SK"/>
        </w:rPr>
        <w:t>yrážky</w:t>
      </w:r>
      <w:r w:rsidR="004411DF" w:rsidRPr="004411DF">
        <w:rPr>
          <w:lang w:val="sk-SK"/>
        </w:rPr>
        <w:t xml:space="preserve"> </w:t>
      </w:r>
      <w:r w:rsidR="004411DF">
        <w:rPr>
          <w:lang w:val="sk-SK"/>
        </w:rPr>
        <w:t>(</w:t>
      </w:r>
      <w:r w:rsidR="004411DF" w:rsidRPr="004411DF">
        <w:rPr>
          <w:lang w:val="sk-SK"/>
        </w:rPr>
        <w:t>kožné</w:t>
      </w:r>
      <w:r w:rsidR="004411DF">
        <w:rPr>
          <w:lang w:val="sk-SK"/>
        </w:rPr>
        <w:t xml:space="preserve"> reakcie)</w:t>
      </w:r>
      <w:r>
        <w:rPr>
          <w:lang w:val="sk-SK"/>
        </w:rPr>
        <w:t>.</w:t>
      </w:r>
    </w:p>
    <w:p w14:paraId="3EB81A9E" w14:textId="00FAA3B2" w:rsidR="00D86D14" w:rsidRDefault="00625884" w:rsidP="00E5581B">
      <w:pPr>
        <w:widowControl w:val="0"/>
        <w:numPr>
          <w:ilvl w:val="0"/>
          <w:numId w:val="1"/>
        </w:numPr>
        <w:rPr>
          <w:lang w:val="sk-SK"/>
        </w:rPr>
      </w:pPr>
      <w:r>
        <w:rPr>
          <w:lang w:val="sk-SK"/>
        </w:rPr>
        <w:t>S</w:t>
      </w:r>
      <w:r w:rsidR="00D86D14">
        <w:rPr>
          <w:lang w:val="sk-SK"/>
        </w:rPr>
        <w:t>vrbenie</w:t>
      </w:r>
      <w:r>
        <w:rPr>
          <w:lang w:val="sk-SK"/>
        </w:rPr>
        <w:t>.</w:t>
      </w:r>
    </w:p>
    <w:p w14:paraId="37E1FE1C" w14:textId="0961AEB3" w:rsidR="00D86D14" w:rsidRDefault="00625884" w:rsidP="00D86D14">
      <w:pPr>
        <w:widowControl w:val="0"/>
        <w:numPr>
          <w:ilvl w:val="0"/>
          <w:numId w:val="1"/>
        </w:numPr>
        <w:rPr>
          <w:lang w:val="sk-SK"/>
        </w:rPr>
      </w:pPr>
      <w:r>
        <w:rPr>
          <w:lang w:val="sk-SK"/>
        </w:rPr>
        <w:t>Ž</w:t>
      </w:r>
      <w:r w:rsidR="00D86D14">
        <w:rPr>
          <w:lang w:val="sk-SK"/>
        </w:rPr>
        <w:t>ihľavka</w:t>
      </w:r>
      <w:r>
        <w:rPr>
          <w:lang w:val="sk-SK"/>
        </w:rPr>
        <w:t>.</w:t>
      </w:r>
    </w:p>
    <w:p w14:paraId="30A729AA" w14:textId="5BCAC778" w:rsidR="00D86D14" w:rsidRDefault="00112D1F" w:rsidP="006132AE">
      <w:pPr>
        <w:widowControl w:val="0"/>
        <w:numPr>
          <w:ilvl w:val="0"/>
          <w:numId w:val="1"/>
        </w:numPr>
        <w:rPr>
          <w:lang w:val="sk-SK"/>
        </w:rPr>
      </w:pPr>
      <w:r>
        <w:rPr>
          <w:lang w:val="sk-SK"/>
        </w:rPr>
        <w:t>Porucha</w:t>
      </w:r>
      <w:r w:rsidR="00785288">
        <w:rPr>
          <w:lang w:val="sk-SK"/>
        </w:rPr>
        <w:t xml:space="preserve"> funkci</w:t>
      </w:r>
      <w:r>
        <w:rPr>
          <w:lang w:val="sk-SK"/>
        </w:rPr>
        <w:t>e</w:t>
      </w:r>
      <w:r w:rsidR="00785288">
        <w:rPr>
          <w:lang w:val="sk-SK"/>
        </w:rPr>
        <w:t xml:space="preserve"> obličiek / </w:t>
      </w:r>
      <w:r w:rsidR="00D86D14">
        <w:rPr>
          <w:lang w:val="sk-SK"/>
        </w:rPr>
        <w:t xml:space="preserve">zvýšená koncentrácia </w:t>
      </w:r>
      <w:proofErr w:type="spellStart"/>
      <w:r w:rsidR="00D86D14">
        <w:rPr>
          <w:lang w:val="sk-SK"/>
        </w:rPr>
        <w:t>kreatinínu</w:t>
      </w:r>
      <w:proofErr w:type="spellEnd"/>
      <w:r w:rsidR="00D86D14">
        <w:rPr>
          <w:lang w:val="sk-SK"/>
        </w:rPr>
        <w:t xml:space="preserve"> </w:t>
      </w:r>
      <w:r w:rsidR="003423C4">
        <w:rPr>
          <w:lang w:val="sk-SK"/>
        </w:rPr>
        <w:t xml:space="preserve">a močoviny </w:t>
      </w:r>
      <w:r w:rsidR="00D86D14">
        <w:rPr>
          <w:lang w:val="sk-SK"/>
        </w:rPr>
        <w:t>v</w:t>
      </w:r>
      <w:r w:rsidR="00EF4CDA">
        <w:rPr>
          <w:lang w:val="sk-SK"/>
        </w:rPr>
        <w:t>o</w:t>
      </w:r>
      <w:r w:rsidR="00D86D14">
        <w:rPr>
          <w:lang w:val="sk-SK"/>
        </w:rPr>
        <w:t> </w:t>
      </w:r>
      <w:r w:rsidR="00EF4CDA">
        <w:rPr>
          <w:lang w:val="sk-SK"/>
        </w:rPr>
        <w:t>v</w:t>
      </w:r>
      <w:r w:rsidR="00D86D14">
        <w:rPr>
          <w:lang w:val="sk-SK"/>
        </w:rPr>
        <w:t>ašej krvi</w:t>
      </w:r>
      <w:r w:rsidR="003423C4">
        <w:rPr>
          <w:lang w:val="sk-SK"/>
        </w:rPr>
        <w:t xml:space="preserve"> </w:t>
      </w:r>
      <w:r w:rsidR="006132AE" w:rsidRPr="006132AE">
        <w:rPr>
          <w:lang w:val="sk-SK"/>
        </w:rPr>
        <w:t xml:space="preserve">(najmä pri súčasnom podávaní s </w:t>
      </w:r>
      <w:proofErr w:type="spellStart"/>
      <w:r w:rsidR="006132AE" w:rsidRPr="006132AE">
        <w:rPr>
          <w:lang w:val="sk-SK"/>
        </w:rPr>
        <w:t>aminoglykozidmi</w:t>
      </w:r>
      <w:proofErr w:type="spellEnd"/>
      <w:r w:rsidR="006132AE" w:rsidRPr="006132AE">
        <w:rPr>
          <w:lang w:val="sk-SK"/>
        </w:rPr>
        <w:t>)</w:t>
      </w:r>
      <w:r w:rsidR="00625884">
        <w:rPr>
          <w:lang w:val="sk-SK"/>
        </w:rPr>
        <w:t xml:space="preserve">. </w:t>
      </w:r>
    </w:p>
    <w:p w14:paraId="5814C339" w14:textId="22D26B7B" w:rsidR="00D86D14" w:rsidRDefault="00625884" w:rsidP="00D86D14">
      <w:pPr>
        <w:widowControl w:val="0"/>
        <w:numPr>
          <w:ilvl w:val="0"/>
          <w:numId w:val="1"/>
        </w:numPr>
        <w:rPr>
          <w:lang w:val="sk-SK"/>
        </w:rPr>
      </w:pPr>
      <w:r>
        <w:rPr>
          <w:lang w:val="sk-SK"/>
        </w:rPr>
        <w:t>H</w:t>
      </w:r>
      <w:r w:rsidR="00D86D14">
        <w:rPr>
          <w:lang w:val="sk-SK"/>
        </w:rPr>
        <w:t>orúčka</w:t>
      </w:r>
      <w:r>
        <w:rPr>
          <w:lang w:val="sk-SK"/>
        </w:rPr>
        <w:t xml:space="preserve">. </w:t>
      </w:r>
    </w:p>
    <w:p w14:paraId="2F924F2E" w14:textId="180CA473" w:rsidR="00D86D14" w:rsidRDefault="00625884" w:rsidP="00D86D14">
      <w:pPr>
        <w:widowControl w:val="0"/>
        <w:numPr>
          <w:ilvl w:val="0"/>
          <w:numId w:val="1"/>
        </w:numPr>
        <w:rPr>
          <w:lang w:val="sk-SK"/>
        </w:rPr>
      </w:pPr>
      <w:r>
        <w:rPr>
          <w:lang w:val="sk-SK"/>
        </w:rPr>
        <w:t>Z</w:t>
      </w:r>
      <w:r w:rsidR="00D86D14">
        <w:rPr>
          <w:lang w:val="sk-SK"/>
        </w:rPr>
        <w:t>ápalové reakcie v mieste vpichu injekcie</w:t>
      </w:r>
      <w:r w:rsidR="00E36496">
        <w:rPr>
          <w:lang w:val="sk-SK"/>
        </w:rPr>
        <w:t xml:space="preserve"> vrátane</w:t>
      </w:r>
      <w:r w:rsidR="00D86D14">
        <w:rPr>
          <w:lang w:val="sk-SK"/>
        </w:rPr>
        <w:t xml:space="preserve"> </w:t>
      </w:r>
      <w:proofErr w:type="spellStart"/>
      <w:r w:rsidR="00D86D14">
        <w:rPr>
          <w:lang w:val="sk-SK"/>
        </w:rPr>
        <w:t>flebitíd</w:t>
      </w:r>
      <w:r w:rsidR="007D55DC">
        <w:rPr>
          <w:lang w:val="sk-SK"/>
        </w:rPr>
        <w:t>y</w:t>
      </w:r>
      <w:proofErr w:type="spellEnd"/>
      <w:r w:rsidR="007D55DC">
        <w:rPr>
          <w:lang w:val="sk-SK"/>
        </w:rPr>
        <w:t xml:space="preserve"> </w:t>
      </w:r>
      <w:r w:rsidR="00D86D14">
        <w:rPr>
          <w:lang w:val="sk-SK"/>
        </w:rPr>
        <w:t>/</w:t>
      </w:r>
      <w:r w:rsidR="007D55DC">
        <w:rPr>
          <w:lang w:val="sk-SK"/>
        </w:rPr>
        <w:t xml:space="preserve"> </w:t>
      </w:r>
      <w:r w:rsidR="00D86D14">
        <w:rPr>
          <w:lang w:val="sk-SK"/>
        </w:rPr>
        <w:t>tromboflebitíd</w:t>
      </w:r>
      <w:r w:rsidR="007D55DC">
        <w:rPr>
          <w:lang w:val="sk-SK"/>
        </w:rPr>
        <w:t>y</w:t>
      </w:r>
      <w:r w:rsidR="007D55DC" w:rsidRPr="007D55DC">
        <w:rPr>
          <w:lang w:val="sk-SK"/>
        </w:rPr>
        <w:t xml:space="preserve"> </w:t>
      </w:r>
      <w:r w:rsidR="007D55DC">
        <w:rPr>
          <w:lang w:val="sk-SK"/>
        </w:rPr>
        <w:t>(zápal žíl</w:t>
      </w:r>
      <w:r w:rsidR="00067AED">
        <w:rPr>
          <w:lang w:val="sk-SK"/>
        </w:rPr>
        <w:t xml:space="preserve"> / zápal žíl s krvnou zrazeninou</w:t>
      </w:r>
      <w:r w:rsidR="007D55DC">
        <w:rPr>
          <w:lang w:val="sk-SK"/>
        </w:rPr>
        <w:t>)</w:t>
      </w:r>
      <w:r w:rsidR="0017387D">
        <w:rPr>
          <w:lang w:val="sk-SK"/>
        </w:rPr>
        <w:t>.</w:t>
      </w:r>
    </w:p>
    <w:p w14:paraId="1AF459A7" w14:textId="77777777" w:rsidR="006425E6" w:rsidRDefault="006425E6" w:rsidP="006A6EC0">
      <w:pPr>
        <w:widowControl w:val="0"/>
        <w:rPr>
          <w:lang w:val="sk-SK"/>
        </w:rPr>
      </w:pPr>
    </w:p>
    <w:p w14:paraId="2B200927" w14:textId="6D743CAE" w:rsidR="006425E6" w:rsidRPr="006A6EC0" w:rsidRDefault="006425E6" w:rsidP="006425E6">
      <w:pPr>
        <w:widowControl w:val="0"/>
        <w:rPr>
          <w:i/>
          <w:lang w:val="sk-SK"/>
        </w:rPr>
      </w:pPr>
      <w:r w:rsidRPr="006A6EC0">
        <w:rPr>
          <w:i/>
          <w:lang w:val="sk-SK"/>
        </w:rPr>
        <w:t>Neznám</w:t>
      </w:r>
      <w:r w:rsidR="00377AB4">
        <w:rPr>
          <w:i/>
          <w:lang w:val="sk-SK"/>
        </w:rPr>
        <w:t>e</w:t>
      </w:r>
      <w:r w:rsidRPr="006A6EC0">
        <w:rPr>
          <w:i/>
          <w:lang w:val="sk-SK"/>
        </w:rPr>
        <w:t>:</w:t>
      </w:r>
    </w:p>
    <w:p w14:paraId="070BDA77" w14:textId="3D8C86DB" w:rsidR="009A4211" w:rsidRDefault="00155631" w:rsidP="006A6EC0">
      <w:pPr>
        <w:widowControl w:val="0"/>
        <w:numPr>
          <w:ilvl w:val="0"/>
          <w:numId w:val="1"/>
        </w:numPr>
        <w:tabs>
          <w:tab w:val="clear" w:pos="567"/>
        </w:tabs>
        <w:rPr>
          <w:lang w:val="sk-SK"/>
        </w:rPr>
      </w:pPr>
      <w:proofErr w:type="spellStart"/>
      <w:r>
        <w:rPr>
          <w:lang w:val="sk-SK"/>
        </w:rPr>
        <w:t>S</w:t>
      </w:r>
      <w:r w:rsidR="006447BA" w:rsidRPr="006447BA">
        <w:rPr>
          <w:lang w:val="sk-SK"/>
        </w:rPr>
        <w:t>uperinfekcia</w:t>
      </w:r>
      <w:proofErr w:type="spellEnd"/>
      <w:r w:rsidR="006447BA" w:rsidRPr="006447BA">
        <w:rPr>
          <w:lang w:val="sk-SK"/>
        </w:rPr>
        <w:t xml:space="preserve"> </w:t>
      </w:r>
      <w:r w:rsidR="00E90F48">
        <w:rPr>
          <w:lang w:val="sk-SK"/>
        </w:rPr>
        <w:t>(</w:t>
      </w:r>
      <w:r w:rsidR="009A4211">
        <w:rPr>
          <w:lang w:val="sk-SK"/>
        </w:rPr>
        <w:t>dodatočná infekcia, ktorá sa objaví, kým ste liečený na inú infekciu</w:t>
      </w:r>
      <w:r w:rsidR="001635CA">
        <w:rPr>
          <w:lang w:val="sk-SK"/>
        </w:rPr>
        <w:t xml:space="preserve">), </w:t>
      </w:r>
      <w:r w:rsidR="006447BA" w:rsidRPr="006447BA">
        <w:rPr>
          <w:lang w:val="sk-SK"/>
        </w:rPr>
        <w:t xml:space="preserve">napr. </w:t>
      </w:r>
      <w:r w:rsidR="00BB6EAB">
        <w:rPr>
          <w:lang w:val="sk-SK"/>
        </w:rPr>
        <w:t>ústne</w:t>
      </w:r>
      <w:r w:rsidR="006447BA" w:rsidRPr="006447BA">
        <w:rPr>
          <w:lang w:val="sk-SK"/>
        </w:rPr>
        <w:t xml:space="preserve"> </w:t>
      </w:r>
    </w:p>
    <w:p w14:paraId="2002924D" w14:textId="77777777" w:rsidR="00155631" w:rsidRDefault="006447BA" w:rsidP="006A6EC0">
      <w:pPr>
        <w:widowControl w:val="0"/>
        <w:tabs>
          <w:tab w:val="clear" w:pos="567"/>
        </w:tabs>
        <w:ind w:firstLine="360"/>
        <w:rPr>
          <w:lang w:val="sk-SK"/>
        </w:rPr>
      </w:pPr>
      <w:r w:rsidRPr="006447BA">
        <w:rPr>
          <w:lang w:val="sk-SK"/>
        </w:rPr>
        <w:t>alebo vagináln</w:t>
      </w:r>
      <w:r w:rsidR="001635CA">
        <w:rPr>
          <w:lang w:val="sk-SK"/>
        </w:rPr>
        <w:t>e</w:t>
      </w:r>
      <w:r w:rsidRPr="006447BA">
        <w:rPr>
          <w:lang w:val="sk-SK"/>
        </w:rPr>
        <w:t xml:space="preserve"> </w:t>
      </w:r>
      <w:r w:rsidR="00861505">
        <w:rPr>
          <w:lang w:val="sk-SK"/>
        </w:rPr>
        <w:t xml:space="preserve">plesňové infekcie. </w:t>
      </w:r>
    </w:p>
    <w:p w14:paraId="6CC8AAAB" w14:textId="7CCC9F9D" w:rsidR="006425E6" w:rsidRPr="006425E6" w:rsidRDefault="00112D1F" w:rsidP="006A6EC0">
      <w:pPr>
        <w:widowControl w:val="0"/>
        <w:numPr>
          <w:ilvl w:val="0"/>
          <w:numId w:val="1"/>
        </w:numPr>
        <w:tabs>
          <w:tab w:val="clear" w:pos="567"/>
        </w:tabs>
        <w:rPr>
          <w:lang w:val="sk-SK"/>
        </w:rPr>
      </w:pPr>
      <w:r>
        <w:rPr>
          <w:lang w:val="sk-SK"/>
        </w:rPr>
        <w:t>Zlyhanie</w:t>
      </w:r>
      <w:r w:rsidR="006425E6" w:rsidRPr="006425E6">
        <w:rPr>
          <w:lang w:val="sk-SK"/>
        </w:rPr>
        <w:t xml:space="preserve"> kostnej drene</w:t>
      </w:r>
      <w:r w:rsidR="00861505">
        <w:rPr>
          <w:lang w:val="sk-SK"/>
        </w:rPr>
        <w:t>.</w:t>
      </w:r>
      <w:r w:rsidR="00741463">
        <w:rPr>
          <w:lang w:val="sk-SK"/>
        </w:rPr>
        <w:t xml:space="preserve"> </w:t>
      </w:r>
    </w:p>
    <w:p w14:paraId="69485F19" w14:textId="1036C3CF" w:rsidR="001B55E5" w:rsidRDefault="00155631" w:rsidP="006A6EC0">
      <w:pPr>
        <w:widowControl w:val="0"/>
        <w:numPr>
          <w:ilvl w:val="0"/>
          <w:numId w:val="1"/>
        </w:numPr>
        <w:tabs>
          <w:tab w:val="clear" w:pos="567"/>
        </w:tabs>
        <w:rPr>
          <w:lang w:val="sk-SK"/>
        </w:rPr>
      </w:pPr>
      <w:proofErr w:type="spellStart"/>
      <w:r>
        <w:rPr>
          <w:lang w:val="sk-SK"/>
        </w:rPr>
        <w:t>P</w:t>
      </w:r>
      <w:r w:rsidR="0085273D">
        <w:rPr>
          <w:lang w:val="sk-SK"/>
        </w:rPr>
        <w:t>ancytopénia</w:t>
      </w:r>
      <w:proofErr w:type="spellEnd"/>
      <w:r w:rsidR="0085273D" w:rsidRPr="009D6AF4">
        <w:rPr>
          <w:lang w:val="sk-SK"/>
        </w:rPr>
        <w:t xml:space="preserve"> </w:t>
      </w:r>
      <w:r w:rsidR="0085273D">
        <w:rPr>
          <w:lang w:val="sk-SK"/>
        </w:rPr>
        <w:t>(</w:t>
      </w:r>
      <w:r w:rsidR="009D6AF4" w:rsidRPr="009D6AF4">
        <w:rPr>
          <w:lang w:val="sk-SK"/>
        </w:rPr>
        <w:t xml:space="preserve">pokles </w:t>
      </w:r>
      <w:r w:rsidR="00CB1AE4">
        <w:rPr>
          <w:lang w:val="sk-SK"/>
        </w:rPr>
        <w:t>počtu červených a bielych</w:t>
      </w:r>
      <w:r w:rsidR="009D6AF4" w:rsidRPr="009D6AF4">
        <w:rPr>
          <w:lang w:val="sk-SK"/>
        </w:rPr>
        <w:t xml:space="preserve"> krviniek v</w:t>
      </w:r>
      <w:r w:rsidR="00B027A7">
        <w:rPr>
          <w:lang w:val="sk-SK"/>
        </w:rPr>
        <w:t> </w:t>
      </w:r>
      <w:r w:rsidR="009D6AF4" w:rsidRPr="009D6AF4">
        <w:rPr>
          <w:lang w:val="sk-SK"/>
        </w:rPr>
        <w:t>krvi</w:t>
      </w:r>
      <w:r w:rsidR="00B027A7">
        <w:rPr>
          <w:lang w:val="sk-SK"/>
        </w:rPr>
        <w:t>, ako aj krvných doštičiek</w:t>
      </w:r>
      <w:r w:rsidR="009D6AF4">
        <w:rPr>
          <w:lang w:val="sk-SK"/>
        </w:rPr>
        <w:t>)</w:t>
      </w:r>
      <w:r>
        <w:rPr>
          <w:lang w:val="sk-SK"/>
        </w:rPr>
        <w:t>.</w:t>
      </w:r>
    </w:p>
    <w:p w14:paraId="18754163" w14:textId="4A83C217" w:rsidR="00CB1AE4" w:rsidRDefault="0040321C" w:rsidP="006A6EC0">
      <w:pPr>
        <w:widowControl w:val="0"/>
        <w:numPr>
          <w:ilvl w:val="0"/>
          <w:numId w:val="1"/>
        </w:numPr>
        <w:tabs>
          <w:tab w:val="clear" w:pos="567"/>
        </w:tabs>
        <w:rPr>
          <w:lang w:val="sk-SK"/>
        </w:rPr>
      </w:pPr>
      <w:proofErr w:type="spellStart"/>
      <w:r>
        <w:rPr>
          <w:lang w:val="sk-SK"/>
        </w:rPr>
        <w:t>N</w:t>
      </w:r>
      <w:r w:rsidR="0085273D" w:rsidRPr="0085273D">
        <w:rPr>
          <w:lang w:val="sk-SK"/>
        </w:rPr>
        <w:t>eutropénia</w:t>
      </w:r>
      <w:proofErr w:type="spellEnd"/>
      <w:r w:rsidR="0085273D" w:rsidRPr="0085273D">
        <w:rPr>
          <w:lang w:val="sk-SK"/>
        </w:rPr>
        <w:t xml:space="preserve"> (vážny stav, pri ktorom počet bielych krviniek </w:t>
      </w:r>
      <w:r w:rsidR="002C34A5">
        <w:rPr>
          <w:lang w:val="sk-SK"/>
        </w:rPr>
        <w:t>značne</w:t>
      </w:r>
      <w:r w:rsidR="0085273D" w:rsidRPr="0085273D">
        <w:rPr>
          <w:lang w:val="sk-SK"/>
        </w:rPr>
        <w:t xml:space="preserve"> klesne alebo sa úplne stratia)</w:t>
      </w:r>
      <w:r w:rsidR="00155631">
        <w:rPr>
          <w:lang w:val="sk-SK"/>
        </w:rPr>
        <w:t>.</w:t>
      </w:r>
    </w:p>
    <w:p w14:paraId="655A3DBE" w14:textId="5D306FBD" w:rsidR="00854A0B" w:rsidRPr="00854A0B" w:rsidRDefault="0040321C" w:rsidP="00854A0B">
      <w:pPr>
        <w:numPr>
          <w:ilvl w:val="0"/>
          <w:numId w:val="1"/>
        </w:numPr>
        <w:rPr>
          <w:lang w:val="sk-SK"/>
        </w:rPr>
      </w:pPr>
      <w:proofErr w:type="spellStart"/>
      <w:r>
        <w:rPr>
          <w:lang w:val="sk-SK"/>
        </w:rPr>
        <w:t>A</w:t>
      </w:r>
      <w:r w:rsidR="00854A0B" w:rsidRPr="00854A0B">
        <w:rPr>
          <w:lang w:val="sk-SK"/>
        </w:rPr>
        <w:t>granulocytóza</w:t>
      </w:r>
      <w:proofErr w:type="spellEnd"/>
      <w:r w:rsidR="00854A0B" w:rsidRPr="00854A0B">
        <w:rPr>
          <w:lang w:val="sk-SK"/>
        </w:rPr>
        <w:t xml:space="preserve"> (zmeny v množstve bielych krviniek, čo môže spôsobiť časté infekcie, horúčku, silnú zimnicu, bol</w:t>
      </w:r>
      <w:r>
        <w:rPr>
          <w:lang w:val="sk-SK"/>
        </w:rPr>
        <w:t>esť hrdla alebo vredy v ústach).</w:t>
      </w:r>
    </w:p>
    <w:p w14:paraId="51FF8680" w14:textId="37501235" w:rsidR="007010DE" w:rsidRPr="007010DE" w:rsidRDefault="0040321C" w:rsidP="007010DE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A</w:t>
      </w:r>
      <w:r w:rsidR="007010DE" w:rsidRPr="007010DE">
        <w:rPr>
          <w:lang w:val="sk-SK"/>
        </w:rPr>
        <w:t>némia v dôsledku deštrukcie červených krviniek (</w:t>
      </w:r>
      <w:proofErr w:type="spellStart"/>
      <w:r w:rsidR="007010DE" w:rsidRPr="007010DE">
        <w:rPr>
          <w:lang w:val="sk-SK"/>
        </w:rPr>
        <w:t>hemolytická</w:t>
      </w:r>
      <w:proofErr w:type="spellEnd"/>
      <w:r w:rsidR="007010DE" w:rsidRPr="007010DE">
        <w:rPr>
          <w:lang w:val="sk-SK"/>
        </w:rPr>
        <w:t xml:space="preserve"> anémia)</w:t>
      </w:r>
      <w:r>
        <w:rPr>
          <w:lang w:val="sk-SK"/>
        </w:rPr>
        <w:t>.</w:t>
      </w:r>
    </w:p>
    <w:p w14:paraId="52D7CC98" w14:textId="015142B6" w:rsidR="000F6CD7" w:rsidRPr="000F6CD7" w:rsidRDefault="0040321C" w:rsidP="000F6CD7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A</w:t>
      </w:r>
      <w:r w:rsidR="000F6CD7" w:rsidRPr="000F6CD7">
        <w:rPr>
          <w:lang w:val="sk-SK"/>
        </w:rPr>
        <w:t>lergické reakcie (</w:t>
      </w:r>
      <w:proofErr w:type="spellStart"/>
      <w:r w:rsidR="000F6CD7" w:rsidRPr="000F6CD7">
        <w:rPr>
          <w:lang w:val="sk-SK"/>
        </w:rPr>
        <w:t>angioedém</w:t>
      </w:r>
      <w:proofErr w:type="spellEnd"/>
      <w:r w:rsidR="0074406E">
        <w:rPr>
          <w:lang w:val="sk-SK"/>
        </w:rPr>
        <w:t xml:space="preserve"> - opuch </w:t>
      </w:r>
      <w:r w:rsidR="00ED4CE0">
        <w:rPr>
          <w:lang w:val="sk-SK"/>
        </w:rPr>
        <w:t xml:space="preserve">aj </w:t>
      </w:r>
      <w:r w:rsidR="0074406E">
        <w:rPr>
          <w:lang w:val="sk-SK"/>
        </w:rPr>
        <w:t>dýchacieho traktu</w:t>
      </w:r>
      <w:r w:rsidR="000F6CD7" w:rsidRPr="000F6CD7">
        <w:rPr>
          <w:lang w:val="sk-SK"/>
        </w:rPr>
        <w:t xml:space="preserve">, kŕče priedušiek, </w:t>
      </w:r>
      <w:r w:rsidR="00D1662B">
        <w:rPr>
          <w:lang w:val="sk-SK"/>
        </w:rPr>
        <w:t>s</w:t>
      </w:r>
      <w:r w:rsidR="00490CD6">
        <w:rPr>
          <w:lang w:val="sk-SK"/>
        </w:rPr>
        <w:t xml:space="preserve"> </w:t>
      </w:r>
      <w:r w:rsidR="00D1662B">
        <w:rPr>
          <w:lang w:val="sk-SK"/>
        </w:rPr>
        <w:t>mo</w:t>
      </w:r>
      <w:r w:rsidR="000F6CD7" w:rsidRPr="000F6CD7">
        <w:rPr>
          <w:lang w:val="sk-SK"/>
        </w:rPr>
        <w:t>ž</w:t>
      </w:r>
      <w:r w:rsidR="00D1662B">
        <w:rPr>
          <w:lang w:val="sk-SK"/>
        </w:rPr>
        <w:t>nosťou</w:t>
      </w:r>
      <w:r w:rsidR="000F6CD7" w:rsidRPr="000F6CD7">
        <w:rPr>
          <w:lang w:val="sk-SK"/>
        </w:rPr>
        <w:t xml:space="preserve"> vyúst</w:t>
      </w:r>
      <w:r w:rsidR="00D1662B">
        <w:rPr>
          <w:lang w:val="sk-SK"/>
        </w:rPr>
        <w:t>enia</w:t>
      </w:r>
      <w:r w:rsidR="000F6CD7" w:rsidRPr="000F6CD7">
        <w:rPr>
          <w:lang w:val="sk-SK"/>
        </w:rPr>
        <w:t xml:space="preserve"> do </w:t>
      </w:r>
      <w:proofErr w:type="spellStart"/>
      <w:r w:rsidR="000F6CD7" w:rsidRPr="000F6CD7">
        <w:rPr>
          <w:lang w:val="sk-SK"/>
        </w:rPr>
        <w:t>anafy</w:t>
      </w:r>
      <w:r w:rsidR="00952E72">
        <w:rPr>
          <w:lang w:val="sk-SK"/>
        </w:rPr>
        <w:t>laktického</w:t>
      </w:r>
      <w:proofErr w:type="spellEnd"/>
      <w:r w:rsidR="00952E72">
        <w:rPr>
          <w:lang w:val="sk-SK"/>
        </w:rPr>
        <w:t xml:space="preserve"> šoku).</w:t>
      </w:r>
    </w:p>
    <w:p w14:paraId="3BD0B2DE" w14:textId="5C776FF9" w:rsidR="00D1662B" w:rsidRPr="006425E6" w:rsidRDefault="00952E72" w:rsidP="00D1662B">
      <w:pPr>
        <w:widowControl w:val="0"/>
        <w:numPr>
          <w:ilvl w:val="0"/>
          <w:numId w:val="1"/>
        </w:numPr>
        <w:rPr>
          <w:lang w:val="sk-SK"/>
        </w:rPr>
      </w:pPr>
      <w:r>
        <w:rPr>
          <w:lang w:val="sk-SK"/>
        </w:rPr>
        <w:t>B</w:t>
      </w:r>
      <w:r w:rsidR="00D1662B" w:rsidRPr="006425E6">
        <w:rPr>
          <w:lang w:val="sk-SK"/>
        </w:rPr>
        <w:t>oles</w:t>
      </w:r>
      <w:r w:rsidR="00D1662B">
        <w:rPr>
          <w:lang w:val="sk-SK"/>
        </w:rPr>
        <w:t>ť</w:t>
      </w:r>
      <w:r w:rsidR="00D1662B" w:rsidRPr="006425E6">
        <w:rPr>
          <w:lang w:val="sk-SK"/>
        </w:rPr>
        <w:t xml:space="preserve"> hlavy</w:t>
      </w:r>
      <w:r>
        <w:rPr>
          <w:lang w:val="sk-SK"/>
        </w:rPr>
        <w:t>.</w:t>
      </w:r>
    </w:p>
    <w:p w14:paraId="506ACBB5" w14:textId="65A02EAF" w:rsidR="0027433B" w:rsidRDefault="00952E72" w:rsidP="0027433B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 xml:space="preserve">Závrat. </w:t>
      </w:r>
    </w:p>
    <w:p w14:paraId="2C15CF86" w14:textId="6AD03B99" w:rsidR="00E47DC3" w:rsidRDefault="00952E72" w:rsidP="0027433B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O</w:t>
      </w:r>
      <w:r w:rsidR="00E47DC3">
        <w:rPr>
          <w:lang w:val="sk-SK"/>
        </w:rPr>
        <w:t xml:space="preserve">chorenie mozgu nazývané </w:t>
      </w:r>
      <w:proofErr w:type="spellStart"/>
      <w:r w:rsidR="00E47DC3" w:rsidRPr="006551E2">
        <w:rPr>
          <w:i/>
          <w:lang w:val="sk-SK"/>
        </w:rPr>
        <w:t>encefalopatia</w:t>
      </w:r>
      <w:proofErr w:type="spellEnd"/>
      <w:r w:rsidR="00E47DC3">
        <w:rPr>
          <w:lang w:val="sk-SK"/>
        </w:rPr>
        <w:t xml:space="preserve"> – zvlášť u pacientov so zníženou funkciou obličiek – s príznakmi ako poruchy vedomia, záv</w:t>
      </w:r>
      <w:r w:rsidR="00854A0B">
        <w:rPr>
          <w:lang w:val="sk-SK"/>
        </w:rPr>
        <w:t>raty, abnormálne pohyby a</w:t>
      </w:r>
      <w:r>
        <w:rPr>
          <w:lang w:val="sk-SK"/>
        </w:rPr>
        <w:t xml:space="preserve"> únava. </w:t>
      </w:r>
    </w:p>
    <w:p w14:paraId="5BC70951" w14:textId="179C856D" w:rsidR="00854A0B" w:rsidRDefault="00935653" w:rsidP="00501CFD">
      <w:pPr>
        <w:numPr>
          <w:ilvl w:val="0"/>
          <w:numId w:val="1"/>
        </w:numPr>
        <w:rPr>
          <w:lang w:val="sk-SK"/>
        </w:rPr>
      </w:pPr>
      <w:proofErr w:type="spellStart"/>
      <w:r>
        <w:rPr>
          <w:lang w:val="sk-SK"/>
        </w:rPr>
        <w:t>T</w:t>
      </w:r>
      <w:r w:rsidR="00501CFD">
        <w:rPr>
          <w:lang w:val="sk-SK"/>
        </w:rPr>
        <w:t>achykardia</w:t>
      </w:r>
      <w:proofErr w:type="spellEnd"/>
      <w:r w:rsidR="00501CFD">
        <w:rPr>
          <w:lang w:val="sk-SK"/>
        </w:rPr>
        <w:t xml:space="preserve"> </w:t>
      </w:r>
      <w:r>
        <w:rPr>
          <w:lang w:val="sk-SK"/>
        </w:rPr>
        <w:t>(rýchly tlkot srdca).</w:t>
      </w:r>
    </w:p>
    <w:p w14:paraId="7DBD46C2" w14:textId="154BD6DE" w:rsidR="00501CFD" w:rsidRPr="006147DD" w:rsidRDefault="00935653" w:rsidP="006A6EC0">
      <w:pPr>
        <w:widowControl w:val="0"/>
        <w:numPr>
          <w:ilvl w:val="0"/>
          <w:numId w:val="1"/>
        </w:numPr>
        <w:rPr>
          <w:lang w:val="sk-SK"/>
        </w:rPr>
      </w:pPr>
      <w:r>
        <w:rPr>
          <w:lang w:val="sk-SK"/>
        </w:rPr>
        <w:t>N</w:t>
      </w:r>
      <w:r w:rsidR="006147DD">
        <w:rPr>
          <w:lang w:val="sk-SK"/>
        </w:rPr>
        <w:t xml:space="preserve">epravidelný srdcový rytmus (zvlášť v prípade </w:t>
      </w:r>
      <w:r>
        <w:rPr>
          <w:lang w:val="sk-SK"/>
        </w:rPr>
        <w:t>rýchlej injekcie</w:t>
      </w:r>
      <w:r w:rsidR="00F25F2F">
        <w:rPr>
          <w:lang w:val="sk-SK"/>
        </w:rPr>
        <w:t xml:space="preserve"> do žily</w:t>
      </w:r>
      <w:r>
        <w:rPr>
          <w:lang w:val="sk-SK"/>
        </w:rPr>
        <w:t>).</w:t>
      </w:r>
    </w:p>
    <w:p w14:paraId="6150749D" w14:textId="312CDCBE" w:rsidR="000C0DFA" w:rsidRPr="000C0DFA" w:rsidRDefault="00935653" w:rsidP="000C0DFA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N</w:t>
      </w:r>
      <w:r w:rsidR="000C0DFA" w:rsidRPr="000C0DFA">
        <w:rPr>
          <w:lang w:val="sk-SK"/>
        </w:rPr>
        <w:t>evoľnosť</w:t>
      </w:r>
      <w:r>
        <w:rPr>
          <w:lang w:val="sk-SK"/>
        </w:rPr>
        <w:t>.</w:t>
      </w:r>
    </w:p>
    <w:p w14:paraId="669699DA" w14:textId="11B04080" w:rsidR="000C0DFA" w:rsidRPr="000C0DFA" w:rsidRDefault="00ED4CE0" w:rsidP="000C0DFA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V</w:t>
      </w:r>
      <w:r w:rsidR="000C0DFA" w:rsidRPr="000C0DFA">
        <w:rPr>
          <w:lang w:val="sk-SK"/>
        </w:rPr>
        <w:t>racanie</w:t>
      </w:r>
      <w:r w:rsidR="00935653">
        <w:rPr>
          <w:lang w:val="sk-SK"/>
        </w:rPr>
        <w:t>.</w:t>
      </w:r>
    </w:p>
    <w:p w14:paraId="3A9932D6" w14:textId="5F1EE8B7" w:rsidR="000C0DFA" w:rsidRPr="000C0DFA" w:rsidRDefault="00935653" w:rsidP="000C0DFA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B</w:t>
      </w:r>
      <w:r w:rsidR="000C0DFA" w:rsidRPr="000C0DFA">
        <w:rPr>
          <w:lang w:val="sk-SK"/>
        </w:rPr>
        <w:t>olesť žalúdka</w:t>
      </w:r>
      <w:r>
        <w:rPr>
          <w:lang w:val="sk-SK"/>
        </w:rPr>
        <w:t>.</w:t>
      </w:r>
      <w:r w:rsidR="000C0DFA" w:rsidRPr="000C0DFA">
        <w:rPr>
          <w:lang w:val="sk-SK"/>
        </w:rPr>
        <w:t xml:space="preserve"> </w:t>
      </w:r>
    </w:p>
    <w:p w14:paraId="22401223" w14:textId="31A72918" w:rsidR="00587154" w:rsidRPr="00587154" w:rsidRDefault="00504AD4" w:rsidP="00587154">
      <w:pPr>
        <w:numPr>
          <w:ilvl w:val="0"/>
          <w:numId w:val="1"/>
        </w:numPr>
        <w:rPr>
          <w:lang w:val="sk-SK"/>
        </w:rPr>
      </w:pPr>
      <w:proofErr w:type="spellStart"/>
      <w:r>
        <w:rPr>
          <w:lang w:val="sk-SK"/>
        </w:rPr>
        <w:t>E</w:t>
      </w:r>
      <w:r w:rsidR="00587154" w:rsidRPr="00587154">
        <w:rPr>
          <w:lang w:val="sk-SK"/>
        </w:rPr>
        <w:t>nterokolitída</w:t>
      </w:r>
      <w:proofErr w:type="spellEnd"/>
      <w:r w:rsidR="00587154" w:rsidRPr="00587154">
        <w:rPr>
          <w:lang w:val="sk-SK"/>
        </w:rPr>
        <w:t xml:space="preserve"> (zápal tráviaceho traktu), </w:t>
      </w:r>
      <w:r w:rsidR="00587154">
        <w:rPr>
          <w:lang w:val="sk-SK"/>
        </w:rPr>
        <w:t>aj s</w:t>
      </w:r>
      <w:r>
        <w:rPr>
          <w:lang w:val="sk-SK"/>
        </w:rPr>
        <w:t> </w:t>
      </w:r>
      <w:r w:rsidR="00587154">
        <w:rPr>
          <w:lang w:val="sk-SK"/>
        </w:rPr>
        <w:t>krv</w:t>
      </w:r>
      <w:r w:rsidR="00ED4CE0">
        <w:rPr>
          <w:lang w:val="sk-SK"/>
        </w:rPr>
        <w:t>ácaním</w:t>
      </w:r>
      <w:r>
        <w:rPr>
          <w:lang w:val="sk-SK"/>
        </w:rPr>
        <w:t>.</w:t>
      </w:r>
    </w:p>
    <w:p w14:paraId="0F048CC1" w14:textId="6A8E57A8" w:rsidR="0027433B" w:rsidRDefault="00504AD4" w:rsidP="006A6EC0">
      <w:pPr>
        <w:widowControl w:val="0"/>
        <w:numPr>
          <w:ilvl w:val="0"/>
          <w:numId w:val="1"/>
        </w:numPr>
        <w:tabs>
          <w:tab w:val="clear" w:pos="567"/>
        </w:tabs>
        <w:rPr>
          <w:lang w:val="sk-SK"/>
        </w:rPr>
      </w:pPr>
      <w:r>
        <w:rPr>
          <w:lang w:val="sk-SK"/>
        </w:rPr>
        <w:t>Z</w:t>
      </w:r>
      <w:r w:rsidR="00587154" w:rsidRPr="00427686">
        <w:rPr>
          <w:lang w:val="sk-SK"/>
        </w:rPr>
        <w:t>ávažný zápal hrubého čreva (</w:t>
      </w:r>
      <w:proofErr w:type="spellStart"/>
      <w:r w:rsidR="00587154" w:rsidRPr="00427686">
        <w:rPr>
          <w:lang w:val="sk-SK"/>
        </w:rPr>
        <w:t>pseudomembranózna</w:t>
      </w:r>
      <w:proofErr w:type="spellEnd"/>
      <w:r w:rsidR="00587154" w:rsidRPr="00427686">
        <w:rPr>
          <w:lang w:val="sk-SK"/>
        </w:rPr>
        <w:t xml:space="preserve"> </w:t>
      </w:r>
      <w:proofErr w:type="spellStart"/>
      <w:r w:rsidR="00587154" w:rsidRPr="00427686">
        <w:rPr>
          <w:lang w:val="sk-SK"/>
        </w:rPr>
        <w:t>kolitída</w:t>
      </w:r>
      <w:proofErr w:type="spellEnd"/>
      <w:r w:rsidR="00587154" w:rsidRPr="00427686">
        <w:rPr>
          <w:lang w:val="sk-SK"/>
        </w:rPr>
        <w:t>)</w:t>
      </w:r>
      <w:r>
        <w:rPr>
          <w:lang w:val="sk-SK"/>
        </w:rPr>
        <w:t>.</w:t>
      </w:r>
    </w:p>
    <w:p w14:paraId="3C9878E4" w14:textId="5DCB17C6" w:rsidR="00427686" w:rsidRDefault="00504AD4" w:rsidP="006A6EC0">
      <w:pPr>
        <w:widowControl w:val="0"/>
        <w:numPr>
          <w:ilvl w:val="0"/>
          <w:numId w:val="1"/>
        </w:numPr>
        <w:tabs>
          <w:tab w:val="clear" w:pos="567"/>
        </w:tabs>
        <w:rPr>
          <w:lang w:val="sk-SK"/>
        </w:rPr>
      </w:pPr>
      <w:r>
        <w:rPr>
          <w:lang w:val="sk-SK"/>
        </w:rPr>
        <w:t>H</w:t>
      </w:r>
      <w:r w:rsidR="00427686" w:rsidRPr="006425E6">
        <w:rPr>
          <w:lang w:val="sk-SK"/>
        </w:rPr>
        <w:t>epatitída</w:t>
      </w:r>
      <w:r w:rsidR="00ED4CE0">
        <w:rPr>
          <w:lang w:val="sk-SK"/>
        </w:rPr>
        <w:t xml:space="preserve"> (zápal pečene)</w:t>
      </w:r>
      <w:r w:rsidR="00427686" w:rsidRPr="006425E6">
        <w:rPr>
          <w:lang w:val="sk-SK"/>
        </w:rPr>
        <w:t xml:space="preserve"> (niekedy so zožltnutím pokožky a očí)</w:t>
      </w:r>
      <w:r>
        <w:rPr>
          <w:lang w:val="sk-SK"/>
        </w:rPr>
        <w:t>.</w:t>
      </w:r>
    </w:p>
    <w:p w14:paraId="4062A62F" w14:textId="16F3363F" w:rsidR="004F30AF" w:rsidRDefault="00504AD4" w:rsidP="004F30AF">
      <w:pPr>
        <w:widowControl w:val="0"/>
        <w:numPr>
          <w:ilvl w:val="0"/>
          <w:numId w:val="1"/>
        </w:numPr>
        <w:rPr>
          <w:lang w:val="sk-SK"/>
        </w:rPr>
      </w:pPr>
      <w:proofErr w:type="spellStart"/>
      <w:r>
        <w:rPr>
          <w:lang w:val="sk-SK"/>
        </w:rPr>
        <w:t>Z</w:t>
      </w:r>
      <w:r w:rsidR="00BD123B">
        <w:rPr>
          <w:lang w:val="sk-SK"/>
        </w:rPr>
        <w:t>áv</w:t>
      </w:r>
      <w:r w:rsidR="004F30AF">
        <w:rPr>
          <w:lang w:val="sk-SK"/>
        </w:rPr>
        <w:t>ážn</w:t>
      </w:r>
      <w:r w:rsidR="00BD123B">
        <w:rPr>
          <w:lang w:val="sk-SK"/>
        </w:rPr>
        <w:t>é</w:t>
      </w:r>
      <w:proofErr w:type="spellEnd"/>
      <w:r w:rsidR="004F30AF">
        <w:rPr>
          <w:lang w:val="sk-SK"/>
        </w:rPr>
        <w:t xml:space="preserve"> </w:t>
      </w:r>
      <w:proofErr w:type="spellStart"/>
      <w:r w:rsidR="004F30AF">
        <w:rPr>
          <w:lang w:val="sk-SK"/>
        </w:rPr>
        <w:t>bulózne</w:t>
      </w:r>
      <w:proofErr w:type="spellEnd"/>
      <w:r w:rsidR="004F30AF">
        <w:rPr>
          <w:lang w:val="sk-SK"/>
        </w:rPr>
        <w:t xml:space="preserve"> kožné reakcie s príznakmi ako pľuzgiere a olupovanie kože (</w:t>
      </w:r>
      <w:proofErr w:type="spellStart"/>
      <w:r w:rsidR="004F30AF">
        <w:rPr>
          <w:lang w:val="sk-SK"/>
        </w:rPr>
        <w:t>multiformný</w:t>
      </w:r>
      <w:proofErr w:type="spellEnd"/>
      <w:r w:rsidR="004F30AF">
        <w:rPr>
          <w:lang w:val="sk-SK"/>
        </w:rPr>
        <w:t xml:space="preserve"> </w:t>
      </w:r>
      <w:proofErr w:type="spellStart"/>
      <w:r w:rsidR="004F30AF">
        <w:rPr>
          <w:lang w:val="sk-SK"/>
        </w:rPr>
        <w:t>erytém</w:t>
      </w:r>
      <w:proofErr w:type="spellEnd"/>
      <w:r w:rsidR="004F30AF">
        <w:rPr>
          <w:lang w:val="sk-SK"/>
        </w:rPr>
        <w:t xml:space="preserve">, </w:t>
      </w:r>
      <w:proofErr w:type="spellStart"/>
      <w:r w:rsidR="004F30AF">
        <w:rPr>
          <w:lang w:val="sk-SK"/>
        </w:rPr>
        <w:t>Stevens</w:t>
      </w:r>
      <w:r w:rsidR="00ED4CE0">
        <w:rPr>
          <w:lang w:val="sk-SK"/>
        </w:rPr>
        <w:t>ov</w:t>
      </w:r>
      <w:r w:rsidR="004F30AF">
        <w:rPr>
          <w:lang w:val="sk-SK"/>
        </w:rPr>
        <w:t>-Johnsonov</w:t>
      </w:r>
      <w:proofErr w:type="spellEnd"/>
      <w:r w:rsidR="004F30AF">
        <w:rPr>
          <w:lang w:val="sk-SK"/>
        </w:rPr>
        <w:t xml:space="preserve"> syndróm,</w:t>
      </w:r>
      <w:r>
        <w:rPr>
          <w:lang w:val="sk-SK"/>
        </w:rPr>
        <w:t xml:space="preserve"> toxická </w:t>
      </w:r>
      <w:proofErr w:type="spellStart"/>
      <w:r>
        <w:rPr>
          <w:lang w:val="sk-SK"/>
        </w:rPr>
        <w:t>epidermálna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nekrolýza</w:t>
      </w:r>
      <w:proofErr w:type="spellEnd"/>
      <w:r>
        <w:rPr>
          <w:lang w:val="sk-SK"/>
        </w:rPr>
        <w:t>).</w:t>
      </w:r>
    </w:p>
    <w:p w14:paraId="238E2D5F" w14:textId="0A628DDC" w:rsidR="007301DB" w:rsidRDefault="00504AD4" w:rsidP="007301DB">
      <w:pPr>
        <w:widowControl w:val="0"/>
        <w:numPr>
          <w:ilvl w:val="0"/>
          <w:numId w:val="1"/>
        </w:numPr>
        <w:rPr>
          <w:lang w:val="sk-SK"/>
        </w:rPr>
      </w:pPr>
      <w:r>
        <w:rPr>
          <w:lang w:val="sk-SK"/>
        </w:rPr>
        <w:t>Z</w:t>
      </w:r>
      <w:r w:rsidR="007301DB" w:rsidRPr="007301DB">
        <w:rPr>
          <w:lang w:val="sk-SK"/>
        </w:rPr>
        <w:t>ávažná kožn</w:t>
      </w:r>
      <w:r w:rsidR="007301DB">
        <w:rPr>
          <w:lang w:val="sk-SK"/>
        </w:rPr>
        <w:t>á</w:t>
      </w:r>
      <w:r w:rsidR="007301DB" w:rsidRPr="007301DB">
        <w:rPr>
          <w:lang w:val="sk-SK"/>
        </w:rPr>
        <w:t xml:space="preserve"> reakci</w:t>
      </w:r>
      <w:r w:rsidR="007301DB">
        <w:rPr>
          <w:lang w:val="sk-SK"/>
        </w:rPr>
        <w:t>a</w:t>
      </w:r>
      <w:r w:rsidR="007301DB" w:rsidRPr="007301DB">
        <w:rPr>
          <w:lang w:val="sk-SK"/>
        </w:rPr>
        <w:t xml:space="preserve">: červené šupinovité vyrážky s </w:t>
      </w:r>
      <w:r w:rsidR="00ED4CE0">
        <w:rPr>
          <w:lang w:val="sk-SK"/>
        </w:rPr>
        <w:t>hrbolčekm</w:t>
      </w:r>
      <w:r w:rsidR="007301DB" w:rsidRPr="007301DB">
        <w:rPr>
          <w:lang w:val="sk-SK"/>
        </w:rPr>
        <w:t>i pod kožou a</w:t>
      </w:r>
      <w:r w:rsidR="007301DB">
        <w:rPr>
          <w:lang w:val="sk-SK"/>
        </w:rPr>
        <w:t> </w:t>
      </w:r>
      <w:r w:rsidR="007301DB" w:rsidRPr="007301DB">
        <w:rPr>
          <w:lang w:val="sk-SK"/>
        </w:rPr>
        <w:t>pľuzgiermi</w:t>
      </w:r>
      <w:r w:rsidR="007301DB">
        <w:rPr>
          <w:lang w:val="sk-SK"/>
        </w:rPr>
        <w:t xml:space="preserve"> </w:t>
      </w:r>
      <w:r w:rsidR="007301DB" w:rsidRPr="006425E6">
        <w:rPr>
          <w:lang w:val="sk-SK"/>
        </w:rPr>
        <w:t>(</w:t>
      </w:r>
      <w:proofErr w:type="spellStart"/>
      <w:r w:rsidR="007301DB" w:rsidRPr="006425E6">
        <w:rPr>
          <w:lang w:val="sk-SK"/>
        </w:rPr>
        <w:t>exantém</w:t>
      </w:r>
      <w:r w:rsidR="00ED4CE0">
        <w:rPr>
          <w:lang w:val="sk-SK"/>
        </w:rPr>
        <w:t>ová</w:t>
      </w:r>
      <w:proofErr w:type="spellEnd"/>
      <w:r w:rsidR="007301DB" w:rsidRPr="006425E6">
        <w:rPr>
          <w:lang w:val="sk-SK"/>
        </w:rPr>
        <w:t xml:space="preserve"> </w:t>
      </w:r>
      <w:proofErr w:type="spellStart"/>
      <w:r w:rsidR="007301DB" w:rsidRPr="006425E6">
        <w:rPr>
          <w:lang w:val="sk-SK"/>
        </w:rPr>
        <w:t>pustulóza</w:t>
      </w:r>
      <w:proofErr w:type="spellEnd"/>
      <w:r w:rsidR="007301DB" w:rsidRPr="006425E6">
        <w:rPr>
          <w:lang w:val="sk-SK"/>
        </w:rPr>
        <w:t>)</w:t>
      </w:r>
      <w:r>
        <w:rPr>
          <w:lang w:val="sk-SK"/>
        </w:rPr>
        <w:t>.</w:t>
      </w:r>
    </w:p>
    <w:p w14:paraId="206F5641" w14:textId="4DD66B68" w:rsidR="00DE3523" w:rsidRPr="006425E6" w:rsidRDefault="009E32D3" w:rsidP="00DE3523">
      <w:pPr>
        <w:widowControl w:val="0"/>
        <w:numPr>
          <w:ilvl w:val="0"/>
          <w:numId w:val="1"/>
        </w:numPr>
        <w:tabs>
          <w:tab w:val="clear" w:pos="567"/>
        </w:tabs>
        <w:rPr>
          <w:lang w:val="sk-SK"/>
        </w:rPr>
      </w:pPr>
      <w:r>
        <w:rPr>
          <w:lang w:val="sk-SK"/>
        </w:rPr>
        <w:t>A</w:t>
      </w:r>
      <w:r w:rsidR="00DE3523" w:rsidRPr="006425E6">
        <w:rPr>
          <w:lang w:val="sk-SK"/>
        </w:rPr>
        <w:t>kútne zlyhanie obličiek</w:t>
      </w:r>
      <w:r>
        <w:rPr>
          <w:lang w:val="sk-SK"/>
        </w:rPr>
        <w:t>.</w:t>
      </w:r>
    </w:p>
    <w:p w14:paraId="6A4CACB0" w14:textId="1627B536" w:rsidR="00B75BDC" w:rsidRDefault="00ED4CE0" w:rsidP="00B75BDC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Ochorenie</w:t>
      </w:r>
      <w:r w:rsidR="00B75BDC" w:rsidRPr="00B75BDC">
        <w:rPr>
          <w:lang w:val="sk-SK"/>
        </w:rPr>
        <w:t xml:space="preserve"> obličiek, pri ktor</w:t>
      </w:r>
      <w:r>
        <w:rPr>
          <w:lang w:val="sk-SK"/>
        </w:rPr>
        <w:t>om</w:t>
      </w:r>
      <w:r w:rsidR="00B75BDC" w:rsidRPr="00B75BDC">
        <w:rPr>
          <w:lang w:val="sk-SK"/>
        </w:rPr>
        <w:t xml:space="preserve"> priestor medzi obličkovými kanálikmi opuchne (zapáli sa) a</w:t>
      </w:r>
      <w:r>
        <w:rPr>
          <w:lang w:val="sk-SK"/>
        </w:rPr>
        <w:t> ktoré ustúpi</w:t>
      </w:r>
      <w:r w:rsidR="00B75BDC" w:rsidRPr="00B75BDC">
        <w:rPr>
          <w:lang w:val="sk-SK"/>
        </w:rPr>
        <w:t xml:space="preserve"> po ukončení liečby</w:t>
      </w:r>
      <w:r w:rsidR="009E32D3">
        <w:rPr>
          <w:lang w:val="sk-SK"/>
        </w:rPr>
        <w:t>.</w:t>
      </w:r>
    </w:p>
    <w:p w14:paraId="1A89DB2B" w14:textId="468F1969" w:rsidR="00B75BDC" w:rsidRDefault="009E32D3" w:rsidP="00B75BDC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R</w:t>
      </w:r>
      <w:r w:rsidR="000B4109" w:rsidRPr="006425E6">
        <w:rPr>
          <w:lang w:val="sk-SK"/>
        </w:rPr>
        <w:t xml:space="preserve">ýchle </w:t>
      </w:r>
      <w:r w:rsidR="00282E66">
        <w:rPr>
          <w:lang w:val="sk-SK"/>
        </w:rPr>
        <w:t xml:space="preserve">podanie injekcie </w:t>
      </w:r>
      <w:r w:rsidR="000B4109" w:rsidRPr="006425E6">
        <w:rPr>
          <w:lang w:val="sk-SK"/>
        </w:rPr>
        <w:t>do žily: pocit tepla a</w:t>
      </w:r>
      <w:r>
        <w:rPr>
          <w:lang w:val="sk-SK"/>
        </w:rPr>
        <w:t> </w:t>
      </w:r>
      <w:r w:rsidR="000B4109" w:rsidRPr="006425E6">
        <w:rPr>
          <w:lang w:val="sk-SK"/>
        </w:rPr>
        <w:t>vracanie</w:t>
      </w:r>
      <w:r>
        <w:rPr>
          <w:lang w:val="sk-SK"/>
        </w:rPr>
        <w:t>.</w:t>
      </w:r>
    </w:p>
    <w:p w14:paraId="35A9C46F" w14:textId="4853EEE4" w:rsidR="00282E66" w:rsidRPr="00B75BDC" w:rsidRDefault="009E32D3" w:rsidP="00B75BDC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P</w:t>
      </w:r>
      <w:r w:rsidR="00282E66" w:rsidRPr="006425E6">
        <w:rPr>
          <w:lang w:val="sk-SK"/>
        </w:rPr>
        <w:t xml:space="preserve">ri injekcii do svalu (ak obsahuje </w:t>
      </w:r>
      <w:proofErr w:type="spellStart"/>
      <w:r w:rsidR="00282E66" w:rsidRPr="006425E6">
        <w:rPr>
          <w:lang w:val="sk-SK"/>
        </w:rPr>
        <w:t>lidokaín</w:t>
      </w:r>
      <w:proofErr w:type="spellEnd"/>
      <w:r w:rsidR="00282E66" w:rsidRPr="006425E6">
        <w:rPr>
          <w:lang w:val="sk-SK"/>
        </w:rPr>
        <w:t xml:space="preserve">): </w:t>
      </w:r>
      <w:r w:rsidR="00655AC7" w:rsidRPr="006425E6">
        <w:rPr>
          <w:lang w:val="sk-SK"/>
        </w:rPr>
        <w:t>systém</w:t>
      </w:r>
      <w:r w:rsidR="00655AC7">
        <w:rPr>
          <w:lang w:val="sk-SK"/>
        </w:rPr>
        <w:t>ové</w:t>
      </w:r>
      <w:r w:rsidR="00282E66" w:rsidRPr="006425E6">
        <w:rPr>
          <w:lang w:val="sk-SK"/>
        </w:rPr>
        <w:t xml:space="preserve"> reakcie na </w:t>
      </w:r>
      <w:proofErr w:type="spellStart"/>
      <w:r w:rsidR="00282E66" w:rsidRPr="006425E6">
        <w:rPr>
          <w:lang w:val="sk-SK"/>
        </w:rPr>
        <w:t>lidokaín</w:t>
      </w:r>
      <w:proofErr w:type="spellEnd"/>
      <w:r>
        <w:rPr>
          <w:lang w:val="sk-SK"/>
        </w:rPr>
        <w:t>.</w:t>
      </w:r>
    </w:p>
    <w:p w14:paraId="4CE1988F" w14:textId="77777777" w:rsidR="007301DB" w:rsidRDefault="007301DB" w:rsidP="006A6EC0">
      <w:pPr>
        <w:widowControl w:val="0"/>
        <w:rPr>
          <w:lang w:val="sk-SK"/>
        </w:rPr>
      </w:pPr>
    </w:p>
    <w:p w14:paraId="05A695AC" w14:textId="77777777" w:rsidR="00655AC7" w:rsidRDefault="00655AC7" w:rsidP="006A6EC0">
      <w:pPr>
        <w:widowControl w:val="0"/>
        <w:rPr>
          <w:lang w:val="sk-SK"/>
        </w:rPr>
      </w:pPr>
    </w:p>
    <w:p w14:paraId="51905FA0" w14:textId="77777777" w:rsidR="009118AF" w:rsidRPr="009118AF" w:rsidRDefault="009118AF" w:rsidP="009118AF">
      <w:pPr>
        <w:widowControl w:val="0"/>
        <w:rPr>
          <w:b/>
          <w:bCs/>
          <w:lang w:val="sk-SK"/>
        </w:rPr>
      </w:pPr>
      <w:r w:rsidRPr="009118AF">
        <w:rPr>
          <w:b/>
          <w:bCs/>
          <w:lang w:val="sk-SK"/>
        </w:rPr>
        <w:t>Hlásenie vedľajších účinkov</w:t>
      </w:r>
    </w:p>
    <w:p w14:paraId="71C3A37E" w14:textId="2CB91566" w:rsidR="00D86D14" w:rsidRDefault="009118AF" w:rsidP="00D86D14">
      <w:pPr>
        <w:widowControl w:val="0"/>
        <w:rPr>
          <w:lang w:val="sk-SK"/>
        </w:rPr>
      </w:pPr>
      <w:r w:rsidRPr="009118AF">
        <w:rPr>
          <w:lang w:val="sk-SK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A855FE">
        <w:rPr>
          <w:lang w:val="sk-SK"/>
        </w:rPr>
        <w:t>na</w:t>
      </w:r>
      <w:r w:rsidR="00A855FE" w:rsidRPr="009118AF">
        <w:rPr>
          <w:lang w:val="sk-SK"/>
        </w:rPr>
        <w:t xml:space="preserve"> </w:t>
      </w:r>
      <w:r w:rsidR="00432FDD" w:rsidRPr="00E86092">
        <w:rPr>
          <w:noProof/>
          <w:szCs w:val="22"/>
          <w:highlight w:val="lightGray"/>
          <w:lang w:val="sk-SK"/>
        </w:rPr>
        <w:t xml:space="preserve">národné </w:t>
      </w:r>
      <w:r w:rsidR="00A855FE" w:rsidRPr="00E86092">
        <w:rPr>
          <w:noProof/>
          <w:szCs w:val="22"/>
          <w:highlight w:val="lightGray"/>
          <w:lang w:val="sk-SK"/>
        </w:rPr>
        <w:t>centrum</w:t>
      </w:r>
      <w:r w:rsidR="00432FDD" w:rsidRPr="00E86092">
        <w:rPr>
          <w:noProof/>
          <w:szCs w:val="22"/>
          <w:highlight w:val="lightGray"/>
          <w:lang w:val="sk-SK"/>
        </w:rPr>
        <w:t xml:space="preserve"> hlásenia uvedené v </w:t>
      </w:r>
      <w:hyperlink r:id="rId7" w:history="1">
        <w:r w:rsidR="00432FDD" w:rsidRPr="00E86092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="00467D17" w:rsidRPr="008E235D">
        <w:rPr>
          <w:noProof/>
          <w:szCs w:val="22"/>
          <w:lang w:val="sk-SK"/>
        </w:rPr>
        <w:t xml:space="preserve">. </w:t>
      </w:r>
      <w:r w:rsidRPr="009118AF">
        <w:rPr>
          <w:lang w:val="sk-SK"/>
        </w:rPr>
        <w:t>Hlásením vedľajších účinkov môžete prispieť k získaniu ďalších informácií o bezpečnosti tohto lieku.</w:t>
      </w:r>
    </w:p>
    <w:p w14:paraId="7964105B" w14:textId="77777777" w:rsidR="00D86D14" w:rsidRDefault="00D86D14" w:rsidP="00D86D14">
      <w:pPr>
        <w:widowControl w:val="0"/>
        <w:rPr>
          <w:lang w:val="sk-SK"/>
        </w:rPr>
      </w:pPr>
    </w:p>
    <w:p w14:paraId="3675DBF4" w14:textId="77777777" w:rsidR="001E7C09" w:rsidRDefault="001E7C09" w:rsidP="00D86D14">
      <w:pPr>
        <w:widowControl w:val="0"/>
        <w:rPr>
          <w:lang w:val="sk-SK"/>
        </w:rPr>
      </w:pPr>
    </w:p>
    <w:p w14:paraId="0ED46F5E" w14:textId="0ECA33EB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D06041">
        <w:rPr>
          <w:b/>
          <w:noProof/>
          <w:lang w:val="sk-SK"/>
        </w:rPr>
        <w:t>5.</w:t>
      </w:r>
      <w:r w:rsidRPr="00D06041">
        <w:rPr>
          <w:b/>
          <w:noProof/>
          <w:lang w:val="sk-SK"/>
        </w:rPr>
        <w:tab/>
        <w:t>A</w:t>
      </w:r>
      <w:r w:rsidR="00A855FE">
        <w:rPr>
          <w:b/>
          <w:noProof/>
          <w:lang w:val="sk-SK"/>
        </w:rPr>
        <w:t xml:space="preserve">ko uchovávať </w:t>
      </w:r>
      <w:r w:rsidR="003731DD" w:rsidRPr="00767075">
        <w:rPr>
          <w:b/>
          <w:noProof/>
          <w:lang w:val="sk-SK"/>
        </w:rPr>
        <w:t>Cefotaxim Eberth</w:t>
      </w:r>
    </w:p>
    <w:p w14:paraId="06C129D1" w14:textId="77777777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3B6DE109" w14:textId="7E3673A4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D06041">
        <w:rPr>
          <w:noProof/>
          <w:lang w:val="sk-SK"/>
        </w:rPr>
        <w:t xml:space="preserve">Uchovávajte mimo </w:t>
      </w:r>
      <w:r w:rsidR="00CD2B6D" w:rsidRPr="00D06041">
        <w:rPr>
          <w:noProof/>
          <w:lang w:val="sk-SK"/>
        </w:rPr>
        <w:t xml:space="preserve">dohľadu a </w:t>
      </w:r>
      <w:r w:rsidRPr="00D06041">
        <w:rPr>
          <w:noProof/>
          <w:lang w:val="sk-SK"/>
        </w:rPr>
        <w:t>dosahu detí.</w:t>
      </w:r>
    </w:p>
    <w:p w14:paraId="015EF342" w14:textId="77777777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D06041">
        <w:rPr>
          <w:noProof/>
          <w:lang w:val="sk-SK"/>
        </w:rPr>
        <w:t xml:space="preserve"> </w:t>
      </w:r>
    </w:p>
    <w:p w14:paraId="32A6EE6A" w14:textId="77777777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>U</w:t>
      </w:r>
      <w:r w:rsidRPr="00D06041">
        <w:rPr>
          <w:noProof/>
          <w:lang w:val="sk-SK"/>
        </w:rPr>
        <w:t>c</w:t>
      </w:r>
      <w:r>
        <w:rPr>
          <w:noProof/>
          <w:lang w:val="sk-SK"/>
        </w:rPr>
        <w:t>hovávajte pri teplote do</w:t>
      </w:r>
      <w:r w:rsidRPr="00D06041">
        <w:rPr>
          <w:noProof/>
          <w:lang w:val="sk-SK"/>
        </w:rPr>
        <w:t xml:space="preserve"> 25 °C. Uchovávajte v pôvodnom obale na ochranu pred svetlom.</w:t>
      </w:r>
    </w:p>
    <w:p w14:paraId="49151E44" w14:textId="77777777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A37002A" w14:textId="09FF6067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D06041">
        <w:rPr>
          <w:noProof/>
          <w:lang w:val="sk-SK"/>
        </w:rPr>
        <w:t xml:space="preserve">Nepoužívajte </w:t>
      </w:r>
      <w:r w:rsidR="003731DD">
        <w:rPr>
          <w:noProof/>
          <w:lang w:val="sk-SK"/>
        </w:rPr>
        <w:t>tento liek</w:t>
      </w:r>
      <w:r w:rsidRPr="00D06041">
        <w:rPr>
          <w:noProof/>
          <w:lang w:val="sk-SK"/>
        </w:rPr>
        <w:t xml:space="preserve"> po dátume exspirácie, ktorý je uvedený na škatuľke</w:t>
      </w:r>
      <w:r>
        <w:rPr>
          <w:noProof/>
          <w:lang w:val="sk-SK"/>
        </w:rPr>
        <w:t xml:space="preserve"> po „</w:t>
      </w:r>
      <w:r w:rsidRPr="00D06041">
        <w:rPr>
          <w:noProof/>
          <w:lang w:val="sk-SK"/>
        </w:rPr>
        <w:t>EXP”.</w:t>
      </w:r>
    </w:p>
    <w:p w14:paraId="3B0E2B2B" w14:textId="77777777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D06041">
        <w:rPr>
          <w:noProof/>
          <w:lang w:val="sk-SK"/>
        </w:rPr>
        <w:t>Dátum exspirácie sa vzťahuje na posledný deň v mesiaci.</w:t>
      </w:r>
    </w:p>
    <w:p w14:paraId="299AD748" w14:textId="77777777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D06041">
        <w:rPr>
          <w:noProof/>
          <w:lang w:val="sk-SK"/>
        </w:rPr>
        <w:t xml:space="preserve"> </w:t>
      </w:r>
    </w:p>
    <w:p w14:paraId="3441A3A6" w14:textId="27374173" w:rsidR="00D86D14" w:rsidRPr="00D06041" w:rsidRDefault="00410C1C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6A6EC0">
        <w:rPr>
          <w:noProof/>
          <w:szCs w:val="22"/>
          <w:lang w:val="sk-SK"/>
        </w:rPr>
        <w:t xml:space="preserve">Nelikvidujte lieky </w:t>
      </w:r>
      <w:r w:rsidR="00D86D14" w:rsidRPr="00D06041">
        <w:rPr>
          <w:noProof/>
          <w:lang w:val="sk-SK"/>
        </w:rPr>
        <w:t xml:space="preserve">odpadovou vodou alebo domovým odpadom. </w:t>
      </w:r>
      <w:r w:rsidR="00D86D14">
        <w:rPr>
          <w:noProof/>
          <w:lang w:val="sk-SK"/>
        </w:rPr>
        <w:t xml:space="preserve">Nepoužitý liek vráťte do lekárne. </w:t>
      </w:r>
      <w:r w:rsidR="00D86D14" w:rsidRPr="00D06041">
        <w:rPr>
          <w:noProof/>
          <w:lang w:val="sk-SK"/>
        </w:rPr>
        <w:t>Tieto opatrenia pomáhajú chrániť životné prostredie.</w:t>
      </w:r>
    </w:p>
    <w:p w14:paraId="552FDD83" w14:textId="77777777" w:rsidR="00D86D14" w:rsidRDefault="00D86D14" w:rsidP="00D86D14">
      <w:pPr>
        <w:rPr>
          <w:lang w:val="sk-SK"/>
        </w:rPr>
      </w:pPr>
    </w:p>
    <w:p w14:paraId="2851CC00" w14:textId="77777777" w:rsidR="00D86D14" w:rsidRPr="00D06041" w:rsidRDefault="00D86D14" w:rsidP="00D86D14">
      <w:pPr>
        <w:rPr>
          <w:lang w:val="sk-SK"/>
        </w:rPr>
      </w:pPr>
    </w:p>
    <w:p w14:paraId="650BD492" w14:textId="0DD69480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D06041">
        <w:rPr>
          <w:b/>
          <w:noProof/>
          <w:lang w:val="sk-SK"/>
        </w:rPr>
        <w:t>6.</w:t>
      </w:r>
      <w:r w:rsidRPr="00D06041">
        <w:rPr>
          <w:b/>
          <w:noProof/>
          <w:lang w:val="sk-SK"/>
        </w:rPr>
        <w:tab/>
      </w:r>
      <w:r w:rsidR="006A2B83" w:rsidRPr="006A6EC0">
        <w:rPr>
          <w:b/>
          <w:noProof/>
          <w:szCs w:val="22"/>
          <w:lang w:val="pl-PL"/>
        </w:rPr>
        <w:t>Obsah balenia a ďalšie informácie</w:t>
      </w:r>
    </w:p>
    <w:p w14:paraId="11E6C433" w14:textId="77777777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5D01A63A" w14:textId="77777777" w:rsidR="00D86D14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D06041">
        <w:rPr>
          <w:b/>
          <w:bCs/>
          <w:noProof/>
          <w:lang w:val="sk-SK"/>
        </w:rPr>
        <w:t>Čo Cefotaxim Eberth obsahuje</w:t>
      </w:r>
    </w:p>
    <w:p w14:paraId="2352E6C6" w14:textId="77777777" w:rsidR="00015303" w:rsidRDefault="00015303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</w:p>
    <w:p w14:paraId="3E6BFC64" w14:textId="77777777" w:rsidR="00015303" w:rsidRPr="00D06041" w:rsidRDefault="00015303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6A6EC0">
        <w:rPr>
          <w:noProof/>
          <w:szCs w:val="22"/>
          <w:lang w:val="sk-SK"/>
        </w:rPr>
        <w:t>Liečivo je cefotaxím.</w:t>
      </w:r>
    </w:p>
    <w:p w14:paraId="4FBE6696" w14:textId="02AEE2A7" w:rsidR="00D86D14" w:rsidRPr="00964FBB" w:rsidRDefault="00A56A27" w:rsidP="00D86D14">
      <w:pPr>
        <w:rPr>
          <w:lang w:val="sk-SK"/>
        </w:rPr>
      </w:pPr>
      <w:proofErr w:type="spellStart"/>
      <w:r w:rsidRPr="006A6EC0">
        <w:rPr>
          <w:lang w:val="sk-SK"/>
        </w:rPr>
        <w:t>Cefotaxim</w:t>
      </w:r>
      <w:proofErr w:type="spellEnd"/>
      <w:r w:rsidRPr="006A6EC0">
        <w:rPr>
          <w:lang w:val="sk-SK"/>
        </w:rPr>
        <w:t xml:space="preserve"> </w:t>
      </w:r>
      <w:proofErr w:type="spellStart"/>
      <w:r w:rsidRPr="006A6EC0">
        <w:rPr>
          <w:lang w:val="sk-SK"/>
        </w:rPr>
        <w:t>Eberth</w:t>
      </w:r>
      <w:proofErr w:type="spellEnd"/>
      <w:r w:rsidRPr="006A6EC0">
        <w:rPr>
          <w:lang w:val="sk-SK"/>
        </w:rPr>
        <w:t xml:space="preserve"> 0,5 g: každá </w:t>
      </w:r>
      <w:r w:rsidR="00D86D14" w:rsidRPr="006A6EC0">
        <w:rPr>
          <w:lang w:val="sk-SK"/>
        </w:rPr>
        <w:t xml:space="preserve">injekčná liekovka obsahuje </w:t>
      </w:r>
      <w:r w:rsidR="00DF0D0C" w:rsidRPr="005B6E14">
        <w:rPr>
          <w:lang w:val="sk-SK"/>
        </w:rPr>
        <w:t>0,524</w:t>
      </w:r>
      <w:r w:rsidR="00D86D14" w:rsidRPr="005B6E14">
        <w:rPr>
          <w:lang w:val="sk-SK"/>
        </w:rPr>
        <w:t xml:space="preserve"> g </w:t>
      </w:r>
      <w:r w:rsidR="00DF0D0C" w:rsidRPr="005B6E14">
        <w:rPr>
          <w:lang w:val="sk-SK"/>
        </w:rPr>
        <w:t>sod</w:t>
      </w:r>
      <w:r w:rsidR="00DF0D0C" w:rsidRPr="00686F35">
        <w:rPr>
          <w:lang w:val="sk-SK"/>
        </w:rPr>
        <w:t xml:space="preserve">nej soli </w:t>
      </w:r>
      <w:r w:rsidR="00D86D14" w:rsidRPr="00686F35">
        <w:rPr>
          <w:lang w:val="sk-SK"/>
        </w:rPr>
        <w:t>cefotaxímu</w:t>
      </w:r>
      <w:r w:rsidR="009227D0">
        <w:rPr>
          <w:lang w:val="sk-SK"/>
        </w:rPr>
        <w:t xml:space="preserve">, </w:t>
      </w:r>
      <w:r w:rsidR="009227D0" w:rsidRPr="006A6EC0">
        <w:rPr>
          <w:szCs w:val="22"/>
          <w:lang w:val="sk-SK"/>
        </w:rPr>
        <w:t>čo zodpovedá</w:t>
      </w:r>
      <w:r w:rsidR="009227D0">
        <w:rPr>
          <w:lang w:val="sk-SK"/>
        </w:rPr>
        <w:t xml:space="preserve"> </w:t>
      </w:r>
      <w:r w:rsidR="00D86D14" w:rsidRPr="00686F35">
        <w:rPr>
          <w:lang w:val="sk-SK"/>
        </w:rPr>
        <w:t xml:space="preserve"> </w:t>
      </w:r>
      <w:r w:rsidR="00DF0D0C" w:rsidRPr="00964FBB">
        <w:rPr>
          <w:lang w:val="sk-SK"/>
        </w:rPr>
        <w:t>0,5 g</w:t>
      </w:r>
      <w:r w:rsidR="00D86D14" w:rsidRPr="00964FBB">
        <w:rPr>
          <w:lang w:val="sk-SK"/>
        </w:rPr>
        <w:t xml:space="preserve"> cefotaxímu</w:t>
      </w:r>
      <w:r w:rsidR="00A31049" w:rsidRPr="00964FBB">
        <w:rPr>
          <w:lang w:val="sk-SK"/>
        </w:rPr>
        <w:t>.</w:t>
      </w:r>
    </w:p>
    <w:p w14:paraId="567275A9" w14:textId="2A012F90" w:rsidR="00D86D14" w:rsidRPr="00964FBB" w:rsidRDefault="007A01F9" w:rsidP="00D86D14">
      <w:pPr>
        <w:rPr>
          <w:lang w:val="sk-SK"/>
        </w:rPr>
      </w:pPr>
      <w:proofErr w:type="spellStart"/>
      <w:r w:rsidRPr="006A6EC0">
        <w:rPr>
          <w:highlight w:val="lightGray"/>
          <w:lang w:val="sk-SK"/>
        </w:rPr>
        <w:t>Cefotaxim</w:t>
      </w:r>
      <w:proofErr w:type="spellEnd"/>
      <w:r w:rsidRPr="006A6EC0">
        <w:rPr>
          <w:highlight w:val="lightGray"/>
          <w:lang w:val="sk-SK"/>
        </w:rPr>
        <w:t xml:space="preserve"> </w:t>
      </w:r>
      <w:proofErr w:type="spellStart"/>
      <w:r w:rsidRPr="006A6EC0">
        <w:rPr>
          <w:highlight w:val="lightGray"/>
          <w:lang w:val="sk-SK"/>
        </w:rPr>
        <w:t>Eberth</w:t>
      </w:r>
      <w:proofErr w:type="spellEnd"/>
      <w:r w:rsidRPr="006A6EC0">
        <w:rPr>
          <w:highlight w:val="lightGray"/>
          <w:lang w:val="sk-SK"/>
        </w:rPr>
        <w:t xml:space="preserve"> 1 g:</w:t>
      </w:r>
      <w:r w:rsidRPr="00E86092">
        <w:rPr>
          <w:highlight w:val="lightGray"/>
          <w:lang w:val="sk-SK"/>
        </w:rPr>
        <w:t xml:space="preserve"> </w:t>
      </w:r>
      <w:r w:rsidRPr="006A6EC0">
        <w:rPr>
          <w:highlight w:val="lightGray"/>
          <w:lang w:val="sk-SK"/>
        </w:rPr>
        <w:t>každá</w:t>
      </w:r>
      <w:r w:rsidR="00D86D14" w:rsidRPr="006A6EC0">
        <w:rPr>
          <w:highlight w:val="lightGray"/>
          <w:lang w:val="sk-SK"/>
        </w:rPr>
        <w:t xml:space="preserve"> injekčná liekovka </w:t>
      </w:r>
      <w:r w:rsidR="00D86D14" w:rsidRPr="00E86092">
        <w:rPr>
          <w:highlight w:val="lightGray"/>
          <w:lang w:val="sk-SK"/>
        </w:rPr>
        <w:t>obsahuje 1</w:t>
      </w:r>
      <w:r w:rsidR="0094669E" w:rsidRPr="00E86092">
        <w:rPr>
          <w:highlight w:val="lightGray"/>
          <w:lang w:val="sk-SK"/>
        </w:rPr>
        <w:t>,048</w:t>
      </w:r>
      <w:r w:rsidR="00D86D14" w:rsidRPr="00E86092">
        <w:rPr>
          <w:highlight w:val="lightGray"/>
          <w:lang w:val="sk-SK"/>
        </w:rPr>
        <w:t xml:space="preserve"> g </w:t>
      </w:r>
      <w:r w:rsidR="0094669E" w:rsidRPr="00E86092">
        <w:rPr>
          <w:highlight w:val="lightGray"/>
          <w:lang w:val="sk-SK"/>
        </w:rPr>
        <w:t xml:space="preserve">sodnej soli </w:t>
      </w:r>
      <w:r w:rsidR="00D86D14" w:rsidRPr="006A6EC0">
        <w:rPr>
          <w:shd w:val="clear" w:color="auto" w:fill="C0C0C0"/>
          <w:lang w:val="sk-SK"/>
        </w:rPr>
        <w:t>cefotaxímu</w:t>
      </w:r>
      <w:r w:rsidR="009227D0" w:rsidRPr="006A6EC0">
        <w:rPr>
          <w:shd w:val="clear" w:color="auto" w:fill="C0C0C0"/>
          <w:lang w:val="sk-SK"/>
        </w:rPr>
        <w:t>, čo zodpovedá</w:t>
      </w:r>
      <w:r w:rsidR="009227D0">
        <w:rPr>
          <w:lang w:val="sk-SK"/>
        </w:rPr>
        <w:t xml:space="preserve"> </w:t>
      </w:r>
      <w:r w:rsidR="00D86D14" w:rsidRPr="00E86092">
        <w:rPr>
          <w:highlight w:val="lightGray"/>
          <w:lang w:val="sk-SK"/>
        </w:rPr>
        <w:t xml:space="preserve"> </w:t>
      </w:r>
      <w:r w:rsidR="00D63584">
        <w:rPr>
          <w:lang w:val="sk-SK"/>
        </w:rPr>
        <w:br/>
      </w:r>
      <w:r w:rsidR="0094669E" w:rsidRPr="00964FBB">
        <w:rPr>
          <w:shd w:val="clear" w:color="auto" w:fill="C0C0C0"/>
          <w:lang w:val="sk-SK"/>
        </w:rPr>
        <w:t xml:space="preserve">1 g </w:t>
      </w:r>
      <w:r w:rsidR="00D86D14" w:rsidRPr="00964FBB">
        <w:rPr>
          <w:shd w:val="clear" w:color="auto" w:fill="C0C0C0"/>
          <w:lang w:val="sk-SK"/>
        </w:rPr>
        <w:t>cefotaxímu</w:t>
      </w:r>
      <w:r w:rsidR="00BF4976" w:rsidRPr="00964FBB">
        <w:rPr>
          <w:shd w:val="clear" w:color="auto" w:fill="C0C0C0"/>
          <w:lang w:val="sk-SK"/>
        </w:rPr>
        <w:t>.</w:t>
      </w:r>
    </w:p>
    <w:p w14:paraId="0018C730" w14:textId="5C8FCF85" w:rsidR="00D86D14" w:rsidRDefault="00BF4976" w:rsidP="00D86D14">
      <w:pPr>
        <w:shd w:val="clear" w:color="auto" w:fill="FFFFFF"/>
        <w:rPr>
          <w:shd w:val="clear" w:color="auto" w:fill="C0C0C0"/>
          <w:lang w:val="sk-SK"/>
        </w:rPr>
      </w:pPr>
      <w:proofErr w:type="spellStart"/>
      <w:r w:rsidRPr="006A6EC0">
        <w:rPr>
          <w:highlight w:val="lightGray"/>
          <w:lang w:val="sk-SK"/>
        </w:rPr>
        <w:t>Cefotaxim</w:t>
      </w:r>
      <w:proofErr w:type="spellEnd"/>
      <w:r w:rsidRPr="006A6EC0">
        <w:rPr>
          <w:highlight w:val="lightGray"/>
          <w:lang w:val="sk-SK"/>
        </w:rPr>
        <w:t xml:space="preserve"> </w:t>
      </w:r>
      <w:proofErr w:type="spellStart"/>
      <w:r w:rsidRPr="006A6EC0">
        <w:rPr>
          <w:highlight w:val="lightGray"/>
          <w:lang w:val="sk-SK"/>
        </w:rPr>
        <w:t>Eberth</w:t>
      </w:r>
      <w:proofErr w:type="spellEnd"/>
      <w:r w:rsidRPr="006A6EC0">
        <w:rPr>
          <w:highlight w:val="lightGray"/>
          <w:lang w:val="sk-SK"/>
        </w:rPr>
        <w:t xml:space="preserve"> 2 g: každá</w:t>
      </w:r>
      <w:r w:rsidR="00D86D14" w:rsidRPr="006A6EC0">
        <w:rPr>
          <w:highlight w:val="lightGray"/>
          <w:lang w:val="sk-SK"/>
        </w:rPr>
        <w:t xml:space="preserve"> injekčná liekovka </w:t>
      </w:r>
      <w:r w:rsidR="00D86D14" w:rsidRPr="00E86092">
        <w:rPr>
          <w:highlight w:val="lightGray"/>
          <w:lang w:val="sk-SK"/>
        </w:rPr>
        <w:t>obsahuje 2</w:t>
      </w:r>
      <w:r w:rsidR="002E0B7F" w:rsidRPr="00E86092">
        <w:rPr>
          <w:highlight w:val="lightGray"/>
          <w:lang w:val="sk-SK"/>
        </w:rPr>
        <w:t>,</w:t>
      </w:r>
      <w:r w:rsidRPr="00E86092">
        <w:rPr>
          <w:highlight w:val="lightGray"/>
          <w:lang w:val="sk-SK"/>
        </w:rPr>
        <w:t>096</w:t>
      </w:r>
      <w:r w:rsidR="00D86D14" w:rsidRPr="00E86092">
        <w:rPr>
          <w:highlight w:val="lightGray"/>
          <w:lang w:val="sk-SK"/>
        </w:rPr>
        <w:t xml:space="preserve"> g </w:t>
      </w:r>
      <w:r w:rsidR="00DB2A42" w:rsidRPr="00E86092">
        <w:rPr>
          <w:highlight w:val="lightGray"/>
          <w:lang w:val="sk-SK"/>
        </w:rPr>
        <w:t xml:space="preserve">sodnej soli </w:t>
      </w:r>
      <w:r w:rsidR="00D86D14" w:rsidRPr="00E86092">
        <w:rPr>
          <w:highlight w:val="lightGray"/>
          <w:lang w:val="sk-SK"/>
        </w:rPr>
        <w:t>cefotaxímu</w:t>
      </w:r>
      <w:r w:rsidR="009227D0" w:rsidRPr="009227D0">
        <w:rPr>
          <w:shd w:val="clear" w:color="auto" w:fill="C0C0C0"/>
          <w:lang w:val="sk-SK"/>
        </w:rPr>
        <w:t>, čo zodpovedá</w:t>
      </w:r>
      <w:r w:rsidR="00D63584">
        <w:rPr>
          <w:shd w:val="clear" w:color="auto" w:fill="C0C0C0"/>
          <w:lang w:val="sk-SK"/>
        </w:rPr>
        <w:br/>
      </w:r>
      <w:r w:rsidR="00DB2A42" w:rsidRPr="00964FBB">
        <w:rPr>
          <w:shd w:val="clear" w:color="auto" w:fill="C0C0C0"/>
          <w:lang w:val="sk-SK"/>
        </w:rPr>
        <w:t xml:space="preserve">2 g </w:t>
      </w:r>
      <w:r w:rsidR="00D86D14" w:rsidRPr="00964FBB">
        <w:rPr>
          <w:shd w:val="clear" w:color="auto" w:fill="C0C0C0"/>
          <w:lang w:val="sk-SK"/>
        </w:rPr>
        <w:t>cefotaxímu</w:t>
      </w:r>
      <w:r w:rsidR="00DB2A42" w:rsidRPr="00964FBB">
        <w:rPr>
          <w:shd w:val="clear" w:color="auto" w:fill="C0C0C0"/>
          <w:lang w:val="sk-SK"/>
        </w:rPr>
        <w:t>.</w:t>
      </w:r>
    </w:p>
    <w:p w14:paraId="519E3A67" w14:textId="77777777" w:rsidR="005B6E14" w:rsidRDefault="005B6E14" w:rsidP="00D86D14">
      <w:pPr>
        <w:shd w:val="clear" w:color="auto" w:fill="FFFFFF"/>
        <w:rPr>
          <w:shd w:val="clear" w:color="auto" w:fill="C0C0C0"/>
          <w:lang w:val="sk-SK"/>
        </w:rPr>
      </w:pPr>
    </w:p>
    <w:p w14:paraId="3E336393" w14:textId="77777777" w:rsidR="005B6E14" w:rsidRPr="005B6E14" w:rsidRDefault="00686F35" w:rsidP="00D86D14">
      <w:pPr>
        <w:shd w:val="clear" w:color="auto" w:fill="FFFFFF"/>
        <w:rPr>
          <w:lang w:val="sk-SK"/>
        </w:rPr>
      </w:pPr>
      <w:r w:rsidRPr="006A6EC0">
        <w:rPr>
          <w:noProof/>
          <w:szCs w:val="22"/>
          <w:lang w:val="sk-SK"/>
        </w:rPr>
        <w:t>P</w:t>
      </w:r>
      <w:r w:rsidR="005B6E14" w:rsidRPr="006A6EC0">
        <w:rPr>
          <w:noProof/>
          <w:szCs w:val="22"/>
          <w:lang w:val="sk-SK"/>
        </w:rPr>
        <w:t>omocn</w:t>
      </w:r>
      <w:r w:rsidRPr="006A6EC0">
        <w:rPr>
          <w:noProof/>
          <w:szCs w:val="22"/>
          <w:lang w:val="sk-SK"/>
        </w:rPr>
        <w:t>á</w:t>
      </w:r>
      <w:r w:rsidR="005B6E14" w:rsidRPr="006A6EC0">
        <w:rPr>
          <w:noProof/>
          <w:szCs w:val="22"/>
          <w:lang w:val="sk-SK"/>
        </w:rPr>
        <w:t xml:space="preserve"> látk</w:t>
      </w:r>
      <w:r w:rsidRPr="006A6EC0">
        <w:rPr>
          <w:noProof/>
          <w:szCs w:val="22"/>
          <w:lang w:val="sk-SK"/>
        </w:rPr>
        <w:t>a</w:t>
      </w:r>
      <w:r w:rsidR="00964FBB" w:rsidRPr="006A6EC0">
        <w:rPr>
          <w:noProof/>
          <w:szCs w:val="22"/>
          <w:lang w:val="sk-SK"/>
        </w:rPr>
        <w:t xml:space="preserve"> je: žiadna</w:t>
      </w:r>
    </w:p>
    <w:p w14:paraId="547FE3EE" w14:textId="77777777" w:rsidR="00D86D14" w:rsidRPr="005B6E14" w:rsidRDefault="00D86D14" w:rsidP="00D86D14">
      <w:pPr>
        <w:rPr>
          <w:lang w:val="sk-SK"/>
        </w:rPr>
      </w:pPr>
    </w:p>
    <w:p w14:paraId="49580005" w14:textId="77777777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D06041">
        <w:rPr>
          <w:b/>
          <w:bCs/>
          <w:noProof/>
          <w:lang w:val="sk-SK"/>
        </w:rPr>
        <w:t>Ako vyzerá Cefotaxim Eberth a obsah balenia</w:t>
      </w:r>
    </w:p>
    <w:p w14:paraId="5005A27F" w14:textId="77777777" w:rsidR="00D86D14" w:rsidRPr="00D06041" w:rsidRDefault="00D86D14" w:rsidP="00D86D14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</w:p>
    <w:p w14:paraId="0337C472" w14:textId="77777777" w:rsidR="00D86D14" w:rsidRPr="00D06041" w:rsidRDefault="00D86D14" w:rsidP="00D86D14">
      <w:pPr>
        <w:rPr>
          <w:lang w:val="sk-SK"/>
        </w:rPr>
      </w:pPr>
      <w:r w:rsidRPr="00D06041">
        <w:rPr>
          <w:lang w:val="sk-SK"/>
        </w:rPr>
        <w:t xml:space="preserve">Vzhľad prášku: </w:t>
      </w:r>
      <w:r>
        <w:rPr>
          <w:lang w:val="sk-SK"/>
        </w:rPr>
        <w:t>b</w:t>
      </w:r>
      <w:r w:rsidRPr="00D06041">
        <w:rPr>
          <w:lang w:val="sk-SK"/>
        </w:rPr>
        <w:t>iely až bledožltý prášok.</w:t>
      </w:r>
    </w:p>
    <w:p w14:paraId="0D7808E2" w14:textId="77777777" w:rsidR="00D86D14" w:rsidRPr="00D06041" w:rsidRDefault="00D86D14" w:rsidP="00D86D14">
      <w:pPr>
        <w:ind w:left="567"/>
        <w:rPr>
          <w:szCs w:val="22"/>
          <w:lang w:val="sk-SK"/>
        </w:rPr>
      </w:pPr>
    </w:p>
    <w:p w14:paraId="50F973CF" w14:textId="77777777" w:rsidR="00D86D14" w:rsidRPr="00D06041" w:rsidRDefault="00D86D14" w:rsidP="00D86D14">
      <w:pPr>
        <w:tabs>
          <w:tab w:val="clear" w:pos="567"/>
          <w:tab w:val="left" w:pos="0"/>
        </w:tabs>
        <w:ind w:left="567" w:hanging="567"/>
        <w:rPr>
          <w:lang w:val="sk-SK"/>
        </w:rPr>
      </w:pPr>
      <w:r w:rsidRPr="00D06041">
        <w:rPr>
          <w:szCs w:val="22"/>
          <w:lang w:val="sk-SK"/>
        </w:rPr>
        <w:t>Veľkosť balenia:</w:t>
      </w:r>
      <w:r w:rsidRPr="00D06041">
        <w:rPr>
          <w:lang w:val="sk-SK"/>
        </w:rPr>
        <w:t xml:space="preserve"> </w:t>
      </w:r>
    </w:p>
    <w:p w14:paraId="0CDCB567" w14:textId="77777777" w:rsidR="00D86D14" w:rsidRPr="00D06041" w:rsidRDefault="00964FBB" w:rsidP="00D86D14">
      <w:pPr>
        <w:tabs>
          <w:tab w:val="clear" w:pos="567"/>
          <w:tab w:val="left" w:pos="0"/>
        </w:tabs>
        <w:ind w:left="567" w:hanging="567"/>
        <w:rPr>
          <w:lang w:val="sk-SK"/>
        </w:rPr>
      </w:pPr>
      <w:proofErr w:type="spellStart"/>
      <w:r w:rsidRPr="00964FBB">
        <w:rPr>
          <w:lang w:val="sk-SK"/>
        </w:rPr>
        <w:t>Cefotaxim</w:t>
      </w:r>
      <w:proofErr w:type="spellEnd"/>
      <w:r w:rsidRPr="00964FBB">
        <w:rPr>
          <w:lang w:val="sk-SK"/>
        </w:rPr>
        <w:t xml:space="preserve"> </w:t>
      </w:r>
      <w:proofErr w:type="spellStart"/>
      <w:r w:rsidRPr="00964FBB">
        <w:rPr>
          <w:lang w:val="sk-SK"/>
        </w:rPr>
        <w:t>Eberth</w:t>
      </w:r>
      <w:proofErr w:type="spellEnd"/>
      <w:r w:rsidRPr="006A6EC0">
        <w:rPr>
          <w:lang w:val="sk-SK"/>
        </w:rPr>
        <w:t xml:space="preserve"> </w:t>
      </w:r>
      <w:r w:rsidR="00D86D14" w:rsidRPr="00D06041">
        <w:rPr>
          <w:lang w:val="sk-SK"/>
        </w:rPr>
        <w:t>0,5 g: 1, 5, 10 a 50 injekčných liekoviek (nominálny objem sklenenej liekovky je 15 ml)</w:t>
      </w:r>
    </w:p>
    <w:p w14:paraId="0A27E4CC" w14:textId="77777777" w:rsidR="00D86D14" w:rsidRPr="006A6EC0" w:rsidRDefault="00964FBB" w:rsidP="00D86D14">
      <w:pPr>
        <w:tabs>
          <w:tab w:val="clear" w:pos="567"/>
          <w:tab w:val="left" w:pos="0"/>
        </w:tabs>
        <w:ind w:left="567" w:hanging="567"/>
        <w:rPr>
          <w:highlight w:val="lightGray"/>
          <w:lang w:val="sk-SK"/>
        </w:rPr>
      </w:pPr>
      <w:proofErr w:type="spellStart"/>
      <w:r w:rsidRPr="006A6EC0">
        <w:rPr>
          <w:highlight w:val="lightGray"/>
          <w:lang w:val="sk-SK"/>
        </w:rPr>
        <w:t>Cefotaxim</w:t>
      </w:r>
      <w:proofErr w:type="spellEnd"/>
      <w:r w:rsidRPr="006A6EC0">
        <w:rPr>
          <w:highlight w:val="lightGray"/>
          <w:lang w:val="sk-SK"/>
        </w:rPr>
        <w:t xml:space="preserve"> </w:t>
      </w:r>
      <w:proofErr w:type="spellStart"/>
      <w:r w:rsidRPr="006A6EC0">
        <w:rPr>
          <w:highlight w:val="lightGray"/>
          <w:lang w:val="sk-SK"/>
        </w:rPr>
        <w:t>Eberth</w:t>
      </w:r>
      <w:proofErr w:type="spellEnd"/>
      <w:r w:rsidRPr="006A6EC0">
        <w:rPr>
          <w:highlight w:val="lightGray"/>
          <w:lang w:val="sk-SK"/>
        </w:rPr>
        <w:t xml:space="preserve"> </w:t>
      </w:r>
      <w:r w:rsidR="00D86D14" w:rsidRPr="006A6EC0">
        <w:rPr>
          <w:highlight w:val="lightGray"/>
          <w:lang w:val="sk-SK"/>
        </w:rPr>
        <w:t>1 g: 1, 5, 10 a 50 injekčných liekoviek (nominálny objem sklenenej liekovky je 15 ml)</w:t>
      </w:r>
    </w:p>
    <w:p w14:paraId="37811850" w14:textId="77777777" w:rsidR="00D86D14" w:rsidRPr="006A6EC0" w:rsidRDefault="00964FBB" w:rsidP="00D86D14">
      <w:pPr>
        <w:tabs>
          <w:tab w:val="clear" w:pos="567"/>
          <w:tab w:val="left" w:pos="0"/>
        </w:tabs>
        <w:ind w:left="567" w:hanging="567"/>
        <w:rPr>
          <w:highlight w:val="lightGray"/>
          <w:lang w:val="sk-SK"/>
        </w:rPr>
      </w:pPr>
      <w:proofErr w:type="spellStart"/>
      <w:r w:rsidRPr="006A6EC0">
        <w:rPr>
          <w:highlight w:val="lightGray"/>
          <w:lang w:val="sk-SK"/>
        </w:rPr>
        <w:t>Cefotaxim</w:t>
      </w:r>
      <w:proofErr w:type="spellEnd"/>
      <w:r w:rsidRPr="006A6EC0">
        <w:rPr>
          <w:highlight w:val="lightGray"/>
          <w:lang w:val="sk-SK"/>
        </w:rPr>
        <w:t xml:space="preserve"> </w:t>
      </w:r>
      <w:proofErr w:type="spellStart"/>
      <w:r w:rsidRPr="006A6EC0">
        <w:rPr>
          <w:highlight w:val="lightGray"/>
          <w:lang w:val="sk-SK"/>
        </w:rPr>
        <w:t>Eberth</w:t>
      </w:r>
      <w:proofErr w:type="spellEnd"/>
      <w:r w:rsidRPr="006A6EC0">
        <w:rPr>
          <w:highlight w:val="lightGray"/>
          <w:lang w:val="sk-SK"/>
        </w:rPr>
        <w:t xml:space="preserve"> </w:t>
      </w:r>
      <w:r w:rsidR="00D86D14" w:rsidRPr="006A6EC0">
        <w:rPr>
          <w:highlight w:val="lightGray"/>
          <w:lang w:val="sk-SK"/>
        </w:rPr>
        <w:t>2 g: 1, 5, 10 a 50 injekčných liekoviek (nominálny objem sklenenej liekovky je 50 ml)</w:t>
      </w:r>
    </w:p>
    <w:p w14:paraId="6E8E835C" w14:textId="77777777" w:rsidR="008F3589" w:rsidRDefault="008F3589" w:rsidP="00D86D14">
      <w:pPr>
        <w:tabs>
          <w:tab w:val="clear" w:pos="567"/>
          <w:tab w:val="left" w:pos="0"/>
        </w:tabs>
        <w:ind w:left="567" w:hanging="567"/>
        <w:rPr>
          <w:lang w:val="sk-SK"/>
        </w:rPr>
      </w:pPr>
    </w:p>
    <w:p w14:paraId="6C525981" w14:textId="77777777" w:rsidR="008F0447" w:rsidRPr="009A7B67" w:rsidRDefault="008F0447" w:rsidP="008F0447">
      <w:pPr>
        <w:tabs>
          <w:tab w:val="left" w:pos="7200"/>
        </w:tabs>
        <w:autoSpaceDE w:val="0"/>
        <w:autoSpaceDN w:val="0"/>
        <w:jc w:val="both"/>
        <w:rPr>
          <w:szCs w:val="22"/>
          <w:lang w:val="sk-SK"/>
        </w:rPr>
      </w:pPr>
      <w:r w:rsidRPr="009A7B67">
        <w:rPr>
          <w:szCs w:val="22"/>
          <w:lang w:val="sk-SK"/>
        </w:rPr>
        <w:t>Na trh nemusia byť uvedené všetky veľkosti balenia.</w:t>
      </w:r>
    </w:p>
    <w:p w14:paraId="2E409816" w14:textId="77777777" w:rsidR="008F3589" w:rsidRPr="00D06041" w:rsidRDefault="008F3589" w:rsidP="00D86D14">
      <w:pPr>
        <w:tabs>
          <w:tab w:val="clear" w:pos="567"/>
          <w:tab w:val="left" w:pos="0"/>
        </w:tabs>
        <w:ind w:left="567" w:hanging="567"/>
        <w:rPr>
          <w:lang w:val="sk-SK"/>
        </w:rPr>
      </w:pPr>
    </w:p>
    <w:p w14:paraId="39D73B55" w14:textId="6E50F5AC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D06041">
        <w:rPr>
          <w:b/>
          <w:bCs/>
          <w:noProof/>
          <w:lang w:val="sk-SK"/>
        </w:rPr>
        <w:t xml:space="preserve">Držiteľ rozhodnutia o registrácii </w:t>
      </w:r>
    </w:p>
    <w:p w14:paraId="110C0F50" w14:textId="77777777" w:rsidR="00D86D14" w:rsidRPr="00D06041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16B424F7" w14:textId="77777777" w:rsidR="00D86D14" w:rsidRPr="00D06041" w:rsidRDefault="00D86D14" w:rsidP="00D86D14">
      <w:pPr>
        <w:pStyle w:val="knZulassung01"/>
        <w:tabs>
          <w:tab w:val="left" w:pos="71"/>
        </w:tabs>
        <w:rPr>
          <w:rFonts w:ascii="Times New Roman" w:hAnsi="Times New Roman"/>
          <w:sz w:val="22"/>
          <w:szCs w:val="22"/>
          <w:lang w:val="sk-SK"/>
        </w:rPr>
      </w:pPr>
      <w:r w:rsidRPr="00D06041">
        <w:rPr>
          <w:rFonts w:ascii="Times New Roman" w:hAnsi="Times New Roman"/>
          <w:noProof/>
          <w:sz w:val="22"/>
          <w:szCs w:val="22"/>
          <w:lang w:val="sk-SK"/>
        </w:rPr>
        <w:t>Dr. Friedrich Eberth Arzneimittel</w:t>
      </w:r>
      <w:r w:rsidR="004D06F0">
        <w:rPr>
          <w:rFonts w:ascii="Times New Roman" w:hAnsi="Times New Roman"/>
          <w:noProof/>
          <w:sz w:val="22"/>
          <w:szCs w:val="22"/>
          <w:lang w:val="sk-SK"/>
        </w:rPr>
        <w:t xml:space="preserve"> GmbH</w:t>
      </w:r>
    </w:p>
    <w:p w14:paraId="17FAD45A" w14:textId="77777777" w:rsidR="00D86D14" w:rsidRPr="00A53798" w:rsidRDefault="00D86D14" w:rsidP="00D86D14">
      <w:pPr>
        <w:tabs>
          <w:tab w:val="clear" w:pos="567"/>
          <w:tab w:val="left" w:pos="540"/>
        </w:tabs>
        <w:rPr>
          <w:lang w:val="de-DE"/>
        </w:rPr>
      </w:pPr>
      <w:r>
        <w:rPr>
          <w:lang w:val="de-DE"/>
        </w:rPr>
        <w:t>Am Bahnhof 2</w:t>
      </w:r>
    </w:p>
    <w:p w14:paraId="0CB13227" w14:textId="77777777" w:rsidR="00D86D14" w:rsidRPr="009E6C20" w:rsidRDefault="00D86D14" w:rsidP="00D86D14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6A6EC0">
        <w:rPr>
          <w:rFonts w:ascii="Times New Roman" w:hAnsi="Times New Roman"/>
          <w:sz w:val="22"/>
          <w:szCs w:val="22"/>
        </w:rPr>
        <w:t xml:space="preserve">92289 </w:t>
      </w:r>
      <w:proofErr w:type="spellStart"/>
      <w:r w:rsidRPr="006A6EC0">
        <w:rPr>
          <w:rFonts w:ascii="Times New Roman" w:hAnsi="Times New Roman"/>
          <w:sz w:val="22"/>
          <w:szCs w:val="22"/>
        </w:rPr>
        <w:t>Ursensollen</w:t>
      </w:r>
      <w:proofErr w:type="spellEnd"/>
    </w:p>
    <w:p w14:paraId="04DDB127" w14:textId="14190D97" w:rsidR="00D86D14" w:rsidRDefault="00071363" w:rsidP="00D86D14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lastRenderedPageBreak/>
        <w:t>Nemecko</w:t>
      </w:r>
    </w:p>
    <w:p w14:paraId="3D9D2AFC" w14:textId="77777777" w:rsidR="0066601B" w:rsidRPr="0066601B" w:rsidRDefault="0066601B" w:rsidP="006A6EC0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66601B">
        <w:rPr>
          <w:rFonts w:ascii="Times New Roman" w:hAnsi="Times New Roman"/>
          <w:sz w:val="22"/>
          <w:szCs w:val="22"/>
          <w:lang w:val="sk-SK"/>
        </w:rPr>
        <w:t>tel.:</w:t>
      </w:r>
      <w:r w:rsidRPr="0066601B">
        <w:rPr>
          <w:rFonts w:ascii="Times New Roman" w:hAnsi="Times New Roman"/>
          <w:sz w:val="22"/>
          <w:szCs w:val="22"/>
          <w:lang w:val="sk-SK"/>
        </w:rPr>
        <w:tab/>
        <w:t>+49 96 28 92 37 67-0</w:t>
      </w:r>
    </w:p>
    <w:p w14:paraId="5186E3A8" w14:textId="77777777" w:rsidR="0066601B" w:rsidRPr="0066601B" w:rsidRDefault="0066601B" w:rsidP="006A6EC0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66601B">
        <w:rPr>
          <w:rFonts w:ascii="Times New Roman" w:hAnsi="Times New Roman"/>
          <w:sz w:val="22"/>
          <w:szCs w:val="22"/>
          <w:lang w:val="sk-SK"/>
        </w:rPr>
        <w:t>fax:</w:t>
      </w:r>
      <w:r w:rsidRPr="0066601B">
        <w:rPr>
          <w:rFonts w:ascii="Times New Roman" w:hAnsi="Times New Roman"/>
          <w:sz w:val="22"/>
          <w:szCs w:val="22"/>
          <w:lang w:val="sk-SK"/>
        </w:rPr>
        <w:tab/>
        <w:t>+49 96 28 92 37 67-99</w:t>
      </w:r>
    </w:p>
    <w:p w14:paraId="3ED88344" w14:textId="77777777" w:rsidR="0066601B" w:rsidRDefault="0066601B" w:rsidP="0066601B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66601B">
        <w:rPr>
          <w:rFonts w:ascii="Times New Roman" w:hAnsi="Times New Roman"/>
          <w:sz w:val="22"/>
          <w:szCs w:val="22"/>
          <w:lang w:val="sk-SK"/>
        </w:rPr>
        <w:t>info@eberth.de</w:t>
      </w:r>
    </w:p>
    <w:p w14:paraId="13309C60" w14:textId="77777777" w:rsidR="00C0050D" w:rsidRDefault="00C0050D" w:rsidP="00D86D14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14:paraId="4AEBCC17" w14:textId="77777777" w:rsidR="00C0050D" w:rsidRPr="001C0E6A" w:rsidRDefault="00C0050D" w:rsidP="00D86D14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1C0E6A">
        <w:rPr>
          <w:rFonts w:ascii="Times New Roman" w:hAnsi="Times New Roman"/>
          <w:b/>
          <w:sz w:val="22"/>
          <w:szCs w:val="22"/>
          <w:lang w:val="sk-SK"/>
        </w:rPr>
        <w:t>Výrobca</w:t>
      </w:r>
    </w:p>
    <w:p w14:paraId="5301778E" w14:textId="77777777" w:rsidR="00C0050D" w:rsidRDefault="00C0050D" w:rsidP="00D86D14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14:paraId="7A545D52" w14:textId="77777777" w:rsidR="00F16E93" w:rsidRPr="001F41E4" w:rsidRDefault="00F16E93" w:rsidP="00F16E93">
      <w:pPr>
        <w:ind w:right="283"/>
        <w:rPr>
          <w:szCs w:val="22"/>
          <w:lang w:val="de-DE"/>
        </w:rPr>
      </w:pPr>
      <w:r w:rsidRPr="001F41E4">
        <w:rPr>
          <w:szCs w:val="22"/>
          <w:lang w:val="de-DE"/>
        </w:rPr>
        <w:t>Dr. Friedrich Eberth Arzneimittel GmbH</w:t>
      </w:r>
    </w:p>
    <w:p w14:paraId="118D11B9" w14:textId="77777777" w:rsidR="00F16E93" w:rsidRPr="001F41E4" w:rsidRDefault="00F16E93" w:rsidP="00F16E93">
      <w:pPr>
        <w:ind w:right="283"/>
        <w:rPr>
          <w:szCs w:val="22"/>
          <w:lang w:val="de-DE"/>
        </w:rPr>
      </w:pPr>
      <w:r w:rsidRPr="001F41E4">
        <w:rPr>
          <w:szCs w:val="22"/>
          <w:lang w:val="de-DE"/>
        </w:rPr>
        <w:t>Am Bahnhof 2</w:t>
      </w:r>
    </w:p>
    <w:p w14:paraId="6BED8E4B" w14:textId="77777777" w:rsidR="00F16E93" w:rsidRPr="001F41E4" w:rsidRDefault="00F16E93" w:rsidP="00F16E93">
      <w:pPr>
        <w:ind w:right="283"/>
        <w:rPr>
          <w:szCs w:val="22"/>
          <w:lang w:val="de-DE"/>
        </w:rPr>
      </w:pPr>
      <w:r w:rsidRPr="001F41E4">
        <w:rPr>
          <w:szCs w:val="22"/>
          <w:lang w:val="de-DE"/>
        </w:rPr>
        <w:t xml:space="preserve">D-92289 </w:t>
      </w:r>
      <w:proofErr w:type="spellStart"/>
      <w:r w:rsidRPr="001F41E4">
        <w:rPr>
          <w:szCs w:val="22"/>
          <w:lang w:val="de-DE"/>
        </w:rPr>
        <w:t>Ursensollen</w:t>
      </w:r>
      <w:proofErr w:type="spellEnd"/>
    </w:p>
    <w:p w14:paraId="1378B3E8" w14:textId="77777777" w:rsidR="00664648" w:rsidRDefault="00664648" w:rsidP="00664648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Nemecko</w:t>
      </w:r>
    </w:p>
    <w:p w14:paraId="189A8B0C" w14:textId="77777777" w:rsidR="00F16E93" w:rsidRDefault="00F16E93" w:rsidP="00F16E93">
      <w:pPr>
        <w:pStyle w:val="knZulassung02"/>
        <w:ind w:left="0"/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</w:pPr>
    </w:p>
    <w:p w14:paraId="7BD514F0" w14:textId="77777777" w:rsidR="009B6F1F" w:rsidRPr="000F7117" w:rsidRDefault="009B6F1F" w:rsidP="009B6F1F">
      <w:pPr>
        <w:pStyle w:val="knZulassung02"/>
        <w:ind w:left="0"/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</w:pPr>
      <w:r w:rsidRPr="000F7117"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  <w:t>T3A Pharma Group</w:t>
      </w:r>
    </w:p>
    <w:p w14:paraId="38912344" w14:textId="77777777" w:rsidR="009B6F1F" w:rsidRPr="000F7117" w:rsidRDefault="009B6F1F" w:rsidP="009B6F1F">
      <w:pPr>
        <w:pStyle w:val="knZulassung02"/>
        <w:ind w:left="0"/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</w:pPr>
      <w:r w:rsidRPr="000F7117"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  <w:t>6 A </w:t>
      </w:r>
      <w:proofErr w:type="spellStart"/>
      <w:r w:rsidRPr="000F7117"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  <w:t>Giza</w:t>
      </w:r>
      <w:proofErr w:type="spellEnd"/>
      <w:r w:rsidRPr="000F7117"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  <w:t xml:space="preserve"> </w:t>
      </w:r>
      <w:proofErr w:type="spellStart"/>
      <w:r w:rsidRPr="000F7117"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  <w:t>Street</w:t>
      </w:r>
      <w:proofErr w:type="spellEnd"/>
      <w:r w:rsidRPr="000F7117"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  <w:t xml:space="preserve">, </w:t>
      </w:r>
      <w:proofErr w:type="spellStart"/>
      <w:r w:rsidRPr="000F7117"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  <w:t>Giza</w:t>
      </w:r>
      <w:proofErr w:type="spellEnd"/>
    </w:p>
    <w:p w14:paraId="3302A6B8" w14:textId="77777777" w:rsidR="009B6F1F" w:rsidRPr="000F7117" w:rsidRDefault="009B6F1F" w:rsidP="009B6F1F">
      <w:pPr>
        <w:pStyle w:val="knZulassung02"/>
        <w:ind w:left="0"/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</w:pPr>
      <w:proofErr w:type="spellStart"/>
      <w:r w:rsidRPr="000F7117"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  <w:t>P.O.Box</w:t>
      </w:r>
      <w:proofErr w:type="spellEnd"/>
      <w:r w:rsidRPr="000F7117"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  <w:t xml:space="preserve"> 64</w:t>
      </w:r>
    </w:p>
    <w:p w14:paraId="07C2B178" w14:textId="77777777" w:rsidR="009B6F1F" w:rsidRPr="000F7117" w:rsidRDefault="009B6F1F" w:rsidP="009B6F1F">
      <w:pPr>
        <w:pStyle w:val="knZulassung02"/>
        <w:ind w:left="0"/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</w:pPr>
      <w:r w:rsidRPr="000F7117"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  <w:t xml:space="preserve">El </w:t>
      </w:r>
      <w:proofErr w:type="spellStart"/>
      <w:r w:rsidRPr="000F7117"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  <w:t>Orman</w:t>
      </w:r>
      <w:proofErr w:type="spellEnd"/>
    </w:p>
    <w:p w14:paraId="531F0D27" w14:textId="77777777" w:rsidR="009B6F1F" w:rsidRDefault="009B6F1F" w:rsidP="009B6F1F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0F7117"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  <w:t>Egypt</w:t>
      </w:r>
    </w:p>
    <w:p w14:paraId="694872B9" w14:textId="77777777" w:rsidR="009B6F1F" w:rsidRDefault="009B6F1F" w:rsidP="009B6F1F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14:paraId="1B661015" w14:textId="77777777" w:rsidR="009B6F1F" w:rsidRPr="005E7454" w:rsidRDefault="009B6F1F" w:rsidP="009B6F1F">
      <w:pPr>
        <w:pStyle w:val="knZulassung02"/>
        <w:ind w:left="0"/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</w:pPr>
      <w:proofErr w:type="spellStart"/>
      <w:r w:rsidRPr="005E7454"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  <w:t>Laboratories</w:t>
      </w:r>
      <w:proofErr w:type="spellEnd"/>
      <w:r w:rsidRPr="005E7454"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  <w:t xml:space="preserve"> </w:t>
      </w:r>
      <w:proofErr w:type="spellStart"/>
      <w:r w:rsidRPr="005E7454"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  <w:t>Panpharma</w:t>
      </w:r>
      <w:proofErr w:type="spellEnd"/>
    </w:p>
    <w:p w14:paraId="3583A62F" w14:textId="77777777" w:rsidR="009B6F1F" w:rsidRPr="005E7454" w:rsidRDefault="009B6F1F" w:rsidP="009B6F1F">
      <w:pPr>
        <w:pStyle w:val="knZulassung02"/>
        <w:ind w:left="0"/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</w:pPr>
      <w:r w:rsidRPr="005E7454"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  <w:t>Z. I. </w:t>
      </w:r>
      <w:proofErr w:type="spellStart"/>
      <w:r w:rsidRPr="005E7454"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  <w:t>du</w:t>
      </w:r>
      <w:proofErr w:type="spellEnd"/>
      <w:r w:rsidRPr="005E7454"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  <w:t xml:space="preserve"> </w:t>
      </w:r>
      <w:proofErr w:type="spellStart"/>
      <w:r w:rsidRPr="005E7454"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  <w:t>Clairay</w:t>
      </w:r>
      <w:proofErr w:type="spellEnd"/>
      <w:r w:rsidRPr="005E7454"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  <w:t xml:space="preserve"> – </w:t>
      </w:r>
      <w:proofErr w:type="spellStart"/>
      <w:r w:rsidRPr="005E7454"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  <w:t>Luitré</w:t>
      </w:r>
      <w:proofErr w:type="spellEnd"/>
    </w:p>
    <w:p w14:paraId="168B2787" w14:textId="77777777" w:rsidR="009B6F1F" w:rsidRPr="005E7454" w:rsidRDefault="009B6F1F" w:rsidP="009B6F1F">
      <w:pPr>
        <w:pStyle w:val="knZulassung02"/>
        <w:ind w:left="0"/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</w:pPr>
      <w:r w:rsidRPr="005E7454"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  <w:t xml:space="preserve">F – 35133 </w:t>
      </w:r>
      <w:proofErr w:type="spellStart"/>
      <w:r w:rsidRPr="005E7454"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  <w:t>Fougeres</w:t>
      </w:r>
      <w:proofErr w:type="spellEnd"/>
    </w:p>
    <w:p w14:paraId="73782056" w14:textId="77777777" w:rsidR="00C0050D" w:rsidRDefault="009B6F1F" w:rsidP="009B6F1F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5E7454">
        <w:rPr>
          <w:rFonts w:ascii="Times New Roman" w:hAnsi="Times New Roman"/>
          <w:snapToGrid/>
          <w:sz w:val="22"/>
          <w:szCs w:val="20"/>
          <w:shd w:val="clear" w:color="auto" w:fill="C0C0C0"/>
          <w:lang w:val="sk-SK" w:eastAsia="en-US"/>
        </w:rPr>
        <w:t>Francúzsko</w:t>
      </w:r>
    </w:p>
    <w:p w14:paraId="627D6938" w14:textId="77777777" w:rsidR="00C0050D" w:rsidRDefault="00C0050D" w:rsidP="00D86D14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14:paraId="003A6B6E" w14:textId="77777777" w:rsidR="00C0050D" w:rsidRDefault="00C0050D" w:rsidP="00D86D14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Biopharma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s.r.l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.</w:t>
      </w:r>
    </w:p>
    <w:p w14:paraId="5C380585" w14:textId="77777777" w:rsidR="00C0050D" w:rsidRDefault="00C0050D" w:rsidP="00D86D14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Via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delle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Gerbere 20/22</w:t>
      </w:r>
    </w:p>
    <w:p w14:paraId="6C389FC0" w14:textId="77777777" w:rsidR="00C0050D" w:rsidRDefault="00C0050D" w:rsidP="00D86D14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00040 Santa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Palomba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(RM)</w:t>
      </w:r>
    </w:p>
    <w:p w14:paraId="53556835" w14:textId="77777777" w:rsidR="00C0050D" w:rsidRPr="00D06041" w:rsidRDefault="00C0050D" w:rsidP="00D86D14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Taliansko</w:t>
      </w:r>
    </w:p>
    <w:p w14:paraId="0E8BA2FB" w14:textId="77777777" w:rsidR="00D86D14" w:rsidRDefault="00D86D14" w:rsidP="00D86D14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14:paraId="1DF835FA" w14:textId="77777777" w:rsidR="00C51A63" w:rsidRDefault="00C51A63" w:rsidP="00D86D14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14:paraId="563B738A" w14:textId="77777777" w:rsidR="00586047" w:rsidRPr="00B04931" w:rsidRDefault="00586047" w:rsidP="00C51A63">
      <w:pPr>
        <w:rPr>
          <w:b/>
          <w:noProof/>
          <w:szCs w:val="24"/>
          <w:lang w:val="sk-SK"/>
        </w:rPr>
      </w:pPr>
      <w:r w:rsidRPr="00B04931">
        <w:rPr>
          <w:b/>
          <w:bCs/>
          <w:szCs w:val="22"/>
          <w:lang w:val="sk-SK"/>
        </w:rPr>
        <w:t>Liek je schválený v členských štátoch Európskeho hospodárskeho priestoru (EHP) pod nasledovnými názvami:</w:t>
      </w:r>
    </w:p>
    <w:p w14:paraId="41CC460E" w14:textId="77777777" w:rsidR="00C51A63" w:rsidRPr="006A6EC0" w:rsidRDefault="00552F0B" w:rsidP="00C51A63">
      <w:pPr>
        <w:tabs>
          <w:tab w:val="left" w:pos="1134"/>
        </w:tabs>
        <w:rPr>
          <w:szCs w:val="22"/>
          <w:lang w:val="de-DE"/>
        </w:rPr>
      </w:pPr>
      <w:proofErr w:type="spellStart"/>
      <w:r>
        <w:rPr>
          <w:szCs w:val="22"/>
          <w:lang w:val="de-DE"/>
        </w:rPr>
        <w:t>Rakúsko</w:t>
      </w:r>
      <w:proofErr w:type="spellEnd"/>
      <w:r w:rsidR="00C51A63" w:rsidRPr="006A6EC0">
        <w:rPr>
          <w:szCs w:val="22"/>
          <w:lang w:val="de-DE"/>
        </w:rPr>
        <w:t xml:space="preserve">: </w:t>
      </w:r>
      <w:r w:rsidR="00C51A63" w:rsidRPr="006A6EC0">
        <w:rPr>
          <w:szCs w:val="22"/>
          <w:lang w:val="de-DE"/>
        </w:rPr>
        <w:tab/>
      </w:r>
      <w:proofErr w:type="spellStart"/>
      <w:r w:rsidR="00C51A63" w:rsidRPr="006A6EC0">
        <w:rPr>
          <w:szCs w:val="22"/>
          <w:lang w:val="de-DE"/>
        </w:rPr>
        <w:t>Cefotaxim</w:t>
      </w:r>
      <w:proofErr w:type="spellEnd"/>
      <w:r w:rsidR="00C51A63" w:rsidRPr="006A6EC0">
        <w:rPr>
          <w:szCs w:val="22"/>
          <w:lang w:val="de-DE"/>
        </w:rPr>
        <w:t xml:space="preserve"> Eberth 0,5 g </w:t>
      </w:r>
      <w:r w:rsidR="00C51A63" w:rsidRPr="006A6EC0">
        <w:rPr>
          <w:szCs w:val="22"/>
          <w:highlight w:val="lightGray"/>
          <w:lang w:val="de-DE"/>
        </w:rPr>
        <w:t>/ 1 g / 2 g</w:t>
      </w:r>
      <w:r w:rsidR="00C51A63" w:rsidRPr="006A6EC0">
        <w:rPr>
          <w:szCs w:val="22"/>
          <w:lang w:val="de-DE"/>
        </w:rPr>
        <w:t xml:space="preserve"> Pulver zur Herstellung einer Injektions</w:t>
      </w:r>
      <w:r w:rsidR="00C51A63" w:rsidRPr="006A6EC0">
        <w:rPr>
          <w:szCs w:val="22"/>
          <w:highlight w:val="lightGray"/>
          <w:lang w:val="de-DE"/>
        </w:rPr>
        <w:t xml:space="preserve">- oder </w:t>
      </w:r>
      <w:r>
        <w:rPr>
          <w:szCs w:val="22"/>
          <w:lang w:val="de-DE"/>
        </w:rPr>
        <w:br/>
      </w:r>
      <w:r>
        <w:rPr>
          <w:szCs w:val="22"/>
          <w:lang w:val="de-DE"/>
        </w:rPr>
        <w:tab/>
      </w:r>
      <w:r>
        <w:rPr>
          <w:szCs w:val="22"/>
          <w:lang w:val="de-DE"/>
        </w:rPr>
        <w:tab/>
      </w:r>
      <w:r w:rsidR="00C51A63" w:rsidRPr="006A6EC0">
        <w:rPr>
          <w:szCs w:val="22"/>
          <w:highlight w:val="lightGray"/>
          <w:lang w:val="de-DE"/>
        </w:rPr>
        <w:t>Infusions</w:t>
      </w:r>
      <w:r w:rsidR="00C51A63" w:rsidRPr="006A6EC0">
        <w:rPr>
          <w:szCs w:val="22"/>
          <w:lang w:val="de-DE"/>
        </w:rPr>
        <w:t>lösung</w:t>
      </w:r>
    </w:p>
    <w:p w14:paraId="54A86785" w14:textId="77777777" w:rsidR="00C51A63" w:rsidRPr="006A6EC0" w:rsidRDefault="00C51A63" w:rsidP="00C51A63">
      <w:pPr>
        <w:tabs>
          <w:tab w:val="left" w:pos="1134"/>
        </w:tabs>
        <w:rPr>
          <w:szCs w:val="22"/>
          <w:lang w:val="de-DE"/>
        </w:rPr>
      </w:pPr>
      <w:proofErr w:type="spellStart"/>
      <w:r w:rsidRPr="006A6EC0">
        <w:rPr>
          <w:szCs w:val="22"/>
          <w:lang w:val="de-DE"/>
        </w:rPr>
        <w:t>D</w:t>
      </w:r>
      <w:r w:rsidR="00552F0B" w:rsidRPr="00552F0B">
        <w:rPr>
          <w:szCs w:val="22"/>
          <w:lang w:val="de-DE"/>
        </w:rPr>
        <w:t>áns</w:t>
      </w:r>
      <w:r w:rsidRPr="006A6EC0">
        <w:rPr>
          <w:szCs w:val="22"/>
          <w:lang w:val="de-DE"/>
        </w:rPr>
        <w:t>k</w:t>
      </w:r>
      <w:r w:rsidR="00552F0B">
        <w:rPr>
          <w:szCs w:val="22"/>
          <w:lang w:val="de-DE"/>
        </w:rPr>
        <w:t>o</w:t>
      </w:r>
      <w:proofErr w:type="spellEnd"/>
      <w:r w:rsidRPr="006A6EC0">
        <w:rPr>
          <w:szCs w:val="22"/>
          <w:lang w:val="de-DE"/>
        </w:rPr>
        <w:t xml:space="preserve">: </w:t>
      </w:r>
      <w:r w:rsidRPr="006A6EC0">
        <w:rPr>
          <w:szCs w:val="22"/>
          <w:lang w:val="de-DE"/>
        </w:rPr>
        <w:tab/>
      </w:r>
      <w:proofErr w:type="spellStart"/>
      <w:r w:rsidRPr="006A6EC0">
        <w:rPr>
          <w:szCs w:val="22"/>
          <w:lang w:val="de-DE"/>
        </w:rPr>
        <w:t>Cefotaxim</w:t>
      </w:r>
      <w:proofErr w:type="spellEnd"/>
      <w:r w:rsidRPr="006A6EC0">
        <w:rPr>
          <w:szCs w:val="22"/>
          <w:lang w:val="de-DE"/>
        </w:rPr>
        <w:t xml:space="preserve"> Eberth</w:t>
      </w:r>
    </w:p>
    <w:p w14:paraId="5B982A63" w14:textId="77777777" w:rsidR="00C51A63" w:rsidRPr="006A6EC0" w:rsidRDefault="00552F0B" w:rsidP="00C51A63">
      <w:pPr>
        <w:tabs>
          <w:tab w:val="left" w:pos="1134"/>
        </w:tabs>
        <w:rPr>
          <w:szCs w:val="22"/>
          <w:lang w:val="de-DE"/>
        </w:rPr>
      </w:pPr>
      <w:r w:rsidRPr="00913A5E">
        <w:rPr>
          <w:szCs w:val="22"/>
          <w:lang w:val="sk-SK"/>
        </w:rPr>
        <w:t>Nemecko</w:t>
      </w:r>
      <w:r w:rsidR="00C51A63" w:rsidRPr="006A6EC0">
        <w:rPr>
          <w:szCs w:val="22"/>
          <w:lang w:val="sk-SK"/>
        </w:rPr>
        <w:t>:</w:t>
      </w:r>
      <w:r w:rsidR="00C51A63" w:rsidRPr="006A6EC0">
        <w:rPr>
          <w:szCs w:val="22"/>
          <w:lang w:val="de-DE"/>
        </w:rPr>
        <w:t xml:space="preserve"> </w:t>
      </w:r>
      <w:r w:rsidR="00C51A63" w:rsidRPr="006A6EC0">
        <w:rPr>
          <w:szCs w:val="22"/>
          <w:lang w:val="de-DE"/>
        </w:rPr>
        <w:tab/>
      </w:r>
      <w:proofErr w:type="spellStart"/>
      <w:r w:rsidR="00C51A63" w:rsidRPr="006A6EC0">
        <w:rPr>
          <w:szCs w:val="22"/>
          <w:lang w:val="de-DE"/>
        </w:rPr>
        <w:t>Cefotaxim</w:t>
      </w:r>
      <w:proofErr w:type="spellEnd"/>
      <w:r w:rsidR="00C51A63" w:rsidRPr="006A6EC0">
        <w:rPr>
          <w:szCs w:val="22"/>
          <w:lang w:val="de-DE"/>
        </w:rPr>
        <w:t xml:space="preserve"> Eberth 0,5 g </w:t>
      </w:r>
      <w:r w:rsidR="00C51A63" w:rsidRPr="006A6EC0">
        <w:rPr>
          <w:szCs w:val="22"/>
          <w:highlight w:val="lightGray"/>
          <w:lang w:val="de-DE"/>
        </w:rPr>
        <w:t>/ 1 g / 2 g</w:t>
      </w:r>
      <w:r w:rsidR="00C51A63" w:rsidRPr="006A6EC0">
        <w:rPr>
          <w:szCs w:val="22"/>
          <w:lang w:val="de-DE"/>
        </w:rPr>
        <w:t xml:space="preserve"> Pulver zur Herstellung einer Injektions</w:t>
      </w:r>
      <w:r w:rsidR="00C51A63" w:rsidRPr="006A6EC0">
        <w:rPr>
          <w:szCs w:val="22"/>
          <w:highlight w:val="lightGray"/>
          <w:lang w:val="de-DE"/>
        </w:rPr>
        <w:t>- oder</w:t>
      </w:r>
      <w:r w:rsidR="00C51A63" w:rsidRPr="006A6EC0">
        <w:rPr>
          <w:szCs w:val="22"/>
          <w:lang w:val="de-DE"/>
        </w:rPr>
        <w:t xml:space="preserve"> </w:t>
      </w:r>
      <w:r>
        <w:rPr>
          <w:szCs w:val="22"/>
          <w:lang w:val="de-DE"/>
        </w:rPr>
        <w:br/>
      </w:r>
      <w:r>
        <w:rPr>
          <w:szCs w:val="22"/>
          <w:lang w:val="de-DE"/>
        </w:rPr>
        <w:tab/>
      </w:r>
      <w:r>
        <w:rPr>
          <w:szCs w:val="22"/>
          <w:lang w:val="de-DE"/>
        </w:rPr>
        <w:tab/>
      </w:r>
      <w:r w:rsidR="00C51A63" w:rsidRPr="006A6EC0">
        <w:rPr>
          <w:szCs w:val="22"/>
          <w:highlight w:val="lightGray"/>
          <w:lang w:val="de-DE"/>
        </w:rPr>
        <w:t>Infusions</w:t>
      </w:r>
      <w:r w:rsidR="00C51A63" w:rsidRPr="006A6EC0">
        <w:rPr>
          <w:szCs w:val="22"/>
          <w:lang w:val="de-DE"/>
        </w:rPr>
        <w:t>lösung</w:t>
      </w:r>
    </w:p>
    <w:p w14:paraId="779F0655" w14:textId="77777777" w:rsidR="00C51A63" w:rsidRPr="006A6EC0" w:rsidRDefault="00552F0B" w:rsidP="00C51A63">
      <w:pPr>
        <w:tabs>
          <w:tab w:val="left" w:pos="1134"/>
        </w:tabs>
        <w:rPr>
          <w:szCs w:val="22"/>
          <w:lang w:val="sk-SK"/>
        </w:rPr>
      </w:pPr>
      <w:r w:rsidRPr="00B04931">
        <w:rPr>
          <w:szCs w:val="22"/>
          <w:lang w:val="sk-SK"/>
        </w:rPr>
        <w:t>Slovensko</w:t>
      </w:r>
      <w:r w:rsidR="00C51A63" w:rsidRPr="00B04931">
        <w:rPr>
          <w:szCs w:val="22"/>
          <w:lang w:val="sk-SK"/>
        </w:rPr>
        <w:t xml:space="preserve">: </w:t>
      </w:r>
      <w:r w:rsidR="00C51A63" w:rsidRPr="00B04931">
        <w:rPr>
          <w:szCs w:val="22"/>
          <w:lang w:val="sk-SK"/>
        </w:rPr>
        <w:tab/>
      </w:r>
      <w:proofErr w:type="spellStart"/>
      <w:r w:rsidR="00C51A63" w:rsidRPr="00B04931">
        <w:rPr>
          <w:szCs w:val="22"/>
          <w:lang w:val="sk-SK"/>
        </w:rPr>
        <w:t>Cefotaxim</w:t>
      </w:r>
      <w:proofErr w:type="spellEnd"/>
      <w:r w:rsidR="00C51A63" w:rsidRPr="00B04931">
        <w:rPr>
          <w:szCs w:val="22"/>
          <w:lang w:val="sk-SK"/>
        </w:rPr>
        <w:t xml:space="preserve"> </w:t>
      </w:r>
      <w:proofErr w:type="spellStart"/>
      <w:r w:rsidR="00C51A63" w:rsidRPr="00B04931">
        <w:rPr>
          <w:szCs w:val="22"/>
          <w:lang w:val="sk-SK"/>
        </w:rPr>
        <w:t>Eberth</w:t>
      </w:r>
      <w:proofErr w:type="spellEnd"/>
      <w:r w:rsidR="00C51A63" w:rsidRPr="00B04931">
        <w:rPr>
          <w:szCs w:val="22"/>
          <w:lang w:val="sk-SK"/>
        </w:rPr>
        <w:t xml:space="preserve"> 0,5 g </w:t>
      </w:r>
      <w:r w:rsidR="00B427AE" w:rsidRPr="006A6EC0">
        <w:rPr>
          <w:szCs w:val="22"/>
          <w:lang w:val="sk-SK"/>
        </w:rPr>
        <w:t>prášok na injekčný roztok</w:t>
      </w:r>
      <w:r w:rsidR="006B494B" w:rsidRPr="006A6EC0">
        <w:rPr>
          <w:szCs w:val="22"/>
          <w:lang w:val="sk-SK"/>
        </w:rPr>
        <w:br/>
      </w:r>
      <w:r w:rsidR="006B494B" w:rsidRPr="006A6EC0">
        <w:rPr>
          <w:szCs w:val="22"/>
          <w:lang w:val="sk-SK"/>
        </w:rPr>
        <w:tab/>
      </w:r>
      <w:r w:rsidR="006B494B" w:rsidRPr="006A6EC0">
        <w:rPr>
          <w:szCs w:val="22"/>
          <w:lang w:val="sk-SK"/>
        </w:rPr>
        <w:tab/>
      </w:r>
      <w:proofErr w:type="spellStart"/>
      <w:r w:rsidR="006B494B" w:rsidRPr="006A6EC0">
        <w:rPr>
          <w:szCs w:val="22"/>
          <w:highlight w:val="lightGray"/>
          <w:lang w:val="de-DE"/>
        </w:rPr>
        <w:t>Cefotaxim</w:t>
      </w:r>
      <w:proofErr w:type="spellEnd"/>
      <w:r w:rsidR="006B494B" w:rsidRPr="006A6EC0">
        <w:rPr>
          <w:szCs w:val="22"/>
          <w:highlight w:val="lightGray"/>
          <w:lang w:val="de-DE"/>
        </w:rPr>
        <w:t xml:space="preserve"> Eberth 1 g / 2 g </w:t>
      </w:r>
      <w:proofErr w:type="spellStart"/>
      <w:r w:rsidR="006B494B" w:rsidRPr="006A6EC0">
        <w:rPr>
          <w:szCs w:val="22"/>
          <w:highlight w:val="lightGray"/>
          <w:lang w:val="de-DE"/>
        </w:rPr>
        <w:t>prášok</w:t>
      </w:r>
      <w:proofErr w:type="spellEnd"/>
      <w:r w:rsidR="006B494B" w:rsidRPr="006A6EC0">
        <w:rPr>
          <w:szCs w:val="22"/>
          <w:highlight w:val="lightGray"/>
          <w:lang w:val="de-DE"/>
        </w:rPr>
        <w:t xml:space="preserve"> na </w:t>
      </w:r>
      <w:proofErr w:type="spellStart"/>
      <w:r w:rsidR="006B494B" w:rsidRPr="006A6EC0">
        <w:rPr>
          <w:szCs w:val="22"/>
          <w:highlight w:val="lightGray"/>
          <w:lang w:val="de-DE"/>
        </w:rPr>
        <w:t>injekčný</w:t>
      </w:r>
      <w:proofErr w:type="spellEnd"/>
      <w:r w:rsidR="006B494B" w:rsidRPr="006A6EC0">
        <w:rPr>
          <w:szCs w:val="22"/>
          <w:highlight w:val="lightGray"/>
          <w:lang w:val="de-DE"/>
        </w:rPr>
        <w:t xml:space="preserve"> </w:t>
      </w:r>
      <w:proofErr w:type="spellStart"/>
      <w:r w:rsidR="006B494B" w:rsidRPr="006A6EC0">
        <w:rPr>
          <w:szCs w:val="22"/>
          <w:highlight w:val="lightGray"/>
          <w:lang w:val="de-DE"/>
        </w:rPr>
        <w:t>alebo</w:t>
      </w:r>
      <w:proofErr w:type="spellEnd"/>
      <w:r w:rsidR="006B494B" w:rsidRPr="006A6EC0">
        <w:rPr>
          <w:szCs w:val="22"/>
          <w:highlight w:val="lightGray"/>
          <w:lang w:val="de-DE"/>
        </w:rPr>
        <w:t xml:space="preserve"> </w:t>
      </w:r>
      <w:proofErr w:type="spellStart"/>
      <w:r w:rsidR="006B494B" w:rsidRPr="006A6EC0">
        <w:rPr>
          <w:szCs w:val="22"/>
          <w:highlight w:val="lightGray"/>
          <w:lang w:val="de-DE"/>
        </w:rPr>
        <w:t>infúzny</w:t>
      </w:r>
      <w:proofErr w:type="spellEnd"/>
      <w:r w:rsidR="006B494B" w:rsidRPr="006A6EC0">
        <w:rPr>
          <w:szCs w:val="22"/>
          <w:highlight w:val="lightGray"/>
          <w:lang w:val="de-DE"/>
        </w:rPr>
        <w:t xml:space="preserve"> </w:t>
      </w:r>
      <w:proofErr w:type="spellStart"/>
      <w:r w:rsidR="006B494B" w:rsidRPr="006A6EC0">
        <w:rPr>
          <w:szCs w:val="22"/>
          <w:highlight w:val="lightGray"/>
          <w:lang w:val="de-DE"/>
        </w:rPr>
        <w:t>roztok</w:t>
      </w:r>
      <w:proofErr w:type="spellEnd"/>
    </w:p>
    <w:p w14:paraId="2AC2DA13" w14:textId="77777777" w:rsidR="00C51A63" w:rsidRPr="00913A5E" w:rsidRDefault="00C51A63" w:rsidP="00D86D14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14:paraId="1034D3A9" w14:textId="77777777" w:rsidR="00C51A63" w:rsidRDefault="00C51A63" w:rsidP="00D86D14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14:paraId="45481CFB" w14:textId="590C24D5" w:rsidR="00D86D14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D06041">
        <w:rPr>
          <w:b/>
          <w:noProof/>
          <w:lang w:val="sk-SK"/>
        </w:rPr>
        <w:t xml:space="preserve">Táto písomná informácia bola naposledy </w:t>
      </w:r>
      <w:r w:rsidR="008D66A9">
        <w:rPr>
          <w:b/>
          <w:noProof/>
          <w:lang w:val="sk-SK"/>
        </w:rPr>
        <w:t>aktualizova</w:t>
      </w:r>
      <w:r w:rsidRPr="00D06041">
        <w:rPr>
          <w:b/>
          <w:noProof/>
          <w:lang w:val="sk-SK"/>
        </w:rPr>
        <w:t>ná</w:t>
      </w:r>
      <w:r>
        <w:rPr>
          <w:b/>
          <w:noProof/>
          <w:lang w:val="sk-SK"/>
        </w:rPr>
        <w:t xml:space="preserve"> v</w:t>
      </w:r>
      <w:r w:rsidR="000B59E4">
        <w:rPr>
          <w:b/>
          <w:noProof/>
          <w:lang w:val="sk-SK"/>
        </w:rPr>
        <w:t xml:space="preserve"> </w:t>
      </w:r>
      <w:r w:rsidR="003D75DC">
        <w:rPr>
          <w:b/>
          <w:noProof/>
          <w:lang w:val="sk-SK"/>
        </w:rPr>
        <w:t>apríli</w:t>
      </w:r>
      <w:r w:rsidR="000B59E4">
        <w:rPr>
          <w:b/>
          <w:noProof/>
          <w:lang w:val="sk-SK"/>
        </w:rPr>
        <w:t xml:space="preserve"> 2019</w:t>
      </w:r>
      <w:r w:rsidR="00A973FD">
        <w:rPr>
          <w:b/>
          <w:noProof/>
          <w:lang w:val="sk-SK"/>
        </w:rPr>
        <w:t> </w:t>
      </w:r>
      <w:r>
        <w:rPr>
          <w:b/>
          <w:noProof/>
          <w:lang w:val="sk-SK"/>
        </w:rPr>
        <w:t>.</w:t>
      </w:r>
    </w:p>
    <w:p w14:paraId="7A8CB514" w14:textId="77777777" w:rsidR="000358C7" w:rsidRDefault="000358C7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14:paraId="49F7C0D2" w14:textId="77777777" w:rsidR="007E0DA8" w:rsidRDefault="007E0DA8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14:paraId="030BAFB0" w14:textId="77777777" w:rsidR="000358C7" w:rsidRDefault="000358C7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14:paraId="725FAA4F" w14:textId="77777777" w:rsidR="000358C7" w:rsidRDefault="000358C7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>
        <w:rPr>
          <w:b/>
          <w:noProof/>
          <w:lang w:val="sk-SK"/>
        </w:rPr>
        <w:t>_____________________________________________________________________________________</w:t>
      </w:r>
    </w:p>
    <w:p w14:paraId="5B157B75" w14:textId="77777777" w:rsidR="000358C7" w:rsidRDefault="000358C7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14:paraId="7402F6BF" w14:textId="100CB527" w:rsidR="00D86D14" w:rsidRPr="006A6EC0" w:rsidRDefault="00D86D14" w:rsidP="00D86D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6A6EC0">
        <w:rPr>
          <w:b/>
          <w:noProof/>
          <w:szCs w:val="22"/>
          <w:lang w:val="sk-SK"/>
        </w:rPr>
        <w:t>Nasledujúca informácia je určená len pre zdravotníckych pracovníkov:</w:t>
      </w:r>
    </w:p>
    <w:p w14:paraId="30C0F2BA" w14:textId="77777777" w:rsidR="00D86D14" w:rsidRPr="00D06041" w:rsidRDefault="00D86D14" w:rsidP="00D86D14">
      <w:pPr>
        <w:widowControl w:val="0"/>
        <w:ind w:left="720"/>
        <w:rPr>
          <w:lang w:val="sk-SK"/>
        </w:rPr>
      </w:pPr>
    </w:p>
    <w:p w14:paraId="7FCF7B9D" w14:textId="3460CDC1" w:rsidR="00D86D14" w:rsidRPr="004229C9" w:rsidRDefault="00D86D14" w:rsidP="00D86D14">
      <w:pPr>
        <w:pStyle w:val="Formatvorlage2"/>
        <w:widowControl w:val="0"/>
        <w:tabs>
          <w:tab w:val="clear" w:pos="7797"/>
        </w:tabs>
        <w:rPr>
          <w:sz w:val="22"/>
          <w:lang w:val="sk-SK"/>
        </w:rPr>
      </w:pPr>
      <w:r w:rsidRPr="004229C9">
        <w:rPr>
          <w:sz w:val="22"/>
          <w:lang w:val="sk-SK"/>
        </w:rPr>
        <w:t>Cefotax</w:t>
      </w:r>
      <w:r>
        <w:rPr>
          <w:sz w:val="22"/>
          <w:lang w:val="sk-SK"/>
        </w:rPr>
        <w:t>í</w:t>
      </w:r>
      <w:r w:rsidRPr="004229C9">
        <w:rPr>
          <w:sz w:val="22"/>
          <w:lang w:val="sk-SK"/>
        </w:rPr>
        <w:t xml:space="preserve">m sa môže podávať intravenóznou injekciou ako </w:t>
      </w:r>
      <w:proofErr w:type="spellStart"/>
      <w:r w:rsidRPr="004229C9">
        <w:rPr>
          <w:sz w:val="22"/>
          <w:lang w:val="sk-SK"/>
        </w:rPr>
        <w:t>bolus</w:t>
      </w:r>
      <w:proofErr w:type="spellEnd"/>
      <w:r w:rsidRPr="004229C9">
        <w:rPr>
          <w:sz w:val="22"/>
          <w:lang w:val="sk-SK"/>
        </w:rPr>
        <w:t>, ako intravenózna infúzia</w:t>
      </w:r>
      <w:r w:rsidR="00500446">
        <w:rPr>
          <w:sz w:val="22"/>
          <w:lang w:val="sk-SK"/>
        </w:rPr>
        <w:t xml:space="preserve"> </w:t>
      </w:r>
      <w:r w:rsidRPr="004229C9">
        <w:rPr>
          <w:sz w:val="22"/>
          <w:lang w:val="sk-SK"/>
        </w:rPr>
        <w:t xml:space="preserve">alebo </w:t>
      </w:r>
      <w:proofErr w:type="spellStart"/>
      <w:r w:rsidRPr="004229C9">
        <w:rPr>
          <w:sz w:val="22"/>
          <w:lang w:val="sk-SK"/>
        </w:rPr>
        <w:t>intramuskulárna</w:t>
      </w:r>
      <w:proofErr w:type="spellEnd"/>
      <w:r w:rsidRPr="004229C9">
        <w:rPr>
          <w:sz w:val="22"/>
          <w:lang w:val="sk-SK"/>
        </w:rPr>
        <w:t xml:space="preserve"> injekcia po </w:t>
      </w:r>
      <w:r>
        <w:rPr>
          <w:sz w:val="22"/>
          <w:lang w:val="sk-SK"/>
        </w:rPr>
        <w:t>príprave</w:t>
      </w:r>
      <w:r w:rsidRPr="004229C9">
        <w:rPr>
          <w:sz w:val="22"/>
          <w:lang w:val="sk-SK"/>
        </w:rPr>
        <w:t xml:space="preserve"> roztoku podľa pokynov uvedených nižšie.</w:t>
      </w:r>
      <w:r w:rsidR="00500446">
        <w:rPr>
          <w:sz w:val="22"/>
          <w:lang w:val="sk-SK"/>
        </w:rPr>
        <w:t xml:space="preserve"> </w:t>
      </w:r>
      <w:r w:rsidRPr="004229C9">
        <w:rPr>
          <w:sz w:val="22"/>
          <w:lang w:val="sk-SK"/>
        </w:rPr>
        <w:t>Dávkovanie a spôsob pod</w:t>
      </w:r>
      <w:r w:rsidR="00842D86">
        <w:rPr>
          <w:sz w:val="22"/>
          <w:lang w:val="sk-SK"/>
        </w:rPr>
        <w:t>áv</w:t>
      </w:r>
      <w:r w:rsidRPr="004229C9">
        <w:rPr>
          <w:sz w:val="22"/>
          <w:lang w:val="sk-SK"/>
        </w:rPr>
        <w:t>ania závis</w:t>
      </w:r>
      <w:r w:rsidR="00CD5A3B">
        <w:rPr>
          <w:sz w:val="22"/>
          <w:lang w:val="sk-SK"/>
        </w:rPr>
        <w:t>ia</w:t>
      </w:r>
      <w:r w:rsidRPr="004229C9">
        <w:rPr>
          <w:sz w:val="22"/>
          <w:lang w:val="sk-SK"/>
        </w:rPr>
        <w:t xml:space="preserve"> od závažnosti infekcie, citlivosti patogénnych organizmov a stavu pacienta. Liečba môže začať skôr, ako sú známe výsledky testov citlivosti.</w:t>
      </w:r>
    </w:p>
    <w:p w14:paraId="30CDCBE4" w14:textId="77777777" w:rsidR="00D86D14" w:rsidRPr="003E07FD" w:rsidRDefault="00D86D14" w:rsidP="00D86D14">
      <w:pPr>
        <w:pStyle w:val="Formatvorlage2"/>
        <w:widowControl w:val="0"/>
        <w:tabs>
          <w:tab w:val="clear" w:pos="7797"/>
        </w:tabs>
        <w:rPr>
          <w:color w:val="FF0000"/>
          <w:sz w:val="22"/>
          <w:lang w:val="sk-SK"/>
        </w:rPr>
      </w:pPr>
      <w:r w:rsidRPr="004229C9">
        <w:rPr>
          <w:sz w:val="22"/>
          <w:lang w:val="sk-SK"/>
        </w:rPr>
        <w:lastRenderedPageBreak/>
        <w:t>Cefotax</w:t>
      </w:r>
      <w:r>
        <w:rPr>
          <w:sz w:val="22"/>
          <w:lang w:val="sk-SK"/>
        </w:rPr>
        <w:t>í</w:t>
      </w:r>
      <w:r w:rsidRPr="004229C9">
        <w:rPr>
          <w:sz w:val="22"/>
          <w:lang w:val="sk-SK"/>
        </w:rPr>
        <w:t>m má s</w:t>
      </w:r>
      <w:r>
        <w:rPr>
          <w:sz w:val="22"/>
          <w:lang w:val="sk-SK"/>
        </w:rPr>
        <w:t xml:space="preserve">ynergický efekt s </w:t>
      </w:r>
      <w:proofErr w:type="spellStart"/>
      <w:r>
        <w:rPr>
          <w:sz w:val="22"/>
          <w:lang w:val="sk-SK"/>
        </w:rPr>
        <w:t>aminoglykozid</w:t>
      </w:r>
      <w:r w:rsidRPr="004229C9">
        <w:rPr>
          <w:sz w:val="22"/>
          <w:lang w:val="sk-SK"/>
        </w:rPr>
        <w:t>mi</w:t>
      </w:r>
      <w:proofErr w:type="spellEnd"/>
      <w:r w:rsidRPr="004229C9">
        <w:rPr>
          <w:sz w:val="22"/>
          <w:lang w:val="sk-SK"/>
        </w:rPr>
        <w:t>.</w:t>
      </w:r>
      <w:r>
        <w:rPr>
          <w:sz w:val="22"/>
          <w:lang w:val="sk-SK"/>
        </w:rPr>
        <w:t xml:space="preserve"> Nemiešajte </w:t>
      </w:r>
      <w:proofErr w:type="spellStart"/>
      <w:r>
        <w:rPr>
          <w:sz w:val="22"/>
          <w:lang w:val="sk-SK"/>
        </w:rPr>
        <w:t>aminoglykozidy</w:t>
      </w:r>
      <w:proofErr w:type="spellEnd"/>
      <w:r>
        <w:rPr>
          <w:sz w:val="22"/>
          <w:lang w:val="sk-SK"/>
        </w:rPr>
        <w:t xml:space="preserve"> a </w:t>
      </w:r>
      <w:proofErr w:type="spellStart"/>
      <w:r>
        <w:rPr>
          <w:sz w:val="22"/>
          <w:lang w:val="sk-SK"/>
        </w:rPr>
        <w:t>cefotaxím</w:t>
      </w:r>
      <w:proofErr w:type="spellEnd"/>
      <w:r>
        <w:rPr>
          <w:sz w:val="22"/>
          <w:lang w:val="sk-SK"/>
        </w:rPr>
        <w:t xml:space="preserve"> v tej istej injekčnej striekačke alebo </w:t>
      </w:r>
      <w:proofErr w:type="spellStart"/>
      <w:r>
        <w:rPr>
          <w:sz w:val="22"/>
          <w:lang w:val="sk-SK"/>
        </w:rPr>
        <w:t>perfúznych</w:t>
      </w:r>
      <w:proofErr w:type="spellEnd"/>
      <w:r>
        <w:rPr>
          <w:sz w:val="22"/>
          <w:lang w:val="sk-SK"/>
        </w:rPr>
        <w:t xml:space="preserve"> tekutinách. </w:t>
      </w:r>
    </w:p>
    <w:p w14:paraId="2874C941" w14:textId="368B8D19" w:rsidR="00D86D14" w:rsidRPr="00CB19DE" w:rsidRDefault="004D1C5B" w:rsidP="00D86D14">
      <w:pPr>
        <w:widowControl w:val="0"/>
        <w:spacing w:before="100" w:beforeAutospacing="1"/>
        <w:jc w:val="both"/>
        <w:outlineLvl w:val="0"/>
        <w:rPr>
          <w:bCs/>
          <w:i/>
          <w:u w:val="single"/>
          <w:lang w:val="sk-SK"/>
        </w:rPr>
      </w:pPr>
      <w:r w:rsidRPr="002C3D37">
        <w:rPr>
          <w:bCs/>
          <w:u w:val="single"/>
          <w:lang w:val="sk-SK"/>
        </w:rPr>
        <w:t>D</w:t>
      </w:r>
      <w:r w:rsidR="00D86D14" w:rsidRPr="002C3D37">
        <w:rPr>
          <w:bCs/>
          <w:u w:val="single"/>
          <w:lang w:val="sk-SK"/>
        </w:rPr>
        <w:t>ávk</w:t>
      </w:r>
      <w:r w:rsidRPr="002C3D37">
        <w:rPr>
          <w:bCs/>
          <w:u w:val="single"/>
          <w:lang w:val="sk-SK"/>
        </w:rPr>
        <w:t>ovanie</w:t>
      </w:r>
    </w:p>
    <w:p w14:paraId="23599A95" w14:textId="77777777" w:rsidR="00D86D14" w:rsidRPr="004229C9" w:rsidRDefault="00D86D14" w:rsidP="00D86D14">
      <w:pPr>
        <w:widowControl w:val="0"/>
        <w:tabs>
          <w:tab w:val="clear" w:pos="567"/>
        </w:tabs>
        <w:spacing w:before="100" w:beforeAutospacing="1" w:line="240" w:lineRule="auto"/>
        <w:jc w:val="both"/>
        <w:outlineLvl w:val="0"/>
        <w:rPr>
          <w:bCs/>
          <w:lang w:val="sk-SK"/>
        </w:rPr>
      </w:pPr>
      <w:r w:rsidRPr="004229C9">
        <w:rPr>
          <w:bCs/>
          <w:i/>
          <w:u w:val="single"/>
          <w:lang w:val="sk-SK"/>
        </w:rPr>
        <w:t xml:space="preserve">Dospelí a </w:t>
      </w:r>
      <w:r>
        <w:rPr>
          <w:bCs/>
          <w:i/>
          <w:u w:val="single"/>
          <w:lang w:val="sk-SK"/>
        </w:rPr>
        <w:t>dospievajúci (</w:t>
      </w:r>
      <w:r w:rsidRPr="004229C9">
        <w:rPr>
          <w:bCs/>
          <w:i/>
          <w:u w:val="single"/>
          <w:lang w:val="sk-SK"/>
        </w:rPr>
        <w:t>12</w:t>
      </w:r>
      <w:r>
        <w:rPr>
          <w:bCs/>
          <w:i/>
          <w:u w:val="single"/>
          <w:lang w:val="sk-SK"/>
        </w:rPr>
        <w:t xml:space="preserve"> až 18 </w:t>
      </w:r>
      <w:r w:rsidRPr="004229C9">
        <w:rPr>
          <w:bCs/>
          <w:i/>
          <w:u w:val="single"/>
          <w:lang w:val="sk-SK"/>
        </w:rPr>
        <w:t xml:space="preserve"> rokov</w:t>
      </w:r>
      <w:r>
        <w:rPr>
          <w:bCs/>
          <w:i/>
          <w:u w:val="single"/>
          <w:lang w:val="sk-SK"/>
        </w:rPr>
        <w:t>):</w:t>
      </w:r>
    </w:p>
    <w:p w14:paraId="3F8C030C" w14:textId="22B0D080" w:rsidR="00D86D14" w:rsidRDefault="00D86D14" w:rsidP="00D86D14">
      <w:pPr>
        <w:widowControl w:val="0"/>
        <w:spacing w:line="240" w:lineRule="auto"/>
        <w:jc w:val="both"/>
        <w:outlineLvl w:val="0"/>
        <w:rPr>
          <w:bCs/>
          <w:i/>
          <w:color w:val="FF0000"/>
          <w:u w:val="single"/>
          <w:lang w:val="sk-SK"/>
        </w:rPr>
      </w:pPr>
      <w:r w:rsidRPr="004229C9">
        <w:rPr>
          <w:lang w:val="sk-SK"/>
        </w:rPr>
        <w:t xml:space="preserve">Obvyklá dávka pre dospelých a dospievajúcich je 2 až 6 g denne. Denná dávka </w:t>
      </w:r>
      <w:r>
        <w:rPr>
          <w:lang w:val="sk-SK"/>
        </w:rPr>
        <w:t>má</w:t>
      </w:r>
      <w:r w:rsidRPr="004229C9">
        <w:rPr>
          <w:lang w:val="sk-SK"/>
        </w:rPr>
        <w:t xml:space="preserve"> byť rozdelená na dve jednotlivé dávky každých 12 hodín. Avšak dávka sa môže zmeniť podľa závažnosti infekcie, citlivosti patogénnych organizmov a</w:t>
      </w:r>
      <w:r w:rsidR="00295B17">
        <w:rPr>
          <w:lang w:val="sk-SK"/>
        </w:rPr>
        <w:t xml:space="preserve"> </w:t>
      </w:r>
      <w:r w:rsidRPr="004229C9">
        <w:rPr>
          <w:lang w:val="sk-SK"/>
        </w:rPr>
        <w:t>stavu pacienta.</w:t>
      </w:r>
    </w:p>
    <w:p w14:paraId="795DB0AF" w14:textId="77777777" w:rsidR="00D86D14" w:rsidRPr="003E07FD" w:rsidRDefault="00D86D14" w:rsidP="00D86D14">
      <w:pPr>
        <w:widowControl w:val="0"/>
        <w:tabs>
          <w:tab w:val="left" w:pos="5250"/>
        </w:tabs>
        <w:rPr>
          <w:color w:val="FF0000"/>
          <w:lang w:val="sk-SK"/>
        </w:rPr>
      </w:pPr>
    </w:p>
    <w:p w14:paraId="1A5014CD" w14:textId="77777777" w:rsidR="00D86D14" w:rsidRPr="004229C9" w:rsidRDefault="00D86D14" w:rsidP="00D86D14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sk-SK"/>
        </w:rPr>
      </w:pPr>
      <w:r w:rsidRPr="005024D7">
        <w:rPr>
          <w:i/>
          <w:lang w:val="sk-SK"/>
        </w:rPr>
        <w:t xml:space="preserve">Nekomplikované </w:t>
      </w:r>
      <w:r w:rsidRPr="004229C9">
        <w:rPr>
          <w:i/>
          <w:lang w:val="sk-SK"/>
        </w:rPr>
        <w:t xml:space="preserve">infekcie za prítomnosti (alebo podozrenia) citlivého patogénu: </w:t>
      </w:r>
      <w:r w:rsidRPr="004229C9">
        <w:rPr>
          <w:lang w:val="sk-SK"/>
        </w:rPr>
        <w:t>1 g každých 12 hodín zodpovedajúci celkovej dennej dávke 2 g</w:t>
      </w:r>
      <w:r>
        <w:rPr>
          <w:lang w:val="sk-SK"/>
        </w:rPr>
        <w:t>.</w:t>
      </w:r>
    </w:p>
    <w:p w14:paraId="0D3AAD41" w14:textId="77777777" w:rsidR="00D86D14" w:rsidRPr="003E07FD" w:rsidRDefault="00D86D14" w:rsidP="00D86D14">
      <w:pPr>
        <w:widowControl w:val="0"/>
        <w:rPr>
          <w:color w:val="FF0000"/>
          <w:lang w:val="sk-SK"/>
        </w:rPr>
      </w:pPr>
    </w:p>
    <w:p w14:paraId="1F15539B" w14:textId="2B368B76" w:rsidR="00D86D14" w:rsidRPr="004229C9" w:rsidRDefault="00D86D14" w:rsidP="00D86D14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sk-SK"/>
        </w:rPr>
      </w:pPr>
      <w:r w:rsidRPr="004229C9">
        <w:rPr>
          <w:i/>
          <w:lang w:val="sk-SK"/>
        </w:rPr>
        <w:t>Infekcie za prítomnosti (alebo podozrenia)</w:t>
      </w:r>
      <w:r>
        <w:rPr>
          <w:i/>
          <w:lang w:val="sk-SK"/>
        </w:rPr>
        <w:t xml:space="preserve"> </w:t>
      </w:r>
      <w:r w:rsidR="001879D3">
        <w:rPr>
          <w:i/>
          <w:lang w:val="sk-SK"/>
        </w:rPr>
        <w:t>niekoľkých citlivých</w:t>
      </w:r>
      <w:r w:rsidR="001879D3" w:rsidRPr="004229C9">
        <w:rPr>
          <w:i/>
          <w:lang w:val="sk-SK"/>
        </w:rPr>
        <w:t xml:space="preserve"> </w:t>
      </w:r>
      <w:r w:rsidRPr="004229C9">
        <w:rPr>
          <w:i/>
          <w:lang w:val="sk-SK"/>
        </w:rPr>
        <w:t>alebo stredne citlivých patogénov:</w:t>
      </w:r>
      <w:r w:rsidRPr="004229C9">
        <w:rPr>
          <w:lang w:val="sk-SK"/>
        </w:rPr>
        <w:t xml:space="preserve"> 1</w:t>
      </w:r>
      <w:r>
        <w:rPr>
          <w:lang w:val="sk-SK"/>
        </w:rPr>
        <w:t xml:space="preserve"> </w:t>
      </w:r>
      <w:r w:rsidRPr="004229C9">
        <w:rPr>
          <w:lang w:val="sk-SK"/>
        </w:rPr>
        <w:t>-</w:t>
      </w:r>
      <w:r>
        <w:rPr>
          <w:lang w:val="sk-SK"/>
        </w:rPr>
        <w:t xml:space="preserve"> </w:t>
      </w:r>
      <w:r w:rsidRPr="004229C9">
        <w:rPr>
          <w:lang w:val="sk-SK"/>
        </w:rPr>
        <w:t>2 g každých 12 hodín zodpovedajúcich celkovej dennej dávke 2</w:t>
      </w:r>
      <w:r>
        <w:rPr>
          <w:lang w:val="sk-SK"/>
        </w:rPr>
        <w:t xml:space="preserve"> </w:t>
      </w:r>
      <w:r w:rsidRPr="004229C9">
        <w:rPr>
          <w:lang w:val="sk-SK"/>
        </w:rPr>
        <w:t>-</w:t>
      </w:r>
      <w:r>
        <w:rPr>
          <w:lang w:val="sk-SK"/>
        </w:rPr>
        <w:t xml:space="preserve"> </w:t>
      </w:r>
      <w:r w:rsidRPr="004229C9">
        <w:rPr>
          <w:lang w:val="sk-SK"/>
        </w:rPr>
        <w:t>4 g.</w:t>
      </w:r>
    </w:p>
    <w:p w14:paraId="1035359B" w14:textId="66910AB4" w:rsidR="00D86D14" w:rsidRPr="004229C9" w:rsidRDefault="001879D3" w:rsidP="00D86D14">
      <w:pPr>
        <w:widowControl w:val="0"/>
        <w:spacing w:before="100" w:beforeAutospacing="1"/>
        <w:rPr>
          <w:lang w:val="sk-SK"/>
        </w:rPr>
      </w:pPr>
      <w:r>
        <w:rPr>
          <w:i/>
          <w:lang w:val="sk-SK"/>
        </w:rPr>
        <w:t>Závažn</w:t>
      </w:r>
      <w:r w:rsidRPr="004229C9">
        <w:rPr>
          <w:i/>
          <w:lang w:val="sk-SK"/>
        </w:rPr>
        <w:t xml:space="preserve">é </w:t>
      </w:r>
      <w:r w:rsidR="00D86D14" w:rsidRPr="004229C9">
        <w:rPr>
          <w:i/>
          <w:lang w:val="sk-SK"/>
        </w:rPr>
        <w:t>infekcie spôsobené neidentifikovanými patogénmi alebo infekcie, ktoré sa nedajú lokalizovať:</w:t>
      </w:r>
      <w:r w:rsidR="00D86D14" w:rsidRPr="004229C9">
        <w:rPr>
          <w:lang w:val="sk-SK"/>
        </w:rPr>
        <w:t xml:space="preserve"> 2</w:t>
      </w:r>
      <w:r w:rsidR="00D86D14">
        <w:rPr>
          <w:lang w:val="sk-SK"/>
        </w:rPr>
        <w:t xml:space="preserve"> </w:t>
      </w:r>
      <w:r w:rsidR="00D86D14" w:rsidRPr="004229C9">
        <w:rPr>
          <w:lang w:val="sk-SK"/>
        </w:rPr>
        <w:t>-</w:t>
      </w:r>
      <w:r w:rsidR="00D86D14">
        <w:rPr>
          <w:lang w:val="sk-SK"/>
        </w:rPr>
        <w:t xml:space="preserve"> </w:t>
      </w:r>
      <w:r w:rsidR="00D86D14" w:rsidRPr="004229C9">
        <w:rPr>
          <w:lang w:val="sk-SK"/>
        </w:rPr>
        <w:t>3 g ako jednotlivá dávka každých 6 až 8 hodín do maximálnej dennej dávky 12 g.</w:t>
      </w:r>
    </w:p>
    <w:p w14:paraId="64563C0B" w14:textId="77777777" w:rsidR="00D86D14" w:rsidRDefault="00D86D14" w:rsidP="00D86D14">
      <w:pPr>
        <w:tabs>
          <w:tab w:val="left" w:pos="317"/>
        </w:tabs>
        <w:rPr>
          <w:u w:val="single"/>
          <w:lang w:val="sk-SK"/>
        </w:rPr>
      </w:pPr>
    </w:p>
    <w:p w14:paraId="5B4A6FCD" w14:textId="77777777" w:rsidR="00D86D14" w:rsidRPr="00802E3A" w:rsidRDefault="00D86D14" w:rsidP="00D86D14">
      <w:pPr>
        <w:tabs>
          <w:tab w:val="left" w:pos="317"/>
        </w:tabs>
        <w:rPr>
          <w:i/>
          <w:u w:val="single"/>
          <w:lang w:val="sk-SK"/>
        </w:rPr>
      </w:pPr>
      <w:r w:rsidRPr="004F4157">
        <w:rPr>
          <w:i/>
          <w:u w:val="single"/>
          <w:lang w:val="sk-SK"/>
        </w:rPr>
        <w:t>Dojčatá a deti (od 2</w:t>
      </w:r>
      <w:r w:rsidRPr="00802E3A">
        <w:rPr>
          <w:i/>
          <w:u w:val="single"/>
          <w:lang w:val="sk-SK"/>
        </w:rPr>
        <w:t>8 dní do 11 rokov):</w:t>
      </w:r>
    </w:p>
    <w:p w14:paraId="51AFE456" w14:textId="77777777" w:rsidR="00D86D14" w:rsidRPr="004229C9" w:rsidRDefault="00D86D14" w:rsidP="00D86D14">
      <w:pPr>
        <w:tabs>
          <w:tab w:val="left" w:pos="317"/>
        </w:tabs>
        <w:rPr>
          <w:lang w:val="sk-SK"/>
        </w:rPr>
      </w:pPr>
      <w:r w:rsidRPr="004229C9">
        <w:rPr>
          <w:lang w:val="sk-SK"/>
        </w:rPr>
        <w:t xml:space="preserve">Obvyklá dávka pre dojčatá a deti &lt;50 kg je 50 – </w:t>
      </w:r>
      <w:r>
        <w:rPr>
          <w:lang w:val="sk-SK"/>
        </w:rPr>
        <w:t>100</w:t>
      </w:r>
      <w:r w:rsidRPr="004229C9">
        <w:rPr>
          <w:lang w:val="sk-SK"/>
        </w:rPr>
        <w:t xml:space="preserve"> mg/kg/deň rozdelená do 2 až 4 dávok</w:t>
      </w:r>
      <w:r>
        <w:rPr>
          <w:lang w:val="sk-SK"/>
        </w:rPr>
        <w:t xml:space="preserve"> (každých 12 až 6 hodín)</w:t>
      </w:r>
      <w:r w:rsidRPr="004229C9">
        <w:rPr>
          <w:lang w:val="sk-SK"/>
        </w:rPr>
        <w:t>.</w:t>
      </w:r>
    </w:p>
    <w:p w14:paraId="63D7A16A" w14:textId="746FC69C" w:rsidR="00D86D14" w:rsidRDefault="00D86D14" w:rsidP="00D86D14">
      <w:pPr>
        <w:tabs>
          <w:tab w:val="left" w:pos="317"/>
        </w:tabs>
        <w:rPr>
          <w:lang w:val="sk-SK"/>
        </w:rPr>
      </w:pPr>
      <w:r w:rsidRPr="004229C9">
        <w:rPr>
          <w:lang w:val="sk-SK"/>
        </w:rPr>
        <w:t xml:space="preserve">U veľmi </w:t>
      </w:r>
      <w:r w:rsidR="009D24E3">
        <w:rPr>
          <w:lang w:val="sk-SK"/>
        </w:rPr>
        <w:t>závažných</w:t>
      </w:r>
      <w:r w:rsidR="009D24E3" w:rsidRPr="004229C9">
        <w:rPr>
          <w:lang w:val="sk-SK"/>
        </w:rPr>
        <w:t xml:space="preserve"> </w:t>
      </w:r>
      <w:r w:rsidRPr="004229C9">
        <w:rPr>
          <w:lang w:val="sk-SK"/>
        </w:rPr>
        <w:t>infekcií</w:t>
      </w:r>
      <w:r w:rsidR="004D1C5B" w:rsidRPr="004D1C5B">
        <w:rPr>
          <w:lang w:val="sk-SK"/>
        </w:rPr>
        <w:t xml:space="preserve"> </w:t>
      </w:r>
      <w:r w:rsidR="004D1C5B">
        <w:rPr>
          <w:lang w:val="sk-SK"/>
        </w:rPr>
        <w:t>môže byť potrebná dávka</w:t>
      </w:r>
      <w:r w:rsidRPr="004229C9">
        <w:rPr>
          <w:lang w:val="sk-SK"/>
        </w:rPr>
        <w:t xml:space="preserve"> do 200 mg/kg/deň rozdelená do 2</w:t>
      </w:r>
      <w:r>
        <w:rPr>
          <w:lang w:val="sk-SK"/>
        </w:rPr>
        <w:t xml:space="preserve"> </w:t>
      </w:r>
      <w:r w:rsidRPr="004229C9">
        <w:rPr>
          <w:lang w:val="sk-SK"/>
        </w:rPr>
        <w:t>-</w:t>
      </w:r>
      <w:r>
        <w:rPr>
          <w:lang w:val="sk-SK"/>
        </w:rPr>
        <w:t xml:space="preserve"> </w:t>
      </w:r>
      <w:r w:rsidRPr="004229C9">
        <w:rPr>
          <w:lang w:val="sk-SK"/>
        </w:rPr>
        <w:t xml:space="preserve">4 dávok. </w:t>
      </w:r>
    </w:p>
    <w:p w14:paraId="6258481B" w14:textId="77777777" w:rsidR="00D86D14" w:rsidRDefault="00D86D14" w:rsidP="00D86D14">
      <w:pPr>
        <w:tabs>
          <w:tab w:val="left" w:pos="317"/>
        </w:tabs>
        <w:rPr>
          <w:lang w:val="sk-SK"/>
        </w:rPr>
      </w:pPr>
    </w:p>
    <w:p w14:paraId="6FD32386" w14:textId="554977E7" w:rsidR="00D86D14" w:rsidRPr="004229C9" w:rsidRDefault="00D86D14" w:rsidP="00D86D14">
      <w:pPr>
        <w:tabs>
          <w:tab w:val="left" w:pos="317"/>
        </w:tabs>
        <w:rPr>
          <w:lang w:val="sk-SK"/>
        </w:rPr>
      </w:pPr>
      <w:r w:rsidRPr="004229C9">
        <w:rPr>
          <w:lang w:val="sk-SK"/>
        </w:rPr>
        <w:t>U  det</w:t>
      </w:r>
      <w:r>
        <w:rPr>
          <w:lang w:val="sk-SK"/>
        </w:rPr>
        <w:t>í</w:t>
      </w:r>
      <w:r w:rsidRPr="004229C9">
        <w:rPr>
          <w:lang w:val="sk-SK"/>
        </w:rPr>
        <w:t xml:space="preserve"> </w:t>
      </w:r>
      <w:r>
        <w:rPr>
          <w:rFonts w:ascii="Arial" w:hAnsi="Arial" w:cs="Arial"/>
          <w:lang w:val="sk-SK"/>
        </w:rPr>
        <w:t>&gt;</w:t>
      </w:r>
      <w:r w:rsidRPr="004229C9">
        <w:rPr>
          <w:lang w:val="sk-SK"/>
        </w:rPr>
        <w:t xml:space="preserve">50 kg sa </w:t>
      </w:r>
      <w:r>
        <w:rPr>
          <w:lang w:val="sk-SK"/>
        </w:rPr>
        <w:t>má</w:t>
      </w:r>
      <w:r w:rsidRPr="004229C9">
        <w:rPr>
          <w:lang w:val="sk-SK"/>
        </w:rPr>
        <w:t xml:space="preserve"> podať obvyklá dávka ako u dospelých bez prekročenia maximálnej dennej dávky 12 g.</w:t>
      </w:r>
    </w:p>
    <w:p w14:paraId="1206C537" w14:textId="77777777" w:rsidR="00D86D14" w:rsidRDefault="00D86D14" w:rsidP="00D86D14">
      <w:pPr>
        <w:pStyle w:val="Zarkazkladnhotextu3"/>
        <w:tabs>
          <w:tab w:val="clear" w:pos="567"/>
          <w:tab w:val="left" w:pos="743"/>
        </w:tabs>
        <w:spacing w:after="0" w:line="240" w:lineRule="auto"/>
        <w:ind w:left="0"/>
        <w:rPr>
          <w:sz w:val="22"/>
          <w:szCs w:val="22"/>
          <w:u w:val="single"/>
          <w:lang w:val="sk-SK"/>
        </w:rPr>
      </w:pPr>
    </w:p>
    <w:p w14:paraId="28C89A6F" w14:textId="7E89BEF8" w:rsidR="00D86D14" w:rsidRPr="00802E3A" w:rsidRDefault="009D24E3" w:rsidP="00D86D14">
      <w:pPr>
        <w:pStyle w:val="Zarkazkladnhotextu3"/>
        <w:tabs>
          <w:tab w:val="clear" w:pos="567"/>
          <w:tab w:val="left" w:pos="743"/>
        </w:tabs>
        <w:spacing w:after="0" w:line="240" w:lineRule="auto"/>
        <w:ind w:left="0"/>
        <w:rPr>
          <w:i/>
          <w:sz w:val="22"/>
          <w:szCs w:val="22"/>
          <w:u w:val="single"/>
          <w:lang w:val="sk-SK"/>
        </w:rPr>
      </w:pPr>
      <w:r>
        <w:rPr>
          <w:i/>
          <w:sz w:val="22"/>
          <w:szCs w:val="22"/>
          <w:u w:val="single"/>
          <w:lang w:val="sk-SK"/>
        </w:rPr>
        <w:t>V termíne narodení n</w:t>
      </w:r>
      <w:r w:rsidR="00D86D14" w:rsidRPr="00802E3A">
        <w:rPr>
          <w:i/>
          <w:sz w:val="22"/>
          <w:szCs w:val="22"/>
          <w:u w:val="single"/>
          <w:lang w:val="sk-SK"/>
        </w:rPr>
        <w:t>ovorodenci (0 - 27 dní):</w:t>
      </w:r>
    </w:p>
    <w:p w14:paraId="32D96ACB" w14:textId="05701912" w:rsidR="00D86D14" w:rsidRDefault="009D24E3" w:rsidP="00D86D14">
      <w:pPr>
        <w:pStyle w:val="Zarkazkladnhotextu3"/>
        <w:tabs>
          <w:tab w:val="clear" w:pos="567"/>
          <w:tab w:val="left" w:pos="743"/>
        </w:tabs>
        <w:spacing w:after="0" w:line="240" w:lineRule="auto"/>
        <w:ind w:left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 termíne narodení n</w:t>
      </w:r>
      <w:r w:rsidR="00D86D14" w:rsidRPr="00021FB4">
        <w:rPr>
          <w:sz w:val="22"/>
          <w:szCs w:val="22"/>
          <w:lang w:val="sk-SK"/>
        </w:rPr>
        <w:t>ovorodenc</w:t>
      </w:r>
      <w:r w:rsidR="00D86D14">
        <w:rPr>
          <w:sz w:val="22"/>
          <w:szCs w:val="22"/>
          <w:lang w:val="sk-SK"/>
        </w:rPr>
        <w:t>i 0 – 7 dní (</w:t>
      </w:r>
      <w:r w:rsidR="00D86D14" w:rsidRPr="00751AC7">
        <w:rPr>
          <w:sz w:val="22"/>
          <w:szCs w:val="22"/>
          <w:lang w:val="sk-SK"/>
        </w:rPr>
        <w:t>bez ohľadu na závažnosť</w:t>
      </w:r>
      <w:r w:rsidR="00D86D14">
        <w:rPr>
          <w:sz w:val="22"/>
          <w:szCs w:val="22"/>
          <w:lang w:val="sk-SK"/>
        </w:rPr>
        <w:t>):</w:t>
      </w:r>
    </w:p>
    <w:p w14:paraId="59E2B8C0" w14:textId="387E8D73" w:rsidR="00D86D14" w:rsidRDefault="00D86D14" w:rsidP="00D86D14">
      <w:pPr>
        <w:pStyle w:val="Zarkazkladnhotextu3"/>
        <w:tabs>
          <w:tab w:val="clear" w:pos="567"/>
          <w:tab w:val="left" w:pos="743"/>
        </w:tabs>
        <w:spacing w:after="0" w:line="240" w:lineRule="auto"/>
        <w:ind w:left="0"/>
        <w:rPr>
          <w:sz w:val="22"/>
          <w:szCs w:val="22"/>
          <w:lang w:val="sk-SK"/>
        </w:rPr>
      </w:pPr>
      <w:r w:rsidRPr="006749C5">
        <w:rPr>
          <w:sz w:val="22"/>
          <w:szCs w:val="22"/>
          <w:lang w:val="sk-SK"/>
        </w:rPr>
        <w:t xml:space="preserve">Odporúčaná dávka je 50 mg/kg/deň rozdelená do </w:t>
      </w:r>
      <w:r w:rsidR="004D1C5B">
        <w:rPr>
          <w:sz w:val="22"/>
          <w:szCs w:val="22"/>
          <w:lang w:val="sk-SK"/>
        </w:rPr>
        <w:t>dvoch</w:t>
      </w:r>
      <w:r w:rsidRPr="006749C5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rovnakých </w:t>
      </w:r>
      <w:r w:rsidRPr="006749C5">
        <w:rPr>
          <w:sz w:val="22"/>
          <w:szCs w:val="22"/>
          <w:lang w:val="sk-SK"/>
        </w:rPr>
        <w:t>dávok (každých 12 hodín).</w:t>
      </w:r>
    </w:p>
    <w:p w14:paraId="69D670C5" w14:textId="77777777" w:rsidR="00D86D14" w:rsidRDefault="00D86D14" w:rsidP="00D86D14">
      <w:pPr>
        <w:pStyle w:val="Zarkazkladnhotextu3"/>
        <w:tabs>
          <w:tab w:val="clear" w:pos="567"/>
          <w:tab w:val="left" w:pos="743"/>
        </w:tabs>
        <w:spacing w:after="0" w:line="240" w:lineRule="auto"/>
        <w:ind w:left="0"/>
        <w:rPr>
          <w:sz w:val="22"/>
          <w:szCs w:val="22"/>
          <w:lang w:val="sk-SK"/>
        </w:rPr>
      </w:pPr>
    </w:p>
    <w:p w14:paraId="62B1194B" w14:textId="6A053A4F" w:rsidR="00D86D14" w:rsidRPr="008E235D" w:rsidRDefault="007F3935" w:rsidP="00D86D14">
      <w:pPr>
        <w:pStyle w:val="Zarkazkladnhotextu3"/>
        <w:tabs>
          <w:tab w:val="clear" w:pos="567"/>
          <w:tab w:val="left" w:pos="743"/>
        </w:tabs>
        <w:spacing w:after="0" w:line="240" w:lineRule="auto"/>
        <w:ind w:left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V termíne narodení n</w:t>
      </w:r>
      <w:r w:rsidR="00D86D14" w:rsidRPr="008E235D">
        <w:rPr>
          <w:sz w:val="22"/>
          <w:szCs w:val="22"/>
          <w:u w:val="single"/>
          <w:lang w:val="sk-SK"/>
        </w:rPr>
        <w:t>ovorodenci 8 – 27 dní:</w:t>
      </w:r>
    </w:p>
    <w:p w14:paraId="3F244962" w14:textId="77777777" w:rsidR="00D86D14" w:rsidRDefault="00D86D14" w:rsidP="00D86D14">
      <w:pPr>
        <w:pStyle w:val="Zarkazkladnhotextu3"/>
        <w:tabs>
          <w:tab w:val="clear" w:pos="567"/>
          <w:tab w:val="left" w:pos="743"/>
        </w:tabs>
        <w:spacing w:after="0" w:line="240" w:lineRule="auto"/>
        <w:ind w:left="0"/>
        <w:rPr>
          <w:sz w:val="22"/>
          <w:szCs w:val="22"/>
          <w:lang w:val="sk-SK"/>
        </w:rPr>
      </w:pPr>
      <w:r w:rsidRPr="006749C5">
        <w:rPr>
          <w:sz w:val="22"/>
          <w:szCs w:val="22"/>
          <w:lang w:val="sk-SK"/>
        </w:rPr>
        <w:t xml:space="preserve">Odporúčaná dávka je </w:t>
      </w:r>
      <w:r>
        <w:rPr>
          <w:sz w:val="22"/>
          <w:szCs w:val="22"/>
          <w:lang w:val="sk-SK"/>
        </w:rPr>
        <w:t>1</w:t>
      </w:r>
      <w:r w:rsidRPr="006749C5">
        <w:rPr>
          <w:sz w:val="22"/>
          <w:szCs w:val="22"/>
          <w:lang w:val="sk-SK"/>
        </w:rPr>
        <w:t xml:space="preserve">50 mg/kg/deň rozdelená do </w:t>
      </w:r>
      <w:r>
        <w:rPr>
          <w:sz w:val="22"/>
          <w:szCs w:val="22"/>
          <w:lang w:val="sk-SK"/>
        </w:rPr>
        <w:t>3</w:t>
      </w:r>
      <w:r w:rsidRPr="006749C5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rovnakých </w:t>
      </w:r>
      <w:r w:rsidRPr="006749C5">
        <w:rPr>
          <w:sz w:val="22"/>
          <w:szCs w:val="22"/>
          <w:lang w:val="sk-SK"/>
        </w:rPr>
        <w:t xml:space="preserve">dávok (každých </w:t>
      </w:r>
      <w:r>
        <w:rPr>
          <w:sz w:val="22"/>
          <w:szCs w:val="22"/>
          <w:lang w:val="sk-SK"/>
        </w:rPr>
        <w:t>8</w:t>
      </w:r>
      <w:r w:rsidRPr="006749C5">
        <w:rPr>
          <w:sz w:val="22"/>
          <w:szCs w:val="22"/>
          <w:lang w:val="sk-SK"/>
        </w:rPr>
        <w:t xml:space="preserve"> hodín).</w:t>
      </w:r>
    </w:p>
    <w:p w14:paraId="6E200718" w14:textId="77777777" w:rsidR="00D86D14" w:rsidRPr="006749C5" w:rsidRDefault="00D86D14" w:rsidP="00D86D14">
      <w:pPr>
        <w:pStyle w:val="Zarkazkladnhotextu3"/>
        <w:tabs>
          <w:tab w:val="clear" w:pos="567"/>
          <w:tab w:val="left" w:pos="743"/>
        </w:tabs>
        <w:spacing w:after="0" w:line="240" w:lineRule="auto"/>
        <w:ind w:left="0"/>
        <w:rPr>
          <w:sz w:val="22"/>
          <w:szCs w:val="22"/>
          <w:lang w:val="sk-SK"/>
        </w:rPr>
      </w:pPr>
    </w:p>
    <w:p w14:paraId="5DBD2365" w14:textId="21A199D6" w:rsidR="00D86D14" w:rsidRPr="00D801FF" w:rsidRDefault="00D86D14" w:rsidP="00D86D14">
      <w:pPr>
        <w:pStyle w:val="Zarkazkladnhotextu3"/>
        <w:tabs>
          <w:tab w:val="clear" w:pos="567"/>
          <w:tab w:val="left" w:pos="743"/>
        </w:tabs>
        <w:spacing w:after="0" w:line="240" w:lineRule="auto"/>
        <w:ind w:left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="003575E5" w:rsidRPr="006749C5">
        <w:rPr>
          <w:sz w:val="22"/>
          <w:szCs w:val="22"/>
          <w:lang w:val="sk-SK"/>
        </w:rPr>
        <w:t>ozri</w:t>
      </w:r>
      <w:r w:rsidR="003575E5">
        <w:rPr>
          <w:sz w:val="22"/>
          <w:szCs w:val="22"/>
          <w:lang w:val="sk-SK"/>
        </w:rPr>
        <w:t>te</w:t>
      </w:r>
      <w:r w:rsidRPr="006749C5">
        <w:rPr>
          <w:sz w:val="22"/>
          <w:szCs w:val="22"/>
          <w:lang w:val="sk-SK"/>
        </w:rPr>
        <w:t xml:space="preserve"> </w:t>
      </w:r>
      <w:r w:rsidR="007F3935">
        <w:rPr>
          <w:sz w:val="22"/>
          <w:szCs w:val="22"/>
          <w:lang w:val="sk-SK"/>
        </w:rPr>
        <w:t xml:space="preserve">si </w:t>
      </w:r>
      <w:r w:rsidR="003575E5" w:rsidRPr="006749C5">
        <w:rPr>
          <w:sz w:val="22"/>
          <w:szCs w:val="22"/>
          <w:lang w:val="sk-SK"/>
        </w:rPr>
        <w:t>tiež</w:t>
      </w:r>
      <w:r w:rsidR="003575E5">
        <w:rPr>
          <w:sz w:val="22"/>
          <w:szCs w:val="22"/>
          <w:lang w:val="sk-SK"/>
        </w:rPr>
        <w:t xml:space="preserve"> nižšie uvedené </w:t>
      </w:r>
      <w:r w:rsidR="00C3091F">
        <w:rPr>
          <w:sz w:val="22"/>
          <w:szCs w:val="22"/>
          <w:lang w:val="sk-SK"/>
        </w:rPr>
        <w:t>„</w:t>
      </w:r>
      <w:r w:rsidR="00F63163">
        <w:rPr>
          <w:sz w:val="22"/>
          <w:szCs w:val="22"/>
          <w:lang w:val="sk-SK"/>
        </w:rPr>
        <w:t>Iné odporúčania</w:t>
      </w:r>
      <w:r>
        <w:rPr>
          <w:sz w:val="22"/>
          <w:szCs w:val="22"/>
          <w:lang w:val="sk-SK"/>
        </w:rPr>
        <w:t xml:space="preserve"> pre </w:t>
      </w:r>
      <w:r w:rsidR="00F63163">
        <w:rPr>
          <w:sz w:val="22"/>
          <w:szCs w:val="22"/>
          <w:lang w:val="sk-SK"/>
        </w:rPr>
        <w:t xml:space="preserve">bakteriálnu </w:t>
      </w:r>
      <w:proofErr w:type="spellStart"/>
      <w:r>
        <w:rPr>
          <w:sz w:val="22"/>
          <w:szCs w:val="22"/>
          <w:lang w:val="sk-SK"/>
        </w:rPr>
        <w:t>meningitídu</w:t>
      </w:r>
      <w:proofErr w:type="spellEnd"/>
      <w:r w:rsidR="00C3091F">
        <w:rPr>
          <w:sz w:val="22"/>
          <w:szCs w:val="22"/>
          <w:lang w:val="sk-SK"/>
        </w:rPr>
        <w:t>“</w:t>
      </w:r>
      <w:r w:rsidRPr="006749C5">
        <w:rPr>
          <w:sz w:val="22"/>
          <w:szCs w:val="22"/>
          <w:lang w:val="sk-SK"/>
        </w:rPr>
        <w:t>.</w:t>
      </w:r>
    </w:p>
    <w:p w14:paraId="3C03C750" w14:textId="77777777" w:rsidR="00D86D14" w:rsidRDefault="00D86D14" w:rsidP="00D86D14">
      <w:pPr>
        <w:pStyle w:val="Zarkazkladnhotextu3"/>
        <w:tabs>
          <w:tab w:val="clear" w:pos="567"/>
          <w:tab w:val="left" w:pos="743"/>
        </w:tabs>
        <w:spacing w:after="0" w:line="240" w:lineRule="auto"/>
        <w:ind w:left="0"/>
        <w:rPr>
          <w:color w:val="FF0000"/>
          <w:lang w:val="sk-SK"/>
        </w:rPr>
      </w:pPr>
    </w:p>
    <w:p w14:paraId="780217EF" w14:textId="010A52DE" w:rsidR="00D86D14" w:rsidRPr="006B7FD2" w:rsidRDefault="00D86D14" w:rsidP="00D86D14">
      <w:pPr>
        <w:widowControl w:val="0"/>
        <w:jc w:val="both"/>
        <w:rPr>
          <w:i/>
          <w:u w:val="single"/>
          <w:lang w:val="sk-SK"/>
        </w:rPr>
      </w:pPr>
      <w:r w:rsidRPr="006B7FD2">
        <w:rPr>
          <w:i/>
          <w:u w:val="single"/>
          <w:lang w:val="sk-SK"/>
        </w:rPr>
        <w:t>Predčasne naroden</w:t>
      </w:r>
      <w:r w:rsidR="007F3935">
        <w:rPr>
          <w:i/>
          <w:u w:val="single"/>
          <w:lang w:val="sk-SK"/>
        </w:rPr>
        <w:t>í novorodenci</w:t>
      </w:r>
      <w:r w:rsidRPr="006B7FD2">
        <w:rPr>
          <w:i/>
          <w:u w:val="single"/>
          <w:lang w:val="sk-SK"/>
        </w:rPr>
        <w:t>:</w:t>
      </w:r>
    </w:p>
    <w:p w14:paraId="035D1DCB" w14:textId="77777777" w:rsidR="00D86D14" w:rsidRPr="004229C9" w:rsidRDefault="00D86D14" w:rsidP="00D86D14">
      <w:pPr>
        <w:widowControl w:val="0"/>
        <w:jc w:val="both"/>
        <w:rPr>
          <w:lang w:val="sk-SK"/>
        </w:rPr>
      </w:pPr>
      <w:r w:rsidRPr="004229C9">
        <w:rPr>
          <w:lang w:val="sk-SK"/>
        </w:rPr>
        <w:t>Odporúčaná dávka je 50 mg/kg/deň rozdelená do 2 až 4 dávok (každých 12 až 6 hodín).</w:t>
      </w:r>
    </w:p>
    <w:p w14:paraId="264CB2DD" w14:textId="0419BBE9" w:rsidR="00D86D14" w:rsidRPr="004229C9" w:rsidRDefault="00D86D14" w:rsidP="00D86D14">
      <w:pPr>
        <w:widowControl w:val="0"/>
        <w:jc w:val="both"/>
        <w:rPr>
          <w:lang w:val="sk-SK"/>
        </w:rPr>
      </w:pPr>
      <w:r w:rsidRPr="004229C9">
        <w:rPr>
          <w:lang w:val="sk-SK"/>
        </w:rPr>
        <w:t>Toto maximum nem</w:t>
      </w:r>
      <w:r>
        <w:rPr>
          <w:lang w:val="sk-SK"/>
        </w:rPr>
        <w:t>á</w:t>
      </w:r>
      <w:r w:rsidRPr="004229C9">
        <w:rPr>
          <w:lang w:val="sk-SK"/>
        </w:rPr>
        <w:t xml:space="preserve"> byť prekročené s</w:t>
      </w:r>
      <w:r w:rsidR="00F63163">
        <w:rPr>
          <w:lang w:val="sk-SK"/>
        </w:rPr>
        <w:t> </w:t>
      </w:r>
      <w:r w:rsidRPr="004229C9">
        <w:rPr>
          <w:lang w:val="sk-SK"/>
        </w:rPr>
        <w:t>ohľadom na nie celkom zrelú funkciu obličiek.</w:t>
      </w:r>
    </w:p>
    <w:p w14:paraId="67769203" w14:textId="77777777" w:rsidR="00D86D14" w:rsidRDefault="00D86D14" w:rsidP="00D86D14">
      <w:pPr>
        <w:widowControl w:val="0"/>
        <w:rPr>
          <w:u w:val="single"/>
          <w:lang w:val="sk-SK"/>
        </w:rPr>
      </w:pPr>
    </w:p>
    <w:p w14:paraId="4ACC731A" w14:textId="77777777" w:rsidR="00D86D14" w:rsidRPr="006B7FD2" w:rsidRDefault="00D86D14" w:rsidP="00D86D14">
      <w:pPr>
        <w:widowControl w:val="0"/>
        <w:rPr>
          <w:i/>
          <w:u w:val="single"/>
          <w:lang w:val="sk-SK"/>
        </w:rPr>
      </w:pPr>
      <w:r w:rsidRPr="006B7FD2">
        <w:rPr>
          <w:i/>
          <w:u w:val="single"/>
          <w:lang w:val="sk-SK"/>
        </w:rPr>
        <w:t>Starší pacienti:</w:t>
      </w:r>
    </w:p>
    <w:p w14:paraId="20688982" w14:textId="6A4A8208" w:rsidR="00D86D14" w:rsidRPr="004229C9" w:rsidRDefault="00D86D14" w:rsidP="00D86D14">
      <w:pPr>
        <w:widowControl w:val="0"/>
        <w:rPr>
          <w:lang w:val="sk-SK"/>
        </w:rPr>
      </w:pPr>
      <w:r w:rsidRPr="004229C9">
        <w:rPr>
          <w:lang w:val="sk-SK"/>
        </w:rPr>
        <w:t>Úprava dávkovania nie je potrebná za predpokladu normálnej funkcie obličiek a</w:t>
      </w:r>
      <w:r w:rsidR="00F63163">
        <w:rPr>
          <w:lang w:val="sk-SK"/>
        </w:rPr>
        <w:t> </w:t>
      </w:r>
      <w:r w:rsidRPr="004229C9">
        <w:rPr>
          <w:lang w:val="sk-SK"/>
        </w:rPr>
        <w:t>pečene.</w:t>
      </w:r>
    </w:p>
    <w:p w14:paraId="65700AA1" w14:textId="77777777" w:rsidR="00D86D14" w:rsidRDefault="00D86D14" w:rsidP="00D86D14">
      <w:pPr>
        <w:widowControl w:val="0"/>
        <w:rPr>
          <w:i/>
          <w:lang w:val="sk-SK"/>
        </w:rPr>
      </w:pPr>
    </w:p>
    <w:p w14:paraId="1654AA7E" w14:textId="77777777" w:rsidR="00F63163" w:rsidRDefault="00D86D14" w:rsidP="00D86D14">
      <w:pPr>
        <w:widowControl w:val="0"/>
        <w:rPr>
          <w:b/>
          <w:lang w:val="sk-SK"/>
        </w:rPr>
      </w:pPr>
      <w:r w:rsidRPr="006A6EC0">
        <w:rPr>
          <w:b/>
          <w:lang w:val="sk-SK"/>
        </w:rPr>
        <w:t>Iné odporúčania</w:t>
      </w:r>
      <w:r w:rsidR="00F63163">
        <w:rPr>
          <w:b/>
          <w:lang w:val="sk-SK"/>
        </w:rPr>
        <w:t>:</w:t>
      </w:r>
    </w:p>
    <w:p w14:paraId="06557C2B" w14:textId="77777777" w:rsidR="00D86D14" w:rsidRPr="004229C9" w:rsidRDefault="00D86D14" w:rsidP="006A6EC0">
      <w:pPr>
        <w:widowControl w:val="0"/>
        <w:rPr>
          <w:i/>
          <w:lang w:val="sk-SK"/>
        </w:rPr>
      </w:pPr>
      <w:proofErr w:type="spellStart"/>
      <w:r w:rsidRPr="004229C9">
        <w:rPr>
          <w:i/>
          <w:lang w:val="sk-SK"/>
        </w:rPr>
        <w:t>Gonorea</w:t>
      </w:r>
      <w:proofErr w:type="spellEnd"/>
      <w:r w:rsidRPr="004229C9">
        <w:rPr>
          <w:i/>
          <w:lang w:val="sk-SK"/>
        </w:rPr>
        <w:t>:</w:t>
      </w:r>
    </w:p>
    <w:p w14:paraId="18891F91" w14:textId="77777777" w:rsidR="00D86D14" w:rsidRPr="004229C9" w:rsidRDefault="00D86D14" w:rsidP="00D86D14">
      <w:pPr>
        <w:widowControl w:val="0"/>
        <w:outlineLvl w:val="0"/>
        <w:rPr>
          <w:lang w:val="sk-SK"/>
        </w:rPr>
      </w:pPr>
      <w:r w:rsidRPr="004229C9">
        <w:rPr>
          <w:lang w:val="sk-SK"/>
        </w:rPr>
        <w:t xml:space="preserve">Pri </w:t>
      </w:r>
      <w:r>
        <w:rPr>
          <w:lang w:val="sk-SK"/>
        </w:rPr>
        <w:t xml:space="preserve">nekomplikovanej </w:t>
      </w:r>
      <w:r w:rsidRPr="004229C9">
        <w:rPr>
          <w:lang w:val="sk-SK"/>
        </w:rPr>
        <w:t xml:space="preserve">kvapavke sa podáva </w:t>
      </w:r>
      <w:r w:rsidRPr="00EB6871">
        <w:rPr>
          <w:lang w:val="sk-SK"/>
        </w:rPr>
        <w:t>jednor</w:t>
      </w:r>
      <w:r w:rsidR="00EB6871">
        <w:rPr>
          <w:lang w:val="sk-SK"/>
        </w:rPr>
        <w:t>a</w:t>
      </w:r>
      <w:r w:rsidRPr="00EB6871">
        <w:rPr>
          <w:lang w:val="sk-SK"/>
        </w:rPr>
        <w:t>zová</w:t>
      </w:r>
      <w:r w:rsidRPr="004229C9">
        <w:rPr>
          <w:lang w:val="sk-SK"/>
        </w:rPr>
        <w:t xml:space="preserve"> injekcia </w:t>
      </w:r>
      <w:proofErr w:type="spellStart"/>
      <w:r w:rsidRPr="004229C9">
        <w:rPr>
          <w:lang w:val="sk-SK"/>
        </w:rPr>
        <w:t>Cefotaxim</w:t>
      </w:r>
      <w:proofErr w:type="spellEnd"/>
      <w:r w:rsidRPr="004229C9">
        <w:rPr>
          <w:lang w:val="sk-SK"/>
        </w:rPr>
        <w:t xml:space="preserve"> </w:t>
      </w:r>
      <w:proofErr w:type="spellStart"/>
      <w:r w:rsidRPr="004229C9">
        <w:rPr>
          <w:lang w:val="sk-SK"/>
        </w:rPr>
        <w:t>Eberth</w:t>
      </w:r>
      <w:proofErr w:type="spellEnd"/>
      <w:r w:rsidRPr="004229C9">
        <w:rPr>
          <w:lang w:val="sk-SK"/>
        </w:rPr>
        <w:t xml:space="preserve"> </w:t>
      </w:r>
      <w:r>
        <w:rPr>
          <w:lang w:val="sk-SK"/>
        </w:rPr>
        <w:t>0,5</w:t>
      </w:r>
      <w:r w:rsidRPr="004229C9">
        <w:rPr>
          <w:lang w:val="sk-SK"/>
        </w:rPr>
        <w:t xml:space="preserve"> g </w:t>
      </w:r>
      <w:r w:rsidRPr="00862393">
        <w:rPr>
          <w:lang w:val="sk-SK"/>
        </w:rPr>
        <w:t>(</w:t>
      </w:r>
      <w:proofErr w:type="spellStart"/>
      <w:r w:rsidRPr="00862393">
        <w:rPr>
          <w:lang w:val="sk-SK"/>
        </w:rPr>
        <w:t>intramuskulárne</w:t>
      </w:r>
      <w:proofErr w:type="spellEnd"/>
      <w:r w:rsidRPr="00862393">
        <w:rPr>
          <w:lang w:val="sk-SK"/>
        </w:rPr>
        <w:t>).</w:t>
      </w:r>
      <w:r w:rsidRPr="004229C9">
        <w:rPr>
          <w:lang w:val="sk-SK"/>
        </w:rPr>
        <w:t xml:space="preserve"> Pri </w:t>
      </w:r>
      <w:r>
        <w:rPr>
          <w:lang w:val="sk-SK"/>
        </w:rPr>
        <w:t>liečbe komplikovaných infekcií je potrebné venovať pozornosť oficiálne platným pokynom</w:t>
      </w:r>
      <w:r w:rsidRPr="004229C9">
        <w:rPr>
          <w:lang w:val="sk-SK"/>
        </w:rPr>
        <w:t xml:space="preserve">. Syfilis </w:t>
      </w:r>
      <w:r>
        <w:rPr>
          <w:lang w:val="sk-SK"/>
        </w:rPr>
        <w:t xml:space="preserve">je potrebné </w:t>
      </w:r>
      <w:r w:rsidRPr="004229C9">
        <w:rPr>
          <w:lang w:val="sk-SK"/>
        </w:rPr>
        <w:t xml:space="preserve">pred začatím liečby </w:t>
      </w:r>
      <w:r>
        <w:rPr>
          <w:lang w:val="sk-SK"/>
        </w:rPr>
        <w:t>vylúčiť</w:t>
      </w:r>
      <w:r w:rsidRPr="004229C9">
        <w:rPr>
          <w:lang w:val="sk-SK"/>
        </w:rPr>
        <w:t>.</w:t>
      </w:r>
    </w:p>
    <w:p w14:paraId="5F8CBC04" w14:textId="77777777" w:rsidR="00D86D14" w:rsidRDefault="00D86D14" w:rsidP="00D86D14">
      <w:pPr>
        <w:widowControl w:val="0"/>
        <w:outlineLvl w:val="0"/>
        <w:rPr>
          <w:i/>
          <w:lang w:val="sk-SK"/>
        </w:rPr>
      </w:pPr>
    </w:p>
    <w:p w14:paraId="3515C417" w14:textId="77777777" w:rsidR="00D86D14" w:rsidRPr="004229C9" w:rsidRDefault="00D86D14" w:rsidP="00D86D14">
      <w:pPr>
        <w:widowControl w:val="0"/>
        <w:outlineLvl w:val="0"/>
        <w:rPr>
          <w:i/>
          <w:lang w:val="sk-SK"/>
        </w:rPr>
      </w:pPr>
      <w:r w:rsidRPr="004229C9">
        <w:rPr>
          <w:i/>
          <w:lang w:val="sk-SK"/>
        </w:rPr>
        <w:t xml:space="preserve">Bakteriálna </w:t>
      </w:r>
      <w:proofErr w:type="spellStart"/>
      <w:r w:rsidRPr="004229C9">
        <w:rPr>
          <w:i/>
          <w:lang w:val="sk-SK"/>
        </w:rPr>
        <w:t>meningitída</w:t>
      </w:r>
      <w:proofErr w:type="spellEnd"/>
      <w:r>
        <w:rPr>
          <w:i/>
          <w:lang w:val="sk-SK"/>
        </w:rPr>
        <w:t>:</w:t>
      </w:r>
    </w:p>
    <w:p w14:paraId="1F1069A5" w14:textId="77777777" w:rsidR="00D86D14" w:rsidRPr="004229C9" w:rsidRDefault="00D86D14" w:rsidP="00D86D14">
      <w:pPr>
        <w:widowControl w:val="0"/>
        <w:outlineLvl w:val="0"/>
        <w:rPr>
          <w:lang w:val="sk-SK"/>
        </w:rPr>
      </w:pPr>
      <w:r w:rsidRPr="004229C9">
        <w:rPr>
          <w:lang w:val="sk-SK"/>
        </w:rPr>
        <w:t>Odporúčaná denná dávka pre dospelých je 6 až 12 g rozdelená na rovnaké dávky každých 6 až 8 hodín.</w:t>
      </w:r>
    </w:p>
    <w:p w14:paraId="53B196C3" w14:textId="77777777" w:rsidR="00D86D14" w:rsidRPr="003E07FD" w:rsidRDefault="00D86D14" w:rsidP="00D86D14">
      <w:pPr>
        <w:widowControl w:val="0"/>
        <w:outlineLvl w:val="0"/>
        <w:rPr>
          <w:color w:val="FF0000"/>
          <w:u w:val="single"/>
          <w:lang w:val="sk-SK"/>
        </w:rPr>
      </w:pPr>
    </w:p>
    <w:p w14:paraId="5EF19D0A" w14:textId="77777777" w:rsidR="00D86D14" w:rsidRDefault="00D86D14" w:rsidP="00D86D14">
      <w:pPr>
        <w:widowControl w:val="0"/>
        <w:outlineLvl w:val="0"/>
        <w:rPr>
          <w:u w:val="single"/>
          <w:lang w:val="sk-SK"/>
        </w:rPr>
      </w:pPr>
      <w:r>
        <w:rPr>
          <w:u w:val="single"/>
          <w:lang w:val="sk-SK"/>
        </w:rPr>
        <w:lastRenderedPageBreak/>
        <w:t>Dojčatá a batoľatá (28 dní až 23 mesiacov) a deti (2 až 11 rokov)</w:t>
      </w:r>
      <w:r w:rsidRPr="00636691">
        <w:rPr>
          <w:u w:val="single"/>
          <w:lang w:val="sk-SK"/>
        </w:rPr>
        <w:t>:</w:t>
      </w:r>
    </w:p>
    <w:p w14:paraId="76227F8B" w14:textId="77777777" w:rsidR="00D86D14" w:rsidRPr="004229C9" w:rsidRDefault="00D86D14" w:rsidP="00D86D14">
      <w:pPr>
        <w:widowControl w:val="0"/>
        <w:outlineLvl w:val="0"/>
        <w:rPr>
          <w:lang w:val="sk-SK"/>
        </w:rPr>
      </w:pPr>
      <w:r w:rsidRPr="004229C9">
        <w:rPr>
          <w:lang w:val="sk-SK"/>
        </w:rPr>
        <w:t>150 až 200 mg/kg rozdelených na rovnaké dávky každých 6 až 8 hodín.</w:t>
      </w:r>
    </w:p>
    <w:p w14:paraId="2483DB74" w14:textId="77777777" w:rsidR="00D86D14" w:rsidRPr="003E07FD" w:rsidRDefault="00D86D14" w:rsidP="00D86D14">
      <w:pPr>
        <w:widowControl w:val="0"/>
        <w:outlineLvl w:val="0"/>
        <w:rPr>
          <w:color w:val="FF0000"/>
          <w:lang w:val="sk-SK"/>
        </w:rPr>
      </w:pPr>
    </w:p>
    <w:p w14:paraId="7186B09A" w14:textId="7AB21392" w:rsidR="00D86D14" w:rsidRPr="00636691" w:rsidRDefault="007F3935" w:rsidP="00D86D14">
      <w:pPr>
        <w:widowControl w:val="0"/>
        <w:outlineLvl w:val="0"/>
        <w:rPr>
          <w:u w:val="single"/>
          <w:lang w:val="sk-SK"/>
        </w:rPr>
      </w:pPr>
      <w:r>
        <w:rPr>
          <w:u w:val="single"/>
          <w:lang w:val="sk-SK"/>
        </w:rPr>
        <w:t>V termíne narodení n</w:t>
      </w:r>
      <w:r w:rsidR="00D86D14" w:rsidRPr="00636691">
        <w:rPr>
          <w:u w:val="single"/>
          <w:lang w:val="sk-SK"/>
        </w:rPr>
        <w:t>ovorodenci:</w:t>
      </w:r>
    </w:p>
    <w:p w14:paraId="5731FE61" w14:textId="1CA5D4C2" w:rsidR="00D86D14" w:rsidRPr="004229C9" w:rsidRDefault="007F3935" w:rsidP="00D86D14">
      <w:pPr>
        <w:widowControl w:val="0"/>
        <w:outlineLvl w:val="0"/>
        <w:rPr>
          <w:lang w:val="sk-SK"/>
        </w:rPr>
      </w:pPr>
      <w:r>
        <w:rPr>
          <w:lang w:val="sk-SK"/>
        </w:rPr>
        <w:t>V termíne narodení n</w:t>
      </w:r>
      <w:r w:rsidR="00D86D14">
        <w:rPr>
          <w:lang w:val="sk-SK"/>
        </w:rPr>
        <w:t xml:space="preserve">ovorodenci 0 až 7 dní: </w:t>
      </w:r>
      <w:r w:rsidR="00D86D14" w:rsidRPr="004229C9">
        <w:rPr>
          <w:lang w:val="sk-SK"/>
        </w:rPr>
        <w:t>50 mg/kg</w:t>
      </w:r>
      <w:r w:rsidR="00D86D14">
        <w:rPr>
          <w:lang w:val="sk-SK"/>
        </w:rPr>
        <w:t>/deň rozdelených do 2 dávok</w:t>
      </w:r>
      <w:r w:rsidR="00D86D14" w:rsidRPr="004229C9">
        <w:rPr>
          <w:lang w:val="sk-SK"/>
        </w:rPr>
        <w:t xml:space="preserve"> </w:t>
      </w:r>
      <w:r w:rsidR="00D86D14">
        <w:rPr>
          <w:lang w:val="sk-SK"/>
        </w:rPr>
        <w:t>(</w:t>
      </w:r>
      <w:r w:rsidR="00D86D14" w:rsidRPr="004229C9">
        <w:rPr>
          <w:lang w:val="sk-SK"/>
        </w:rPr>
        <w:t>každých 12 hodín</w:t>
      </w:r>
      <w:r w:rsidR="00D86D14">
        <w:rPr>
          <w:lang w:val="sk-SK"/>
        </w:rPr>
        <w:t>)</w:t>
      </w:r>
      <w:r w:rsidR="00D86D14" w:rsidRPr="004229C9">
        <w:rPr>
          <w:lang w:val="sk-SK"/>
        </w:rPr>
        <w:t>.</w:t>
      </w:r>
    </w:p>
    <w:p w14:paraId="33F8A196" w14:textId="20DFCEC0" w:rsidR="00D86D14" w:rsidRDefault="007F3935" w:rsidP="00D86D14">
      <w:pPr>
        <w:widowControl w:val="0"/>
        <w:rPr>
          <w:lang w:val="sk-SK"/>
        </w:rPr>
      </w:pPr>
      <w:r>
        <w:rPr>
          <w:lang w:val="sk-SK"/>
        </w:rPr>
        <w:t>V termíne narodení n</w:t>
      </w:r>
      <w:r w:rsidR="00D86D14" w:rsidRPr="00665FA6">
        <w:rPr>
          <w:lang w:val="sk-SK"/>
        </w:rPr>
        <w:t>ovorodenc</w:t>
      </w:r>
      <w:r w:rsidR="00D86D14">
        <w:rPr>
          <w:lang w:val="sk-SK"/>
        </w:rPr>
        <w:t>i</w:t>
      </w:r>
      <w:r w:rsidR="00D86D14" w:rsidRPr="00665FA6">
        <w:rPr>
          <w:lang w:val="sk-SK"/>
        </w:rPr>
        <w:t xml:space="preserve"> 8 </w:t>
      </w:r>
      <w:r w:rsidR="00D86D14">
        <w:rPr>
          <w:lang w:val="sk-SK"/>
        </w:rPr>
        <w:t>až</w:t>
      </w:r>
      <w:r w:rsidR="00D86D14" w:rsidRPr="00665FA6">
        <w:rPr>
          <w:lang w:val="sk-SK"/>
        </w:rPr>
        <w:t xml:space="preserve"> 27 dní:</w:t>
      </w:r>
      <w:r w:rsidR="00D86D14">
        <w:rPr>
          <w:lang w:val="sk-SK"/>
        </w:rPr>
        <w:t xml:space="preserve"> </w:t>
      </w:r>
      <w:r w:rsidR="00D86D14" w:rsidRPr="004229C9">
        <w:rPr>
          <w:lang w:val="sk-SK"/>
        </w:rPr>
        <w:t xml:space="preserve">50 mg/kg každých </w:t>
      </w:r>
      <w:r w:rsidR="00D86D14">
        <w:rPr>
          <w:lang w:val="sk-SK"/>
        </w:rPr>
        <w:t>8</w:t>
      </w:r>
      <w:r w:rsidR="00D86D14" w:rsidRPr="004229C9">
        <w:rPr>
          <w:lang w:val="sk-SK"/>
        </w:rPr>
        <w:t xml:space="preserve"> hodín</w:t>
      </w:r>
      <w:r w:rsidR="00D86D14">
        <w:rPr>
          <w:lang w:val="sk-SK"/>
        </w:rPr>
        <w:t>.</w:t>
      </w:r>
    </w:p>
    <w:p w14:paraId="645BC2DE" w14:textId="77777777" w:rsidR="00D86D14" w:rsidRDefault="00D86D14" w:rsidP="00D86D14">
      <w:pPr>
        <w:widowControl w:val="0"/>
        <w:rPr>
          <w:lang w:val="sk-SK"/>
        </w:rPr>
      </w:pPr>
    </w:p>
    <w:p w14:paraId="2F4FB483" w14:textId="77777777" w:rsidR="00D86D14" w:rsidRPr="004229C9" w:rsidRDefault="00D86D14" w:rsidP="00D86D14">
      <w:pPr>
        <w:widowControl w:val="0"/>
        <w:rPr>
          <w:i/>
          <w:lang w:val="sk-SK"/>
        </w:rPr>
      </w:pPr>
      <w:proofErr w:type="spellStart"/>
      <w:r w:rsidRPr="004229C9">
        <w:rPr>
          <w:i/>
          <w:lang w:val="sk-SK"/>
        </w:rPr>
        <w:t>Vnútrobrušné</w:t>
      </w:r>
      <w:proofErr w:type="spellEnd"/>
      <w:r w:rsidRPr="004229C9">
        <w:rPr>
          <w:i/>
          <w:lang w:val="sk-SK"/>
        </w:rPr>
        <w:t xml:space="preserve"> infekcie</w:t>
      </w:r>
      <w:r>
        <w:rPr>
          <w:i/>
          <w:lang w:val="sk-SK"/>
        </w:rPr>
        <w:t>:</w:t>
      </w:r>
    </w:p>
    <w:p w14:paraId="1FCCD4B7" w14:textId="77777777" w:rsidR="00D86D14" w:rsidRDefault="00D86D14" w:rsidP="00D86D14">
      <w:pPr>
        <w:widowControl w:val="0"/>
        <w:rPr>
          <w:lang w:val="sk-SK"/>
        </w:rPr>
      </w:pPr>
      <w:r w:rsidRPr="004229C9">
        <w:rPr>
          <w:lang w:val="sk-SK"/>
        </w:rPr>
        <w:t xml:space="preserve">V liečbe </w:t>
      </w:r>
      <w:proofErr w:type="spellStart"/>
      <w:r w:rsidRPr="004229C9">
        <w:rPr>
          <w:lang w:val="sk-SK"/>
        </w:rPr>
        <w:t>vnútrobrušných</w:t>
      </w:r>
      <w:proofErr w:type="spellEnd"/>
      <w:r w:rsidRPr="004229C9">
        <w:rPr>
          <w:lang w:val="sk-SK"/>
        </w:rPr>
        <w:t xml:space="preserve"> infekcií sa m</w:t>
      </w:r>
      <w:r>
        <w:rPr>
          <w:lang w:val="sk-SK"/>
        </w:rPr>
        <w:t>á</w:t>
      </w:r>
      <w:r w:rsidRPr="004229C9">
        <w:rPr>
          <w:lang w:val="sk-SK"/>
        </w:rPr>
        <w:t xml:space="preserve"> </w:t>
      </w:r>
      <w:r>
        <w:rPr>
          <w:lang w:val="sk-SK"/>
        </w:rPr>
        <w:t>cefotaxím</w:t>
      </w:r>
      <w:r w:rsidRPr="004229C9">
        <w:rPr>
          <w:lang w:val="sk-SK"/>
        </w:rPr>
        <w:t xml:space="preserve"> </w:t>
      </w:r>
      <w:r>
        <w:rPr>
          <w:lang w:val="sk-SK"/>
        </w:rPr>
        <w:t>po</w:t>
      </w:r>
      <w:r w:rsidRPr="004229C9">
        <w:rPr>
          <w:lang w:val="sk-SK"/>
        </w:rPr>
        <w:t>užiť v kombinácii s antibiotikom, ktor</w:t>
      </w:r>
      <w:r>
        <w:rPr>
          <w:lang w:val="sk-SK"/>
        </w:rPr>
        <w:t>é</w:t>
      </w:r>
      <w:r w:rsidRPr="004229C9">
        <w:rPr>
          <w:lang w:val="sk-SK"/>
        </w:rPr>
        <w:t xml:space="preserve"> je účinn</w:t>
      </w:r>
      <w:r>
        <w:rPr>
          <w:lang w:val="sk-SK"/>
        </w:rPr>
        <w:t>é</w:t>
      </w:r>
      <w:r w:rsidRPr="004229C9">
        <w:rPr>
          <w:lang w:val="sk-SK"/>
        </w:rPr>
        <w:t xml:space="preserve"> proti anaeróbom</w:t>
      </w:r>
      <w:r>
        <w:rPr>
          <w:lang w:val="sk-SK"/>
        </w:rPr>
        <w:t>.</w:t>
      </w:r>
    </w:p>
    <w:p w14:paraId="10094321" w14:textId="77777777" w:rsidR="00D86D14" w:rsidRDefault="00D86D14" w:rsidP="00D86D14">
      <w:pPr>
        <w:widowControl w:val="0"/>
        <w:rPr>
          <w:lang w:val="sk-SK"/>
        </w:rPr>
      </w:pPr>
    </w:p>
    <w:p w14:paraId="4E6109E0" w14:textId="77777777" w:rsidR="00D86D14" w:rsidRPr="006A6EC0" w:rsidRDefault="00D86D14" w:rsidP="00D86D14">
      <w:pPr>
        <w:pStyle w:val="Zkladntext3"/>
        <w:spacing w:after="0" w:line="240" w:lineRule="auto"/>
        <w:rPr>
          <w:b/>
          <w:sz w:val="22"/>
          <w:szCs w:val="22"/>
          <w:u w:val="single"/>
          <w:lang w:val="sk-SK"/>
        </w:rPr>
      </w:pPr>
      <w:r w:rsidRPr="006A6EC0">
        <w:rPr>
          <w:b/>
          <w:sz w:val="22"/>
          <w:szCs w:val="22"/>
          <w:u w:val="single"/>
          <w:lang w:val="sk-SK"/>
        </w:rPr>
        <w:t>Dĺžka liečby</w:t>
      </w:r>
    </w:p>
    <w:p w14:paraId="4563ABBC" w14:textId="6049BA74" w:rsidR="00D86D14" w:rsidRPr="00636691" w:rsidRDefault="00D86D14" w:rsidP="00D86D14">
      <w:pPr>
        <w:pStyle w:val="Zkladntext3"/>
        <w:spacing w:after="0" w:line="240" w:lineRule="auto"/>
        <w:rPr>
          <w:color w:val="FF0000"/>
          <w:sz w:val="22"/>
          <w:szCs w:val="22"/>
          <w:lang w:val="sk-SK"/>
        </w:rPr>
      </w:pPr>
      <w:r w:rsidRPr="00636691">
        <w:rPr>
          <w:sz w:val="22"/>
          <w:szCs w:val="22"/>
          <w:lang w:val="sk-SK"/>
        </w:rPr>
        <w:t xml:space="preserve">Dĺžka liečby s liekom </w:t>
      </w:r>
      <w:proofErr w:type="spellStart"/>
      <w:r w:rsidR="007F3935">
        <w:rPr>
          <w:sz w:val="22"/>
          <w:szCs w:val="22"/>
          <w:lang w:val="sk-SK"/>
        </w:rPr>
        <w:t>C</w:t>
      </w:r>
      <w:r>
        <w:rPr>
          <w:sz w:val="22"/>
          <w:szCs w:val="22"/>
          <w:lang w:val="sk-SK"/>
        </w:rPr>
        <w:t>efotax</w:t>
      </w:r>
      <w:r w:rsidR="007F3935">
        <w:rPr>
          <w:sz w:val="22"/>
          <w:szCs w:val="22"/>
          <w:lang w:val="sk-SK"/>
        </w:rPr>
        <w:t>i</w:t>
      </w:r>
      <w:r>
        <w:rPr>
          <w:sz w:val="22"/>
          <w:szCs w:val="22"/>
          <w:lang w:val="sk-SK"/>
        </w:rPr>
        <w:t>m</w:t>
      </w:r>
      <w:proofErr w:type="spellEnd"/>
      <w:r w:rsidR="007F3935">
        <w:rPr>
          <w:sz w:val="22"/>
          <w:szCs w:val="22"/>
          <w:lang w:val="sk-SK"/>
        </w:rPr>
        <w:t xml:space="preserve"> </w:t>
      </w:r>
      <w:proofErr w:type="spellStart"/>
      <w:r w:rsidR="007F3935">
        <w:rPr>
          <w:sz w:val="22"/>
          <w:szCs w:val="22"/>
          <w:lang w:val="sk-SK"/>
        </w:rPr>
        <w:t>Eberth</w:t>
      </w:r>
      <w:proofErr w:type="spellEnd"/>
      <w:r w:rsidRPr="00636691">
        <w:rPr>
          <w:sz w:val="22"/>
          <w:szCs w:val="22"/>
          <w:lang w:val="sk-SK"/>
        </w:rPr>
        <w:t xml:space="preserve"> závisí od klinického stavu pacienta a mení sa podľa príčiny choroby. </w:t>
      </w:r>
      <w:r>
        <w:rPr>
          <w:sz w:val="22"/>
          <w:szCs w:val="22"/>
          <w:lang w:val="sk-SK"/>
        </w:rPr>
        <w:t>Cefotaxím</w:t>
      </w:r>
      <w:r w:rsidRPr="00636691">
        <w:rPr>
          <w:sz w:val="22"/>
          <w:szCs w:val="22"/>
          <w:lang w:val="sk-SK"/>
        </w:rPr>
        <w:t xml:space="preserve"> sa m</w:t>
      </w:r>
      <w:r>
        <w:rPr>
          <w:sz w:val="22"/>
          <w:szCs w:val="22"/>
          <w:lang w:val="sk-SK"/>
        </w:rPr>
        <w:t>á</w:t>
      </w:r>
      <w:r w:rsidRPr="00636691">
        <w:rPr>
          <w:sz w:val="22"/>
          <w:szCs w:val="22"/>
          <w:lang w:val="sk-SK"/>
        </w:rPr>
        <w:t xml:space="preserve"> podávať nepretržite</w:t>
      </w:r>
      <w:r>
        <w:rPr>
          <w:sz w:val="22"/>
          <w:szCs w:val="22"/>
          <w:lang w:val="sk-SK"/>
        </w:rPr>
        <w:t>,</w:t>
      </w:r>
      <w:r w:rsidRPr="00636691">
        <w:rPr>
          <w:sz w:val="22"/>
          <w:szCs w:val="22"/>
          <w:lang w:val="sk-SK"/>
        </w:rPr>
        <w:t xml:space="preserve"> až kým neustúpia symptómy alebo sa nezíska dôkaz vyhubenia baktérií. Liečenie </w:t>
      </w:r>
      <w:r>
        <w:rPr>
          <w:sz w:val="22"/>
          <w:szCs w:val="22"/>
          <w:lang w:val="sk-SK"/>
        </w:rPr>
        <w:t>s dĺžkou trvania viac</w:t>
      </w:r>
      <w:r w:rsidRPr="00636691">
        <w:rPr>
          <w:sz w:val="22"/>
          <w:szCs w:val="22"/>
          <w:lang w:val="sk-SK"/>
        </w:rPr>
        <w:t xml:space="preserve"> ako 10 dní je potrebné u infekcií vyvolaných </w:t>
      </w:r>
      <w:proofErr w:type="spellStart"/>
      <w:r w:rsidRPr="007319A1">
        <w:rPr>
          <w:i/>
          <w:sz w:val="22"/>
          <w:szCs w:val="22"/>
          <w:lang w:val="sk-SK"/>
        </w:rPr>
        <w:t>Streptococcus</w:t>
      </w:r>
      <w:proofErr w:type="spellEnd"/>
      <w:r w:rsidRPr="007319A1">
        <w:rPr>
          <w:i/>
          <w:sz w:val="22"/>
          <w:szCs w:val="22"/>
          <w:lang w:val="sk-SK"/>
        </w:rPr>
        <w:t xml:space="preserve"> </w:t>
      </w:r>
      <w:proofErr w:type="spellStart"/>
      <w:r w:rsidRPr="007319A1">
        <w:rPr>
          <w:i/>
          <w:sz w:val="22"/>
          <w:szCs w:val="22"/>
          <w:lang w:val="sk-SK"/>
        </w:rPr>
        <w:t>pyogenes</w:t>
      </w:r>
      <w:proofErr w:type="spellEnd"/>
      <w:r w:rsidRPr="00636691">
        <w:rPr>
          <w:sz w:val="22"/>
          <w:szCs w:val="22"/>
          <w:lang w:val="sk-SK"/>
        </w:rPr>
        <w:t xml:space="preserve"> (</w:t>
      </w:r>
      <w:proofErr w:type="spellStart"/>
      <w:r w:rsidRPr="00636691">
        <w:rPr>
          <w:sz w:val="22"/>
          <w:szCs w:val="22"/>
          <w:lang w:val="sk-SK"/>
        </w:rPr>
        <w:t>parenterálna</w:t>
      </w:r>
      <w:proofErr w:type="spellEnd"/>
      <w:r w:rsidRPr="00636691">
        <w:rPr>
          <w:sz w:val="22"/>
          <w:szCs w:val="22"/>
          <w:lang w:val="sk-SK"/>
        </w:rPr>
        <w:t xml:space="preserve"> terapia </w:t>
      </w:r>
      <w:r>
        <w:rPr>
          <w:sz w:val="22"/>
          <w:szCs w:val="22"/>
          <w:lang w:val="sk-SK"/>
        </w:rPr>
        <w:t>môže</w:t>
      </w:r>
      <w:r w:rsidRPr="00636691">
        <w:rPr>
          <w:sz w:val="22"/>
          <w:szCs w:val="22"/>
          <w:lang w:val="sk-SK"/>
        </w:rPr>
        <w:t xml:space="preserve"> byť zamenená </w:t>
      </w:r>
      <w:r>
        <w:rPr>
          <w:sz w:val="22"/>
          <w:szCs w:val="22"/>
          <w:lang w:val="sk-SK"/>
        </w:rPr>
        <w:t>za</w:t>
      </w:r>
      <w:r w:rsidRPr="00636691">
        <w:rPr>
          <w:sz w:val="22"/>
          <w:szCs w:val="22"/>
          <w:lang w:val="sk-SK"/>
        </w:rPr>
        <w:t xml:space="preserve"> adekvátnu orálnu terapiu pred koncom 10-dňovej periódy).</w:t>
      </w:r>
    </w:p>
    <w:p w14:paraId="1BC03639" w14:textId="77777777" w:rsidR="00D86D14" w:rsidRDefault="00D86D14" w:rsidP="00D86D14">
      <w:pPr>
        <w:widowControl w:val="0"/>
        <w:rPr>
          <w:u w:val="single"/>
          <w:lang w:val="sk-SK"/>
        </w:rPr>
      </w:pPr>
    </w:p>
    <w:p w14:paraId="37ECE3E7" w14:textId="41FF3284" w:rsidR="00D86D14" w:rsidRPr="006A6EC0" w:rsidRDefault="007F3935" w:rsidP="00D86D14">
      <w:pPr>
        <w:widowControl w:val="0"/>
        <w:rPr>
          <w:i/>
          <w:u w:val="single"/>
          <w:lang w:val="sk-SK"/>
        </w:rPr>
      </w:pPr>
      <w:r>
        <w:rPr>
          <w:i/>
          <w:u w:val="single"/>
          <w:lang w:val="sk-SK"/>
        </w:rPr>
        <w:t xml:space="preserve">Porucha </w:t>
      </w:r>
      <w:r w:rsidRPr="006A6EC0">
        <w:rPr>
          <w:i/>
          <w:u w:val="single"/>
          <w:lang w:val="sk-SK"/>
        </w:rPr>
        <w:t xml:space="preserve"> </w:t>
      </w:r>
      <w:r w:rsidR="00D86D14" w:rsidRPr="006A6EC0">
        <w:rPr>
          <w:i/>
          <w:u w:val="single"/>
          <w:lang w:val="sk-SK"/>
        </w:rPr>
        <w:t>funkci</w:t>
      </w:r>
      <w:r>
        <w:rPr>
          <w:i/>
          <w:u w:val="single"/>
          <w:lang w:val="sk-SK"/>
        </w:rPr>
        <w:t>e</w:t>
      </w:r>
      <w:r w:rsidR="00D86D14" w:rsidRPr="006A6EC0">
        <w:rPr>
          <w:i/>
          <w:u w:val="single"/>
          <w:lang w:val="sk-SK"/>
        </w:rPr>
        <w:t xml:space="preserve"> obličiek:</w:t>
      </w:r>
    </w:p>
    <w:p w14:paraId="15EFDB6E" w14:textId="77777777" w:rsidR="00D86D14" w:rsidRPr="004229C9" w:rsidRDefault="00D86D14" w:rsidP="00D86D14">
      <w:pPr>
        <w:widowControl w:val="0"/>
        <w:rPr>
          <w:lang w:val="sk-SK"/>
        </w:rPr>
      </w:pPr>
      <w:r w:rsidRPr="004229C9">
        <w:rPr>
          <w:lang w:val="sk-SK"/>
        </w:rPr>
        <w:t xml:space="preserve">U dospelých pacientov s </w:t>
      </w:r>
      <w:proofErr w:type="spellStart"/>
      <w:r w:rsidRPr="004229C9">
        <w:rPr>
          <w:lang w:val="sk-SK"/>
        </w:rPr>
        <w:t>klírensom</w:t>
      </w:r>
      <w:proofErr w:type="spellEnd"/>
      <w:r w:rsidRPr="004229C9">
        <w:rPr>
          <w:lang w:val="sk-SK"/>
        </w:rPr>
        <w:t xml:space="preserve"> </w:t>
      </w:r>
      <w:proofErr w:type="spellStart"/>
      <w:r w:rsidRPr="004229C9">
        <w:rPr>
          <w:lang w:val="sk-SK"/>
        </w:rPr>
        <w:t>kreatinínu</w:t>
      </w:r>
      <w:proofErr w:type="spellEnd"/>
      <w:r w:rsidRPr="004229C9">
        <w:rPr>
          <w:lang w:val="sk-SK"/>
        </w:rPr>
        <w:t xml:space="preserve"> </w:t>
      </w:r>
      <w:r w:rsidRPr="004229C9">
        <w:rPr>
          <w:rFonts w:ascii="Arial" w:hAnsi="Arial" w:cs="Arial"/>
          <w:lang w:val="sk-SK"/>
        </w:rPr>
        <w:t>≤</w:t>
      </w:r>
      <w:r w:rsidRPr="004229C9">
        <w:rPr>
          <w:lang w:val="sk-SK"/>
        </w:rPr>
        <w:t xml:space="preserve"> 5 ml/min je úvodná dávka </w:t>
      </w:r>
      <w:r>
        <w:rPr>
          <w:lang w:val="sk-SK"/>
        </w:rPr>
        <w:t>podobn</w:t>
      </w:r>
      <w:r w:rsidRPr="004229C9">
        <w:rPr>
          <w:lang w:val="sk-SK"/>
        </w:rPr>
        <w:t xml:space="preserve">á ako </w:t>
      </w:r>
      <w:r>
        <w:rPr>
          <w:lang w:val="sk-SK"/>
        </w:rPr>
        <w:t xml:space="preserve">bežná </w:t>
      </w:r>
      <w:r w:rsidRPr="004229C9">
        <w:rPr>
          <w:lang w:val="sk-SK"/>
        </w:rPr>
        <w:t>odporúčaná dávka, ale udržiavacia dávka sa m</w:t>
      </w:r>
      <w:r>
        <w:rPr>
          <w:lang w:val="sk-SK"/>
        </w:rPr>
        <w:t>á</w:t>
      </w:r>
      <w:r w:rsidRPr="004229C9">
        <w:rPr>
          <w:lang w:val="sk-SK"/>
        </w:rPr>
        <w:t xml:space="preserve"> znížiť na polovicu bez zmeny vo frekvencii dávkovania.</w:t>
      </w:r>
    </w:p>
    <w:p w14:paraId="2DC1BB84" w14:textId="77777777" w:rsidR="00D86D14" w:rsidRDefault="00D86D14" w:rsidP="00D86D14">
      <w:pPr>
        <w:rPr>
          <w:u w:val="single"/>
          <w:lang w:val="sk-SK"/>
        </w:rPr>
      </w:pPr>
    </w:p>
    <w:p w14:paraId="7C438566" w14:textId="77777777" w:rsidR="00D86D14" w:rsidRPr="006A6EC0" w:rsidRDefault="00D86D14" w:rsidP="00D86D14">
      <w:pPr>
        <w:rPr>
          <w:i/>
          <w:u w:val="single"/>
          <w:lang w:val="sk-SK"/>
        </w:rPr>
      </w:pPr>
      <w:r w:rsidRPr="006A6EC0">
        <w:rPr>
          <w:i/>
          <w:u w:val="single"/>
          <w:lang w:val="sk-SK"/>
        </w:rPr>
        <w:t xml:space="preserve">Dialýza alebo </w:t>
      </w:r>
      <w:proofErr w:type="spellStart"/>
      <w:r w:rsidRPr="006A6EC0">
        <w:rPr>
          <w:i/>
          <w:u w:val="single"/>
          <w:lang w:val="sk-SK"/>
        </w:rPr>
        <w:t>peritoneálna</w:t>
      </w:r>
      <w:proofErr w:type="spellEnd"/>
      <w:r w:rsidRPr="006A6EC0">
        <w:rPr>
          <w:i/>
          <w:u w:val="single"/>
          <w:lang w:val="sk-SK"/>
        </w:rPr>
        <w:t xml:space="preserve"> dialýza:</w:t>
      </w:r>
    </w:p>
    <w:p w14:paraId="4561A113" w14:textId="77777777" w:rsidR="00D86D14" w:rsidRPr="004229C9" w:rsidRDefault="00D86D14" w:rsidP="00D86D14">
      <w:pPr>
        <w:rPr>
          <w:lang w:val="sk-SK"/>
        </w:rPr>
      </w:pPr>
      <w:r w:rsidRPr="004229C9">
        <w:rPr>
          <w:lang w:val="sk-SK"/>
        </w:rPr>
        <w:t xml:space="preserve">U pacientov na hemodialýze a </w:t>
      </w:r>
      <w:proofErr w:type="spellStart"/>
      <w:r w:rsidRPr="004229C9">
        <w:rPr>
          <w:lang w:val="sk-SK"/>
        </w:rPr>
        <w:t>peritoneálnej</w:t>
      </w:r>
      <w:proofErr w:type="spellEnd"/>
      <w:r w:rsidRPr="004229C9">
        <w:rPr>
          <w:lang w:val="sk-SK"/>
        </w:rPr>
        <w:t xml:space="preserve"> dialýze </w:t>
      </w:r>
      <w:proofErr w:type="spellStart"/>
      <w:r w:rsidRPr="004229C9">
        <w:rPr>
          <w:lang w:val="sk-SK"/>
        </w:rPr>
        <w:t>i.v</w:t>
      </w:r>
      <w:proofErr w:type="spellEnd"/>
      <w:r w:rsidRPr="004229C9">
        <w:rPr>
          <w:lang w:val="sk-SK"/>
        </w:rPr>
        <w:t>. injekcia s 0,5</w:t>
      </w:r>
      <w:r>
        <w:rPr>
          <w:lang w:val="sk-SK"/>
        </w:rPr>
        <w:t xml:space="preserve"> </w:t>
      </w:r>
      <w:r w:rsidRPr="004229C9">
        <w:rPr>
          <w:lang w:val="sk-SK"/>
        </w:rPr>
        <w:t>g – 2 g</w:t>
      </w:r>
      <w:r>
        <w:rPr>
          <w:lang w:val="sk-SK"/>
        </w:rPr>
        <w:t xml:space="preserve"> podaná</w:t>
      </w:r>
      <w:r w:rsidRPr="004229C9">
        <w:rPr>
          <w:lang w:val="sk-SK"/>
        </w:rPr>
        <w:t xml:space="preserve"> na konci </w:t>
      </w:r>
    </w:p>
    <w:p w14:paraId="4D6D3C07" w14:textId="77777777" w:rsidR="00D86D14" w:rsidRDefault="00D86D14" w:rsidP="00D86D14">
      <w:pPr>
        <w:rPr>
          <w:lang w:val="sk-SK"/>
        </w:rPr>
      </w:pPr>
      <w:r w:rsidRPr="004229C9">
        <w:rPr>
          <w:lang w:val="sk-SK"/>
        </w:rPr>
        <w:t>každej dialýzy a opakovane každých 24 hodín, je dostatočn</w:t>
      </w:r>
      <w:r>
        <w:rPr>
          <w:lang w:val="sk-SK"/>
        </w:rPr>
        <w:t>e</w:t>
      </w:r>
      <w:r w:rsidRPr="004229C9">
        <w:rPr>
          <w:lang w:val="sk-SK"/>
        </w:rPr>
        <w:t xml:space="preserve"> efektívn</w:t>
      </w:r>
      <w:r>
        <w:rPr>
          <w:lang w:val="sk-SK"/>
        </w:rPr>
        <w:t>a na liečbu</w:t>
      </w:r>
      <w:r w:rsidRPr="004229C9">
        <w:rPr>
          <w:lang w:val="sk-SK"/>
        </w:rPr>
        <w:t xml:space="preserve"> väčšin</w:t>
      </w:r>
      <w:r>
        <w:rPr>
          <w:lang w:val="sk-SK"/>
        </w:rPr>
        <w:t>y</w:t>
      </w:r>
      <w:r w:rsidRPr="004229C9">
        <w:rPr>
          <w:lang w:val="sk-SK"/>
        </w:rPr>
        <w:t xml:space="preserve"> infekcií.</w:t>
      </w:r>
    </w:p>
    <w:p w14:paraId="72A4C87C" w14:textId="77777777" w:rsidR="00992DFF" w:rsidRPr="004229C9" w:rsidRDefault="00CA6574" w:rsidP="00D86D14">
      <w:pPr>
        <w:rPr>
          <w:lang w:val="sk-SK"/>
        </w:rPr>
      </w:pPr>
      <w:r>
        <w:rPr>
          <w:lang w:val="sk-SK"/>
        </w:rPr>
        <w:t xml:space="preserve">Cefotaxím </w:t>
      </w:r>
      <w:r w:rsidR="00DC053F" w:rsidRPr="00DC053F">
        <w:rPr>
          <w:lang w:val="sk-SK"/>
        </w:rPr>
        <w:t xml:space="preserve">nie je eliminovaný </w:t>
      </w:r>
      <w:proofErr w:type="spellStart"/>
      <w:r w:rsidR="00DC053F" w:rsidRPr="00DC053F">
        <w:rPr>
          <w:lang w:val="sk-SK"/>
        </w:rPr>
        <w:t>peritoneálnou</w:t>
      </w:r>
      <w:proofErr w:type="spellEnd"/>
      <w:r w:rsidR="00DC053F" w:rsidRPr="00DC053F">
        <w:rPr>
          <w:lang w:val="sk-SK"/>
        </w:rPr>
        <w:t xml:space="preserve"> dialýzou</w:t>
      </w:r>
      <w:r w:rsidR="00DC053F">
        <w:rPr>
          <w:lang w:val="sk-SK"/>
        </w:rPr>
        <w:t xml:space="preserve">. </w:t>
      </w:r>
    </w:p>
    <w:p w14:paraId="36AC2520" w14:textId="77777777" w:rsidR="00D86D14" w:rsidRPr="003E07FD" w:rsidRDefault="00D86D14" w:rsidP="00D86D14">
      <w:pPr>
        <w:tabs>
          <w:tab w:val="clear" w:pos="567"/>
          <w:tab w:val="left" w:pos="709"/>
        </w:tabs>
        <w:outlineLvl w:val="0"/>
        <w:rPr>
          <w:color w:val="FF0000"/>
          <w:lang w:val="sk-SK"/>
        </w:rPr>
      </w:pPr>
    </w:p>
    <w:p w14:paraId="0518FBA5" w14:textId="77777777" w:rsidR="00D86D14" w:rsidRPr="004229C9" w:rsidRDefault="00D86D14" w:rsidP="00D86D14">
      <w:pPr>
        <w:tabs>
          <w:tab w:val="clear" w:pos="567"/>
          <w:tab w:val="left" w:pos="709"/>
        </w:tabs>
        <w:rPr>
          <w:i/>
          <w:lang w:val="sk-SK"/>
        </w:rPr>
      </w:pPr>
      <w:proofErr w:type="spellStart"/>
      <w:r w:rsidRPr="004229C9">
        <w:rPr>
          <w:i/>
          <w:lang w:val="sk-SK"/>
        </w:rPr>
        <w:t>Septikémie</w:t>
      </w:r>
      <w:proofErr w:type="spellEnd"/>
      <w:r w:rsidRPr="004229C9">
        <w:rPr>
          <w:i/>
          <w:lang w:val="sk-SK"/>
        </w:rPr>
        <w:t>:</w:t>
      </w:r>
    </w:p>
    <w:p w14:paraId="2A7A9334" w14:textId="77777777" w:rsidR="00D86D14" w:rsidRPr="004229C9" w:rsidRDefault="00D86D14" w:rsidP="00D86D14">
      <w:pPr>
        <w:tabs>
          <w:tab w:val="clear" w:pos="567"/>
          <w:tab w:val="left" w:pos="709"/>
        </w:tabs>
        <w:rPr>
          <w:lang w:val="sk-SK"/>
        </w:rPr>
      </w:pPr>
      <w:r w:rsidRPr="004229C9">
        <w:rPr>
          <w:lang w:val="sk-SK"/>
        </w:rPr>
        <w:t xml:space="preserve">V prípade </w:t>
      </w:r>
      <w:proofErr w:type="spellStart"/>
      <w:r w:rsidRPr="004229C9">
        <w:rPr>
          <w:lang w:val="sk-SK"/>
        </w:rPr>
        <w:t>gramnegatívnych</w:t>
      </w:r>
      <w:proofErr w:type="spellEnd"/>
      <w:r w:rsidRPr="004229C9">
        <w:rPr>
          <w:lang w:val="sk-SK"/>
        </w:rPr>
        <w:t xml:space="preserve"> patogénov </w:t>
      </w:r>
      <w:r>
        <w:rPr>
          <w:lang w:val="sk-SK"/>
        </w:rPr>
        <w:t>je potrebné zvážiť kombináciu</w:t>
      </w:r>
      <w:r w:rsidRPr="004229C9">
        <w:rPr>
          <w:lang w:val="sk-SK"/>
        </w:rPr>
        <w:t xml:space="preserve"> s iným vhodným antibiotikom.</w:t>
      </w:r>
    </w:p>
    <w:p w14:paraId="3B6DF673" w14:textId="77777777" w:rsidR="00D86D14" w:rsidRDefault="00D86D14" w:rsidP="00D86D14">
      <w:pPr>
        <w:widowControl w:val="0"/>
        <w:tabs>
          <w:tab w:val="clear" w:pos="567"/>
          <w:tab w:val="left" w:pos="0"/>
        </w:tabs>
        <w:spacing w:line="240" w:lineRule="auto"/>
        <w:rPr>
          <w:bCs/>
          <w:u w:val="single"/>
          <w:lang w:val="sk-SK"/>
        </w:rPr>
      </w:pPr>
    </w:p>
    <w:p w14:paraId="04947B57" w14:textId="7641D5E8" w:rsidR="00D86D14" w:rsidRPr="006A6EC0" w:rsidRDefault="00D86D14" w:rsidP="00D86D14">
      <w:pPr>
        <w:widowControl w:val="0"/>
        <w:tabs>
          <w:tab w:val="clear" w:pos="567"/>
          <w:tab w:val="left" w:pos="0"/>
        </w:tabs>
        <w:spacing w:line="240" w:lineRule="auto"/>
        <w:rPr>
          <w:b/>
          <w:lang w:val="sk-SK"/>
        </w:rPr>
      </w:pPr>
      <w:r w:rsidRPr="006A6EC0">
        <w:rPr>
          <w:b/>
          <w:bCs/>
          <w:u w:val="single"/>
          <w:lang w:val="sk-SK"/>
        </w:rPr>
        <w:t>Spôsob podávania</w:t>
      </w:r>
    </w:p>
    <w:p w14:paraId="4F4C58C0" w14:textId="77777777" w:rsidR="00D86D14" w:rsidRDefault="00D86D14" w:rsidP="00D86D14">
      <w:pPr>
        <w:widowControl w:val="0"/>
        <w:tabs>
          <w:tab w:val="clear" w:pos="567"/>
          <w:tab w:val="left" w:pos="0"/>
        </w:tabs>
        <w:spacing w:line="240" w:lineRule="auto"/>
        <w:rPr>
          <w:lang w:val="sk-SK"/>
        </w:rPr>
      </w:pPr>
    </w:p>
    <w:p w14:paraId="3EF594AB" w14:textId="56B80AF5" w:rsidR="00D86D14" w:rsidRPr="00AB400D" w:rsidRDefault="00D86D14" w:rsidP="00D86D14">
      <w:pPr>
        <w:widowControl w:val="0"/>
        <w:tabs>
          <w:tab w:val="clear" w:pos="567"/>
          <w:tab w:val="left" w:pos="0"/>
        </w:tabs>
        <w:spacing w:line="240" w:lineRule="auto"/>
        <w:rPr>
          <w:lang w:val="sk-SK"/>
        </w:rPr>
      </w:pPr>
      <w:proofErr w:type="spellStart"/>
      <w:r w:rsidRPr="004229C9">
        <w:rPr>
          <w:lang w:val="sk-SK"/>
        </w:rPr>
        <w:t>Intramuskulárny</w:t>
      </w:r>
      <w:proofErr w:type="spellEnd"/>
      <w:r w:rsidRPr="004229C9">
        <w:rPr>
          <w:lang w:val="sk-SK"/>
        </w:rPr>
        <w:t xml:space="preserve"> spôsob podania je vyhradený pre výnimočné klinické situácie a preto musí byť vykonané hodnotenie rizika a prínosu! Odporúča sa, aby sa </w:t>
      </w:r>
      <w:r>
        <w:rPr>
          <w:lang w:val="sk-SK"/>
        </w:rPr>
        <w:t>unilaterálne</w:t>
      </w:r>
      <w:r w:rsidRPr="004229C9">
        <w:rPr>
          <w:lang w:val="sk-SK"/>
        </w:rPr>
        <w:t xml:space="preserve"> neaplikoval</w:t>
      </w:r>
      <w:r>
        <w:rPr>
          <w:lang w:val="sk-SK"/>
        </w:rPr>
        <w:t>i</w:t>
      </w:r>
      <w:r w:rsidRPr="004229C9">
        <w:rPr>
          <w:lang w:val="sk-SK"/>
        </w:rPr>
        <w:t xml:space="preserve"> viac ako</w:t>
      </w:r>
      <w:r w:rsidR="00B760B6">
        <w:rPr>
          <w:lang w:val="sk-SK"/>
        </w:rPr>
        <w:t xml:space="preserve"> </w:t>
      </w:r>
      <w:r w:rsidRPr="004229C9">
        <w:rPr>
          <w:lang w:val="sk-SK"/>
        </w:rPr>
        <w:t xml:space="preserve">4 ml. Ak denná dávka prekročí 2 g </w:t>
      </w:r>
      <w:r>
        <w:rPr>
          <w:lang w:val="sk-SK"/>
        </w:rPr>
        <w:t>cefotaxím</w:t>
      </w:r>
      <w:r w:rsidRPr="004229C9">
        <w:rPr>
          <w:lang w:val="sk-SK"/>
        </w:rPr>
        <w:t xml:space="preserve">u alebo ak je </w:t>
      </w:r>
      <w:r>
        <w:rPr>
          <w:lang w:val="sk-SK"/>
        </w:rPr>
        <w:t>cefotaxím</w:t>
      </w:r>
      <w:r w:rsidRPr="004229C9">
        <w:rPr>
          <w:lang w:val="sk-SK"/>
        </w:rPr>
        <w:t xml:space="preserve"> aplikovaný častejšie ako dvakrát denne, odporúča sa intravenózne podanie.</w:t>
      </w:r>
    </w:p>
    <w:p w14:paraId="6E553292" w14:textId="77777777" w:rsidR="00D86D14" w:rsidRPr="006D02E9" w:rsidRDefault="00D86D14" w:rsidP="00D86D14">
      <w:pPr>
        <w:widowControl w:val="0"/>
        <w:tabs>
          <w:tab w:val="clear" w:pos="567"/>
          <w:tab w:val="left" w:pos="0"/>
        </w:tabs>
        <w:spacing w:before="100" w:beforeAutospacing="1"/>
        <w:rPr>
          <w:i/>
          <w:color w:val="FF0000"/>
          <w:highlight w:val="cyan"/>
          <w:lang w:val="sk-SK"/>
        </w:rPr>
      </w:pPr>
      <w:r w:rsidRPr="004229C9">
        <w:rPr>
          <w:lang w:val="sk-SK"/>
        </w:rPr>
        <w:t xml:space="preserve">Deťom do jedného roka sa nesmie </w:t>
      </w:r>
      <w:proofErr w:type="spellStart"/>
      <w:r w:rsidRPr="004229C9">
        <w:rPr>
          <w:lang w:val="sk-SK"/>
        </w:rPr>
        <w:t>intramuskulárne</w:t>
      </w:r>
      <w:proofErr w:type="spellEnd"/>
      <w:r w:rsidRPr="004229C9">
        <w:rPr>
          <w:lang w:val="sk-SK"/>
        </w:rPr>
        <w:t xml:space="preserve"> aplikovať </w:t>
      </w:r>
      <w:proofErr w:type="spellStart"/>
      <w:r>
        <w:rPr>
          <w:lang w:val="sk-SK"/>
        </w:rPr>
        <w:t>cefotaxím</w:t>
      </w:r>
      <w:proofErr w:type="spellEnd"/>
      <w:r w:rsidRPr="004229C9">
        <w:rPr>
          <w:lang w:val="sk-SK"/>
        </w:rPr>
        <w:t xml:space="preserve"> reko</w:t>
      </w:r>
      <w:r>
        <w:rPr>
          <w:lang w:val="sk-SK"/>
        </w:rPr>
        <w:t>n</w:t>
      </w:r>
      <w:r w:rsidRPr="004229C9">
        <w:rPr>
          <w:lang w:val="sk-SK"/>
        </w:rPr>
        <w:t>štituovaný (rozpustený) v </w:t>
      </w:r>
      <w:proofErr w:type="spellStart"/>
      <w:r w:rsidRPr="004229C9">
        <w:rPr>
          <w:lang w:val="sk-SK"/>
        </w:rPr>
        <w:t>lidokaíne</w:t>
      </w:r>
      <w:proofErr w:type="spellEnd"/>
      <w:r w:rsidRPr="004229C9">
        <w:rPr>
          <w:lang w:val="sk-SK"/>
        </w:rPr>
        <w:t xml:space="preserve">. </w:t>
      </w:r>
      <w:r w:rsidR="0061656E">
        <w:rPr>
          <w:iCs/>
          <w:lang w:val="sk-SK"/>
        </w:rPr>
        <w:t xml:space="preserve">Poznámka: </w:t>
      </w:r>
      <w:r w:rsidRPr="006A6EC0">
        <w:rPr>
          <w:i/>
          <w:iCs/>
          <w:lang w:val="sk-SK"/>
        </w:rPr>
        <w:t xml:space="preserve">Je potrebné vziať do úvahy informáciu o lieku s obsahom </w:t>
      </w:r>
      <w:proofErr w:type="spellStart"/>
      <w:r w:rsidRPr="006A6EC0">
        <w:rPr>
          <w:i/>
          <w:iCs/>
          <w:lang w:val="sk-SK"/>
        </w:rPr>
        <w:t>lidokaínu</w:t>
      </w:r>
      <w:proofErr w:type="spellEnd"/>
      <w:r w:rsidRPr="006A6EC0">
        <w:rPr>
          <w:i/>
          <w:iCs/>
          <w:lang w:val="sk-SK"/>
        </w:rPr>
        <w:t>.</w:t>
      </w:r>
      <w:r w:rsidR="00E422F3">
        <w:rPr>
          <w:iCs/>
          <w:lang w:val="sk-SK"/>
        </w:rPr>
        <w:t xml:space="preserve"> </w:t>
      </w:r>
    </w:p>
    <w:p w14:paraId="5581EBB2" w14:textId="77777777" w:rsidR="00D86D14" w:rsidRPr="006A6EC0" w:rsidRDefault="00D86D14" w:rsidP="006A6EC0">
      <w:pPr>
        <w:widowControl w:val="0"/>
        <w:tabs>
          <w:tab w:val="clear" w:pos="567"/>
          <w:tab w:val="left" w:pos="0"/>
        </w:tabs>
        <w:rPr>
          <w:color w:val="FF0000"/>
          <w:lang w:val="sk-SK"/>
        </w:rPr>
      </w:pPr>
    </w:p>
    <w:p w14:paraId="743BF1CA" w14:textId="6D894593" w:rsidR="00D86D14" w:rsidRPr="001434B8" w:rsidRDefault="00D86D14" w:rsidP="00D86D14">
      <w:pPr>
        <w:pStyle w:val="Formatvorlage2"/>
        <w:tabs>
          <w:tab w:val="clear" w:pos="7797"/>
          <w:tab w:val="left" w:pos="0"/>
        </w:tabs>
        <w:spacing w:after="100" w:afterAutospacing="1"/>
        <w:jc w:val="left"/>
        <w:rPr>
          <w:color w:val="FF0000"/>
          <w:sz w:val="22"/>
          <w:szCs w:val="22"/>
          <w:lang w:val="sk-SK"/>
        </w:rPr>
      </w:pPr>
      <w:r w:rsidRPr="001434B8">
        <w:rPr>
          <w:sz w:val="22"/>
          <w:szCs w:val="22"/>
          <w:lang w:val="sk-SK"/>
        </w:rPr>
        <w:t>V záujme zabránenia</w:t>
      </w:r>
      <w:r>
        <w:rPr>
          <w:sz w:val="22"/>
          <w:szCs w:val="22"/>
          <w:lang w:val="sk-SK"/>
        </w:rPr>
        <w:t xml:space="preserve"> </w:t>
      </w:r>
      <w:r w:rsidRPr="001434B8">
        <w:rPr>
          <w:sz w:val="22"/>
          <w:szCs w:val="22"/>
          <w:lang w:val="sk-SK"/>
        </w:rPr>
        <w:t>rizika infekcie, m</w:t>
      </w:r>
      <w:r>
        <w:rPr>
          <w:sz w:val="22"/>
          <w:szCs w:val="22"/>
          <w:lang w:val="sk-SK"/>
        </w:rPr>
        <w:t>á</w:t>
      </w:r>
      <w:r w:rsidRPr="001434B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príprava</w:t>
      </w:r>
      <w:r w:rsidRPr="001434B8">
        <w:rPr>
          <w:sz w:val="22"/>
          <w:szCs w:val="22"/>
          <w:lang w:val="sk-SK"/>
        </w:rPr>
        <w:t xml:space="preserve"> infúzie prebiehať v uzavretých aseptických podmienkach. Neodkladajte </w:t>
      </w:r>
      <w:r w:rsidR="00683B12">
        <w:rPr>
          <w:sz w:val="22"/>
          <w:szCs w:val="22"/>
          <w:lang w:val="sk-SK"/>
        </w:rPr>
        <w:t xml:space="preserve">podanie </w:t>
      </w:r>
      <w:r w:rsidRPr="001434B8">
        <w:rPr>
          <w:sz w:val="22"/>
          <w:szCs w:val="22"/>
          <w:lang w:val="sk-SK"/>
        </w:rPr>
        <w:t>infúzi</w:t>
      </w:r>
      <w:r w:rsidR="00683B12">
        <w:rPr>
          <w:sz w:val="22"/>
          <w:szCs w:val="22"/>
          <w:lang w:val="sk-SK"/>
        </w:rPr>
        <w:t>e</w:t>
      </w:r>
      <w:r w:rsidRPr="001434B8">
        <w:rPr>
          <w:sz w:val="22"/>
          <w:szCs w:val="22"/>
          <w:lang w:val="sk-SK"/>
        </w:rPr>
        <w:t xml:space="preserve"> po </w:t>
      </w:r>
      <w:r>
        <w:rPr>
          <w:sz w:val="22"/>
          <w:szCs w:val="22"/>
          <w:lang w:val="sk-SK"/>
        </w:rPr>
        <w:t>príprave</w:t>
      </w:r>
      <w:r w:rsidRPr="001434B8">
        <w:rPr>
          <w:sz w:val="22"/>
          <w:szCs w:val="22"/>
          <w:lang w:val="sk-SK"/>
        </w:rPr>
        <w:t xml:space="preserve"> roztoku.</w:t>
      </w:r>
    </w:p>
    <w:p w14:paraId="3AB7C254" w14:textId="77777777" w:rsidR="00D86D14" w:rsidRPr="004229C9" w:rsidRDefault="00D86D14" w:rsidP="00D86D14">
      <w:pPr>
        <w:numPr>
          <w:ilvl w:val="12"/>
          <w:numId w:val="0"/>
        </w:numPr>
        <w:spacing w:line="240" w:lineRule="auto"/>
        <w:rPr>
          <w:u w:val="single"/>
          <w:lang w:val="sk-SK"/>
        </w:rPr>
      </w:pPr>
      <w:r w:rsidRPr="004229C9">
        <w:rPr>
          <w:u w:val="single"/>
          <w:lang w:val="sk-SK"/>
        </w:rPr>
        <w:t>Intravenózna infúzia:</w:t>
      </w:r>
    </w:p>
    <w:p w14:paraId="36A6D261" w14:textId="77777777" w:rsidR="00D86D14" w:rsidRPr="004229C9" w:rsidRDefault="00D86D14" w:rsidP="00D86D14">
      <w:pPr>
        <w:numPr>
          <w:ilvl w:val="12"/>
          <w:numId w:val="0"/>
        </w:numPr>
        <w:spacing w:line="240" w:lineRule="auto"/>
        <w:rPr>
          <w:lang w:val="sk-SK"/>
        </w:rPr>
      </w:pPr>
      <w:r w:rsidRPr="004229C9">
        <w:rPr>
          <w:lang w:val="sk-SK"/>
        </w:rPr>
        <w:t>Pre</w:t>
      </w:r>
      <w:r w:rsidRPr="004229C9">
        <w:rPr>
          <w:i/>
          <w:lang w:val="sk-SK"/>
        </w:rPr>
        <w:t xml:space="preserve"> rýchlu intravenóznu infúziu</w:t>
      </w:r>
      <w:r w:rsidRPr="004229C9">
        <w:rPr>
          <w:lang w:val="sk-SK"/>
        </w:rPr>
        <w:t>: Roztok m</w:t>
      </w:r>
      <w:r>
        <w:rPr>
          <w:lang w:val="sk-SK"/>
        </w:rPr>
        <w:t>á</w:t>
      </w:r>
      <w:r w:rsidRPr="004229C9">
        <w:rPr>
          <w:lang w:val="sk-SK"/>
        </w:rPr>
        <w:t xml:space="preserve"> byť po </w:t>
      </w:r>
      <w:r>
        <w:rPr>
          <w:lang w:val="sk-SK"/>
        </w:rPr>
        <w:t>príprave</w:t>
      </w:r>
      <w:r w:rsidRPr="004229C9">
        <w:rPr>
          <w:lang w:val="sk-SK"/>
        </w:rPr>
        <w:t xml:space="preserve"> aplikovaný ako 20 minútová intravenózna infúzia.</w:t>
      </w:r>
    </w:p>
    <w:p w14:paraId="38E1A01E" w14:textId="77777777" w:rsidR="00D86D14" w:rsidRDefault="00D86D14" w:rsidP="00D86D14">
      <w:pPr>
        <w:numPr>
          <w:ilvl w:val="12"/>
          <w:numId w:val="0"/>
        </w:numPr>
        <w:spacing w:line="240" w:lineRule="auto"/>
        <w:rPr>
          <w:color w:val="FF0000"/>
          <w:lang w:val="sk-SK"/>
        </w:rPr>
      </w:pPr>
    </w:p>
    <w:p w14:paraId="42C86050" w14:textId="77777777" w:rsidR="00D86D14" w:rsidRPr="004229C9" w:rsidRDefault="00D86D14" w:rsidP="00D86D14">
      <w:pPr>
        <w:numPr>
          <w:ilvl w:val="12"/>
          <w:numId w:val="0"/>
        </w:numPr>
        <w:spacing w:after="100" w:afterAutospacing="1"/>
        <w:rPr>
          <w:lang w:val="sk-SK"/>
        </w:rPr>
      </w:pPr>
      <w:r w:rsidRPr="004229C9">
        <w:rPr>
          <w:lang w:val="sk-SK"/>
        </w:rPr>
        <w:t xml:space="preserve">Pre </w:t>
      </w:r>
      <w:r w:rsidRPr="004229C9">
        <w:rPr>
          <w:i/>
          <w:lang w:val="sk-SK"/>
        </w:rPr>
        <w:t>pomalú intravenóznu infúzi</w:t>
      </w:r>
      <w:r w:rsidRPr="004229C9">
        <w:rPr>
          <w:lang w:val="sk-SK"/>
        </w:rPr>
        <w:t xml:space="preserve">u: Roztok </w:t>
      </w:r>
      <w:r>
        <w:rPr>
          <w:lang w:val="sk-SK"/>
        </w:rPr>
        <w:t>má</w:t>
      </w:r>
      <w:r w:rsidRPr="004229C9">
        <w:rPr>
          <w:lang w:val="sk-SK"/>
        </w:rPr>
        <w:t xml:space="preserve"> byť po </w:t>
      </w:r>
      <w:r>
        <w:rPr>
          <w:lang w:val="sk-SK"/>
        </w:rPr>
        <w:t>príprave</w:t>
      </w:r>
      <w:r w:rsidRPr="004229C9">
        <w:rPr>
          <w:lang w:val="sk-SK"/>
        </w:rPr>
        <w:t xml:space="preserve"> aplikovaný ako 50</w:t>
      </w:r>
      <w:r>
        <w:rPr>
          <w:lang w:val="sk-SK"/>
        </w:rPr>
        <w:t xml:space="preserve"> </w:t>
      </w:r>
      <w:r w:rsidRPr="004229C9">
        <w:rPr>
          <w:lang w:val="sk-SK"/>
        </w:rPr>
        <w:t>-</w:t>
      </w:r>
      <w:r>
        <w:rPr>
          <w:lang w:val="sk-SK"/>
        </w:rPr>
        <w:t xml:space="preserve"> </w:t>
      </w:r>
      <w:r w:rsidRPr="004229C9">
        <w:rPr>
          <w:lang w:val="sk-SK"/>
        </w:rPr>
        <w:t>60 minútová intravenózna infúzia.</w:t>
      </w:r>
    </w:p>
    <w:p w14:paraId="1C23A67F" w14:textId="77777777" w:rsidR="00D86D14" w:rsidRPr="004229C9" w:rsidRDefault="00D86D14" w:rsidP="00D86D14">
      <w:pPr>
        <w:numPr>
          <w:ilvl w:val="12"/>
          <w:numId w:val="0"/>
        </w:numPr>
        <w:spacing w:line="240" w:lineRule="auto"/>
        <w:rPr>
          <w:u w:val="single"/>
          <w:lang w:val="sk-SK"/>
        </w:rPr>
      </w:pPr>
      <w:r w:rsidRPr="004229C9">
        <w:rPr>
          <w:u w:val="single"/>
          <w:lang w:val="sk-SK"/>
        </w:rPr>
        <w:t>Intravenózna injekcia:</w:t>
      </w:r>
    </w:p>
    <w:p w14:paraId="1EB709EA" w14:textId="77777777" w:rsidR="00D86D14" w:rsidRDefault="00D86D14" w:rsidP="00D86D14">
      <w:pPr>
        <w:numPr>
          <w:ilvl w:val="12"/>
          <w:numId w:val="0"/>
        </w:numPr>
        <w:tabs>
          <w:tab w:val="left" w:pos="709"/>
        </w:tabs>
        <w:spacing w:line="240" w:lineRule="auto"/>
        <w:rPr>
          <w:lang w:val="sk-SK"/>
        </w:rPr>
      </w:pPr>
      <w:r w:rsidRPr="004229C9">
        <w:rPr>
          <w:lang w:val="sk-SK"/>
        </w:rPr>
        <w:t xml:space="preserve">Pre intravenóznu injekciu: Po </w:t>
      </w:r>
      <w:r>
        <w:rPr>
          <w:lang w:val="sk-SK"/>
        </w:rPr>
        <w:t>príprave</w:t>
      </w:r>
      <w:r w:rsidRPr="004229C9">
        <w:rPr>
          <w:lang w:val="sk-SK"/>
        </w:rPr>
        <w:t xml:space="preserve"> m</w:t>
      </w:r>
      <w:r>
        <w:rPr>
          <w:lang w:val="sk-SK"/>
        </w:rPr>
        <w:t>á</w:t>
      </w:r>
      <w:r w:rsidRPr="004229C9">
        <w:rPr>
          <w:lang w:val="sk-SK"/>
        </w:rPr>
        <w:t xml:space="preserve"> byť injekcia aplikovaná do 3</w:t>
      </w:r>
      <w:r>
        <w:rPr>
          <w:lang w:val="sk-SK"/>
        </w:rPr>
        <w:t xml:space="preserve"> </w:t>
      </w:r>
      <w:r w:rsidRPr="004229C9">
        <w:rPr>
          <w:lang w:val="sk-SK"/>
        </w:rPr>
        <w:t>-</w:t>
      </w:r>
      <w:r>
        <w:rPr>
          <w:lang w:val="sk-SK"/>
        </w:rPr>
        <w:t xml:space="preserve"> </w:t>
      </w:r>
      <w:r w:rsidRPr="004229C9">
        <w:rPr>
          <w:lang w:val="sk-SK"/>
        </w:rPr>
        <w:t>5 minút.</w:t>
      </w:r>
    </w:p>
    <w:p w14:paraId="6F041D30" w14:textId="77777777" w:rsidR="00D86D14" w:rsidRDefault="00D86D14" w:rsidP="00D86D14">
      <w:pPr>
        <w:numPr>
          <w:ilvl w:val="12"/>
          <w:numId w:val="0"/>
        </w:numPr>
        <w:tabs>
          <w:tab w:val="left" w:pos="709"/>
        </w:tabs>
        <w:rPr>
          <w:lang w:val="sk-SK"/>
        </w:rPr>
      </w:pPr>
    </w:p>
    <w:p w14:paraId="0BE0A9B6" w14:textId="463EF9CF" w:rsidR="00D86D14" w:rsidRPr="004229C9" w:rsidRDefault="00D86D14" w:rsidP="00D86D14">
      <w:pPr>
        <w:numPr>
          <w:ilvl w:val="12"/>
          <w:numId w:val="0"/>
        </w:numPr>
        <w:tabs>
          <w:tab w:val="left" w:pos="709"/>
        </w:tabs>
        <w:rPr>
          <w:lang w:val="sk-SK"/>
        </w:rPr>
      </w:pPr>
      <w:r>
        <w:rPr>
          <w:lang w:val="sk-SK"/>
        </w:rPr>
        <w:t xml:space="preserve">V rámci post-marketingového pozorovania sa zistilo, že u veľmi nízkeho počtu pacientov, ktorým bola aplikovaná rýchla intravenózna injekcia </w:t>
      </w:r>
      <w:proofErr w:type="spellStart"/>
      <w:r>
        <w:rPr>
          <w:lang w:val="sk-SK"/>
        </w:rPr>
        <w:t>cefotaxímu</w:t>
      </w:r>
      <w:proofErr w:type="spellEnd"/>
      <w:r>
        <w:rPr>
          <w:lang w:val="sk-SK"/>
        </w:rPr>
        <w:t xml:space="preserve"> cez centrálny </w:t>
      </w:r>
      <w:proofErr w:type="spellStart"/>
      <w:r>
        <w:rPr>
          <w:lang w:val="sk-SK"/>
        </w:rPr>
        <w:t>venózny</w:t>
      </w:r>
      <w:proofErr w:type="spellEnd"/>
      <w:r>
        <w:rPr>
          <w:lang w:val="sk-SK"/>
        </w:rPr>
        <w:t xml:space="preserve"> katéter, bola zaznamenaná potenciálne život ohrozujúca </w:t>
      </w:r>
      <w:proofErr w:type="spellStart"/>
      <w:r>
        <w:rPr>
          <w:lang w:val="sk-SK"/>
        </w:rPr>
        <w:t>arytmia</w:t>
      </w:r>
      <w:proofErr w:type="spellEnd"/>
      <w:r>
        <w:rPr>
          <w:lang w:val="sk-SK"/>
        </w:rPr>
        <w:t xml:space="preserve">. </w:t>
      </w:r>
    </w:p>
    <w:p w14:paraId="44DB548D" w14:textId="77777777" w:rsidR="00D86D14" w:rsidRDefault="00D86D14" w:rsidP="00D86D14">
      <w:pPr>
        <w:numPr>
          <w:ilvl w:val="12"/>
          <w:numId w:val="0"/>
        </w:numPr>
        <w:tabs>
          <w:tab w:val="left" w:pos="709"/>
        </w:tabs>
        <w:spacing w:line="240" w:lineRule="auto"/>
        <w:rPr>
          <w:lang w:val="sk-SK"/>
        </w:rPr>
      </w:pPr>
      <w:r>
        <w:rPr>
          <w:lang w:val="sk-SK"/>
        </w:rPr>
        <w:t xml:space="preserve"> </w:t>
      </w:r>
    </w:p>
    <w:p w14:paraId="014AF55A" w14:textId="77777777" w:rsidR="00D86D14" w:rsidRPr="004229C9" w:rsidRDefault="00D86D14" w:rsidP="006A6EC0">
      <w:pPr>
        <w:spacing w:line="360" w:lineRule="auto"/>
        <w:rPr>
          <w:u w:val="single"/>
          <w:lang w:val="sk-SK"/>
        </w:rPr>
      </w:pPr>
      <w:proofErr w:type="spellStart"/>
      <w:r w:rsidRPr="004229C9">
        <w:rPr>
          <w:u w:val="single"/>
          <w:lang w:val="sk-SK"/>
        </w:rPr>
        <w:t>Intramuskulárna</w:t>
      </w:r>
      <w:proofErr w:type="spellEnd"/>
      <w:r w:rsidRPr="004229C9">
        <w:rPr>
          <w:u w:val="single"/>
          <w:lang w:val="sk-SK"/>
        </w:rPr>
        <w:t xml:space="preserve"> injekcia:</w:t>
      </w:r>
    </w:p>
    <w:p w14:paraId="7A391043" w14:textId="04C9804F" w:rsidR="00D86D14" w:rsidRPr="004229C9" w:rsidRDefault="00D86D14" w:rsidP="00D86D14">
      <w:pPr>
        <w:rPr>
          <w:lang w:val="sk-SK"/>
        </w:rPr>
      </w:pPr>
      <w:r w:rsidRPr="004229C9">
        <w:rPr>
          <w:lang w:val="sk-SK"/>
        </w:rPr>
        <w:t xml:space="preserve">Roztok sa </w:t>
      </w:r>
      <w:r w:rsidR="00C81833" w:rsidRPr="004229C9">
        <w:rPr>
          <w:lang w:val="sk-SK"/>
        </w:rPr>
        <w:t>m</w:t>
      </w:r>
      <w:r w:rsidR="00C81833">
        <w:rPr>
          <w:lang w:val="sk-SK"/>
        </w:rPr>
        <w:t>á</w:t>
      </w:r>
      <w:r w:rsidR="00C81833" w:rsidRPr="004229C9">
        <w:rPr>
          <w:lang w:val="sk-SK"/>
        </w:rPr>
        <w:t xml:space="preserve"> </w:t>
      </w:r>
      <w:r w:rsidRPr="004229C9">
        <w:rPr>
          <w:lang w:val="sk-SK"/>
        </w:rPr>
        <w:t xml:space="preserve">aplikovať hlboko </w:t>
      </w:r>
      <w:proofErr w:type="spellStart"/>
      <w:r w:rsidRPr="004229C9">
        <w:rPr>
          <w:lang w:val="sk-SK"/>
        </w:rPr>
        <w:t>intramuskulárne</w:t>
      </w:r>
      <w:proofErr w:type="spellEnd"/>
      <w:r w:rsidRPr="004229C9">
        <w:rPr>
          <w:lang w:val="sk-SK"/>
        </w:rPr>
        <w:t xml:space="preserve">. Roztok s </w:t>
      </w:r>
      <w:proofErr w:type="spellStart"/>
      <w:r w:rsidRPr="004229C9">
        <w:rPr>
          <w:lang w:val="sk-SK"/>
        </w:rPr>
        <w:t>lidokaínom</w:t>
      </w:r>
      <w:proofErr w:type="spellEnd"/>
      <w:r w:rsidRPr="004229C9">
        <w:rPr>
          <w:lang w:val="sk-SK"/>
        </w:rPr>
        <w:t xml:space="preserve"> </w:t>
      </w:r>
      <w:r w:rsidRPr="004118B4">
        <w:rPr>
          <w:i/>
          <w:lang w:val="sk-SK"/>
        </w:rPr>
        <w:t>nesmie</w:t>
      </w:r>
      <w:r w:rsidRPr="004229C9">
        <w:rPr>
          <w:lang w:val="sk-SK"/>
        </w:rPr>
        <w:t xml:space="preserve"> byť</w:t>
      </w:r>
      <w:r>
        <w:rPr>
          <w:lang w:val="sk-SK"/>
        </w:rPr>
        <w:t xml:space="preserve"> podaný</w:t>
      </w:r>
      <w:r w:rsidR="00F30BB1">
        <w:rPr>
          <w:lang w:val="sk-SK"/>
        </w:rPr>
        <w:t xml:space="preserve"> </w:t>
      </w:r>
      <w:r w:rsidRPr="004229C9">
        <w:rPr>
          <w:lang w:val="sk-SK"/>
        </w:rPr>
        <w:t>intravenózne.</w:t>
      </w:r>
      <w:r w:rsidR="00B64AEF">
        <w:rPr>
          <w:lang w:val="sk-SK"/>
        </w:rPr>
        <w:t xml:space="preserve"> </w:t>
      </w:r>
      <w:r w:rsidR="00B64AEF" w:rsidRPr="006A6EC0">
        <w:rPr>
          <w:lang w:val="sk-SK"/>
        </w:rPr>
        <w:t>Je potrebné zabrániť</w:t>
      </w:r>
      <w:r w:rsidR="00B64AEF">
        <w:rPr>
          <w:lang w:val="sk-SK"/>
        </w:rPr>
        <w:t xml:space="preserve"> </w:t>
      </w:r>
      <w:proofErr w:type="spellStart"/>
      <w:r w:rsidR="00B64AEF">
        <w:rPr>
          <w:lang w:val="sk-SK"/>
        </w:rPr>
        <w:t>intravaskulárnemu</w:t>
      </w:r>
      <w:proofErr w:type="spellEnd"/>
      <w:r w:rsidR="00B64AEF">
        <w:rPr>
          <w:lang w:val="sk-SK"/>
        </w:rPr>
        <w:t xml:space="preserve"> podaniu,</w:t>
      </w:r>
      <w:r w:rsidRPr="004229C9">
        <w:rPr>
          <w:lang w:val="sk-SK"/>
        </w:rPr>
        <w:t xml:space="preserve"> </w:t>
      </w:r>
      <w:r w:rsidR="005D0260" w:rsidRPr="005D0260">
        <w:rPr>
          <w:lang w:val="sk-SK"/>
        </w:rPr>
        <w:t xml:space="preserve">pretože </w:t>
      </w:r>
      <w:proofErr w:type="spellStart"/>
      <w:r w:rsidR="005D0260" w:rsidRPr="005D0260">
        <w:rPr>
          <w:lang w:val="sk-SK"/>
        </w:rPr>
        <w:t>lidokaín</w:t>
      </w:r>
      <w:proofErr w:type="spellEnd"/>
      <w:r w:rsidR="005D0260" w:rsidRPr="005D0260">
        <w:rPr>
          <w:lang w:val="sk-SK"/>
        </w:rPr>
        <w:t xml:space="preserve"> môže spôsobiť </w:t>
      </w:r>
      <w:proofErr w:type="spellStart"/>
      <w:r w:rsidR="005D0260" w:rsidRPr="005D0260">
        <w:rPr>
          <w:lang w:val="sk-SK"/>
        </w:rPr>
        <w:t>agitovanosť</w:t>
      </w:r>
      <w:proofErr w:type="spellEnd"/>
      <w:r w:rsidR="005D0260" w:rsidRPr="005D0260">
        <w:rPr>
          <w:lang w:val="sk-SK"/>
        </w:rPr>
        <w:t xml:space="preserve">, </w:t>
      </w:r>
      <w:proofErr w:type="spellStart"/>
      <w:r w:rsidR="005D0260" w:rsidRPr="005D0260">
        <w:rPr>
          <w:lang w:val="sk-SK"/>
        </w:rPr>
        <w:t>tachykardiu</w:t>
      </w:r>
      <w:proofErr w:type="spellEnd"/>
      <w:r w:rsidR="005D0260" w:rsidRPr="005D0260">
        <w:rPr>
          <w:lang w:val="sk-SK"/>
        </w:rPr>
        <w:t xml:space="preserve">, poruchy prenosu impulzov, vracanie a kŕče pri </w:t>
      </w:r>
      <w:proofErr w:type="spellStart"/>
      <w:r w:rsidR="005D0260" w:rsidRPr="005D0260">
        <w:rPr>
          <w:lang w:val="sk-SK"/>
        </w:rPr>
        <w:t>intravaskulárnom</w:t>
      </w:r>
      <w:proofErr w:type="spellEnd"/>
      <w:r w:rsidR="005D0260" w:rsidRPr="005D0260">
        <w:rPr>
          <w:lang w:val="sk-SK"/>
        </w:rPr>
        <w:t xml:space="preserve"> </w:t>
      </w:r>
      <w:r w:rsidR="009903D7">
        <w:rPr>
          <w:lang w:val="sk-SK"/>
        </w:rPr>
        <w:t>(</w:t>
      </w:r>
      <w:proofErr w:type="spellStart"/>
      <w:r w:rsidR="009903D7">
        <w:rPr>
          <w:lang w:val="sk-SK"/>
        </w:rPr>
        <w:t>vnútrocievnom</w:t>
      </w:r>
      <w:proofErr w:type="spellEnd"/>
      <w:r w:rsidR="009903D7">
        <w:rPr>
          <w:lang w:val="sk-SK"/>
        </w:rPr>
        <w:t xml:space="preserve">) </w:t>
      </w:r>
      <w:r w:rsidR="005D0260" w:rsidRPr="005D0260">
        <w:rPr>
          <w:lang w:val="sk-SK"/>
        </w:rPr>
        <w:t>podaní.</w:t>
      </w:r>
      <w:r w:rsidR="005D0260">
        <w:rPr>
          <w:lang w:val="sk-SK"/>
        </w:rPr>
        <w:t xml:space="preserve"> </w:t>
      </w:r>
      <w:r w:rsidRPr="004229C9">
        <w:rPr>
          <w:lang w:val="sk-SK"/>
        </w:rPr>
        <w:t>Ak je celková denná dávka väčšia ako 2 g m</w:t>
      </w:r>
      <w:r>
        <w:rPr>
          <w:lang w:val="sk-SK"/>
        </w:rPr>
        <w:t>á</w:t>
      </w:r>
      <w:r w:rsidRPr="004229C9">
        <w:rPr>
          <w:lang w:val="sk-SK"/>
        </w:rPr>
        <w:t xml:space="preserve"> </w:t>
      </w:r>
      <w:r>
        <w:rPr>
          <w:lang w:val="sk-SK"/>
        </w:rPr>
        <w:t>byť zvolená intravenózna</w:t>
      </w:r>
      <w:r w:rsidR="00D2071D">
        <w:rPr>
          <w:lang w:val="sk-SK"/>
        </w:rPr>
        <w:t xml:space="preserve"> </w:t>
      </w:r>
      <w:r w:rsidRPr="004229C9">
        <w:rPr>
          <w:lang w:val="sk-SK"/>
        </w:rPr>
        <w:t xml:space="preserve">aplikácia. V prípade ťažkých infekcií sa neodporúča </w:t>
      </w:r>
      <w:proofErr w:type="spellStart"/>
      <w:r w:rsidRPr="004229C9">
        <w:rPr>
          <w:lang w:val="sk-SK"/>
        </w:rPr>
        <w:t>intramuskulárna</w:t>
      </w:r>
      <w:proofErr w:type="spellEnd"/>
      <w:r w:rsidRPr="004229C9">
        <w:rPr>
          <w:lang w:val="sk-SK"/>
        </w:rPr>
        <w:t xml:space="preserve"> injekcia.</w:t>
      </w:r>
    </w:p>
    <w:p w14:paraId="7A31C991" w14:textId="77777777" w:rsidR="00D86D14" w:rsidRPr="003E07FD" w:rsidRDefault="00D86D14" w:rsidP="00D86D14">
      <w:pPr>
        <w:rPr>
          <w:color w:val="FF0000"/>
          <w:lang w:val="sk-SK"/>
        </w:rPr>
      </w:pPr>
    </w:p>
    <w:p w14:paraId="630EC592" w14:textId="414C1677" w:rsidR="00D86D14" w:rsidRDefault="00D86D14" w:rsidP="006A6EC0">
      <w:pPr>
        <w:spacing w:line="360" w:lineRule="auto"/>
        <w:ind w:hanging="567"/>
        <w:outlineLvl w:val="0"/>
        <w:rPr>
          <w:lang w:val="sk-SK"/>
        </w:rPr>
      </w:pPr>
      <w:r w:rsidRPr="003E07FD">
        <w:rPr>
          <w:color w:val="FF0000"/>
          <w:lang w:val="sk-SK"/>
        </w:rPr>
        <w:tab/>
      </w:r>
      <w:r w:rsidRPr="004229C9">
        <w:rPr>
          <w:lang w:val="sk-SK"/>
        </w:rPr>
        <w:t xml:space="preserve">Nasledujúca tabuľka zobrazuje objem </w:t>
      </w:r>
      <w:r w:rsidR="00E604C4">
        <w:rPr>
          <w:lang w:val="sk-SK"/>
        </w:rPr>
        <w:t xml:space="preserve">na </w:t>
      </w:r>
      <w:r w:rsidRPr="004229C9">
        <w:rPr>
          <w:lang w:val="sk-SK"/>
        </w:rPr>
        <w:t>rozp</w:t>
      </w:r>
      <w:r w:rsidR="00E604C4">
        <w:rPr>
          <w:lang w:val="sk-SK"/>
        </w:rPr>
        <w:t>úšťanie</w:t>
      </w:r>
      <w:r w:rsidRPr="004229C9">
        <w:rPr>
          <w:lang w:val="sk-SK"/>
        </w:rPr>
        <w:t xml:space="preserve"> pre každú veľkosť </w:t>
      </w:r>
      <w:r>
        <w:rPr>
          <w:lang w:val="sk-SK"/>
        </w:rPr>
        <w:t>injekčnej liekovky: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160"/>
        <w:gridCol w:w="2160"/>
        <w:gridCol w:w="1539"/>
        <w:gridCol w:w="1736"/>
      </w:tblGrid>
      <w:tr w:rsidR="00D86D14" w:rsidRPr="004229C9" w14:paraId="6E3EBCA2" w14:textId="77777777">
        <w:tc>
          <w:tcPr>
            <w:tcW w:w="1080" w:type="dxa"/>
          </w:tcPr>
          <w:p w14:paraId="4ADBA118" w14:textId="77777777" w:rsidR="00D86D14" w:rsidRPr="004229C9" w:rsidRDefault="00D86D14" w:rsidP="00D86D14">
            <w:pPr>
              <w:rPr>
                <w:lang w:val="sk-SK"/>
              </w:rPr>
            </w:pPr>
          </w:p>
        </w:tc>
        <w:tc>
          <w:tcPr>
            <w:tcW w:w="7595" w:type="dxa"/>
            <w:gridSpan w:val="4"/>
          </w:tcPr>
          <w:p w14:paraId="66BFFC4B" w14:textId="77777777" w:rsidR="00D86D14" w:rsidRPr="004229C9" w:rsidRDefault="00D86D14" w:rsidP="006A6EC0">
            <w:pPr>
              <w:jc w:val="center"/>
              <w:rPr>
                <w:lang w:val="sk-SK"/>
              </w:rPr>
            </w:pPr>
            <w:r w:rsidRPr="004229C9">
              <w:rPr>
                <w:lang w:val="sk-SK"/>
              </w:rPr>
              <w:t>Spôsob podávania</w:t>
            </w:r>
          </w:p>
        </w:tc>
      </w:tr>
      <w:tr w:rsidR="00D86D14" w:rsidRPr="004229C9" w14:paraId="1371F1A4" w14:textId="77777777">
        <w:tc>
          <w:tcPr>
            <w:tcW w:w="1080" w:type="dxa"/>
          </w:tcPr>
          <w:p w14:paraId="77D78890" w14:textId="77777777" w:rsidR="00D86D14" w:rsidRPr="004229C9" w:rsidRDefault="00D86D14" w:rsidP="00D86D14">
            <w:pPr>
              <w:rPr>
                <w:lang w:val="sk-SK"/>
              </w:rPr>
            </w:pPr>
            <w:r w:rsidRPr="004229C9">
              <w:rPr>
                <w:lang w:val="sk-SK"/>
              </w:rPr>
              <w:t>Veľkosť liekovky</w:t>
            </w:r>
          </w:p>
        </w:tc>
        <w:tc>
          <w:tcPr>
            <w:tcW w:w="2160" w:type="dxa"/>
          </w:tcPr>
          <w:p w14:paraId="229EE3F1" w14:textId="77777777" w:rsidR="00D86D14" w:rsidRPr="004229C9" w:rsidRDefault="00D86D14" w:rsidP="00D86D14">
            <w:pPr>
              <w:rPr>
                <w:color w:val="FF0000"/>
                <w:lang w:val="sk-SK"/>
              </w:rPr>
            </w:pPr>
            <w:r w:rsidRPr="004229C9">
              <w:rPr>
                <w:lang w:val="sk-SK"/>
              </w:rPr>
              <w:t>Rýchla intravenózna infúzia</w:t>
            </w:r>
          </w:p>
        </w:tc>
        <w:tc>
          <w:tcPr>
            <w:tcW w:w="2160" w:type="dxa"/>
          </w:tcPr>
          <w:p w14:paraId="449B501E" w14:textId="77777777" w:rsidR="00D86D14" w:rsidRPr="004229C9" w:rsidRDefault="00D86D14" w:rsidP="00D86D14">
            <w:pPr>
              <w:rPr>
                <w:color w:val="FF0000"/>
                <w:lang w:val="sk-SK"/>
              </w:rPr>
            </w:pPr>
            <w:r w:rsidRPr="004229C9">
              <w:rPr>
                <w:lang w:val="sk-SK"/>
              </w:rPr>
              <w:t>Pomalá intravenózna infúzia</w:t>
            </w:r>
          </w:p>
        </w:tc>
        <w:tc>
          <w:tcPr>
            <w:tcW w:w="1539" w:type="dxa"/>
          </w:tcPr>
          <w:p w14:paraId="155D7840" w14:textId="77777777" w:rsidR="00D86D14" w:rsidRPr="004229C9" w:rsidRDefault="00D86D14" w:rsidP="00D86D14">
            <w:pPr>
              <w:rPr>
                <w:lang w:val="sk-SK"/>
              </w:rPr>
            </w:pPr>
            <w:r w:rsidRPr="004229C9">
              <w:rPr>
                <w:lang w:val="sk-SK"/>
              </w:rPr>
              <w:t>Intravenózna injekcia</w:t>
            </w:r>
          </w:p>
        </w:tc>
        <w:tc>
          <w:tcPr>
            <w:tcW w:w="1736" w:type="dxa"/>
          </w:tcPr>
          <w:p w14:paraId="3DDAF190" w14:textId="77777777" w:rsidR="00D86D14" w:rsidRPr="004229C9" w:rsidRDefault="00D86D14" w:rsidP="006A6EC0">
            <w:pPr>
              <w:spacing w:after="120"/>
              <w:rPr>
                <w:lang w:val="sk-SK"/>
              </w:rPr>
            </w:pPr>
            <w:proofErr w:type="spellStart"/>
            <w:r w:rsidRPr="004229C9">
              <w:rPr>
                <w:lang w:val="sk-SK"/>
              </w:rPr>
              <w:t>Intramuskulárna</w:t>
            </w:r>
            <w:proofErr w:type="spellEnd"/>
            <w:r w:rsidRPr="004229C9">
              <w:rPr>
                <w:lang w:val="sk-SK"/>
              </w:rPr>
              <w:t xml:space="preserve"> injekcia</w:t>
            </w:r>
          </w:p>
        </w:tc>
      </w:tr>
      <w:tr w:rsidR="00D86D14" w:rsidRPr="004229C9" w14:paraId="66C7AE57" w14:textId="77777777">
        <w:tc>
          <w:tcPr>
            <w:tcW w:w="1080" w:type="dxa"/>
          </w:tcPr>
          <w:p w14:paraId="154FC944" w14:textId="77777777" w:rsidR="00D86D14" w:rsidRPr="004229C9" w:rsidRDefault="00D86D14" w:rsidP="00D86D14">
            <w:pPr>
              <w:rPr>
                <w:lang w:val="sk-SK"/>
              </w:rPr>
            </w:pPr>
            <w:r>
              <w:rPr>
                <w:lang w:val="sk-SK"/>
              </w:rPr>
              <w:t>0,</w:t>
            </w:r>
            <w:r w:rsidRPr="004229C9">
              <w:rPr>
                <w:lang w:val="sk-SK"/>
              </w:rPr>
              <w:t>5 g</w:t>
            </w:r>
          </w:p>
        </w:tc>
        <w:tc>
          <w:tcPr>
            <w:tcW w:w="2160" w:type="dxa"/>
          </w:tcPr>
          <w:p w14:paraId="30E90162" w14:textId="77777777" w:rsidR="00D86D14" w:rsidRPr="004229C9" w:rsidRDefault="00D86D14" w:rsidP="00D86D14">
            <w:pPr>
              <w:rPr>
                <w:lang w:val="sk-SK"/>
              </w:rPr>
            </w:pPr>
            <w:r w:rsidRPr="004229C9">
              <w:rPr>
                <w:lang w:val="sk-SK"/>
              </w:rPr>
              <w:t>-</w:t>
            </w:r>
          </w:p>
        </w:tc>
        <w:tc>
          <w:tcPr>
            <w:tcW w:w="2160" w:type="dxa"/>
          </w:tcPr>
          <w:p w14:paraId="75E6D19C" w14:textId="77777777" w:rsidR="00D86D14" w:rsidRPr="004229C9" w:rsidRDefault="00D86D14" w:rsidP="00D86D14">
            <w:pPr>
              <w:rPr>
                <w:lang w:val="sk-SK"/>
              </w:rPr>
            </w:pPr>
            <w:r w:rsidRPr="004229C9">
              <w:rPr>
                <w:lang w:val="sk-SK"/>
              </w:rPr>
              <w:t>-</w:t>
            </w:r>
          </w:p>
        </w:tc>
        <w:tc>
          <w:tcPr>
            <w:tcW w:w="1539" w:type="dxa"/>
          </w:tcPr>
          <w:p w14:paraId="330432AD" w14:textId="77777777" w:rsidR="00D86D14" w:rsidRDefault="00D86D14" w:rsidP="00D86D14">
            <w:pPr>
              <w:rPr>
                <w:lang w:val="sk-SK"/>
              </w:rPr>
            </w:pPr>
            <w:r w:rsidRPr="004229C9">
              <w:rPr>
                <w:lang w:val="sk-SK"/>
              </w:rPr>
              <w:t>2 ml</w:t>
            </w:r>
          </w:p>
          <w:p w14:paraId="4318EAFE" w14:textId="77777777" w:rsidR="00D86D14" w:rsidRPr="004229C9" w:rsidRDefault="00D86D14" w:rsidP="00D86D14">
            <w:pPr>
              <w:rPr>
                <w:lang w:val="sk-SK"/>
              </w:rPr>
            </w:pPr>
            <w:r>
              <w:rPr>
                <w:lang w:val="sk-SK"/>
              </w:rPr>
              <w:t>(250 mg/ml)</w:t>
            </w:r>
          </w:p>
        </w:tc>
        <w:tc>
          <w:tcPr>
            <w:tcW w:w="1736" w:type="dxa"/>
          </w:tcPr>
          <w:p w14:paraId="2DFBEB71" w14:textId="77777777" w:rsidR="00D86D14" w:rsidRDefault="00D86D14" w:rsidP="00D86D14">
            <w:pPr>
              <w:rPr>
                <w:lang w:val="sk-SK"/>
              </w:rPr>
            </w:pPr>
            <w:r w:rsidRPr="004229C9">
              <w:rPr>
                <w:lang w:val="sk-SK"/>
              </w:rPr>
              <w:t>2ml</w:t>
            </w:r>
          </w:p>
          <w:p w14:paraId="481B9FA1" w14:textId="1F069CD0" w:rsidR="00D86D14" w:rsidRPr="004229C9" w:rsidRDefault="00D86D14" w:rsidP="006A6EC0">
            <w:pPr>
              <w:spacing w:after="120"/>
              <w:rPr>
                <w:lang w:val="sk-SK"/>
              </w:rPr>
            </w:pPr>
            <w:r>
              <w:rPr>
                <w:lang w:val="sk-SK"/>
              </w:rPr>
              <w:t>(250 mg/ml)</w:t>
            </w:r>
          </w:p>
        </w:tc>
      </w:tr>
      <w:tr w:rsidR="00D86D14" w:rsidRPr="004229C9" w14:paraId="51AC2ADA" w14:textId="77777777">
        <w:tc>
          <w:tcPr>
            <w:tcW w:w="1080" w:type="dxa"/>
          </w:tcPr>
          <w:p w14:paraId="15782B0E" w14:textId="77777777" w:rsidR="00D86D14" w:rsidRPr="004229C9" w:rsidRDefault="00D86D14" w:rsidP="00D86D14">
            <w:pPr>
              <w:rPr>
                <w:lang w:val="sk-SK"/>
              </w:rPr>
            </w:pPr>
            <w:smartTag w:uri="urn:schemas-microsoft-com:office:smarttags" w:element="PersonName">
              <w:smartTagPr>
                <w:attr w:name="ProductID" w:val="1 g"/>
              </w:smartTagPr>
              <w:r w:rsidRPr="004229C9">
                <w:rPr>
                  <w:lang w:val="sk-SK"/>
                </w:rPr>
                <w:t>1 g</w:t>
              </w:r>
            </w:smartTag>
          </w:p>
        </w:tc>
        <w:tc>
          <w:tcPr>
            <w:tcW w:w="2160" w:type="dxa"/>
          </w:tcPr>
          <w:p w14:paraId="3E187DB2" w14:textId="77777777" w:rsidR="00D86D14" w:rsidRDefault="00D86D14" w:rsidP="00D86D14">
            <w:pPr>
              <w:rPr>
                <w:lang w:val="sk-SK"/>
              </w:rPr>
            </w:pPr>
            <w:r w:rsidRPr="004229C9">
              <w:rPr>
                <w:lang w:val="sk-SK"/>
              </w:rPr>
              <w:t>40-50 ml</w:t>
            </w:r>
          </w:p>
          <w:p w14:paraId="6D6A6A79" w14:textId="5BBA9946" w:rsidR="00D86D14" w:rsidRPr="004229C9" w:rsidRDefault="00D86D14" w:rsidP="00D86D14">
            <w:pPr>
              <w:rPr>
                <w:lang w:val="sk-SK"/>
              </w:rPr>
            </w:pPr>
            <w:r>
              <w:rPr>
                <w:lang w:val="sk-SK"/>
              </w:rPr>
              <w:t>(25 mg-20 mg/ml)</w:t>
            </w:r>
          </w:p>
        </w:tc>
        <w:tc>
          <w:tcPr>
            <w:tcW w:w="2160" w:type="dxa"/>
          </w:tcPr>
          <w:p w14:paraId="2683A67C" w14:textId="77777777" w:rsidR="00D86D14" w:rsidRPr="004229C9" w:rsidRDefault="00D86D14" w:rsidP="00D86D14">
            <w:pPr>
              <w:rPr>
                <w:lang w:val="sk-SK"/>
              </w:rPr>
            </w:pPr>
            <w:r w:rsidRPr="004229C9">
              <w:rPr>
                <w:lang w:val="sk-SK"/>
              </w:rPr>
              <w:t>-</w:t>
            </w:r>
          </w:p>
        </w:tc>
        <w:tc>
          <w:tcPr>
            <w:tcW w:w="1539" w:type="dxa"/>
          </w:tcPr>
          <w:p w14:paraId="2396A6B6" w14:textId="77777777" w:rsidR="00D86D14" w:rsidRDefault="00D86D14" w:rsidP="00D86D14">
            <w:pPr>
              <w:rPr>
                <w:lang w:val="sk-SK"/>
              </w:rPr>
            </w:pPr>
            <w:r w:rsidRPr="004229C9">
              <w:rPr>
                <w:lang w:val="sk-SK"/>
              </w:rPr>
              <w:t>4 ml</w:t>
            </w:r>
          </w:p>
          <w:p w14:paraId="6586486A" w14:textId="77777777" w:rsidR="00D86D14" w:rsidRPr="004229C9" w:rsidRDefault="00D86D14" w:rsidP="00D86D14">
            <w:pPr>
              <w:rPr>
                <w:lang w:val="sk-SK"/>
              </w:rPr>
            </w:pPr>
            <w:r>
              <w:rPr>
                <w:lang w:val="sk-SK"/>
              </w:rPr>
              <w:t>(250 mg/ml)</w:t>
            </w:r>
          </w:p>
        </w:tc>
        <w:tc>
          <w:tcPr>
            <w:tcW w:w="1736" w:type="dxa"/>
          </w:tcPr>
          <w:p w14:paraId="6B950277" w14:textId="77777777" w:rsidR="00D86D14" w:rsidRDefault="00D86D14" w:rsidP="00D86D14">
            <w:pPr>
              <w:rPr>
                <w:lang w:val="sk-SK"/>
              </w:rPr>
            </w:pPr>
            <w:r w:rsidRPr="004229C9">
              <w:rPr>
                <w:lang w:val="sk-SK"/>
              </w:rPr>
              <w:t>4 ml</w:t>
            </w:r>
          </w:p>
          <w:p w14:paraId="004AD3CE" w14:textId="2096F7BC" w:rsidR="00D86D14" w:rsidRPr="004229C9" w:rsidRDefault="00D86D14" w:rsidP="006A6EC0">
            <w:pPr>
              <w:spacing w:after="120"/>
              <w:rPr>
                <w:lang w:val="sk-SK"/>
              </w:rPr>
            </w:pPr>
            <w:r>
              <w:rPr>
                <w:lang w:val="sk-SK"/>
              </w:rPr>
              <w:t>(250 mg/ml)</w:t>
            </w:r>
          </w:p>
        </w:tc>
      </w:tr>
      <w:tr w:rsidR="00D86D14" w:rsidRPr="004229C9" w14:paraId="56F08175" w14:textId="77777777">
        <w:tc>
          <w:tcPr>
            <w:tcW w:w="1080" w:type="dxa"/>
          </w:tcPr>
          <w:p w14:paraId="54F4BCB2" w14:textId="77777777" w:rsidR="00D86D14" w:rsidRPr="004229C9" w:rsidRDefault="00D86D14" w:rsidP="00D86D14">
            <w:pPr>
              <w:rPr>
                <w:lang w:val="sk-SK"/>
              </w:rPr>
            </w:pPr>
            <w:smartTag w:uri="urn:schemas-microsoft-com:office:smarttags" w:element="PersonName">
              <w:smartTagPr>
                <w:attr w:name="ProductID" w:val="2 g"/>
              </w:smartTagPr>
              <w:r w:rsidRPr="004229C9">
                <w:rPr>
                  <w:lang w:val="sk-SK"/>
                </w:rPr>
                <w:t>2 g</w:t>
              </w:r>
            </w:smartTag>
          </w:p>
        </w:tc>
        <w:tc>
          <w:tcPr>
            <w:tcW w:w="2160" w:type="dxa"/>
          </w:tcPr>
          <w:p w14:paraId="4BF7D62D" w14:textId="77777777" w:rsidR="00D86D14" w:rsidRDefault="00D86D14" w:rsidP="00D86D14">
            <w:pPr>
              <w:rPr>
                <w:lang w:val="sk-SK"/>
              </w:rPr>
            </w:pPr>
            <w:r w:rsidRPr="004229C9">
              <w:rPr>
                <w:lang w:val="sk-SK"/>
              </w:rPr>
              <w:t>40-50 ml</w:t>
            </w:r>
          </w:p>
          <w:p w14:paraId="208B55CE" w14:textId="5AAAB0F3" w:rsidR="00D86D14" w:rsidRPr="004229C9" w:rsidRDefault="00D86D14" w:rsidP="00D86D14">
            <w:pPr>
              <w:rPr>
                <w:lang w:val="sk-SK"/>
              </w:rPr>
            </w:pPr>
            <w:r>
              <w:rPr>
                <w:lang w:val="sk-SK"/>
              </w:rPr>
              <w:t>(50 mg-40 mg/ml)</w:t>
            </w:r>
          </w:p>
        </w:tc>
        <w:tc>
          <w:tcPr>
            <w:tcW w:w="2160" w:type="dxa"/>
          </w:tcPr>
          <w:p w14:paraId="1C677A35" w14:textId="77777777" w:rsidR="00D86D14" w:rsidRDefault="00D86D14" w:rsidP="00D86D14">
            <w:pPr>
              <w:rPr>
                <w:lang w:val="sk-SK"/>
              </w:rPr>
            </w:pPr>
            <w:r w:rsidRPr="004229C9">
              <w:rPr>
                <w:lang w:val="sk-SK"/>
              </w:rPr>
              <w:t>100 ml</w:t>
            </w:r>
          </w:p>
          <w:p w14:paraId="48C809D6" w14:textId="77777777" w:rsidR="00D86D14" w:rsidRPr="004229C9" w:rsidRDefault="00D86D14" w:rsidP="00D86D14">
            <w:pPr>
              <w:rPr>
                <w:lang w:val="sk-SK"/>
              </w:rPr>
            </w:pPr>
            <w:r>
              <w:rPr>
                <w:lang w:val="sk-SK"/>
              </w:rPr>
              <w:t>(20 mg/ml)</w:t>
            </w:r>
          </w:p>
        </w:tc>
        <w:tc>
          <w:tcPr>
            <w:tcW w:w="1539" w:type="dxa"/>
          </w:tcPr>
          <w:p w14:paraId="3D2E34A1" w14:textId="77777777" w:rsidR="00D86D14" w:rsidRDefault="00D86D14" w:rsidP="00D86D14">
            <w:pPr>
              <w:rPr>
                <w:lang w:val="sk-SK"/>
              </w:rPr>
            </w:pPr>
            <w:r w:rsidRPr="004229C9">
              <w:rPr>
                <w:lang w:val="sk-SK"/>
              </w:rPr>
              <w:t>10 ml</w:t>
            </w:r>
          </w:p>
          <w:p w14:paraId="30A5CED2" w14:textId="77777777" w:rsidR="00D86D14" w:rsidRPr="004229C9" w:rsidRDefault="00D86D14" w:rsidP="006A6EC0">
            <w:pPr>
              <w:spacing w:after="120"/>
              <w:rPr>
                <w:lang w:val="sk-SK"/>
              </w:rPr>
            </w:pPr>
            <w:r>
              <w:rPr>
                <w:lang w:val="sk-SK"/>
              </w:rPr>
              <w:t>(200 mg/ml)</w:t>
            </w:r>
          </w:p>
        </w:tc>
        <w:tc>
          <w:tcPr>
            <w:tcW w:w="1736" w:type="dxa"/>
          </w:tcPr>
          <w:p w14:paraId="63FC08F5" w14:textId="77777777" w:rsidR="00D86D14" w:rsidRPr="004229C9" w:rsidRDefault="00D86D14" w:rsidP="00D86D14">
            <w:pPr>
              <w:rPr>
                <w:lang w:val="sk-SK"/>
              </w:rPr>
            </w:pPr>
            <w:r w:rsidRPr="004229C9">
              <w:rPr>
                <w:lang w:val="sk-SK"/>
              </w:rPr>
              <w:t>-</w:t>
            </w:r>
          </w:p>
        </w:tc>
      </w:tr>
    </w:tbl>
    <w:p w14:paraId="63A35944" w14:textId="77777777" w:rsidR="00D86D14" w:rsidRPr="003E07FD" w:rsidRDefault="00D86D14" w:rsidP="00D86D14">
      <w:pPr>
        <w:ind w:left="567" w:hanging="567"/>
        <w:rPr>
          <w:color w:val="FF0000"/>
          <w:lang w:val="sk-SK"/>
        </w:rPr>
      </w:pPr>
    </w:p>
    <w:p w14:paraId="0CA477E6" w14:textId="77777777" w:rsidR="00D86D14" w:rsidRPr="00EB55E5" w:rsidRDefault="00D86D14" w:rsidP="00D86D14">
      <w:pPr>
        <w:pStyle w:val="Formatvorlage2"/>
        <w:tabs>
          <w:tab w:val="clear" w:pos="7797"/>
        </w:tabs>
        <w:spacing w:after="100" w:afterAutospacing="1"/>
        <w:jc w:val="left"/>
        <w:rPr>
          <w:i/>
          <w:sz w:val="22"/>
          <w:u w:val="single"/>
          <w:lang w:val="sk-SK"/>
        </w:rPr>
      </w:pPr>
      <w:r w:rsidRPr="00EB55E5">
        <w:rPr>
          <w:i/>
          <w:sz w:val="22"/>
          <w:u w:val="single"/>
          <w:lang w:val="sk-SK"/>
        </w:rPr>
        <w:t xml:space="preserve">Príprava injekčného </w:t>
      </w:r>
      <w:r>
        <w:rPr>
          <w:i/>
          <w:sz w:val="22"/>
          <w:u w:val="single"/>
          <w:lang w:val="sk-SK"/>
        </w:rPr>
        <w:t xml:space="preserve">alebo infúzneho </w:t>
      </w:r>
      <w:r w:rsidRPr="00EB55E5">
        <w:rPr>
          <w:i/>
          <w:sz w:val="22"/>
          <w:u w:val="single"/>
          <w:lang w:val="sk-SK"/>
        </w:rPr>
        <w:t>roztoku:</w:t>
      </w:r>
    </w:p>
    <w:p w14:paraId="1C985F24" w14:textId="77777777" w:rsidR="00D86D14" w:rsidRPr="004229C9" w:rsidRDefault="00D86D14" w:rsidP="006A6EC0">
      <w:pPr>
        <w:tabs>
          <w:tab w:val="clear" w:pos="567"/>
          <w:tab w:val="left" w:pos="540"/>
        </w:tabs>
        <w:rPr>
          <w:lang w:val="sk-SK"/>
        </w:rPr>
      </w:pPr>
      <w:proofErr w:type="spellStart"/>
      <w:r w:rsidRPr="004229C9">
        <w:rPr>
          <w:lang w:val="sk-SK"/>
        </w:rPr>
        <w:t>Cefotaxim</w:t>
      </w:r>
      <w:proofErr w:type="spellEnd"/>
      <w:r w:rsidRPr="004229C9">
        <w:rPr>
          <w:lang w:val="sk-SK"/>
        </w:rPr>
        <w:t xml:space="preserve"> </w:t>
      </w:r>
      <w:proofErr w:type="spellStart"/>
      <w:r w:rsidRPr="004229C9">
        <w:rPr>
          <w:lang w:val="sk-SK"/>
        </w:rPr>
        <w:t>Eberth</w:t>
      </w:r>
      <w:proofErr w:type="spellEnd"/>
      <w:r w:rsidRPr="004229C9">
        <w:rPr>
          <w:lang w:val="sk-SK"/>
        </w:rPr>
        <w:t xml:space="preserve"> je kompatibilný s:</w:t>
      </w:r>
      <w:r>
        <w:rPr>
          <w:lang w:val="sk-SK"/>
        </w:rPr>
        <w:t xml:space="preserve"> </w:t>
      </w:r>
      <w:r w:rsidRPr="004229C9">
        <w:rPr>
          <w:lang w:val="sk-SK"/>
        </w:rPr>
        <w:t>0,9</w:t>
      </w:r>
      <w:r w:rsidR="000D1A79">
        <w:rPr>
          <w:lang w:val="sk-SK"/>
        </w:rPr>
        <w:t xml:space="preserve"> </w:t>
      </w:r>
      <w:r w:rsidRPr="004229C9">
        <w:rPr>
          <w:lang w:val="sk-SK"/>
        </w:rPr>
        <w:t>% roztokom chloridu sodného; 5</w:t>
      </w:r>
      <w:r w:rsidR="000D1A79">
        <w:rPr>
          <w:lang w:val="sk-SK"/>
        </w:rPr>
        <w:t xml:space="preserve"> </w:t>
      </w:r>
      <w:r w:rsidRPr="004229C9">
        <w:rPr>
          <w:lang w:val="sk-SK"/>
        </w:rPr>
        <w:t xml:space="preserve">% </w:t>
      </w:r>
      <w:r>
        <w:rPr>
          <w:lang w:val="sk-SK"/>
        </w:rPr>
        <w:t>alebo 10</w:t>
      </w:r>
      <w:r w:rsidR="000D1A79">
        <w:rPr>
          <w:lang w:val="sk-SK"/>
        </w:rPr>
        <w:t xml:space="preserve"> </w:t>
      </w:r>
      <w:r>
        <w:rPr>
          <w:lang w:val="sk-SK"/>
        </w:rPr>
        <w:t xml:space="preserve">% </w:t>
      </w:r>
      <w:r w:rsidRPr="004229C9">
        <w:rPr>
          <w:lang w:val="sk-SK"/>
        </w:rPr>
        <w:t>roztok</w:t>
      </w:r>
      <w:r>
        <w:rPr>
          <w:lang w:val="sk-SK"/>
        </w:rPr>
        <w:t xml:space="preserve">om glukózy; </w:t>
      </w:r>
      <w:proofErr w:type="spellStart"/>
      <w:r>
        <w:rPr>
          <w:lang w:val="sk-SK"/>
        </w:rPr>
        <w:t>Ringerovým-laktátovým</w:t>
      </w:r>
      <w:proofErr w:type="spellEnd"/>
      <w:r>
        <w:rPr>
          <w:lang w:val="sk-SK"/>
        </w:rPr>
        <w:t xml:space="preserve"> roztokom</w:t>
      </w:r>
      <w:r w:rsidRPr="004229C9">
        <w:rPr>
          <w:lang w:val="sk-SK"/>
        </w:rPr>
        <w:t>; 1,0</w:t>
      </w:r>
      <w:r w:rsidR="000D1A79">
        <w:rPr>
          <w:lang w:val="sk-SK"/>
        </w:rPr>
        <w:t xml:space="preserve"> </w:t>
      </w:r>
      <w:r w:rsidRPr="004229C9">
        <w:rPr>
          <w:lang w:val="sk-SK"/>
        </w:rPr>
        <w:t xml:space="preserve">% roztokom </w:t>
      </w:r>
      <w:proofErr w:type="spellStart"/>
      <w:r w:rsidRPr="004229C9">
        <w:rPr>
          <w:lang w:val="sk-SK"/>
        </w:rPr>
        <w:t>lidokaínu</w:t>
      </w:r>
      <w:proofErr w:type="spellEnd"/>
      <w:r w:rsidRPr="004229C9">
        <w:rPr>
          <w:lang w:val="sk-SK"/>
        </w:rPr>
        <w:t>.</w:t>
      </w:r>
    </w:p>
    <w:p w14:paraId="1C869E7B" w14:textId="77777777" w:rsidR="00D86D14" w:rsidRDefault="00D86D14" w:rsidP="00D86D14">
      <w:pPr>
        <w:pStyle w:val="Normlnywebov"/>
        <w:spacing w:before="0" w:beforeAutospacing="0" w:after="0" w:afterAutospacing="0"/>
        <w:outlineLvl w:val="0"/>
        <w:rPr>
          <w:color w:val="FF0000"/>
          <w:sz w:val="22"/>
          <w:lang w:val="sk-SK"/>
        </w:rPr>
      </w:pPr>
    </w:p>
    <w:p w14:paraId="737A8336" w14:textId="77777777" w:rsidR="00D86D14" w:rsidRPr="004229C9" w:rsidRDefault="00D86D14" w:rsidP="00D86D14">
      <w:pPr>
        <w:jc w:val="both"/>
        <w:rPr>
          <w:lang w:val="sk-SK"/>
        </w:rPr>
      </w:pPr>
      <w:r w:rsidRPr="004229C9">
        <w:rPr>
          <w:lang w:val="sk-SK"/>
        </w:rPr>
        <w:t xml:space="preserve">- </w:t>
      </w:r>
      <w:r>
        <w:rPr>
          <w:lang w:val="sk-SK"/>
        </w:rPr>
        <w:t>Prípravu</w:t>
      </w:r>
      <w:r w:rsidRPr="004229C9">
        <w:rPr>
          <w:lang w:val="sk-SK"/>
        </w:rPr>
        <w:t xml:space="preserve"> roztoku</w:t>
      </w:r>
      <w:r>
        <w:rPr>
          <w:lang w:val="sk-SK"/>
        </w:rPr>
        <w:t xml:space="preserve"> je potrebné</w:t>
      </w:r>
      <w:r w:rsidRPr="004229C9">
        <w:rPr>
          <w:lang w:val="sk-SK"/>
        </w:rPr>
        <w:t xml:space="preserve"> </w:t>
      </w:r>
      <w:r>
        <w:rPr>
          <w:lang w:val="sk-SK"/>
        </w:rPr>
        <w:t>uskutočniť v</w:t>
      </w:r>
      <w:r w:rsidRPr="004229C9">
        <w:rPr>
          <w:lang w:val="sk-SK"/>
        </w:rPr>
        <w:t xml:space="preserve"> as</w:t>
      </w:r>
      <w:r>
        <w:rPr>
          <w:lang w:val="sk-SK"/>
        </w:rPr>
        <w:t>eptických podmienkach</w:t>
      </w:r>
      <w:r w:rsidRPr="004229C9">
        <w:rPr>
          <w:lang w:val="sk-SK"/>
        </w:rPr>
        <w:t>.</w:t>
      </w:r>
    </w:p>
    <w:p w14:paraId="3E08A71A" w14:textId="77777777" w:rsidR="00D86D14" w:rsidRPr="004229C9" w:rsidRDefault="00D86D14" w:rsidP="00D86D14">
      <w:pPr>
        <w:tabs>
          <w:tab w:val="clear" w:pos="567"/>
          <w:tab w:val="left" w:pos="-1440"/>
        </w:tabs>
        <w:jc w:val="both"/>
        <w:rPr>
          <w:lang w:val="sk-SK"/>
        </w:rPr>
      </w:pPr>
      <w:r w:rsidRPr="004229C9">
        <w:rPr>
          <w:lang w:val="sk-SK"/>
        </w:rPr>
        <w:t xml:space="preserve">- </w:t>
      </w:r>
      <w:r>
        <w:rPr>
          <w:lang w:val="sk-SK"/>
        </w:rPr>
        <w:t>Pripravený</w:t>
      </w:r>
      <w:r w:rsidRPr="004229C9">
        <w:rPr>
          <w:lang w:val="sk-SK"/>
        </w:rPr>
        <w:t xml:space="preserve"> roztok </w:t>
      </w:r>
      <w:r>
        <w:rPr>
          <w:lang w:val="sk-SK"/>
        </w:rPr>
        <w:t>je potrebné</w:t>
      </w:r>
      <w:r w:rsidRPr="004229C9">
        <w:rPr>
          <w:lang w:val="sk-SK"/>
        </w:rPr>
        <w:t xml:space="preserve"> podať okamžite</w:t>
      </w:r>
      <w:r w:rsidR="00DE132A">
        <w:rPr>
          <w:lang w:val="sk-SK"/>
        </w:rPr>
        <w:t xml:space="preserve"> pozri tiež „</w:t>
      </w:r>
      <w:r w:rsidR="00904782" w:rsidRPr="00904782">
        <w:rPr>
          <w:lang w:val="sk-SK"/>
        </w:rPr>
        <w:t>Čas použiteľnosti a podmienky uchovávania</w:t>
      </w:r>
      <w:r w:rsidR="00770C9C">
        <w:rPr>
          <w:lang w:val="sk-SK"/>
        </w:rPr>
        <w:t>“,</w:t>
      </w:r>
      <w:r w:rsidR="00DE132A">
        <w:rPr>
          <w:lang w:val="sk-SK"/>
        </w:rPr>
        <w:t xml:space="preserve"> </w:t>
      </w:r>
      <w:r w:rsidR="005C0C50">
        <w:rPr>
          <w:lang w:val="sk-SK"/>
        </w:rPr>
        <w:br/>
        <w:t xml:space="preserve">  </w:t>
      </w:r>
      <w:r w:rsidR="000A4925">
        <w:rPr>
          <w:lang w:val="sk-SK"/>
        </w:rPr>
        <w:t>uvedené nižšie</w:t>
      </w:r>
      <w:r w:rsidRPr="004229C9">
        <w:rPr>
          <w:lang w:val="sk-SK"/>
        </w:rPr>
        <w:t>.</w:t>
      </w:r>
    </w:p>
    <w:p w14:paraId="6CFF6D47" w14:textId="77777777" w:rsidR="00D86D14" w:rsidRDefault="00D86D14" w:rsidP="00D86D14">
      <w:pPr>
        <w:tabs>
          <w:tab w:val="clear" w:pos="567"/>
          <w:tab w:val="left" w:pos="-900"/>
          <w:tab w:val="left" w:pos="-720"/>
        </w:tabs>
        <w:jc w:val="both"/>
        <w:rPr>
          <w:lang w:val="sk-SK"/>
        </w:rPr>
      </w:pPr>
      <w:r w:rsidRPr="004229C9">
        <w:rPr>
          <w:lang w:val="sk-SK"/>
        </w:rPr>
        <w:t xml:space="preserve">- Akýkoľvek nepoužitý roztok </w:t>
      </w:r>
      <w:r>
        <w:rPr>
          <w:lang w:val="sk-SK"/>
        </w:rPr>
        <w:t>je potrebné</w:t>
      </w:r>
      <w:r w:rsidRPr="004229C9">
        <w:rPr>
          <w:lang w:val="sk-SK"/>
        </w:rPr>
        <w:t xml:space="preserve"> zlikvidovať.</w:t>
      </w:r>
    </w:p>
    <w:p w14:paraId="1E103F05" w14:textId="77777777" w:rsidR="005C0C50" w:rsidRDefault="005C0C50" w:rsidP="00D86D14">
      <w:pPr>
        <w:tabs>
          <w:tab w:val="clear" w:pos="567"/>
          <w:tab w:val="left" w:pos="-900"/>
          <w:tab w:val="left" w:pos="-720"/>
        </w:tabs>
        <w:jc w:val="both"/>
        <w:rPr>
          <w:lang w:val="sk-SK"/>
        </w:rPr>
      </w:pPr>
    </w:p>
    <w:p w14:paraId="704E70F7" w14:textId="77777777" w:rsidR="00396E56" w:rsidRPr="006A6EC0" w:rsidRDefault="00396E56" w:rsidP="00396E56">
      <w:pPr>
        <w:tabs>
          <w:tab w:val="clear" w:pos="567"/>
          <w:tab w:val="left" w:pos="-900"/>
          <w:tab w:val="left" w:pos="-720"/>
        </w:tabs>
        <w:jc w:val="both"/>
        <w:rPr>
          <w:b/>
          <w:u w:val="single"/>
          <w:lang w:val="sk-SK"/>
        </w:rPr>
      </w:pPr>
      <w:proofErr w:type="spellStart"/>
      <w:r w:rsidRPr="006A6EC0">
        <w:rPr>
          <w:b/>
          <w:u w:val="single"/>
          <w:lang w:val="sk-SK"/>
        </w:rPr>
        <w:t>Intramuskulárna</w:t>
      </w:r>
      <w:proofErr w:type="spellEnd"/>
      <w:r w:rsidRPr="006A6EC0">
        <w:rPr>
          <w:b/>
          <w:u w:val="single"/>
          <w:lang w:val="sk-SK"/>
        </w:rPr>
        <w:t xml:space="preserve"> injekcia:</w:t>
      </w:r>
    </w:p>
    <w:p w14:paraId="0C509EE2" w14:textId="77777777" w:rsidR="00396E56" w:rsidRPr="00396E56" w:rsidRDefault="00396E56" w:rsidP="00396E56">
      <w:pPr>
        <w:tabs>
          <w:tab w:val="clear" w:pos="567"/>
          <w:tab w:val="left" w:pos="-900"/>
          <w:tab w:val="left" w:pos="-720"/>
        </w:tabs>
        <w:jc w:val="both"/>
        <w:rPr>
          <w:lang w:val="sk-SK"/>
        </w:rPr>
      </w:pPr>
      <w:proofErr w:type="spellStart"/>
      <w:r w:rsidRPr="00396E56">
        <w:rPr>
          <w:lang w:val="sk-SK"/>
        </w:rPr>
        <w:t>Cefotaxim</w:t>
      </w:r>
      <w:proofErr w:type="spellEnd"/>
      <w:r w:rsidRPr="00396E56">
        <w:rPr>
          <w:lang w:val="sk-SK"/>
        </w:rPr>
        <w:t xml:space="preserve"> </w:t>
      </w:r>
      <w:proofErr w:type="spellStart"/>
      <w:r w:rsidRPr="00396E56">
        <w:rPr>
          <w:lang w:val="sk-SK"/>
        </w:rPr>
        <w:t>Eberth</w:t>
      </w:r>
      <w:proofErr w:type="spellEnd"/>
      <w:r w:rsidRPr="00396E56">
        <w:rPr>
          <w:lang w:val="sk-SK"/>
        </w:rPr>
        <w:t xml:space="preserve"> 0,5 g sa rozpustí v 2 ml vody na injekcie.</w:t>
      </w:r>
    </w:p>
    <w:p w14:paraId="0BEBEDFD" w14:textId="77777777" w:rsidR="00396E56" w:rsidRPr="00396E56" w:rsidRDefault="00396E56" w:rsidP="00396E56">
      <w:pPr>
        <w:tabs>
          <w:tab w:val="clear" w:pos="567"/>
          <w:tab w:val="left" w:pos="-900"/>
          <w:tab w:val="left" w:pos="-720"/>
        </w:tabs>
        <w:jc w:val="both"/>
        <w:rPr>
          <w:lang w:val="sk-SK"/>
        </w:rPr>
      </w:pPr>
      <w:proofErr w:type="spellStart"/>
      <w:r w:rsidRPr="00396E56">
        <w:rPr>
          <w:lang w:val="sk-SK"/>
        </w:rPr>
        <w:t>Cefotaxim</w:t>
      </w:r>
      <w:proofErr w:type="spellEnd"/>
      <w:r w:rsidRPr="00396E56">
        <w:rPr>
          <w:lang w:val="sk-SK"/>
        </w:rPr>
        <w:t xml:space="preserve"> </w:t>
      </w:r>
      <w:proofErr w:type="spellStart"/>
      <w:r w:rsidRPr="00396E56">
        <w:rPr>
          <w:lang w:val="sk-SK"/>
        </w:rPr>
        <w:t>Eberth</w:t>
      </w:r>
      <w:proofErr w:type="spellEnd"/>
      <w:r w:rsidRPr="00396E56">
        <w:rPr>
          <w:lang w:val="sk-SK"/>
        </w:rPr>
        <w:t xml:space="preserve"> 1 g sa rozpustí v 4 ml vody na injekcie.</w:t>
      </w:r>
    </w:p>
    <w:p w14:paraId="7515CAFD" w14:textId="77777777" w:rsidR="00396E56" w:rsidRPr="00396E56" w:rsidRDefault="00396E56" w:rsidP="00396E56">
      <w:pPr>
        <w:tabs>
          <w:tab w:val="clear" w:pos="567"/>
          <w:tab w:val="left" w:pos="-900"/>
          <w:tab w:val="left" w:pos="-720"/>
        </w:tabs>
        <w:jc w:val="both"/>
        <w:rPr>
          <w:lang w:val="sk-SK"/>
        </w:rPr>
      </w:pPr>
    </w:p>
    <w:p w14:paraId="60194212" w14:textId="5330AFF8" w:rsidR="005C0C50" w:rsidRDefault="00396E56" w:rsidP="00396E56">
      <w:pPr>
        <w:tabs>
          <w:tab w:val="clear" w:pos="567"/>
          <w:tab w:val="left" w:pos="-900"/>
          <w:tab w:val="left" w:pos="-720"/>
        </w:tabs>
        <w:jc w:val="both"/>
        <w:rPr>
          <w:lang w:val="sk-SK"/>
        </w:rPr>
      </w:pPr>
      <w:r w:rsidRPr="00396E56">
        <w:rPr>
          <w:lang w:val="sk-SK"/>
        </w:rPr>
        <w:t xml:space="preserve">Aby sa predišlo bolesti spôsobenej injekciou, </w:t>
      </w:r>
      <w:proofErr w:type="spellStart"/>
      <w:r w:rsidRPr="00396E56">
        <w:rPr>
          <w:lang w:val="sk-SK"/>
        </w:rPr>
        <w:t>Cefotaxim</w:t>
      </w:r>
      <w:proofErr w:type="spellEnd"/>
      <w:r w:rsidRPr="00396E56">
        <w:rPr>
          <w:lang w:val="sk-SK"/>
        </w:rPr>
        <w:t xml:space="preserve"> </w:t>
      </w:r>
      <w:proofErr w:type="spellStart"/>
      <w:r w:rsidRPr="00396E56">
        <w:rPr>
          <w:lang w:val="sk-SK"/>
        </w:rPr>
        <w:t>Eberth</w:t>
      </w:r>
      <w:proofErr w:type="spellEnd"/>
      <w:r w:rsidRPr="00396E56">
        <w:rPr>
          <w:lang w:val="sk-SK"/>
        </w:rPr>
        <w:t xml:space="preserve"> 0,5 g sa môže rozpustiť v 2 ml 1 % injekčného roztoku </w:t>
      </w:r>
      <w:proofErr w:type="spellStart"/>
      <w:r w:rsidRPr="00396E56">
        <w:rPr>
          <w:lang w:val="sk-SK"/>
        </w:rPr>
        <w:t>lidokaín</w:t>
      </w:r>
      <w:r w:rsidR="00E604C4">
        <w:rPr>
          <w:lang w:val="sk-SK"/>
        </w:rPr>
        <w:t>ium</w:t>
      </w:r>
      <w:r w:rsidRPr="00396E56">
        <w:rPr>
          <w:lang w:val="sk-SK"/>
        </w:rPr>
        <w:t>chloridu</w:t>
      </w:r>
      <w:proofErr w:type="spellEnd"/>
      <w:r w:rsidRPr="00396E56">
        <w:rPr>
          <w:lang w:val="sk-SK"/>
        </w:rPr>
        <w:t xml:space="preserve"> alebo </w:t>
      </w:r>
      <w:proofErr w:type="spellStart"/>
      <w:r w:rsidRPr="00396E56">
        <w:rPr>
          <w:lang w:val="sk-SK"/>
        </w:rPr>
        <w:t>Cefotaxim</w:t>
      </w:r>
      <w:proofErr w:type="spellEnd"/>
      <w:r w:rsidRPr="00396E56">
        <w:rPr>
          <w:lang w:val="sk-SK"/>
        </w:rPr>
        <w:t xml:space="preserve"> </w:t>
      </w:r>
      <w:proofErr w:type="spellStart"/>
      <w:r w:rsidRPr="00396E56">
        <w:rPr>
          <w:lang w:val="sk-SK"/>
        </w:rPr>
        <w:t>Eberth</w:t>
      </w:r>
      <w:proofErr w:type="spellEnd"/>
      <w:r w:rsidRPr="00396E56">
        <w:rPr>
          <w:lang w:val="sk-SK"/>
        </w:rPr>
        <w:t xml:space="preserve"> 1 g sa môže rozpustiť v 4 ml 1 % injekčného roztoku </w:t>
      </w:r>
      <w:proofErr w:type="spellStart"/>
      <w:r w:rsidRPr="00396E56">
        <w:rPr>
          <w:lang w:val="sk-SK"/>
        </w:rPr>
        <w:t>lidokaín</w:t>
      </w:r>
      <w:r w:rsidR="00E604C4">
        <w:rPr>
          <w:lang w:val="sk-SK"/>
        </w:rPr>
        <w:t>ium</w:t>
      </w:r>
      <w:r w:rsidRPr="00396E56">
        <w:rPr>
          <w:lang w:val="sk-SK"/>
        </w:rPr>
        <w:t>chloridu</w:t>
      </w:r>
      <w:proofErr w:type="spellEnd"/>
      <w:r w:rsidRPr="00396E56">
        <w:rPr>
          <w:lang w:val="sk-SK"/>
        </w:rPr>
        <w:t xml:space="preserve"> (</w:t>
      </w:r>
      <w:r w:rsidRPr="006A6EC0">
        <w:rPr>
          <w:u w:val="single"/>
          <w:lang w:val="sk-SK"/>
        </w:rPr>
        <w:t>len pre dospelých</w:t>
      </w:r>
      <w:r w:rsidRPr="00396E56">
        <w:rPr>
          <w:lang w:val="sk-SK"/>
        </w:rPr>
        <w:t>).</w:t>
      </w:r>
    </w:p>
    <w:p w14:paraId="4408979D" w14:textId="77777777" w:rsidR="00396E56" w:rsidRPr="004229C9" w:rsidRDefault="00396E56" w:rsidP="00D86D14">
      <w:pPr>
        <w:tabs>
          <w:tab w:val="clear" w:pos="567"/>
          <w:tab w:val="left" w:pos="-900"/>
          <w:tab w:val="left" w:pos="-720"/>
        </w:tabs>
        <w:jc w:val="both"/>
        <w:rPr>
          <w:lang w:val="sk-SK"/>
        </w:rPr>
      </w:pPr>
    </w:p>
    <w:p w14:paraId="465DCEE3" w14:textId="45C8029E" w:rsidR="00D25398" w:rsidRDefault="00D86D14" w:rsidP="006A6EC0">
      <w:pPr>
        <w:spacing w:line="360" w:lineRule="auto"/>
        <w:jc w:val="both"/>
        <w:rPr>
          <w:lang w:val="sk-SK"/>
        </w:rPr>
      </w:pPr>
      <w:r>
        <w:rPr>
          <w:lang w:val="sk-SK"/>
        </w:rPr>
        <w:t xml:space="preserve">Tabuľka </w:t>
      </w:r>
      <w:r w:rsidR="00E73D7D">
        <w:rPr>
          <w:lang w:val="sk-SK"/>
        </w:rPr>
        <w:t xml:space="preserve">riedenia / použitia </w:t>
      </w:r>
      <w:r>
        <w:rPr>
          <w:lang w:val="sk-SK"/>
        </w:rPr>
        <w:t>(</w:t>
      </w:r>
      <w:proofErr w:type="spellStart"/>
      <w:r w:rsidRPr="006A6EC0">
        <w:rPr>
          <w:b/>
          <w:i/>
          <w:lang w:val="sk-SK"/>
        </w:rPr>
        <w:t>intramuskulárn</w:t>
      </w:r>
      <w:r w:rsidR="005B1794">
        <w:rPr>
          <w:b/>
          <w:i/>
          <w:lang w:val="sk-SK"/>
        </w:rPr>
        <w:t>a</w:t>
      </w:r>
      <w:proofErr w:type="spellEnd"/>
      <w:r>
        <w:rPr>
          <w:lang w:val="sk-SK"/>
        </w:rPr>
        <w:t xml:space="preserve"> </w:t>
      </w:r>
      <w:r w:rsidR="005B1794">
        <w:rPr>
          <w:lang w:val="sk-SK"/>
        </w:rPr>
        <w:t>injekcia</w:t>
      </w:r>
      <w:r>
        <w:rPr>
          <w:lang w:val="sk-SK"/>
        </w:rPr>
        <w:t>):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235"/>
        <w:gridCol w:w="2268"/>
        <w:gridCol w:w="2409"/>
      </w:tblGrid>
      <w:tr w:rsidR="00D86D14" w:rsidRPr="001E7E96" w14:paraId="42F89514" w14:textId="77777777" w:rsidTr="006A6EC0">
        <w:tc>
          <w:tcPr>
            <w:tcW w:w="2160" w:type="dxa"/>
            <w:shd w:val="clear" w:color="auto" w:fill="auto"/>
          </w:tcPr>
          <w:p w14:paraId="17D6B222" w14:textId="77777777" w:rsidR="00D86D14" w:rsidRPr="001E7E96" w:rsidRDefault="00D86D14" w:rsidP="001E7E96">
            <w:pPr>
              <w:tabs>
                <w:tab w:val="clear" w:pos="567"/>
                <w:tab w:val="left" w:pos="-108"/>
              </w:tabs>
              <w:ind w:right="72"/>
              <w:rPr>
                <w:lang w:val="sk-SK"/>
              </w:rPr>
            </w:pPr>
            <w:r w:rsidRPr="001E7E96">
              <w:rPr>
                <w:lang w:val="sk-SK"/>
              </w:rPr>
              <w:t>Veľkosť liekovky</w:t>
            </w:r>
          </w:p>
        </w:tc>
        <w:tc>
          <w:tcPr>
            <w:tcW w:w="2235" w:type="dxa"/>
            <w:shd w:val="clear" w:color="auto" w:fill="auto"/>
          </w:tcPr>
          <w:p w14:paraId="227C89C3" w14:textId="77777777" w:rsidR="00D86D14" w:rsidRPr="001E7E96" w:rsidRDefault="00D86D14" w:rsidP="00D86D14">
            <w:pPr>
              <w:rPr>
                <w:lang w:val="sk-SK"/>
              </w:rPr>
            </w:pPr>
            <w:r w:rsidRPr="001E7E96">
              <w:rPr>
                <w:lang w:val="sk-SK"/>
              </w:rPr>
              <w:t>Pridané rozpúšťadlo</w:t>
            </w:r>
          </w:p>
        </w:tc>
        <w:tc>
          <w:tcPr>
            <w:tcW w:w="2268" w:type="dxa"/>
            <w:shd w:val="clear" w:color="auto" w:fill="auto"/>
          </w:tcPr>
          <w:p w14:paraId="1EBDB54A" w14:textId="77777777" w:rsidR="00D86D14" w:rsidRPr="001E7E96" w:rsidRDefault="00D86D14" w:rsidP="00D86D14">
            <w:pPr>
              <w:rPr>
                <w:lang w:val="sk-SK"/>
              </w:rPr>
            </w:pPr>
            <w:r w:rsidRPr="001E7E96">
              <w:rPr>
                <w:lang w:val="sk-SK"/>
              </w:rPr>
              <w:t xml:space="preserve">Približný využiteľný </w:t>
            </w:r>
          </w:p>
          <w:p w14:paraId="6EE09B3E" w14:textId="77777777" w:rsidR="00D86D14" w:rsidRPr="001E7E96" w:rsidRDefault="00D86D14" w:rsidP="00D86D14">
            <w:pPr>
              <w:rPr>
                <w:lang w:val="sk-SK"/>
              </w:rPr>
            </w:pPr>
            <w:r w:rsidRPr="001E7E96">
              <w:rPr>
                <w:lang w:val="sk-SK"/>
              </w:rPr>
              <w:t xml:space="preserve">objem </w:t>
            </w:r>
          </w:p>
        </w:tc>
        <w:tc>
          <w:tcPr>
            <w:tcW w:w="2409" w:type="dxa"/>
            <w:shd w:val="clear" w:color="auto" w:fill="auto"/>
          </w:tcPr>
          <w:p w14:paraId="39B07EAD" w14:textId="77777777" w:rsidR="00D86D14" w:rsidRPr="001E7E96" w:rsidRDefault="00D86D14" w:rsidP="00D86D14">
            <w:pPr>
              <w:rPr>
                <w:lang w:val="sk-SK"/>
              </w:rPr>
            </w:pPr>
            <w:r w:rsidRPr="001E7E96">
              <w:rPr>
                <w:lang w:val="sk-SK"/>
              </w:rPr>
              <w:t>Približné navýšenie objemu</w:t>
            </w:r>
          </w:p>
        </w:tc>
      </w:tr>
      <w:tr w:rsidR="00D86D14" w:rsidRPr="001E7E96" w14:paraId="6124B989" w14:textId="77777777" w:rsidTr="006A6EC0">
        <w:tc>
          <w:tcPr>
            <w:tcW w:w="2160" w:type="dxa"/>
            <w:shd w:val="clear" w:color="auto" w:fill="auto"/>
          </w:tcPr>
          <w:p w14:paraId="557BFF20" w14:textId="2519334E" w:rsidR="00D25398" w:rsidRPr="001E7E96" w:rsidRDefault="00C45204" w:rsidP="001E7E96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500</w:t>
            </w:r>
            <w:r w:rsidR="00D86D14" w:rsidRPr="001E7E96">
              <w:rPr>
                <w:lang w:val="sk-SK"/>
              </w:rPr>
              <w:t xml:space="preserve"> </w:t>
            </w:r>
            <w:r>
              <w:rPr>
                <w:lang w:val="sk-SK"/>
              </w:rPr>
              <w:t>m</w:t>
            </w:r>
            <w:r w:rsidR="00D86D14" w:rsidRPr="001E7E96">
              <w:rPr>
                <w:lang w:val="sk-SK"/>
              </w:rPr>
              <w:t>g</w:t>
            </w:r>
          </w:p>
        </w:tc>
        <w:tc>
          <w:tcPr>
            <w:tcW w:w="2235" w:type="dxa"/>
            <w:shd w:val="clear" w:color="auto" w:fill="auto"/>
          </w:tcPr>
          <w:p w14:paraId="10F746D2" w14:textId="77777777" w:rsidR="00D86D14" w:rsidRPr="001E7E96" w:rsidRDefault="00D86D14" w:rsidP="001E7E96">
            <w:pPr>
              <w:jc w:val="both"/>
              <w:rPr>
                <w:lang w:val="sk-SK"/>
              </w:rPr>
            </w:pPr>
            <w:r w:rsidRPr="001E7E96">
              <w:rPr>
                <w:lang w:val="sk-SK"/>
              </w:rPr>
              <w:t>2 ml</w:t>
            </w:r>
          </w:p>
        </w:tc>
        <w:tc>
          <w:tcPr>
            <w:tcW w:w="2268" w:type="dxa"/>
            <w:shd w:val="clear" w:color="auto" w:fill="auto"/>
          </w:tcPr>
          <w:p w14:paraId="796491BF" w14:textId="77777777" w:rsidR="00D86D14" w:rsidRPr="001E7E96" w:rsidRDefault="00D86D14" w:rsidP="001E7E96">
            <w:pPr>
              <w:jc w:val="both"/>
              <w:rPr>
                <w:lang w:val="sk-SK"/>
              </w:rPr>
            </w:pPr>
            <w:r w:rsidRPr="001E7E96">
              <w:rPr>
                <w:lang w:val="sk-SK"/>
              </w:rPr>
              <w:t>2,2 ml</w:t>
            </w:r>
          </w:p>
        </w:tc>
        <w:tc>
          <w:tcPr>
            <w:tcW w:w="2409" w:type="dxa"/>
            <w:shd w:val="clear" w:color="auto" w:fill="auto"/>
          </w:tcPr>
          <w:p w14:paraId="223833B7" w14:textId="77777777" w:rsidR="00D86D14" w:rsidRPr="001E7E96" w:rsidRDefault="00D86D14" w:rsidP="001E7E96">
            <w:pPr>
              <w:jc w:val="both"/>
              <w:rPr>
                <w:lang w:val="sk-SK"/>
              </w:rPr>
            </w:pPr>
            <w:r w:rsidRPr="001E7E96">
              <w:rPr>
                <w:lang w:val="sk-SK"/>
              </w:rPr>
              <w:t>0,2 ml</w:t>
            </w:r>
          </w:p>
        </w:tc>
      </w:tr>
      <w:tr w:rsidR="00D86D14" w:rsidRPr="001E7E96" w14:paraId="097D429F" w14:textId="77777777" w:rsidTr="006A6EC0">
        <w:tc>
          <w:tcPr>
            <w:tcW w:w="2160" w:type="dxa"/>
            <w:shd w:val="clear" w:color="auto" w:fill="auto"/>
          </w:tcPr>
          <w:p w14:paraId="58EEB69A" w14:textId="77777777" w:rsidR="00D25398" w:rsidRPr="001E7E96" w:rsidRDefault="00D86D14" w:rsidP="001E7E96">
            <w:pPr>
              <w:jc w:val="both"/>
              <w:rPr>
                <w:lang w:val="sk-SK"/>
              </w:rPr>
            </w:pPr>
            <w:r w:rsidRPr="001E7E96">
              <w:rPr>
                <w:lang w:val="sk-SK"/>
              </w:rPr>
              <w:t>1 g</w:t>
            </w:r>
          </w:p>
        </w:tc>
        <w:tc>
          <w:tcPr>
            <w:tcW w:w="2235" w:type="dxa"/>
            <w:shd w:val="clear" w:color="auto" w:fill="auto"/>
          </w:tcPr>
          <w:p w14:paraId="58E0191F" w14:textId="77777777" w:rsidR="00D86D14" w:rsidRPr="001E7E96" w:rsidRDefault="00D86D14" w:rsidP="001E7E96">
            <w:pPr>
              <w:jc w:val="both"/>
              <w:rPr>
                <w:lang w:val="sk-SK"/>
              </w:rPr>
            </w:pPr>
            <w:r w:rsidRPr="001E7E96">
              <w:rPr>
                <w:lang w:val="sk-SK"/>
              </w:rPr>
              <w:t>4 ml</w:t>
            </w:r>
          </w:p>
        </w:tc>
        <w:tc>
          <w:tcPr>
            <w:tcW w:w="2268" w:type="dxa"/>
            <w:shd w:val="clear" w:color="auto" w:fill="auto"/>
          </w:tcPr>
          <w:p w14:paraId="283098AC" w14:textId="77777777" w:rsidR="00D86D14" w:rsidRPr="001E7E96" w:rsidRDefault="00D86D14" w:rsidP="001E7E96">
            <w:pPr>
              <w:jc w:val="both"/>
              <w:rPr>
                <w:lang w:val="sk-SK"/>
              </w:rPr>
            </w:pPr>
            <w:r w:rsidRPr="001E7E96">
              <w:rPr>
                <w:lang w:val="sk-SK"/>
              </w:rPr>
              <w:t>4,5 ml</w:t>
            </w:r>
          </w:p>
        </w:tc>
        <w:tc>
          <w:tcPr>
            <w:tcW w:w="2409" w:type="dxa"/>
            <w:shd w:val="clear" w:color="auto" w:fill="auto"/>
          </w:tcPr>
          <w:p w14:paraId="6B5DD33A" w14:textId="77777777" w:rsidR="00D86D14" w:rsidRPr="001E7E96" w:rsidRDefault="00D86D14" w:rsidP="001E7E96">
            <w:pPr>
              <w:jc w:val="both"/>
              <w:rPr>
                <w:lang w:val="sk-SK"/>
              </w:rPr>
            </w:pPr>
            <w:r w:rsidRPr="001E7E96">
              <w:rPr>
                <w:lang w:val="sk-SK"/>
              </w:rPr>
              <w:t>0,5 ml</w:t>
            </w:r>
          </w:p>
        </w:tc>
      </w:tr>
    </w:tbl>
    <w:p w14:paraId="25718CA1" w14:textId="77777777" w:rsidR="00D25398" w:rsidRDefault="00D25398" w:rsidP="00137C72">
      <w:pPr>
        <w:tabs>
          <w:tab w:val="clear" w:pos="567"/>
        </w:tabs>
        <w:spacing w:line="240" w:lineRule="auto"/>
        <w:jc w:val="both"/>
        <w:rPr>
          <w:lang w:val="sk-SK"/>
        </w:rPr>
      </w:pPr>
    </w:p>
    <w:p w14:paraId="102CBF2D" w14:textId="77777777" w:rsidR="00A21789" w:rsidRDefault="00A21789" w:rsidP="00A21789">
      <w:pPr>
        <w:jc w:val="both"/>
        <w:rPr>
          <w:b/>
          <w:u w:val="single"/>
          <w:lang w:val="sk-SK"/>
        </w:rPr>
      </w:pPr>
      <w:r w:rsidRPr="00133E82">
        <w:rPr>
          <w:b/>
          <w:u w:val="single"/>
          <w:lang w:val="sk-SK"/>
        </w:rPr>
        <w:t>Intra</w:t>
      </w:r>
      <w:r>
        <w:rPr>
          <w:b/>
          <w:u w:val="single"/>
          <w:lang w:val="sk-SK"/>
        </w:rPr>
        <w:t>venóz</w:t>
      </w:r>
      <w:r w:rsidRPr="00133E82">
        <w:rPr>
          <w:b/>
          <w:u w:val="single"/>
          <w:lang w:val="sk-SK"/>
        </w:rPr>
        <w:t>na</w:t>
      </w:r>
      <w:r>
        <w:rPr>
          <w:b/>
          <w:u w:val="single"/>
          <w:lang w:val="sk-SK"/>
        </w:rPr>
        <w:t xml:space="preserve"> injekcia</w:t>
      </w:r>
    </w:p>
    <w:p w14:paraId="1FAEEE27" w14:textId="77777777" w:rsidR="00A21789" w:rsidRPr="00AF5BA9" w:rsidRDefault="00A21789" w:rsidP="00A21789">
      <w:pPr>
        <w:jc w:val="both"/>
        <w:rPr>
          <w:lang w:val="sk-SK"/>
        </w:rPr>
      </w:pPr>
      <w:proofErr w:type="spellStart"/>
      <w:r w:rsidRPr="00AF5BA9">
        <w:rPr>
          <w:lang w:val="sk-SK"/>
        </w:rPr>
        <w:lastRenderedPageBreak/>
        <w:t>Cefotaxim</w:t>
      </w:r>
      <w:proofErr w:type="spellEnd"/>
      <w:r w:rsidRPr="00AF5BA9">
        <w:rPr>
          <w:lang w:val="sk-SK"/>
        </w:rPr>
        <w:t xml:space="preserve"> </w:t>
      </w:r>
      <w:proofErr w:type="spellStart"/>
      <w:r w:rsidRPr="00AF5BA9">
        <w:rPr>
          <w:lang w:val="sk-SK"/>
        </w:rPr>
        <w:t>Eberth</w:t>
      </w:r>
      <w:proofErr w:type="spellEnd"/>
      <w:r w:rsidRPr="00AF5BA9">
        <w:rPr>
          <w:lang w:val="sk-SK"/>
        </w:rPr>
        <w:t xml:space="preserve"> 0,5 g sa rozpustí v 2 ml vody na injekcie.</w:t>
      </w:r>
    </w:p>
    <w:p w14:paraId="14F3089D" w14:textId="77777777" w:rsidR="00A21789" w:rsidRDefault="00A21789" w:rsidP="00A21789">
      <w:pPr>
        <w:jc w:val="both"/>
        <w:rPr>
          <w:lang w:val="sk-SK"/>
        </w:rPr>
      </w:pPr>
      <w:proofErr w:type="spellStart"/>
      <w:r w:rsidRPr="00AF5BA9">
        <w:rPr>
          <w:lang w:val="sk-SK"/>
        </w:rPr>
        <w:t>Cefotaxim</w:t>
      </w:r>
      <w:proofErr w:type="spellEnd"/>
      <w:r w:rsidRPr="00AF5BA9">
        <w:rPr>
          <w:lang w:val="sk-SK"/>
        </w:rPr>
        <w:t xml:space="preserve"> </w:t>
      </w:r>
      <w:proofErr w:type="spellStart"/>
      <w:r w:rsidRPr="00AF5BA9">
        <w:rPr>
          <w:lang w:val="sk-SK"/>
        </w:rPr>
        <w:t>Eberth</w:t>
      </w:r>
      <w:proofErr w:type="spellEnd"/>
      <w:r w:rsidRPr="00AF5BA9">
        <w:rPr>
          <w:lang w:val="sk-SK"/>
        </w:rPr>
        <w:t xml:space="preserve"> 1 g sa rozpustí v 4 ml vody na injekcie.</w:t>
      </w:r>
    </w:p>
    <w:p w14:paraId="4A9E3C96" w14:textId="77777777" w:rsidR="00A21789" w:rsidRPr="00A208E0" w:rsidRDefault="00A21789" w:rsidP="00A21789">
      <w:pPr>
        <w:jc w:val="both"/>
        <w:rPr>
          <w:lang w:val="sk-SK"/>
        </w:rPr>
      </w:pPr>
      <w:proofErr w:type="spellStart"/>
      <w:r w:rsidRPr="00A208E0">
        <w:rPr>
          <w:lang w:val="sk-SK"/>
        </w:rPr>
        <w:t>Cefotaxim</w:t>
      </w:r>
      <w:proofErr w:type="spellEnd"/>
      <w:r w:rsidRPr="00A208E0">
        <w:rPr>
          <w:lang w:val="sk-SK"/>
        </w:rPr>
        <w:t xml:space="preserve"> </w:t>
      </w:r>
      <w:proofErr w:type="spellStart"/>
      <w:r w:rsidRPr="00A208E0">
        <w:rPr>
          <w:lang w:val="sk-SK"/>
        </w:rPr>
        <w:t>Eberth</w:t>
      </w:r>
      <w:proofErr w:type="spellEnd"/>
      <w:r w:rsidRPr="00A208E0">
        <w:rPr>
          <w:lang w:val="sk-SK"/>
        </w:rPr>
        <w:t xml:space="preserve"> </w:t>
      </w:r>
      <w:r>
        <w:rPr>
          <w:lang w:val="sk-SK"/>
        </w:rPr>
        <w:t>2</w:t>
      </w:r>
      <w:r w:rsidRPr="00A208E0">
        <w:rPr>
          <w:lang w:val="sk-SK"/>
        </w:rPr>
        <w:t xml:space="preserve"> g</w:t>
      </w:r>
      <w:r>
        <w:rPr>
          <w:lang w:val="sk-SK"/>
        </w:rPr>
        <w:t xml:space="preserve"> sa rozpustí v 10 ml vody na injekcie.</w:t>
      </w:r>
    </w:p>
    <w:p w14:paraId="33872042" w14:textId="77777777" w:rsidR="00A21789" w:rsidRDefault="00A21789" w:rsidP="00A21789">
      <w:pPr>
        <w:jc w:val="both"/>
        <w:rPr>
          <w:lang w:val="sk-SK"/>
        </w:rPr>
      </w:pPr>
    </w:p>
    <w:p w14:paraId="61ED4EAE" w14:textId="77777777" w:rsidR="00A21789" w:rsidRDefault="00A21789" w:rsidP="006A6EC0">
      <w:pPr>
        <w:tabs>
          <w:tab w:val="clear" w:pos="567"/>
        </w:tabs>
        <w:spacing w:after="120"/>
        <w:jc w:val="both"/>
        <w:rPr>
          <w:lang w:val="sk-SK"/>
        </w:rPr>
      </w:pPr>
      <w:r>
        <w:rPr>
          <w:lang w:val="sk-SK"/>
        </w:rPr>
        <w:t>Tabuľka riedenia / použitia (</w:t>
      </w:r>
      <w:r w:rsidRPr="00391FEB">
        <w:rPr>
          <w:b/>
          <w:i/>
          <w:lang w:val="sk-SK"/>
        </w:rPr>
        <w:t>intra</w:t>
      </w:r>
      <w:r>
        <w:rPr>
          <w:b/>
          <w:i/>
          <w:lang w:val="sk-SK"/>
        </w:rPr>
        <w:t>venóz</w:t>
      </w:r>
      <w:r w:rsidRPr="00391FEB">
        <w:rPr>
          <w:b/>
          <w:i/>
          <w:lang w:val="sk-SK"/>
        </w:rPr>
        <w:t>na</w:t>
      </w:r>
      <w:r w:rsidRPr="00391FEB">
        <w:rPr>
          <w:i/>
          <w:lang w:val="sk-SK"/>
        </w:rPr>
        <w:t xml:space="preserve"> in</w:t>
      </w:r>
      <w:r>
        <w:rPr>
          <w:i/>
          <w:lang w:val="sk-SK"/>
        </w:rPr>
        <w:t>j</w:t>
      </w:r>
      <w:r w:rsidRPr="00391FEB">
        <w:rPr>
          <w:i/>
          <w:lang w:val="sk-SK"/>
        </w:rPr>
        <w:t>ekcia</w:t>
      </w:r>
      <w:r>
        <w:rPr>
          <w:lang w:val="sk-SK"/>
        </w:rPr>
        <w:t>):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235"/>
        <w:gridCol w:w="2268"/>
        <w:gridCol w:w="2409"/>
      </w:tblGrid>
      <w:tr w:rsidR="003D775C" w:rsidRPr="001E7E96" w14:paraId="43706275" w14:textId="77777777" w:rsidTr="006A6EC0">
        <w:tc>
          <w:tcPr>
            <w:tcW w:w="2160" w:type="dxa"/>
            <w:shd w:val="clear" w:color="auto" w:fill="auto"/>
          </w:tcPr>
          <w:p w14:paraId="67F046B8" w14:textId="77777777" w:rsidR="003D775C" w:rsidRPr="001E7E96" w:rsidRDefault="003D775C" w:rsidP="00110BA1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 w:rsidRPr="001E7E96">
              <w:rPr>
                <w:lang w:val="sk-SK"/>
              </w:rPr>
              <w:t>Veľkosť liekovky</w:t>
            </w:r>
          </w:p>
        </w:tc>
        <w:tc>
          <w:tcPr>
            <w:tcW w:w="2235" w:type="dxa"/>
            <w:shd w:val="clear" w:color="auto" w:fill="auto"/>
          </w:tcPr>
          <w:p w14:paraId="07D5F510" w14:textId="77777777" w:rsidR="003D775C" w:rsidRPr="001E7E96" w:rsidRDefault="003D775C" w:rsidP="00110BA1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 w:rsidRPr="001E7E96">
              <w:rPr>
                <w:lang w:val="sk-SK"/>
              </w:rPr>
              <w:t>Pridané rozpúšťadlo</w:t>
            </w:r>
          </w:p>
        </w:tc>
        <w:tc>
          <w:tcPr>
            <w:tcW w:w="2268" w:type="dxa"/>
            <w:shd w:val="clear" w:color="auto" w:fill="auto"/>
          </w:tcPr>
          <w:p w14:paraId="36270FB9" w14:textId="77777777" w:rsidR="003D775C" w:rsidRPr="001E7E96" w:rsidRDefault="003D775C" w:rsidP="00110BA1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 w:rsidRPr="001E7E96">
              <w:rPr>
                <w:lang w:val="sk-SK"/>
              </w:rPr>
              <w:t xml:space="preserve">Približný využiteľný </w:t>
            </w:r>
          </w:p>
          <w:p w14:paraId="13930CCB" w14:textId="77777777" w:rsidR="003D775C" w:rsidRPr="001E7E96" w:rsidRDefault="003D775C" w:rsidP="00110BA1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 w:rsidRPr="001E7E96">
              <w:rPr>
                <w:lang w:val="sk-SK"/>
              </w:rPr>
              <w:t>objem</w:t>
            </w:r>
          </w:p>
        </w:tc>
        <w:tc>
          <w:tcPr>
            <w:tcW w:w="2409" w:type="dxa"/>
            <w:shd w:val="clear" w:color="auto" w:fill="auto"/>
          </w:tcPr>
          <w:p w14:paraId="0B5E8065" w14:textId="77777777" w:rsidR="003D775C" w:rsidRPr="001E7E96" w:rsidRDefault="003D775C" w:rsidP="00110BA1">
            <w:pPr>
              <w:tabs>
                <w:tab w:val="clear" w:pos="567"/>
                <w:tab w:val="left" w:pos="720"/>
              </w:tabs>
              <w:rPr>
                <w:highlight w:val="cyan"/>
                <w:lang w:val="sk-SK"/>
              </w:rPr>
            </w:pPr>
            <w:r w:rsidRPr="001E7E96">
              <w:rPr>
                <w:lang w:val="sk-SK"/>
              </w:rPr>
              <w:t>Približné navýšenie objemu</w:t>
            </w:r>
          </w:p>
        </w:tc>
      </w:tr>
      <w:tr w:rsidR="003D775C" w:rsidRPr="001E7E96" w14:paraId="29602B79" w14:textId="77777777" w:rsidTr="006A6EC0">
        <w:tc>
          <w:tcPr>
            <w:tcW w:w="2160" w:type="dxa"/>
            <w:shd w:val="clear" w:color="auto" w:fill="auto"/>
          </w:tcPr>
          <w:p w14:paraId="497DEC15" w14:textId="77777777" w:rsidR="003D775C" w:rsidRPr="001E7E96" w:rsidRDefault="003D775C" w:rsidP="00110BA1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>
              <w:rPr>
                <w:lang w:val="sk-SK"/>
              </w:rPr>
              <w:t>500</w:t>
            </w:r>
            <w:r w:rsidRPr="001E7E96">
              <w:rPr>
                <w:lang w:val="sk-SK"/>
              </w:rPr>
              <w:t xml:space="preserve"> </w:t>
            </w:r>
            <w:r>
              <w:rPr>
                <w:lang w:val="sk-SK"/>
              </w:rPr>
              <w:t>m</w:t>
            </w:r>
            <w:r w:rsidRPr="001E7E96">
              <w:rPr>
                <w:lang w:val="sk-SK"/>
              </w:rPr>
              <w:t>g</w:t>
            </w:r>
          </w:p>
        </w:tc>
        <w:tc>
          <w:tcPr>
            <w:tcW w:w="2235" w:type="dxa"/>
            <w:shd w:val="clear" w:color="auto" w:fill="auto"/>
          </w:tcPr>
          <w:p w14:paraId="7ED6C9B3" w14:textId="77777777" w:rsidR="003D775C" w:rsidRPr="001E7E96" w:rsidRDefault="003D775C" w:rsidP="00110BA1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>
              <w:rPr>
                <w:lang w:val="sk-SK"/>
              </w:rPr>
              <w:t>2</w:t>
            </w:r>
            <w:r w:rsidRPr="001E7E96">
              <w:rPr>
                <w:lang w:val="sk-SK"/>
              </w:rPr>
              <w:t xml:space="preserve"> ml</w:t>
            </w:r>
          </w:p>
        </w:tc>
        <w:tc>
          <w:tcPr>
            <w:tcW w:w="2268" w:type="dxa"/>
            <w:shd w:val="clear" w:color="auto" w:fill="auto"/>
          </w:tcPr>
          <w:p w14:paraId="1104E3B2" w14:textId="77777777" w:rsidR="003D775C" w:rsidRPr="001E7E96" w:rsidRDefault="0047698D" w:rsidP="0047698D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>
              <w:rPr>
                <w:lang w:val="sk-SK"/>
              </w:rPr>
              <w:t>2,2</w:t>
            </w:r>
            <w:r w:rsidR="003D775C" w:rsidRPr="001E7E96">
              <w:rPr>
                <w:lang w:val="sk-SK"/>
              </w:rPr>
              <w:t xml:space="preserve"> ml</w:t>
            </w:r>
          </w:p>
        </w:tc>
        <w:tc>
          <w:tcPr>
            <w:tcW w:w="2409" w:type="dxa"/>
            <w:shd w:val="clear" w:color="auto" w:fill="auto"/>
          </w:tcPr>
          <w:p w14:paraId="039FED53" w14:textId="77777777" w:rsidR="003D775C" w:rsidRPr="001E7E96" w:rsidRDefault="003D775C" w:rsidP="0047698D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 w:rsidRPr="001E7E96">
              <w:rPr>
                <w:lang w:val="sk-SK"/>
              </w:rPr>
              <w:t>0,</w:t>
            </w:r>
            <w:r w:rsidR="0047698D">
              <w:rPr>
                <w:lang w:val="sk-SK"/>
              </w:rPr>
              <w:t>2</w:t>
            </w:r>
            <w:r w:rsidRPr="001E7E96">
              <w:rPr>
                <w:lang w:val="sk-SK"/>
              </w:rPr>
              <w:t xml:space="preserve"> ml</w:t>
            </w:r>
          </w:p>
        </w:tc>
      </w:tr>
      <w:tr w:rsidR="003D775C" w:rsidRPr="001E7E96" w14:paraId="2AEE787B" w14:textId="77777777" w:rsidTr="006A6EC0">
        <w:tc>
          <w:tcPr>
            <w:tcW w:w="2160" w:type="dxa"/>
            <w:shd w:val="clear" w:color="auto" w:fill="auto"/>
          </w:tcPr>
          <w:p w14:paraId="69707BC6" w14:textId="77777777" w:rsidR="003D775C" w:rsidRPr="001E7E96" w:rsidRDefault="003D775C" w:rsidP="00110BA1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>
              <w:rPr>
                <w:lang w:val="sk-SK"/>
              </w:rPr>
              <w:t>1</w:t>
            </w:r>
            <w:r w:rsidRPr="001E7E96">
              <w:rPr>
                <w:lang w:val="sk-SK"/>
              </w:rPr>
              <w:t xml:space="preserve"> g</w:t>
            </w:r>
          </w:p>
        </w:tc>
        <w:tc>
          <w:tcPr>
            <w:tcW w:w="2235" w:type="dxa"/>
            <w:shd w:val="clear" w:color="auto" w:fill="auto"/>
          </w:tcPr>
          <w:p w14:paraId="1B494B53" w14:textId="77777777" w:rsidR="003D775C" w:rsidRPr="001E7E96" w:rsidRDefault="003D775C" w:rsidP="003D775C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 w:rsidRPr="001E7E96">
              <w:rPr>
                <w:lang w:val="sk-SK"/>
              </w:rPr>
              <w:t>4 ml</w:t>
            </w:r>
          </w:p>
        </w:tc>
        <w:tc>
          <w:tcPr>
            <w:tcW w:w="2268" w:type="dxa"/>
            <w:shd w:val="clear" w:color="auto" w:fill="auto"/>
          </w:tcPr>
          <w:p w14:paraId="65DB744F" w14:textId="77777777" w:rsidR="003D775C" w:rsidRPr="001E7E96" w:rsidRDefault="003D775C" w:rsidP="0047698D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 w:rsidRPr="001E7E96">
              <w:rPr>
                <w:lang w:val="sk-SK"/>
              </w:rPr>
              <w:t>4</w:t>
            </w:r>
            <w:r w:rsidR="0047698D">
              <w:rPr>
                <w:lang w:val="sk-SK"/>
              </w:rPr>
              <w:t>,</w:t>
            </w:r>
            <w:r w:rsidRPr="001E7E96">
              <w:rPr>
                <w:lang w:val="sk-SK"/>
              </w:rPr>
              <w:t>5 ml</w:t>
            </w:r>
          </w:p>
        </w:tc>
        <w:tc>
          <w:tcPr>
            <w:tcW w:w="2409" w:type="dxa"/>
            <w:shd w:val="clear" w:color="auto" w:fill="auto"/>
          </w:tcPr>
          <w:p w14:paraId="2F09EDA4" w14:textId="77777777" w:rsidR="003D775C" w:rsidRPr="001E7E96" w:rsidRDefault="0047698D" w:rsidP="00110BA1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>
              <w:rPr>
                <w:lang w:val="sk-SK"/>
              </w:rPr>
              <w:t>0,5</w:t>
            </w:r>
            <w:r w:rsidR="003D775C" w:rsidRPr="001E7E96">
              <w:rPr>
                <w:lang w:val="sk-SK"/>
              </w:rPr>
              <w:t xml:space="preserve"> ml</w:t>
            </w:r>
          </w:p>
        </w:tc>
      </w:tr>
      <w:tr w:rsidR="00E529E7" w:rsidRPr="001E7E96" w14:paraId="34525D8B" w14:textId="77777777" w:rsidTr="00E73D7D">
        <w:tc>
          <w:tcPr>
            <w:tcW w:w="2160" w:type="dxa"/>
            <w:shd w:val="clear" w:color="auto" w:fill="auto"/>
          </w:tcPr>
          <w:p w14:paraId="1990E09A" w14:textId="77777777" w:rsidR="00E529E7" w:rsidRDefault="00E529E7" w:rsidP="00E529E7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 w:rsidRPr="00D6668A">
              <w:rPr>
                <w:color w:val="000000"/>
                <w:szCs w:val="22"/>
                <w:lang w:val="da-DK" w:eastAsia="da-DK"/>
              </w:rPr>
              <w:t>2 g</w:t>
            </w:r>
          </w:p>
        </w:tc>
        <w:tc>
          <w:tcPr>
            <w:tcW w:w="2235" w:type="dxa"/>
            <w:shd w:val="clear" w:color="auto" w:fill="auto"/>
          </w:tcPr>
          <w:p w14:paraId="66052638" w14:textId="77777777" w:rsidR="00E529E7" w:rsidRPr="001E7E96" w:rsidRDefault="00E529E7" w:rsidP="00E529E7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 w:rsidRPr="00D6668A">
              <w:rPr>
                <w:color w:val="000000"/>
                <w:szCs w:val="22"/>
                <w:lang w:val="da-DK" w:eastAsia="da-DK"/>
              </w:rPr>
              <w:t>10 ml</w:t>
            </w:r>
          </w:p>
        </w:tc>
        <w:tc>
          <w:tcPr>
            <w:tcW w:w="2268" w:type="dxa"/>
            <w:shd w:val="clear" w:color="auto" w:fill="auto"/>
          </w:tcPr>
          <w:p w14:paraId="6E982DF9" w14:textId="77777777" w:rsidR="00E529E7" w:rsidRPr="001E7E96" w:rsidRDefault="00E529E7" w:rsidP="00E529E7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 w:rsidRPr="00D6668A">
              <w:rPr>
                <w:color w:val="000000"/>
                <w:szCs w:val="22"/>
                <w:lang w:val="da-DK" w:eastAsia="da-DK"/>
              </w:rPr>
              <w:t>11 ml</w:t>
            </w:r>
          </w:p>
        </w:tc>
        <w:tc>
          <w:tcPr>
            <w:tcW w:w="2409" w:type="dxa"/>
            <w:shd w:val="clear" w:color="auto" w:fill="auto"/>
          </w:tcPr>
          <w:p w14:paraId="5F289E6B" w14:textId="77777777" w:rsidR="00E529E7" w:rsidRDefault="00E529E7" w:rsidP="00E529E7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 w:rsidRPr="00D6668A">
              <w:rPr>
                <w:color w:val="000000"/>
                <w:szCs w:val="22"/>
                <w:lang w:val="da-DK" w:eastAsia="da-DK"/>
              </w:rPr>
              <w:t>1 ml</w:t>
            </w:r>
          </w:p>
        </w:tc>
      </w:tr>
    </w:tbl>
    <w:p w14:paraId="56DB5BD6" w14:textId="77777777" w:rsidR="003D775C" w:rsidRDefault="003D775C" w:rsidP="006A6EC0">
      <w:pPr>
        <w:spacing w:line="360" w:lineRule="auto"/>
        <w:jc w:val="both"/>
        <w:rPr>
          <w:lang w:val="sk-SK"/>
        </w:rPr>
      </w:pPr>
    </w:p>
    <w:p w14:paraId="7E61DED9" w14:textId="77777777" w:rsidR="00D86D14" w:rsidRPr="006A6EC0" w:rsidRDefault="00D86D14" w:rsidP="006A6EC0">
      <w:pPr>
        <w:numPr>
          <w:ilvl w:val="12"/>
          <w:numId w:val="0"/>
        </w:numPr>
        <w:spacing w:after="120" w:line="240" w:lineRule="auto"/>
        <w:rPr>
          <w:b/>
          <w:u w:val="single"/>
          <w:lang w:val="sk-SK"/>
        </w:rPr>
      </w:pPr>
      <w:bookmarkStart w:id="3" w:name="OLE_LINK1"/>
      <w:bookmarkStart w:id="4" w:name="OLE_LINK2"/>
      <w:r w:rsidRPr="006A6EC0">
        <w:rPr>
          <w:b/>
          <w:u w:val="single"/>
          <w:lang w:val="sk-SK"/>
        </w:rPr>
        <w:t>Intravenózna infúzia:</w:t>
      </w:r>
    </w:p>
    <w:p w14:paraId="0BAF2C03" w14:textId="77777777" w:rsidR="00D86D14" w:rsidRPr="00FB2AEB" w:rsidRDefault="00D86D14" w:rsidP="00D86D14">
      <w:pPr>
        <w:numPr>
          <w:ilvl w:val="12"/>
          <w:numId w:val="0"/>
        </w:numPr>
        <w:spacing w:line="240" w:lineRule="auto"/>
        <w:rPr>
          <w:b/>
          <w:bCs/>
          <w:i/>
          <w:iCs/>
          <w:lang w:val="sk-SK"/>
        </w:rPr>
      </w:pPr>
      <w:proofErr w:type="spellStart"/>
      <w:r>
        <w:rPr>
          <w:i/>
          <w:iCs/>
          <w:lang w:val="sk-SK"/>
        </w:rPr>
        <w:t>Cefotaxim</w:t>
      </w:r>
      <w:proofErr w:type="spellEnd"/>
      <w:r>
        <w:rPr>
          <w:i/>
          <w:iCs/>
          <w:lang w:val="sk-SK"/>
        </w:rPr>
        <w:t xml:space="preserve"> </w:t>
      </w:r>
      <w:proofErr w:type="spellStart"/>
      <w:r>
        <w:rPr>
          <w:i/>
          <w:iCs/>
          <w:lang w:val="sk-SK"/>
        </w:rPr>
        <w:t>Eberth</w:t>
      </w:r>
      <w:proofErr w:type="spellEnd"/>
      <w:r>
        <w:rPr>
          <w:i/>
          <w:iCs/>
          <w:lang w:val="sk-SK"/>
        </w:rPr>
        <w:t xml:space="preserve"> 1 g alebo 2 g: Príprava </w:t>
      </w:r>
      <w:r>
        <w:rPr>
          <w:b/>
          <w:bCs/>
          <w:i/>
          <w:iCs/>
          <w:lang w:val="sk-SK"/>
        </w:rPr>
        <w:t xml:space="preserve">rýchlej </w:t>
      </w:r>
      <w:r w:rsidRPr="00FB2AEB">
        <w:rPr>
          <w:i/>
          <w:iCs/>
          <w:lang w:val="sk-SK"/>
        </w:rPr>
        <w:t>intravenóznej infúzie</w:t>
      </w:r>
    </w:p>
    <w:p w14:paraId="5A382842" w14:textId="606D0360" w:rsidR="00D86D14" w:rsidRDefault="00D86D14" w:rsidP="00D86D14">
      <w:pPr>
        <w:numPr>
          <w:ilvl w:val="12"/>
          <w:numId w:val="0"/>
        </w:numPr>
        <w:spacing w:line="240" w:lineRule="auto"/>
        <w:rPr>
          <w:lang w:val="sk-SK"/>
        </w:rPr>
      </w:pPr>
      <w:r w:rsidRPr="004229C9">
        <w:rPr>
          <w:lang w:val="sk-SK"/>
        </w:rPr>
        <w:t>Pre</w:t>
      </w:r>
      <w:r w:rsidRPr="004229C9">
        <w:rPr>
          <w:i/>
          <w:lang w:val="sk-SK"/>
        </w:rPr>
        <w:t xml:space="preserve"> rýchlu intravenóznu infúziu</w:t>
      </w:r>
      <w:r w:rsidRPr="004229C9">
        <w:rPr>
          <w:lang w:val="sk-SK"/>
        </w:rPr>
        <w:t xml:space="preserve"> </w:t>
      </w:r>
      <w:r>
        <w:rPr>
          <w:lang w:val="sk-SK"/>
        </w:rPr>
        <w:t xml:space="preserve">sa </w:t>
      </w:r>
      <w:r w:rsidR="0063478D">
        <w:rPr>
          <w:lang w:val="sk-SK"/>
        </w:rPr>
        <w:t xml:space="preserve">má použiť </w:t>
      </w:r>
      <w:r w:rsidRPr="004229C9">
        <w:rPr>
          <w:lang w:val="sk-SK"/>
        </w:rPr>
        <w:t xml:space="preserve">1 g alebo 2 g </w:t>
      </w:r>
      <w:proofErr w:type="spellStart"/>
      <w:r w:rsidRPr="004229C9">
        <w:rPr>
          <w:lang w:val="sk-SK"/>
        </w:rPr>
        <w:t>Cefotaxim</w:t>
      </w:r>
      <w:r>
        <w:rPr>
          <w:lang w:val="sk-SK"/>
        </w:rPr>
        <w:t>u</w:t>
      </w:r>
      <w:proofErr w:type="spellEnd"/>
      <w:r w:rsidRPr="004229C9">
        <w:rPr>
          <w:lang w:val="sk-SK"/>
        </w:rPr>
        <w:t xml:space="preserve"> </w:t>
      </w:r>
      <w:proofErr w:type="spellStart"/>
      <w:r w:rsidRPr="004229C9">
        <w:rPr>
          <w:lang w:val="sk-SK"/>
        </w:rPr>
        <w:t>Eberth</w:t>
      </w:r>
      <w:proofErr w:type="spellEnd"/>
      <w:r w:rsidRPr="004229C9">
        <w:rPr>
          <w:lang w:val="sk-SK"/>
        </w:rPr>
        <w:t xml:space="preserve"> </w:t>
      </w:r>
      <w:r>
        <w:rPr>
          <w:lang w:val="sk-SK"/>
        </w:rPr>
        <w:t>r</w:t>
      </w:r>
      <w:r w:rsidRPr="004229C9">
        <w:rPr>
          <w:lang w:val="sk-SK"/>
        </w:rPr>
        <w:t>ozpust</w:t>
      </w:r>
      <w:r w:rsidR="0063478D">
        <w:rPr>
          <w:lang w:val="sk-SK"/>
        </w:rPr>
        <w:t>eného</w:t>
      </w:r>
      <w:r w:rsidRPr="004229C9">
        <w:rPr>
          <w:lang w:val="sk-SK"/>
        </w:rPr>
        <w:t xml:space="preserve"> v 40 – 50 ml vody na injekciu alebo v inom kompatibilnom roztoku </w:t>
      </w:r>
      <w:r w:rsidR="0063478D">
        <w:rPr>
          <w:lang w:val="sk-SK"/>
        </w:rPr>
        <w:t>ako je uvedené vyššie</w:t>
      </w:r>
      <w:r w:rsidR="002B380A">
        <w:rPr>
          <w:lang w:val="sk-SK"/>
        </w:rPr>
        <w:t>.</w:t>
      </w:r>
    </w:p>
    <w:p w14:paraId="376D5C85" w14:textId="77777777" w:rsidR="00D86D14" w:rsidRDefault="00D86D14" w:rsidP="00D86D14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79832D69" w14:textId="77777777" w:rsidR="00D86D14" w:rsidRDefault="00D86D14" w:rsidP="00D86D14">
      <w:pPr>
        <w:numPr>
          <w:ilvl w:val="12"/>
          <w:numId w:val="0"/>
        </w:numPr>
        <w:spacing w:line="240" w:lineRule="auto"/>
        <w:rPr>
          <w:lang w:val="sk-SK"/>
        </w:rPr>
      </w:pPr>
      <w:r>
        <w:rPr>
          <w:lang w:val="sk-SK"/>
        </w:rPr>
        <w:t xml:space="preserve">Krok 1: Pridajte 15 ml roztoku chloridu sodného 9 mg/ml (0,9 %) </w:t>
      </w:r>
      <w:r w:rsidRPr="00EC4F35">
        <w:rPr>
          <w:lang w:val="sk-SK"/>
        </w:rPr>
        <w:t>alebo iného kompatibilného</w:t>
      </w:r>
      <w:r>
        <w:rPr>
          <w:lang w:val="sk-SK"/>
        </w:rPr>
        <w:t xml:space="preserve"> </w:t>
      </w:r>
      <w:r w:rsidRPr="00EC4F35">
        <w:rPr>
          <w:lang w:val="sk-SK"/>
        </w:rPr>
        <w:t xml:space="preserve">roztoku na infúziu do jednej liekovky </w:t>
      </w:r>
      <w:proofErr w:type="spellStart"/>
      <w:r w:rsidRPr="00EC4F35">
        <w:rPr>
          <w:lang w:val="sk-SK"/>
        </w:rPr>
        <w:t>Cefotaxim</w:t>
      </w:r>
      <w:proofErr w:type="spellEnd"/>
      <w:r w:rsidRPr="00EC4F35">
        <w:rPr>
          <w:lang w:val="sk-SK"/>
        </w:rPr>
        <w:t xml:space="preserve"> </w:t>
      </w:r>
      <w:proofErr w:type="spellStart"/>
      <w:r w:rsidRPr="00EC4F35">
        <w:rPr>
          <w:lang w:val="sk-SK"/>
        </w:rPr>
        <w:t>Eberth</w:t>
      </w:r>
      <w:proofErr w:type="spellEnd"/>
      <w:r w:rsidRPr="00EC4F35">
        <w:rPr>
          <w:lang w:val="sk-SK"/>
        </w:rPr>
        <w:t xml:space="preserve"> 1 g</w:t>
      </w:r>
      <w:r>
        <w:rPr>
          <w:lang w:val="sk-SK"/>
        </w:rPr>
        <w:t>,</w:t>
      </w:r>
      <w:r w:rsidRPr="00EC4F35">
        <w:rPr>
          <w:lang w:val="sk-SK"/>
        </w:rPr>
        <w:t xml:space="preserve"> </w:t>
      </w:r>
      <w:r>
        <w:rPr>
          <w:lang w:val="sk-SK"/>
        </w:rPr>
        <w:t>čím vznikne</w:t>
      </w:r>
      <w:r w:rsidRPr="00EC4F35">
        <w:rPr>
          <w:lang w:val="sk-SK"/>
        </w:rPr>
        <w:t xml:space="preserve"> koncentrácia </w:t>
      </w:r>
      <w:r>
        <w:rPr>
          <w:lang w:val="sk-SK"/>
        </w:rPr>
        <w:t>64,9</w:t>
      </w:r>
      <w:r w:rsidRPr="00EC4F35">
        <w:rPr>
          <w:lang w:val="sk-SK"/>
        </w:rPr>
        <w:t xml:space="preserve"> mg/ml.</w:t>
      </w:r>
      <w:r>
        <w:rPr>
          <w:lang w:val="sk-SK"/>
        </w:rPr>
        <w:br/>
        <w:t xml:space="preserve">Krok 2: </w:t>
      </w:r>
      <w:r w:rsidRPr="00EC4F35">
        <w:rPr>
          <w:lang w:val="sk-SK"/>
        </w:rPr>
        <w:t>Pretrepávaj</w:t>
      </w:r>
      <w:r>
        <w:rPr>
          <w:lang w:val="sk-SK"/>
        </w:rPr>
        <w:t>te</w:t>
      </w:r>
      <w:r w:rsidRPr="00EC4F35">
        <w:rPr>
          <w:lang w:val="sk-SK"/>
        </w:rPr>
        <w:t xml:space="preserve"> liekovk</w:t>
      </w:r>
      <w:r>
        <w:rPr>
          <w:lang w:val="sk-SK"/>
        </w:rPr>
        <w:t>u</w:t>
      </w:r>
      <w:r w:rsidRPr="00EC4F35">
        <w:rPr>
          <w:lang w:val="sk-SK"/>
        </w:rPr>
        <w:t>, až kým sa všetok prášok nerozpustí.</w:t>
      </w:r>
    </w:p>
    <w:p w14:paraId="0870CE20" w14:textId="76F67D70" w:rsidR="00D86D14" w:rsidRPr="00E51323" w:rsidRDefault="00D86D14" w:rsidP="00D86D14">
      <w:pPr>
        <w:numPr>
          <w:ilvl w:val="12"/>
          <w:numId w:val="0"/>
        </w:numPr>
        <w:tabs>
          <w:tab w:val="left" w:pos="720"/>
        </w:tabs>
        <w:spacing w:line="240" w:lineRule="auto"/>
        <w:rPr>
          <w:lang w:val="sk-SK"/>
        </w:rPr>
      </w:pPr>
      <w:r>
        <w:rPr>
          <w:lang w:val="sk-SK"/>
        </w:rPr>
        <w:t xml:space="preserve">Krok 3: </w:t>
      </w:r>
      <w:r w:rsidRPr="00EC4F35">
        <w:rPr>
          <w:lang w:val="sk-SK"/>
        </w:rPr>
        <w:t>Odober</w:t>
      </w:r>
      <w:r>
        <w:rPr>
          <w:lang w:val="sk-SK"/>
        </w:rPr>
        <w:t>te</w:t>
      </w:r>
      <w:r w:rsidRPr="00EC4F35">
        <w:rPr>
          <w:lang w:val="sk-SK"/>
        </w:rPr>
        <w:t xml:space="preserve"> vypočítan</w:t>
      </w:r>
      <w:r w:rsidR="003D75DC">
        <w:rPr>
          <w:lang w:val="sk-SK"/>
        </w:rPr>
        <w:t>é</w:t>
      </w:r>
      <w:r w:rsidRPr="00EC4F35">
        <w:rPr>
          <w:lang w:val="sk-SK"/>
        </w:rPr>
        <w:t xml:space="preserve"> </w:t>
      </w:r>
      <w:r w:rsidR="003D75DC">
        <w:rPr>
          <w:lang w:val="sk-SK"/>
        </w:rPr>
        <w:t>množstvo</w:t>
      </w:r>
      <w:r w:rsidR="003D75DC" w:rsidRPr="00E51323">
        <w:rPr>
          <w:lang w:val="sk-SK"/>
        </w:rPr>
        <w:t xml:space="preserve"> </w:t>
      </w:r>
      <w:r w:rsidRPr="00E51323">
        <w:rPr>
          <w:lang w:val="sk-SK"/>
        </w:rPr>
        <w:t>pomocou injekčnej striekačky a ihly a zrieďte ďalej na 40 - 50 ml s roztokom chloridu sodného 9 mg/ml (0,9 %) alebo s iným kompatibilným infúznym roztokom, čím vznikne koncentrácia 25 mg - 20 mg/ml.</w:t>
      </w:r>
    </w:p>
    <w:p w14:paraId="678A35DF" w14:textId="77777777" w:rsidR="001E400A" w:rsidRPr="00E51323" w:rsidRDefault="001E400A" w:rsidP="00D86D14">
      <w:pPr>
        <w:numPr>
          <w:ilvl w:val="12"/>
          <w:numId w:val="0"/>
        </w:numPr>
        <w:tabs>
          <w:tab w:val="left" w:pos="720"/>
        </w:tabs>
        <w:spacing w:line="240" w:lineRule="auto"/>
        <w:rPr>
          <w:lang w:val="sk-SK"/>
        </w:rPr>
      </w:pPr>
    </w:p>
    <w:p w14:paraId="6BD0134D" w14:textId="554BA4AD" w:rsidR="001E400A" w:rsidRPr="00E51323" w:rsidRDefault="001E400A" w:rsidP="001E400A">
      <w:pPr>
        <w:numPr>
          <w:ilvl w:val="12"/>
          <w:numId w:val="0"/>
        </w:numPr>
        <w:spacing w:line="240" w:lineRule="auto"/>
        <w:rPr>
          <w:lang w:val="sk-SK"/>
        </w:rPr>
      </w:pPr>
      <w:r w:rsidRPr="00E51323">
        <w:rPr>
          <w:lang w:val="sk-SK"/>
        </w:rPr>
        <w:t>Krok 1: Pridajte 30 ml roztoku chloridu sodného 9 mg/ml (0,9 %) alebo iného kompatibilného roztoku na infúziu do je</w:t>
      </w:r>
      <w:r w:rsidR="00744FB7" w:rsidRPr="00E51323">
        <w:rPr>
          <w:lang w:val="sk-SK"/>
        </w:rPr>
        <w:t xml:space="preserve">dnej liekovky </w:t>
      </w:r>
      <w:proofErr w:type="spellStart"/>
      <w:r w:rsidR="00744FB7" w:rsidRPr="00E51323">
        <w:rPr>
          <w:lang w:val="sk-SK"/>
        </w:rPr>
        <w:t>Cefotaxim</w:t>
      </w:r>
      <w:proofErr w:type="spellEnd"/>
      <w:r w:rsidR="00744FB7" w:rsidRPr="00E51323">
        <w:rPr>
          <w:lang w:val="sk-SK"/>
        </w:rPr>
        <w:t xml:space="preserve"> </w:t>
      </w:r>
      <w:proofErr w:type="spellStart"/>
      <w:r w:rsidR="00744FB7" w:rsidRPr="00E51323">
        <w:rPr>
          <w:lang w:val="sk-SK"/>
        </w:rPr>
        <w:t>Eberth</w:t>
      </w:r>
      <w:proofErr w:type="spellEnd"/>
      <w:r w:rsidR="00744FB7" w:rsidRPr="00E51323">
        <w:rPr>
          <w:lang w:val="sk-SK"/>
        </w:rPr>
        <w:t xml:space="preserve"> 2</w:t>
      </w:r>
      <w:r w:rsidRPr="00E51323">
        <w:rPr>
          <w:lang w:val="sk-SK"/>
        </w:rPr>
        <w:t xml:space="preserve"> g, čím vznikne koncentrácia 64,9 mg/ml.</w:t>
      </w:r>
      <w:r w:rsidRPr="00E51323">
        <w:rPr>
          <w:lang w:val="sk-SK"/>
        </w:rPr>
        <w:br/>
        <w:t>Krok 2: Pretrepávajte liekovku, až kým sa všetok prášok nerozpustí.</w:t>
      </w:r>
    </w:p>
    <w:p w14:paraId="3C419A3B" w14:textId="7C9F3292" w:rsidR="001E400A" w:rsidRPr="00E51323" w:rsidRDefault="001E400A" w:rsidP="001E400A">
      <w:pPr>
        <w:numPr>
          <w:ilvl w:val="12"/>
          <w:numId w:val="0"/>
        </w:numPr>
        <w:tabs>
          <w:tab w:val="left" w:pos="720"/>
        </w:tabs>
        <w:spacing w:line="240" w:lineRule="auto"/>
        <w:rPr>
          <w:lang w:val="sk-SK"/>
        </w:rPr>
      </w:pPr>
      <w:r w:rsidRPr="00E51323">
        <w:rPr>
          <w:lang w:val="sk-SK"/>
        </w:rPr>
        <w:t>Krok 3: Odoberte vypočítan</w:t>
      </w:r>
      <w:r w:rsidR="003D75DC">
        <w:rPr>
          <w:lang w:val="sk-SK"/>
        </w:rPr>
        <w:t>é</w:t>
      </w:r>
      <w:r w:rsidRPr="00E51323">
        <w:rPr>
          <w:lang w:val="sk-SK"/>
        </w:rPr>
        <w:t xml:space="preserve"> </w:t>
      </w:r>
      <w:r w:rsidR="003D75DC">
        <w:rPr>
          <w:lang w:val="sk-SK"/>
        </w:rPr>
        <w:t>množstvo</w:t>
      </w:r>
      <w:r w:rsidR="003D75DC" w:rsidRPr="00E51323">
        <w:rPr>
          <w:lang w:val="sk-SK"/>
        </w:rPr>
        <w:t xml:space="preserve"> </w:t>
      </w:r>
      <w:r w:rsidRPr="00E51323">
        <w:rPr>
          <w:lang w:val="sk-SK"/>
        </w:rPr>
        <w:t>pomocou injekčnej striekačky a ihly a zrieďte ďalej na 40 - 50 ml s roztokom chloridu sodného 9 mg/ml (0,9 %) alebo s iným kompatibilným infúznym roztokom, čím vznikne koncentrácia 5</w:t>
      </w:r>
      <w:r w:rsidR="000C53DA" w:rsidRPr="00E51323">
        <w:rPr>
          <w:lang w:val="sk-SK"/>
        </w:rPr>
        <w:t>0</w:t>
      </w:r>
      <w:r w:rsidRPr="00E51323">
        <w:rPr>
          <w:lang w:val="sk-SK"/>
        </w:rPr>
        <w:t xml:space="preserve"> mg - </w:t>
      </w:r>
      <w:r w:rsidR="000C53DA" w:rsidRPr="00E51323">
        <w:rPr>
          <w:lang w:val="sk-SK"/>
        </w:rPr>
        <w:t>4</w:t>
      </w:r>
      <w:r w:rsidRPr="00E51323">
        <w:rPr>
          <w:lang w:val="sk-SK"/>
        </w:rPr>
        <w:t>0 mg/ml.</w:t>
      </w:r>
    </w:p>
    <w:p w14:paraId="6AA04E21" w14:textId="77777777" w:rsidR="00D86D14" w:rsidRPr="00E51323" w:rsidRDefault="00D86D14" w:rsidP="00D86D14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22E24426" w14:textId="77777777" w:rsidR="008D362F" w:rsidRPr="00E51323" w:rsidRDefault="008D362F" w:rsidP="008D362F">
      <w:pPr>
        <w:tabs>
          <w:tab w:val="clear" w:pos="567"/>
        </w:tabs>
        <w:spacing w:line="240" w:lineRule="auto"/>
        <w:outlineLvl w:val="0"/>
        <w:rPr>
          <w:rFonts w:eastAsia="Arial Unicode MS"/>
          <w:i/>
          <w:szCs w:val="24"/>
          <w:u w:val="single"/>
          <w:lang w:val="sk-SK" w:eastAsia="de-DE"/>
        </w:rPr>
      </w:pPr>
      <w:r w:rsidRPr="00E51323">
        <w:rPr>
          <w:rFonts w:eastAsia="Arial Unicode MS"/>
          <w:i/>
          <w:szCs w:val="24"/>
          <w:u w:val="single"/>
          <w:lang w:val="sk-SK" w:eastAsia="de-DE"/>
        </w:rPr>
        <w:t xml:space="preserve">Použitie u </w:t>
      </w:r>
      <w:r w:rsidRPr="00E51323">
        <w:rPr>
          <w:rFonts w:eastAsia="Arial Unicode MS"/>
          <w:b/>
          <w:i/>
          <w:szCs w:val="24"/>
          <w:u w:val="single"/>
          <w:lang w:val="sk-SK" w:eastAsia="de-DE"/>
        </w:rPr>
        <w:t>detskej populácie</w:t>
      </w:r>
      <w:r w:rsidRPr="00E51323">
        <w:rPr>
          <w:rFonts w:eastAsia="Arial Unicode MS"/>
          <w:i/>
          <w:szCs w:val="24"/>
          <w:u w:val="single"/>
          <w:lang w:val="sk-SK" w:eastAsia="de-DE"/>
        </w:rPr>
        <w:t xml:space="preserve"> (intravenózna infúzia):</w:t>
      </w:r>
    </w:p>
    <w:p w14:paraId="5D5D1874" w14:textId="77777777" w:rsidR="008D362F" w:rsidRPr="00E51323" w:rsidRDefault="008D362F" w:rsidP="008D362F">
      <w:pPr>
        <w:tabs>
          <w:tab w:val="clear" w:pos="567"/>
        </w:tabs>
        <w:spacing w:line="240" w:lineRule="auto"/>
        <w:ind w:firstLine="540"/>
        <w:outlineLvl w:val="0"/>
        <w:rPr>
          <w:rFonts w:eastAsia="Arial Unicode MS"/>
          <w:i/>
          <w:szCs w:val="24"/>
          <w:u w:val="single"/>
          <w:lang w:val="sk-SK" w:eastAsia="de-DE"/>
        </w:rPr>
      </w:pPr>
    </w:p>
    <w:p w14:paraId="57801240" w14:textId="77777777" w:rsidR="008D362F" w:rsidRPr="00E51323" w:rsidRDefault="008D362F" w:rsidP="008D362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E51323">
        <w:rPr>
          <w:lang w:val="sk-SK"/>
        </w:rPr>
        <w:t xml:space="preserve">1)  Pridajte 15 ml roztoku chloridu sodného 9 mg/ml (0,9 %) alebo iného kompatibilného infúzneho roztoku do jednej liekovky </w:t>
      </w:r>
      <w:proofErr w:type="spellStart"/>
      <w:r w:rsidRPr="00E51323">
        <w:rPr>
          <w:lang w:val="sk-SK"/>
        </w:rPr>
        <w:t>Cefotaxim</w:t>
      </w:r>
      <w:proofErr w:type="spellEnd"/>
      <w:r w:rsidRPr="00E51323">
        <w:rPr>
          <w:lang w:val="sk-SK"/>
        </w:rPr>
        <w:t xml:space="preserve"> </w:t>
      </w:r>
      <w:proofErr w:type="spellStart"/>
      <w:r w:rsidRPr="00E51323">
        <w:rPr>
          <w:lang w:val="sk-SK"/>
        </w:rPr>
        <w:t>Eberth</w:t>
      </w:r>
      <w:proofErr w:type="spellEnd"/>
      <w:r w:rsidRPr="00E51323">
        <w:rPr>
          <w:lang w:val="sk-SK"/>
        </w:rPr>
        <w:t xml:space="preserve"> 1 g, čím vznikne koncentrácia 64,9 mg/ml.</w:t>
      </w:r>
    </w:p>
    <w:p w14:paraId="6749019B" w14:textId="6CCC04C3" w:rsidR="008D362F" w:rsidRPr="00E51323" w:rsidRDefault="008D362F" w:rsidP="008D362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E51323">
        <w:rPr>
          <w:lang w:val="sk-SK"/>
        </w:rPr>
        <w:t>2)  Pretrepávajte liekovku, až kým sa všetok prášok nerozpustí.</w:t>
      </w:r>
    </w:p>
    <w:p w14:paraId="1298A96C" w14:textId="51D3E97F" w:rsidR="008D362F" w:rsidRPr="00E51323" w:rsidRDefault="008D362F" w:rsidP="008D362F">
      <w:pPr>
        <w:tabs>
          <w:tab w:val="clear" w:pos="567"/>
        </w:tabs>
        <w:spacing w:line="240" w:lineRule="auto"/>
        <w:jc w:val="both"/>
        <w:outlineLvl w:val="0"/>
        <w:rPr>
          <w:rFonts w:eastAsia="Arial Unicode MS"/>
          <w:szCs w:val="24"/>
          <w:lang w:val="sk-SK" w:eastAsia="de-DE"/>
        </w:rPr>
      </w:pPr>
      <w:r w:rsidRPr="00E51323">
        <w:rPr>
          <w:rFonts w:eastAsia="Arial Unicode MS"/>
          <w:szCs w:val="24"/>
          <w:lang w:val="sk-SK" w:eastAsia="de-DE"/>
        </w:rPr>
        <w:t>3)  Odoberte vypočítan</w:t>
      </w:r>
      <w:r w:rsidR="003D75DC">
        <w:rPr>
          <w:rFonts w:eastAsia="Arial Unicode MS"/>
          <w:szCs w:val="24"/>
          <w:lang w:val="sk-SK" w:eastAsia="de-DE"/>
        </w:rPr>
        <w:t>é</w:t>
      </w:r>
      <w:r w:rsidRPr="00E51323">
        <w:rPr>
          <w:rFonts w:eastAsia="Arial Unicode MS"/>
          <w:szCs w:val="24"/>
          <w:lang w:val="sk-SK" w:eastAsia="de-DE"/>
        </w:rPr>
        <w:t xml:space="preserve"> </w:t>
      </w:r>
      <w:r w:rsidR="003D75DC">
        <w:rPr>
          <w:rFonts w:eastAsia="Arial Unicode MS"/>
          <w:szCs w:val="24"/>
          <w:lang w:val="sk-SK" w:eastAsia="de-DE"/>
        </w:rPr>
        <w:t>množstvo</w:t>
      </w:r>
      <w:r w:rsidR="003D75DC" w:rsidRPr="00E51323">
        <w:rPr>
          <w:rFonts w:eastAsia="Arial Unicode MS"/>
          <w:szCs w:val="24"/>
          <w:lang w:val="sk-SK" w:eastAsia="de-DE"/>
        </w:rPr>
        <w:t xml:space="preserve"> </w:t>
      </w:r>
      <w:r w:rsidRPr="00E51323">
        <w:rPr>
          <w:rFonts w:eastAsia="Arial Unicode MS"/>
          <w:szCs w:val="24"/>
          <w:lang w:val="sk-SK" w:eastAsia="de-DE"/>
        </w:rPr>
        <w:t>pomocou injekčnej striekačky a ihly a zrieďte ďalej na 40 - 50 ml s roztokom chloridu sodného 9 mg/ml (0,9 %) alebo s iným kompatibilným infúznym roztokom.</w:t>
      </w:r>
    </w:p>
    <w:p w14:paraId="05A85CB2" w14:textId="77777777" w:rsidR="008D362F" w:rsidRPr="00E51323" w:rsidRDefault="008D362F" w:rsidP="00D86D14">
      <w:pPr>
        <w:numPr>
          <w:ilvl w:val="12"/>
          <w:numId w:val="0"/>
        </w:numPr>
        <w:spacing w:line="240" w:lineRule="auto"/>
        <w:rPr>
          <w:iCs/>
          <w:lang w:val="sk-SK"/>
        </w:rPr>
      </w:pPr>
    </w:p>
    <w:p w14:paraId="4109A25D" w14:textId="36377A75" w:rsidR="00EB093D" w:rsidRPr="00E51323" w:rsidRDefault="00EB093D" w:rsidP="00EB093D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E51323">
        <w:rPr>
          <w:lang w:val="sk-SK"/>
        </w:rPr>
        <w:t xml:space="preserve">1)  Pridajte 30 ml roztoku chloridu sodného 9 mg/ml (0,9 %) alebo iného kompatibilného infúzneho roztoku do jednej liekovky </w:t>
      </w:r>
      <w:proofErr w:type="spellStart"/>
      <w:r w:rsidRPr="00E51323">
        <w:rPr>
          <w:lang w:val="sk-SK"/>
        </w:rPr>
        <w:t>Cefotaxim</w:t>
      </w:r>
      <w:proofErr w:type="spellEnd"/>
      <w:r w:rsidRPr="00E51323">
        <w:rPr>
          <w:lang w:val="sk-SK"/>
        </w:rPr>
        <w:t xml:space="preserve"> </w:t>
      </w:r>
      <w:proofErr w:type="spellStart"/>
      <w:r w:rsidRPr="00E51323">
        <w:rPr>
          <w:lang w:val="sk-SK"/>
        </w:rPr>
        <w:t>Eberth</w:t>
      </w:r>
      <w:proofErr w:type="spellEnd"/>
      <w:r w:rsidRPr="00E51323">
        <w:rPr>
          <w:lang w:val="sk-SK"/>
        </w:rPr>
        <w:t xml:space="preserve"> 2 g, čím vznikne koncentrácia 64,9 mg/ml.</w:t>
      </w:r>
    </w:p>
    <w:p w14:paraId="29A6A7AC" w14:textId="77777777" w:rsidR="00EB093D" w:rsidRPr="00E51323" w:rsidRDefault="00EB093D" w:rsidP="00EB093D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E51323">
        <w:rPr>
          <w:lang w:val="sk-SK"/>
        </w:rPr>
        <w:t>2)  Pretrepávajte liekovku, až kým sa všetok prášok nerozpustí.</w:t>
      </w:r>
    </w:p>
    <w:p w14:paraId="5EDEE19C" w14:textId="3A7FEE67" w:rsidR="00EB093D" w:rsidRPr="006A6EC0" w:rsidRDefault="00EB093D" w:rsidP="006A6EC0">
      <w:pPr>
        <w:tabs>
          <w:tab w:val="clear" w:pos="567"/>
        </w:tabs>
        <w:spacing w:line="240" w:lineRule="auto"/>
        <w:jc w:val="both"/>
        <w:outlineLvl w:val="0"/>
        <w:rPr>
          <w:rFonts w:eastAsia="Arial Unicode MS"/>
          <w:szCs w:val="24"/>
          <w:lang w:val="sk-SK" w:eastAsia="de-DE"/>
        </w:rPr>
      </w:pPr>
      <w:r w:rsidRPr="00E51323">
        <w:rPr>
          <w:rFonts w:eastAsia="Arial Unicode MS"/>
          <w:szCs w:val="24"/>
          <w:lang w:val="sk-SK" w:eastAsia="de-DE"/>
        </w:rPr>
        <w:t>3)  Odoberte vypočítan</w:t>
      </w:r>
      <w:r w:rsidR="003D75DC">
        <w:rPr>
          <w:rFonts w:eastAsia="Arial Unicode MS"/>
          <w:szCs w:val="24"/>
          <w:lang w:val="sk-SK" w:eastAsia="de-DE"/>
        </w:rPr>
        <w:t>é</w:t>
      </w:r>
      <w:r w:rsidRPr="00E51323">
        <w:rPr>
          <w:rFonts w:eastAsia="Arial Unicode MS"/>
          <w:szCs w:val="24"/>
          <w:lang w:val="sk-SK" w:eastAsia="de-DE"/>
        </w:rPr>
        <w:t xml:space="preserve"> </w:t>
      </w:r>
      <w:r w:rsidR="003D75DC">
        <w:rPr>
          <w:rFonts w:eastAsia="Arial Unicode MS"/>
          <w:szCs w:val="24"/>
          <w:lang w:val="sk-SK" w:eastAsia="de-DE"/>
        </w:rPr>
        <w:t>množstvo</w:t>
      </w:r>
      <w:r w:rsidR="003D75DC" w:rsidRPr="00E51323">
        <w:rPr>
          <w:rFonts w:eastAsia="Arial Unicode MS"/>
          <w:szCs w:val="24"/>
          <w:lang w:val="sk-SK" w:eastAsia="de-DE"/>
        </w:rPr>
        <w:t xml:space="preserve"> </w:t>
      </w:r>
      <w:r w:rsidRPr="00E51323">
        <w:rPr>
          <w:rFonts w:eastAsia="Arial Unicode MS"/>
          <w:szCs w:val="24"/>
          <w:lang w:val="sk-SK" w:eastAsia="de-DE"/>
        </w:rPr>
        <w:t xml:space="preserve">pomocou injekčnej striekačky a ihly a zrieďte ďalej </w:t>
      </w:r>
      <w:r w:rsidR="00C93925" w:rsidRPr="00E51323">
        <w:rPr>
          <w:rFonts w:eastAsia="Arial Unicode MS"/>
          <w:szCs w:val="24"/>
          <w:lang w:val="sk-SK" w:eastAsia="de-DE"/>
        </w:rPr>
        <w:t>n</w:t>
      </w:r>
      <w:r w:rsidRPr="00E51323">
        <w:rPr>
          <w:rFonts w:eastAsia="Arial Unicode MS"/>
          <w:szCs w:val="24"/>
          <w:lang w:val="sk-SK" w:eastAsia="de-DE"/>
        </w:rPr>
        <w:t>a 40 - 50 ml s roztokom chloridu sodného 9 mg/ml (0,9 %) alebo</w:t>
      </w:r>
      <w:r w:rsidRPr="008D362F">
        <w:rPr>
          <w:rFonts w:eastAsia="Arial Unicode MS"/>
          <w:szCs w:val="24"/>
          <w:lang w:val="sk-SK" w:eastAsia="de-DE"/>
        </w:rPr>
        <w:t xml:space="preserve"> s iným kompatibilným infúznym roztokom.</w:t>
      </w:r>
    </w:p>
    <w:p w14:paraId="2781FE68" w14:textId="77777777" w:rsidR="00EB093D" w:rsidRPr="006A6EC0" w:rsidRDefault="00EB093D" w:rsidP="00D86D14">
      <w:pPr>
        <w:numPr>
          <w:ilvl w:val="12"/>
          <w:numId w:val="0"/>
        </w:numPr>
        <w:spacing w:line="240" w:lineRule="auto"/>
        <w:rPr>
          <w:iCs/>
          <w:lang w:val="sk-SK"/>
        </w:rPr>
      </w:pPr>
    </w:p>
    <w:p w14:paraId="26F8BE94" w14:textId="77777777" w:rsidR="008D362F" w:rsidRDefault="008D362F" w:rsidP="008D362F">
      <w:pPr>
        <w:tabs>
          <w:tab w:val="clear" w:pos="567"/>
        </w:tabs>
        <w:jc w:val="both"/>
        <w:rPr>
          <w:lang w:val="sk-SK"/>
        </w:rPr>
      </w:pPr>
      <w:r>
        <w:rPr>
          <w:lang w:val="sk-SK"/>
        </w:rPr>
        <w:t>Tabuľka riedenia (intravenózne podanie (</w:t>
      </w:r>
      <w:r w:rsidRPr="006A6EC0">
        <w:rPr>
          <w:b/>
          <w:i/>
          <w:lang w:val="sk-SK"/>
        </w:rPr>
        <w:t>rýchle</w:t>
      </w:r>
      <w:r>
        <w:rPr>
          <w:b/>
          <w:lang w:val="sk-SK"/>
        </w:rPr>
        <w:t>)</w:t>
      </w:r>
      <w:r w:rsidRPr="00621BC1">
        <w:rPr>
          <w:lang w:val="sk-SK"/>
        </w:rPr>
        <w:t>):</w:t>
      </w:r>
    </w:p>
    <w:p w14:paraId="2FB40A29" w14:textId="77777777" w:rsidR="008D362F" w:rsidRPr="00B457BB" w:rsidRDefault="008D362F" w:rsidP="008D362F">
      <w:pPr>
        <w:jc w:val="both"/>
        <w:rPr>
          <w:lang w:val="sk-SK"/>
        </w:rPr>
      </w:pPr>
    </w:p>
    <w:tbl>
      <w:tblPr>
        <w:tblW w:w="9072" w:type="dxa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966"/>
        <w:gridCol w:w="2145"/>
        <w:gridCol w:w="2552"/>
        <w:gridCol w:w="2409"/>
      </w:tblGrid>
      <w:tr w:rsidR="008D362F" w:rsidRPr="000979CA" w14:paraId="1742C548" w14:textId="77777777" w:rsidTr="006A6EC0">
        <w:tc>
          <w:tcPr>
            <w:tcW w:w="1966" w:type="dxa"/>
            <w:shd w:val="clear" w:color="auto" w:fill="auto"/>
          </w:tcPr>
          <w:p w14:paraId="28F68AEE" w14:textId="77777777" w:rsidR="008D362F" w:rsidRPr="000979CA" w:rsidRDefault="008D362F" w:rsidP="004F0FB1">
            <w:pPr>
              <w:tabs>
                <w:tab w:val="clear" w:pos="567"/>
              </w:tabs>
              <w:spacing w:before="100" w:beforeAutospacing="1" w:after="75" w:line="240" w:lineRule="auto"/>
              <w:rPr>
                <w:lang w:val="sk-SK"/>
              </w:rPr>
            </w:pPr>
            <w:r w:rsidRPr="000979CA">
              <w:rPr>
                <w:lang w:val="sk-SK"/>
              </w:rPr>
              <w:t>Veľkosť liekovky</w:t>
            </w:r>
          </w:p>
        </w:tc>
        <w:tc>
          <w:tcPr>
            <w:tcW w:w="2145" w:type="dxa"/>
            <w:shd w:val="clear" w:color="auto" w:fill="auto"/>
          </w:tcPr>
          <w:p w14:paraId="153CA39B" w14:textId="77777777" w:rsidR="008D362F" w:rsidRPr="000979CA" w:rsidRDefault="008D362F" w:rsidP="004F0FB1">
            <w:pPr>
              <w:tabs>
                <w:tab w:val="clear" w:pos="567"/>
              </w:tabs>
              <w:spacing w:before="100" w:beforeAutospacing="1" w:after="75" w:line="240" w:lineRule="auto"/>
              <w:rPr>
                <w:lang w:val="sk-SK"/>
              </w:rPr>
            </w:pPr>
            <w:r w:rsidRPr="000979CA">
              <w:rPr>
                <w:lang w:val="sk-SK"/>
              </w:rPr>
              <w:t>Pridané rozpúšťadlo</w:t>
            </w:r>
          </w:p>
        </w:tc>
        <w:tc>
          <w:tcPr>
            <w:tcW w:w="2552" w:type="dxa"/>
            <w:shd w:val="clear" w:color="auto" w:fill="auto"/>
          </w:tcPr>
          <w:p w14:paraId="525D2E4D" w14:textId="77777777" w:rsidR="008D362F" w:rsidRPr="000979CA" w:rsidRDefault="008D362F" w:rsidP="004F0FB1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0979CA">
              <w:rPr>
                <w:lang w:val="sk-SK"/>
              </w:rPr>
              <w:t xml:space="preserve">Približný využiteľný </w:t>
            </w:r>
          </w:p>
          <w:p w14:paraId="5BC61444" w14:textId="77777777" w:rsidR="008D362F" w:rsidRPr="000979CA" w:rsidRDefault="008D362F" w:rsidP="004F0FB1">
            <w:pPr>
              <w:tabs>
                <w:tab w:val="clear" w:pos="567"/>
              </w:tabs>
              <w:spacing w:after="75" w:line="240" w:lineRule="auto"/>
              <w:rPr>
                <w:lang w:val="sk-SK"/>
              </w:rPr>
            </w:pPr>
            <w:r w:rsidRPr="000979CA">
              <w:rPr>
                <w:lang w:val="sk-SK"/>
              </w:rPr>
              <w:t>objem</w:t>
            </w:r>
          </w:p>
        </w:tc>
        <w:tc>
          <w:tcPr>
            <w:tcW w:w="2409" w:type="dxa"/>
            <w:shd w:val="clear" w:color="auto" w:fill="auto"/>
          </w:tcPr>
          <w:p w14:paraId="59045BCE" w14:textId="77777777" w:rsidR="008D362F" w:rsidRPr="000979CA" w:rsidRDefault="008D362F" w:rsidP="004F0FB1">
            <w:pPr>
              <w:tabs>
                <w:tab w:val="clear" w:pos="567"/>
              </w:tabs>
              <w:spacing w:before="100" w:beforeAutospacing="1" w:after="75" w:line="240" w:lineRule="auto"/>
              <w:rPr>
                <w:lang w:val="sk-SK"/>
              </w:rPr>
            </w:pPr>
            <w:r w:rsidRPr="000979CA">
              <w:rPr>
                <w:lang w:val="sk-SK"/>
              </w:rPr>
              <w:t>Približné navýšenie objemu</w:t>
            </w:r>
          </w:p>
        </w:tc>
      </w:tr>
      <w:tr w:rsidR="008D362F" w:rsidRPr="000979CA" w14:paraId="76E8C8EB" w14:textId="77777777" w:rsidTr="006A6EC0">
        <w:trPr>
          <w:trHeight w:val="270"/>
        </w:trPr>
        <w:tc>
          <w:tcPr>
            <w:tcW w:w="1966" w:type="dxa"/>
            <w:shd w:val="clear" w:color="auto" w:fill="auto"/>
          </w:tcPr>
          <w:p w14:paraId="77970DA8" w14:textId="77777777" w:rsidR="008D362F" w:rsidRPr="006213B3" w:rsidRDefault="008D362F" w:rsidP="006A6EC0">
            <w:pPr>
              <w:widowControl w:val="0"/>
              <w:tabs>
                <w:tab w:val="clear" w:pos="567"/>
                <w:tab w:val="left" w:pos="720"/>
              </w:tabs>
              <w:spacing w:line="240" w:lineRule="auto"/>
              <w:contextualSpacing/>
              <w:jc w:val="both"/>
              <w:rPr>
                <w:lang w:val="sk-SK"/>
              </w:rPr>
            </w:pPr>
            <w:r w:rsidRPr="000979CA">
              <w:rPr>
                <w:lang w:val="sk-SK"/>
              </w:rPr>
              <w:t>1 g</w:t>
            </w:r>
          </w:p>
        </w:tc>
        <w:tc>
          <w:tcPr>
            <w:tcW w:w="2145" w:type="dxa"/>
            <w:shd w:val="clear" w:color="auto" w:fill="auto"/>
          </w:tcPr>
          <w:p w14:paraId="78F3D034" w14:textId="77777777" w:rsidR="008D362F" w:rsidRPr="000979CA" w:rsidRDefault="008D362F" w:rsidP="006A6EC0">
            <w:pPr>
              <w:widowControl w:val="0"/>
              <w:tabs>
                <w:tab w:val="clear" w:pos="567"/>
                <w:tab w:val="left" w:pos="720"/>
              </w:tabs>
              <w:spacing w:line="240" w:lineRule="auto"/>
              <w:contextualSpacing/>
              <w:jc w:val="both"/>
              <w:rPr>
                <w:lang w:val="sk-SK"/>
              </w:rPr>
            </w:pPr>
            <w:r w:rsidRPr="000979CA">
              <w:rPr>
                <w:lang w:val="sk-SK"/>
              </w:rPr>
              <w:t>4</w:t>
            </w:r>
            <w:r>
              <w:rPr>
                <w:lang w:val="sk-SK"/>
              </w:rPr>
              <w:t>0 - 50</w:t>
            </w:r>
            <w:r w:rsidRPr="000979CA">
              <w:rPr>
                <w:lang w:val="sk-SK"/>
              </w:rPr>
              <w:t xml:space="preserve"> ml</w:t>
            </w:r>
          </w:p>
        </w:tc>
        <w:tc>
          <w:tcPr>
            <w:tcW w:w="2552" w:type="dxa"/>
            <w:shd w:val="clear" w:color="auto" w:fill="auto"/>
          </w:tcPr>
          <w:p w14:paraId="3C874391" w14:textId="50002594" w:rsidR="008D362F" w:rsidRPr="000979CA" w:rsidRDefault="008D362F" w:rsidP="006A6EC0">
            <w:pPr>
              <w:widowControl w:val="0"/>
              <w:tabs>
                <w:tab w:val="clear" w:pos="567"/>
                <w:tab w:val="left" w:pos="720"/>
              </w:tabs>
              <w:spacing w:line="240" w:lineRule="auto"/>
              <w:contextualSpacing/>
              <w:jc w:val="both"/>
              <w:rPr>
                <w:lang w:val="sk-SK"/>
              </w:rPr>
            </w:pPr>
            <w:r w:rsidRPr="000979CA">
              <w:rPr>
                <w:lang w:val="sk-SK"/>
              </w:rPr>
              <w:t>4</w:t>
            </w:r>
            <w:r>
              <w:rPr>
                <w:lang w:val="sk-SK"/>
              </w:rPr>
              <w:t xml:space="preserve">1 </w:t>
            </w:r>
            <w:r w:rsidR="0002535C">
              <w:rPr>
                <w:lang w:val="sk-SK"/>
              </w:rPr>
              <w:t>–</w:t>
            </w:r>
            <w:r>
              <w:rPr>
                <w:lang w:val="sk-SK"/>
              </w:rPr>
              <w:t xml:space="preserve"> 51</w:t>
            </w:r>
            <w:r w:rsidRPr="000979CA">
              <w:rPr>
                <w:lang w:val="sk-SK"/>
              </w:rPr>
              <w:t xml:space="preserve"> ml</w:t>
            </w:r>
          </w:p>
        </w:tc>
        <w:tc>
          <w:tcPr>
            <w:tcW w:w="2409" w:type="dxa"/>
            <w:shd w:val="clear" w:color="auto" w:fill="auto"/>
          </w:tcPr>
          <w:p w14:paraId="2C37E213" w14:textId="77777777" w:rsidR="008D362F" w:rsidRPr="000979CA" w:rsidRDefault="008D362F" w:rsidP="006A6EC0">
            <w:pPr>
              <w:widowControl w:val="0"/>
              <w:tabs>
                <w:tab w:val="clear" w:pos="567"/>
                <w:tab w:val="left" w:pos="720"/>
              </w:tabs>
              <w:spacing w:line="240" w:lineRule="auto"/>
              <w:contextualSpacing/>
              <w:jc w:val="both"/>
              <w:rPr>
                <w:lang w:val="sk-SK"/>
              </w:rPr>
            </w:pPr>
            <w:r>
              <w:rPr>
                <w:lang w:val="sk-SK"/>
              </w:rPr>
              <w:t>1</w:t>
            </w:r>
            <w:r w:rsidRPr="000979CA">
              <w:rPr>
                <w:lang w:val="sk-SK"/>
              </w:rPr>
              <w:t xml:space="preserve"> ml</w:t>
            </w:r>
          </w:p>
        </w:tc>
      </w:tr>
      <w:tr w:rsidR="008D362F" w:rsidRPr="000979CA" w14:paraId="674E04E0" w14:textId="77777777" w:rsidTr="006A6EC0">
        <w:trPr>
          <w:trHeight w:val="132"/>
        </w:trPr>
        <w:tc>
          <w:tcPr>
            <w:tcW w:w="1966" w:type="dxa"/>
            <w:shd w:val="clear" w:color="auto" w:fill="auto"/>
          </w:tcPr>
          <w:p w14:paraId="5B70CD4A" w14:textId="77777777" w:rsidR="008D362F" w:rsidRPr="006213B3" w:rsidRDefault="008D362F" w:rsidP="006A6EC0">
            <w:pPr>
              <w:widowControl w:val="0"/>
              <w:tabs>
                <w:tab w:val="clear" w:pos="567"/>
                <w:tab w:val="left" w:pos="720"/>
              </w:tabs>
              <w:spacing w:line="240" w:lineRule="auto"/>
              <w:contextualSpacing/>
              <w:jc w:val="both"/>
              <w:rPr>
                <w:lang w:val="sk-SK"/>
              </w:rPr>
            </w:pPr>
            <w:r w:rsidRPr="000979CA">
              <w:rPr>
                <w:lang w:val="sk-SK"/>
              </w:rPr>
              <w:t>2 g</w:t>
            </w:r>
          </w:p>
        </w:tc>
        <w:tc>
          <w:tcPr>
            <w:tcW w:w="2145" w:type="dxa"/>
            <w:shd w:val="clear" w:color="auto" w:fill="auto"/>
          </w:tcPr>
          <w:p w14:paraId="11807BB5" w14:textId="77777777" w:rsidR="008D362F" w:rsidRPr="000979CA" w:rsidRDefault="008D362F" w:rsidP="006A6EC0">
            <w:pPr>
              <w:widowControl w:val="0"/>
              <w:tabs>
                <w:tab w:val="clear" w:pos="567"/>
                <w:tab w:val="left" w:pos="720"/>
              </w:tabs>
              <w:spacing w:line="240" w:lineRule="auto"/>
              <w:contextualSpacing/>
              <w:jc w:val="both"/>
              <w:rPr>
                <w:lang w:val="sk-SK"/>
              </w:rPr>
            </w:pPr>
            <w:r w:rsidRPr="000979CA">
              <w:rPr>
                <w:lang w:val="sk-SK"/>
              </w:rPr>
              <w:t>40 – 50 ml</w:t>
            </w:r>
          </w:p>
        </w:tc>
        <w:tc>
          <w:tcPr>
            <w:tcW w:w="2552" w:type="dxa"/>
            <w:shd w:val="clear" w:color="auto" w:fill="auto"/>
          </w:tcPr>
          <w:p w14:paraId="091690D8" w14:textId="77777777" w:rsidR="008D362F" w:rsidRPr="000979CA" w:rsidRDefault="008D362F" w:rsidP="006A6EC0">
            <w:pPr>
              <w:widowControl w:val="0"/>
              <w:tabs>
                <w:tab w:val="clear" w:pos="567"/>
                <w:tab w:val="left" w:pos="720"/>
              </w:tabs>
              <w:spacing w:line="240" w:lineRule="auto"/>
              <w:contextualSpacing/>
              <w:jc w:val="both"/>
              <w:rPr>
                <w:lang w:val="sk-SK"/>
              </w:rPr>
            </w:pPr>
            <w:r w:rsidRPr="000979CA">
              <w:rPr>
                <w:lang w:val="sk-SK"/>
              </w:rPr>
              <w:t>41 – 51 ml</w:t>
            </w:r>
          </w:p>
        </w:tc>
        <w:tc>
          <w:tcPr>
            <w:tcW w:w="2409" w:type="dxa"/>
            <w:shd w:val="clear" w:color="auto" w:fill="auto"/>
          </w:tcPr>
          <w:p w14:paraId="41BF69E3" w14:textId="77777777" w:rsidR="008D362F" w:rsidRPr="000979CA" w:rsidRDefault="008D362F" w:rsidP="006A6EC0">
            <w:pPr>
              <w:widowControl w:val="0"/>
              <w:tabs>
                <w:tab w:val="clear" w:pos="567"/>
                <w:tab w:val="left" w:pos="720"/>
              </w:tabs>
              <w:spacing w:line="240" w:lineRule="auto"/>
              <w:contextualSpacing/>
              <w:jc w:val="both"/>
              <w:rPr>
                <w:lang w:val="sk-SK"/>
              </w:rPr>
            </w:pPr>
            <w:r w:rsidRPr="000979CA">
              <w:rPr>
                <w:lang w:val="sk-SK"/>
              </w:rPr>
              <w:t>1 ml</w:t>
            </w:r>
          </w:p>
        </w:tc>
      </w:tr>
    </w:tbl>
    <w:p w14:paraId="371DF64B" w14:textId="77777777" w:rsidR="008D362F" w:rsidRDefault="008D362F" w:rsidP="008D362F">
      <w:pPr>
        <w:tabs>
          <w:tab w:val="clear" w:pos="567"/>
          <w:tab w:val="left" w:pos="720"/>
        </w:tabs>
        <w:ind w:left="460" w:firstLine="260"/>
        <w:jc w:val="both"/>
        <w:rPr>
          <w:lang w:val="sk-SK"/>
        </w:rPr>
      </w:pPr>
    </w:p>
    <w:p w14:paraId="137E6AD3" w14:textId="77777777" w:rsidR="008D362F" w:rsidRPr="006A6EC0" w:rsidRDefault="008D362F" w:rsidP="00D86D14">
      <w:pPr>
        <w:numPr>
          <w:ilvl w:val="12"/>
          <w:numId w:val="0"/>
        </w:numPr>
        <w:spacing w:line="240" w:lineRule="auto"/>
        <w:rPr>
          <w:iCs/>
          <w:lang w:val="sk-SK"/>
        </w:rPr>
      </w:pPr>
    </w:p>
    <w:p w14:paraId="73D4D061" w14:textId="77777777" w:rsidR="008D362F" w:rsidRDefault="008D362F" w:rsidP="00D86D14">
      <w:pPr>
        <w:numPr>
          <w:ilvl w:val="12"/>
          <w:numId w:val="0"/>
        </w:numPr>
        <w:spacing w:line="240" w:lineRule="auto"/>
        <w:rPr>
          <w:i/>
          <w:iCs/>
          <w:lang w:val="sk-SK"/>
        </w:rPr>
      </w:pPr>
    </w:p>
    <w:p w14:paraId="464B0E20" w14:textId="77777777" w:rsidR="00D86D14" w:rsidRPr="00FB2AEB" w:rsidRDefault="00D86D14" w:rsidP="00D86D14">
      <w:pPr>
        <w:numPr>
          <w:ilvl w:val="12"/>
          <w:numId w:val="0"/>
        </w:numPr>
        <w:spacing w:line="240" w:lineRule="auto"/>
        <w:rPr>
          <w:b/>
          <w:bCs/>
          <w:i/>
          <w:iCs/>
          <w:lang w:val="sk-SK"/>
        </w:rPr>
      </w:pPr>
      <w:proofErr w:type="spellStart"/>
      <w:r>
        <w:rPr>
          <w:i/>
          <w:iCs/>
          <w:lang w:val="sk-SK"/>
        </w:rPr>
        <w:t>Cefotaxim</w:t>
      </w:r>
      <w:proofErr w:type="spellEnd"/>
      <w:r>
        <w:rPr>
          <w:i/>
          <w:iCs/>
          <w:lang w:val="sk-SK"/>
        </w:rPr>
        <w:t xml:space="preserve"> </w:t>
      </w:r>
      <w:proofErr w:type="spellStart"/>
      <w:r>
        <w:rPr>
          <w:i/>
          <w:iCs/>
          <w:lang w:val="sk-SK"/>
        </w:rPr>
        <w:t>Eberth</w:t>
      </w:r>
      <w:proofErr w:type="spellEnd"/>
      <w:r>
        <w:rPr>
          <w:i/>
          <w:iCs/>
          <w:lang w:val="sk-SK"/>
        </w:rPr>
        <w:t xml:space="preserve"> 2 g: Príprava </w:t>
      </w:r>
      <w:r>
        <w:rPr>
          <w:b/>
          <w:bCs/>
          <w:i/>
          <w:iCs/>
          <w:lang w:val="sk-SK"/>
        </w:rPr>
        <w:t xml:space="preserve">pomalej </w:t>
      </w:r>
      <w:r w:rsidRPr="00FB2AEB">
        <w:rPr>
          <w:i/>
          <w:iCs/>
          <w:lang w:val="sk-SK"/>
        </w:rPr>
        <w:t>intravenóznej infúzie</w:t>
      </w:r>
    </w:p>
    <w:p w14:paraId="4869C940" w14:textId="77777777" w:rsidR="00D86D14" w:rsidRPr="004229C9" w:rsidRDefault="00D86D14" w:rsidP="00D86D14">
      <w:pPr>
        <w:numPr>
          <w:ilvl w:val="12"/>
          <w:numId w:val="0"/>
        </w:numPr>
        <w:spacing w:after="100" w:afterAutospacing="1"/>
        <w:rPr>
          <w:lang w:val="sk-SK"/>
        </w:rPr>
      </w:pPr>
      <w:proofErr w:type="spellStart"/>
      <w:r w:rsidRPr="004229C9">
        <w:rPr>
          <w:lang w:val="sk-SK"/>
        </w:rPr>
        <w:t>Cefotaxim</w:t>
      </w:r>
      <w:proofErr w:type="spellEnd"/>
      <w:r w:rsidRPr="004229C9">
        <w:rPr>
          <w:lang w:val="sk-SK"/>
        </w:rPr>
        <w:t xml:space="preserve"> </w:t>
      </w:r>
      <w:proofErr w:type="spellStart"/>
      <w:r w:rsidRPr="004229C9">
        <w:rPr>
          <w:lang w:val="sk-SK"/>
        </w:rPr>
        <w:t>Eberth</w:t>
      </w:r>
      <w:proofErr w:type="spellEnd"/>
      <w:r>
        <w:rPr>
          <w:lang w:val="sk-SK"/>
        </w:rPr>
        <w:t xml:space="preserve"> </w:t>
      </w:r>
      <w:r w:rsidRPr="004229C9">
        <w:rPr>
          <w:lang w:val="sk-SK"/>
        </w:rPr>
        <w:t xml:space="preserve">2 g </w:t>
      </w:r>
      <w:r>
        <w:rPr>
          <w:lang w:val="sk-SK"/>
        </w:rPr>
        <w:t xml:space="preserve">sa </w:t>
      </w:r>
      <w:r w:rsidRPr="004229C9">
        <w:rPr>
          <w:lang w:val="sk-SK"/>
        </w:rPr>
        <w:t>rozpust</w:t>
      </w:r>
      <w:r>
        <w:rPr>
          <w:lang w:val="sk-SK"/>
        </w:rPr>
        <w:t>í</w:t>
      </w:r>
      <w:r w:rsidRPr="004229C9">
        <w:rPr>
          <w:lang w:val="sk-SK"/>
        </w:rPr>
        <w:t xml:space="preserve"> v 100 ml vhodného roztoku</w:t>
      </w:r>
      <w:r>
        <w:rPr>
          <w:lang w:val="sk-SK"/>
        </w:rPr>
        <w:t>.</w:t>
      </w:r>
      <w:r w:rsidRPr="004229C9">
        <w:rPr>
          <w:lang w:val="sk-SK"/>
        </w:rPr>
        <w:t xml:space="preserve"> napr.</w:t>
      </w:r>
      <w:r>
        <w:rPr>
          <w:lang w:val="sk-SK"/>
        </w:rPr>
        <w:t xml:space="preserve"> v</w:t>
      </w:r>
      <w:r w:rsidRPr="004229C9">
        <w:rPr>
          <w:lang w:val="sk-SK"/>
        </w:rPr>
        <w:t xml:space="preserve"> 0,9% roztok</w:t>
      </w:r>
      <w:r>
        <w:rPr>
          <w:lang w:val="sk-SK"/>
        </w:rPr>
        <w:t>u</w:t>
      </w:r>
      <w:r w:rsidRPr="004229C9">
        <w:rPr>
          <w:lang w:val="sk-SK"/>
        </w:rPr>
        <w:t xml:space="preserve"> chloridu sodného alebo </w:t>
      </w:r>
      <w:r>
        <w:rPr>
          <w:lang w:val="sk-SK"/>
        </w:rPr>
        <w:t>v</w:t>
      </w:r>
      <w:r w:rsidRPr="004229C9">
        <w:rPr>
          <w:lang w:val="sk-SK"/>
        </w:rPr>
        <w:t xml:space="preserve"> </w:t>
      </w:r>
      <w:proofErr w:type="spellStart"/>
      <w:r w:rsidRPr="004229C9">
        <w:rPr>
          <w:lang w:val="sk-SK"/>
        </w:rPr>
        <w:t>izotonick</w:t>
      </w:r>
      <w:r>
        <w:rPr>
          <w:lang w:val="sk-SK"/>
        </w:rPr>
        <w:t>om</w:t>
      </w:r>
      <w:proofErr w:type="spellEnd"/>
      <w:r w:rsidRPr="004229C9">
        <w:rPr>
          <w:lang w:val="sk-SK"/>
        </w:rPr>
        <w:t xml:space="preserve"> roztok</w:t>
      </w:r>
      <w:r>
        <w:rPr>
          <w:lang w:val="sk-SK"/>
        </w:rPr>
        <w:t>u</w:t>
      </w:r>
      <w:r w:rsidRPr="004229C9">
        <w:rPr>
          <w:lang w:val="sk-SK"/>
        </w:rPr>
        <w:t xml:space="preserve"> glukózy alebo in</w:t>
      </w:r>
      <w:r>
        <w:rPr>
          <w:lang w:val="sk-SK"/>
        </w:rPr>
        <w:t>om</w:t>
      </w:r>
      <w:r w:rsidRPr="004229C9">
        <w:rPr>
          <w:lang w:val="sk-SK"/>
        </w:rPr>
        <w:t xml:space="preserve"> kompatibiln</w:t>
      </w:r>
      <w:r>
        <w:rPr>
          <w:lang w:val="sk-SK"/>
        </w:rPr>
        <w:t>om</w:t>
      </w:r>
      <w:r w:rsidRPr="004229C9">
        <w:rPr>
          <w:lang w:val="sk-SK"/>
        </w:rPr>
        <w:t xml:space="preserve"> roztok</w:t>
      </w:r>
      <w:r>
        <w:rPr>
          <w:lang w:val="sk-SK"/>
        </w:rPr>
        <w:t>u</w:t>
      </w:r>
      <w:r w:rsidRPr="004229C9">
        <w:rPr>
          <w:lang w:val="sk-SK"/>
        </w:rPr>
        <w:t xml:space="preserve"> </w:t>
      </w:r>
      <w:r>
        <w:rPr>
          <w:lang w:val="sk-SK"/>
        </w:rPr>
        <w:t>na</w:t>
      </w:r>
      <w:r w:rsidRPr="004229C9">
        <w:rPr>
          <w:lang w:val="sk-SK"/>
        </w:rPr>
        <w:t xml:space="preserve"> infúziu.</w:t>
      </w:r>
    </w:p>
    <w:p w14:paraId="1D5A7E1C" w14:textId="331E83E9" w:rsidR="00D86D14" w:rsidRPr="004229C9" w:rsidRDefault="00D86D14" w:rsidP="00D86D14">
      <w:pPr>
        <w:pStyle w:val="Normlnywebov"/>
        <w:spacing w:before="0" w:beforeAutospacing="0" w:after="0" w:afterAutospacing="0"/>
        <w:outlineLvl w:val="0"/>
        <w:rPr>
          <w:sz w:val="22"/>
          <w:lang w:val="sk-SK"/>
        </w:rPr>
      </w:pPr>
      <w:r w:rsidRPr="004229C9">
        <w:rPr>
          <w:sz w:val="22"/>
          <w:lang w:val="sk-SK"/>
        </w:rPr>
        <w:t xml:space="preserve">Pre prípravu 2 g roztoku </w:t>
      </w:r>
      <w:r>
        <w:rPr>
          <w:sz w:val="22"/>
          <w:lang w:val="sk-SK"/>
        </w:rPr>
        <w:t>cefotaxím</w:t>
      </w:r>
      <w:r w:rsidRPr="004229C9">
        <w:rPr>
          <w:sz w:val="22"/>
          <w:lang w:val="sk-SK"/>
        </w:rPr>
        <w:t xml:space="preserve">u </w:t>
      </w:r>
      <w:r>
        <w:rPr>
          <w:sz w:val="22"/>
          <w:lang w:val="sk-SK"/>
        </w:rPr>
        <w:t>na</w:t>
      </w:r>
      <w:r w:rsidRPr="004229C9">
        <w:rPr>
          <w:sz w:val="22"/>
          <w:lang w:val="sk-SK"/>
        </w:rPr>
        <w:t xml:space="preserve"> infúziu je potrebná jedna 50 ml injekčná liekovka </w:t>
      </w:r>
      <w:r>
        <w:rPr>
          <w:sz w:val="22"/>
          <w:lang w:val="sk-SK"/>
        </w:rPr>
        <w:t>lieku</w:t>
      </w:r>
      <w:r w:rsidRPr="004229C9">
        <w:rPr>
          <w:sz w:val="22"/>
          <w:lang w:val="sk-SK"/>
        </w:rPr>
        <w:t xml:space="preserve"> </w:t>
      </w:r>
      <w:proofErr w:type="spellStart"/>
      <w:r w:rsidRPr="004229C9">
        <w:rPr>
          <w:sz w:val="22"/>
          <w:lang w:val="sk-SK"/>
        </w:rPr>
        <w:t>Cefotaxim</w:t>
      </w:r>
      <w:proofErr w:type="spellEnd"/>
      <w:r w:rsidRPr="004229C9">
        <w:rPr>
          <w:sz w:val="22"/>
          <w:lang w:val="sk-SK"/>
        </w:rPr>
        <w:t xml:space="preserve"> </w:t>
      </w:r>
      <w:proofErr w:type="spellStart"/>
      <w:r w:rsidRPr="004229C9">
        <w:rPr>
          <w:sz w:val="22"/>
          <w:lang w:val="sk-SK"/>
        </w:rPr>
        <w:t>Eberth</w:t>
      </w:r>
      <w:proofErr w:type="spellEnd"/>
      <w:r w:rsidR="0035789A">
        <w:rPr>
          <w:sz w:val="22"/>
          <w:lang w:val="sk-SK"/>
        </w:rPr>
        <w:t xml:space="preserve"> 2g</w:t>
      </w:r>
      <w:r w:rsidRPr="004229C9">
        <w:rPr>
          <w:sz w:val="22"/>
          <w:lang w:val="sk-SK"/>
        </w:rPr>
        <w:t>, fľaša so 100 ml roztoku chloridu sodného 9 mg/ml (0,9</w:t>
      </w:r>
      <w:r>
        <w:rPr>
          <w:sz w:val="22"/>
          <w:lang w:val="sk-SK"/>
        </w:rPr>
        <w:t xml:space="preserve"> </w:t>
      </w:r>
      <w:r w:rsidRPr="004229C9">
        <w:rPr>
          <w:sz w:val="22"/>
          <w:lang w:val="sk-SK"/>
        </w:rPr>
        <w:t xml:space="preserve">%) </w:t>
      </w:r>
      <w:r>
        <w:rPr>
          <w:sz w:val="22"/>
          <w:lang w:val="sk-SK"/>
        </w:rPr>
        <w:t>na</w:t>
      </w:r>
      <w:r w:rsidRPr="004229C9">
        <w:rPr>
          <w:sz w:val="22"/>
          <w:lang w:val="sk-SK"/>
        </w:rPr>
        <w:t xml:space="preserve"> infúziu a</w:t>
      </w:r>
      <w:r>
        <w:rPr>
          <w:sz w:val="22"/>
          <w:lang w:val="sk-SK"/>
        </w:rPr>
        <w:t> </w:t>
      </w:r>
      <w:r w:rsidRPr="004229C9">
        <w:rPr>
          <w:sz w:val="22"/>
          <w:lang w:val="sk-SK"/>
        </w:rPr>
        <w:t>sterilné</w:t>
      </w:r>
      <w:r>
        <w:rPr>
          <w:sz w:val="22"/>
          <w:lang w:val="sk-SK"/>
        </w:rPr>
        <w:t xml:space="preserve"> </w:t>
      </w:r>
      <w:r w:rsidRPr="004229C9">
        <w:rPr>
          <w:sz w:val="22"/>
          <w:lang w:val="sk-SK"/>
        </w:rPr>
        <w:t xml:space="preserve">transferové zariadenie. Transferové zariadenie </w:t>
      </w:r>
      <w:r>
        <w:rPr>
          <w:sz w:val="22"/>
          <w:lang w:val="sk-SK"/>
        </w:rPr>
        <w:t>prepravuje</w:t>
      </w:r>
      <w:r w:rsidRPr="004229C9">
        <w:rPr>
          <w:sz w:val="22"/>
          <w:lang w:val="sk-SK"/>
        </w:rPr>
        <w:t xml:space="preserve"> alebo mieša sterilné kvapaliny v uzatvorenom systéme.</w:t>
      </w:r>
    </w:p>
    <w:p w14:paraId="33A4B431" w14:textId="77777777" w:rsidR="00D86D14" w:rsidRDefault="00D86D14" w:rsidP="00D86D14">
      <w:pPr>
        <w:pStyle w:val="Normlnywebov"/>
        <w:spacing w:before="0" w:beforeAutospacing="0" w:after="0" w:afterAutospacing="0"/>
        <w:ind w:left="708" w:firstLine="12"/>
        <w:outlineLvl w:val="0"/>
        <w:rPr>
          <w:sz w:val="22"/>
          <w:lang w:val="sk-SK"/>
        </w:rPr>
      </w:pPr>
    </w:p>
    <w:p w14:paraId="50A1823C" w14:textId="77777777" w:rsidR="00D86D14" w:rsidRPr="004229C9" w:rsidRDefault="00D86D14" w:rsidP="00D86D14">
      <w:pPr>
        <w:pStyle w:val="Normlnywebov"/>
        <w:spacing w:before="0" w:beforeAutospacing="0" w:after="0" w:afterAutospacing="0"/>
        <w:outlineLvl w:val="0"/>
        <w:rPr>
          <w:sz w:val="22"/>
          <w:lang w:val="sk-SK"/>
        </w:rPr>
      </w:pPr>
      <w:r w:rsidRPr="004229C9">
        <w:rPr>
          <w:sz w:val="22"/>
          <w:lang w:val="sk-SK"/>
        </w:rPr>
        <w:t>Krok 1: Spoj</w:t>
      </w:r>
      <w:r>
        <w:rPr>
          <w:sz w:val="22"/>
          <w:lang w:val="sk-SK"/>
        </w:rPr>
        <w:t>te</w:t>
      </w:r>
      <w:r w:rsidRPr="004229C9">
        <w:rPr>
          <w:sz w:val="22"/>
          <w:lang w:val="sk-SK"/>
        </w:rPr>
        <w:t xml:space="preserve"> transferové zariadenie s fľašou sterilného roztoku chloridu sodného 9 mg/ml (0,9 %) </w:t>
      </w:r>
      <w:r>
        <w:rPr>
          <w:sz w:val="22"/>
          <w:lang w:val="sk-SK"/>
        </w:rPr>
        <w:t>na</w:t>
      </w:r>
      <w:r w:rsidRPr="004229C9">
        <w:rPr>
          <w:sz w:val="22"/>
          <w:lang w:val="sk-SK"/>
        </w:rPr>
        <w:t xml:space="preserve"> infúziu alebo s iným schváleným </w:t>
      </w:r>
      <w:proofErr w:type="spellStart"/>
      <w:r w:rsidRPr="004229C9">
        <w:rPr>
          <w:sz w:val="22"/>
          <w:lang w:val="sk-SK"/>
        </w:rPr>
        <w:t>zrieďovacím</w:t>
      </w:r>
      <w:proofErr w:type="spellEnd"/>
      <w:r w:rsidRPr="004229C9">
        <w:rPr>
          <w:sz w:val="22"/>
          <w:lang w:val="sk-SK"/>
        </w:rPr>
        <w:t xml:space="preserve"> systémom prepichnutím zariadenia cez plastický uzáver fľaše.</w:t>
      </w:r>
    </w:p>
    <w:p w14:paraId="5F0E07BE" w14:textId="77777777" w:rsidR="00D86D14" w:rsidRDefault="00D86D14" w:rsidP="00D86D14">
      <w:pPr>
        <w:pStyle w:val="Normlnywebov"/>
        <w:spacing w:before="0" w:beforeAutospacing="0" w:after="0" w:afterAutospacing="0"/>
        <w:outlineLvl w:val="0"/>
        <w:rPr>
          <w:sz w:val="22"/>
          <w:lang w:val="sk-SK"/>
        </w:rPr>
      </w:pPr>
      <w:r w:rsidRPr="004229C9">
        <w:rPr>
          <w:sz w:val="22"/>
          <w:lang w:val="sk-SK"/>
        </w:rPr>
        <w:t xml:space="preserve">Krok 2: </w:t>
      </w:r>
      <w:r>
        <w:rPr>
          <w:sz w:val="22"/>
          <w:lang w:val="sk-SK"/>
        </w:rPr>
        <w:t>Pri</w:t>
      </w:r>
      <w:r w:rsidRPr="004229C9">
        <w:rPr>
          <w:sz w:val="22"/>
          <w:lang w:val="sk-SK"/>
        </w:rPr>
        <w:t>poj</w:t>
      </w:r>
      <w:r>
        <w:rPr>
          <w:sz w:val="22"/>
          <w:lang w:val="sk-SK"/>
        </w:rPr>
        <w:t>te</w:t>
      </w:r>
      <w:r w:rsidRPr="004229C9">
        <w:rPr>
          <w:sz w:val="22"/>
          <w:lang w:val="sk-SK"/>
        </w:rPr>
        <w:t xml:space="preserve"> ďalšiu stranu transferového zariadenia cez uzáver fľaše s 2 g </w:t>
      </w:r>
      <w:r>
        <w:rPr>
          <w:sz w:val="22"/>
          <w:lang w:val="sk-SK"/>
        </w:rPr>
        <w:t>cefotaxím</w:t>
      </w:r>
      <w:r w:rsidRPr="004229C9">
        <w:rPr>
          <w:sz w:val="22"/>
          <w:lang w:val="sk-SK"/>
        </w:rPr>
        <w:t xml:space="preserve">u prášku </w:t>
      </w:r>
      <w:r>
        <w:rPr>
          <w:sz w:val="22"/>
          <w:lang w:val="sk-SK"/>
        </w:rPr>
        <w:t>na prípravu</w:t>
      </w:r>
      <w:r w:rsidRPr="004229C9">
        <w:rPr>
          <w:sz w:val="22"/>
          <w:lang w:val="sk-SK"/>
        </w:rPr>
        <w:t xml:space="preserve"> infúzi</w:t>
      </w:r>
      <w:r>
        <w:rPr>
          <w:sz w:val="22"/>
          <w:lang w:val="sk-SK"/>
        </w:rPr>
        <w:t>e</w:t>
      </w:r>
      <w:r w:rsidRPr="004229C9">
        <w:rPr>
          <w:sz w:val="22"/>
          <w:lang w:val="sk-SK"/>
        </w:rPr>
        <w:t>.</w:t>
      </w:r>
    </w:p>
    <w:p w14:paraId="384BFCF5" w14:textId="34B74275" w:rsidR="00D86D14" w:rsidRPr="004229C9" w:rsidRDefault="00D86D14" w:rsidP="00D86D14">
      <w:pPr>
        <w:pStyle w:val="Normlnywebov"/>
        <w:spacing w:before="0" w:beforeAutospacing="0" w:after="0" w:afterAutospacing="0"/>
        <w:outlineLvl w:val="0"/>
        <w:rPr>
          <w:sz w:val="22"/>
          <w:lang w:val="sk-SK"/>
        </w:rPr>
      </w:pPr>
      <w:r w:rsidRPr="004229C9">
        <w:rPr>
          <w:sz w:val="22"/>
          <w:lang w:val="sk-SK"/>
        </w:rPr>
        <w:t xml:space="preserve">Krok 3: </w:t>
      </w:r>
      <w:r w:rsidR="002B4CB5">
        <w:rPr>
          <w:sz w:val="22"/>
          <w:lang w:val="sk-SK"/>
        </w:rPr>
        <w:t>Z</w:t>
      </w:r>
      <w:r w:rsidRPr="004229C9">
        <w:rPr>
          <w:sz w:val="22"/>
          <w:lang w:val="sk-SK"/>
        </w:rPr>
        <w:t>miešaj</w:t>
      </w:r>
      <w:r>
        <w:rPr>
          <w:sz w:val="22"/>
          <w:lang w:val="sk-SK"/>
        </w:rPr>
        <w:t>te</w:t>
      </w:r>
      <w:r w:rsidRPr="004229C9">
        <w:rPr>
          <w:sz w:val="22"/>
          <w:lang w:val="sk-SK"/>
        </w:rPr>
        <w:t xml:space="preserve"> </w:t>
      </w:r>
      <w:proofErr w:type="spellStart"/>
      <w:r w:rsidRPr="004229C9">
        <w:rPr>
          <w:sz w:val="22"/>
          <w:lang w:val="sk-SK"/>
        </w:rPr>
        <w:t>izotonický</w:t>
      </w:r>
      <w:proofErr w:type="spellEnd"/>
      <w:r w:rsidRPr="004229C9">
        <w:rPr>
          <w:sz w:val="22"/>
          <w:lang w:val="sk-SK"/>
        </w:rPr>
        <w:t xml:space="preserve"> roztok s práškom </w:t>
      </w:r>
      <w:proofErr w:type="spellStart"/>
      <w:r>
        <w:rPr>
          <w:sz w:val="22"/>
          <w:lang w:val="sk-SK"/>
        </w:rPr>
        <w:t>cefotaxím</w:t>
      </w:r>
      <w:r w:rsidRPr="004229C9">
        <w:rPr>
          <w:sz w:val="22"/>
          <w:lang w:val="sk-SK"/>
        </w:rPr>
        <w:t>u</w:t>
      </w:r>
      <w:proofErr w:type="spellEnd"/>
      <w:r w:rsidRPr="004229C9">
        <w:rPr>
          <w:sz w:val="22"/>
          <w:lang w:val="sk-SK"/>
        </w:rPr>
        <w:t xml:space="preserve"> pretrepávaním injekčnej liekovky, až kým sa nerozpustí všetok prášok.</w:t>
      </w:r>
    </w:p>
    <w:p w14:paraId="56342349" w14:textId="77777777" w:rsidR="00D86D14" w:rsidRPr="004229C9" w:rsidRDefault="00D86D14" w:rsidP="00D86D14">
      <w:pPr>
        <w:pStyle w:val="Normlnywebov"/>
        <w:spacing w:before="0" w:beforeAutospacing="0" w:after="0" w:afterAutospacing="0"/>
        <w:outlineLvl w:val="0"/>
        <w:rPr>
          <w:sz w:val="22"/>
          <w:lang w:val="sk-SK"/>
        </w:rPr>
      </w:pPr>
      <w:r w:rsidRPr="004229C9">
        <w:rPr>
          <w:sz w:val="22"/>
          <w:lang w:val="sk-SK"/>
        </w:rPr>
        <w:t>Krok 4: Pre</w:t>
      </w:r>
      <w:r>
        <w:rPr>
          <w:sz w:val="22"/>
          <w:lang w:val="sk-SK"/>
        </w:rPr>
        <w:t>čerpajte</w:t>
      </w:r>
      <w:r w:rsidRPr="004229C9">
        <w:rPr>
          <w:sz w:val="22"/>
          <w:lang w:val="sk-SK"/>
        </w:rPr>
        <w:t xml:space="preserve"> všetok roztok do 100 ml injekčnej liekovky a odpoj</w:t>
      </w:r>
      <w:r>
        <w:rPr>
          <w:sz w:val="22"/>
          <w:lang w:val="sk-SK"/>
        </w:rPr>
        <w:t>te</w:t>
      </w:r>
      <w:r w:rsidRPr="004229C9">
        <w:rPr>
          <w:sz w:val="22"/>
          <w:lang w:val="sk-SK"/>
        </w:rPr>
        <w:t xml:space="preserve"> injekčnú liekovku s </w:t>
      </w:r>
      <w:proofErr w:type="spellStart"/>
      <w:r>
        <w:rPr>
          <w:sz w:val="22"/>
          <w:lang w:val="sk-SK"/>
        </w:rPr>
        <w:t>cefotaxím</w:t>
      </w:r>
      <w:r w:rsidRPr="004229C9">
        <w:rPr>
          <w:sz w:val="22"/>
          <w:lang w:val="sk-SK"/>
        </w:rPr>
        <w:t>om</w:t>
      </w:r>
      <w:proofErr w:type="spellEnd"/>
      <w:r w:rsidRPr="004229C9">
        <w:rPr>
          <w:sz w:val="22"/>
          <w:lang w:val="sk-SK"/>
        </w:rPr>
        <w:t xml:space="preserve"> od transferového zariadenia.</w:t>
      </w:r>
    </w:p>
    <w:p w14:paraId="293A9105" w14:textId="65FBC5C0" w:rsidR="00D86D14" w:rsidRDefault="00D86D14" w:rsidP="00D86D14">
      <w:pPr>
        <w:pStyle w:val="Normlnywebov"/>
        <w:spacing w:before="0" w:beforeAutospacing="0" w:after="0" w:afterAutospacing="0"/>
        <w:outlineLvl w:val="0"/>
        <w:rPr>
          <w:sz w:val="22"/>
          <w:lang w:val="sk-SK"/>
        </w:rPr>
      </w:pPr>
      <w:r w:rsidRPr="004229C9">
        <w:rPr>
          <w:sz w:val="22"/>
          <w:lang w:val="sk-SK"/>
        </w:rPr>
        <w:t>Krok 5: Pripoj</w:t>
      </w:r>
      <w:r>
        <w:rPr>
          <w:sz w:val="22"/>
          <w:lang w:val="sk-SK"/>
        </w:rPr>
        <w:t>te</w:t>
      </w:r>
      <w:r w:rsidRPr="004229C9">
        <w:rPr>
          <w:sz w:val="22"/>
          <w:lang w:val="sk-SK"/>
        </w:rPr>
        <w:t xml:space="preserve"> zariadenie pre infúziu </w:t>
      </w:r>
      <w:r w:rsidR="0059525F">
        <w:rPr>
          <w:sz w:val="22"/>
          <w:lang w:val="sk-SK"/>
        </w:rPr>
        <w:t>k</w:t>
      </w:r>
      <w:r w:rsidR="0059525F" w:rsidRPr="004229C9">
        <w:rPr>
          <w:sz w:val="22"/>
          <w:lang w:val="sk-SK"/>
        </w:rPr>
        <w:t xml:space="preserve"> </w:t>
      </w:r>
      <w:r w:rsidRPr="004229C9">
        <w:rPr>
          <w:sz w:val="22"/>
          <w:lang w:val="sk-SK"/>
        </w:rPr>
        <w:t>hrot</w:t>
      </w:r>
      <w:r w:rsidR="0059525F">
        <w:rPr>
          <w:sz w:val="22"/>
          <w:lang w:val="sk-SK"/>
        </w:rPr>
        <w:t>u</w:t>
      </w:r>
      <w:r w:rsidRPr="004229C9">
        <w:rPr>
          <w:sz w:val="22"/>
          <w:lang w:val="sk-SK"/>
        </w:rPr>
        <w:t xml:space="preserve"> </w:t>
      </w:r>
      <w:r w:rsidR="0059525F">
        <w:rPr>
          <w:sz w:val="22"/>
          <w:lang w:val="sk-SK"/>
        </w:rPr>
        <w:t xml:space="preserve">na </w:t>
      </w:r>
      <w:r w:rsidRPr="004229C9">
        <w:rPr>
          <w:sz w:val="22"/>
          <w:lang w:val="sk-SK"/>
        </w:rPr>
        <w:t>vrch</w:t>
      </w:r>
      <w:r w:rsidR="0059525F">
        <w:rPr>
          <w:sz w:val="22"/>
          <w:lang w:val="sk-SK"/>
        </w:rPr>
        <w:t>u</w:t>
      </w:r>
      <w:r w:rsidRPr="004229C9">
        <w:rPr>
          <w:sz w:val="22"/>
          <w:lang w:val="sk-SK"/>
        </w:rPr>
        <w:t xml:space="preserve"> 100 ml injekčnej liekovky, ktorá je naplnená s rozpusteným </w:t>
      </w:r>
      <w:proofErr w:type="spellStart"/>
      <w:r>
        <w:rPr>
          <w:sz w:val="22"/>
          <w:lang w:val="sk-SK"/>
        </w:rPr>
        <w:t>cefotaxím</w:t>
      </w:r>
      <w:r w:rsidRPr="004229C9">
        <w:rPr>
          <w:sz w:val="22"/>
          <w:lang w:val="sk-SK"/>
        </w:rPr>
        <w:t>om</w:t>
      </w:r>
      <w:proofErr w:type="spellEnd"/>
      <w:r w:rsidRPr="004229C9">
        <w:rPr>
          <w:sz w:val="22"/>
          <w:lang w:val="sk-SK"/>
        </w:rPr>
        <w:t xml:space="preserve"> a </w:t>
      </w:r>
      <w:r>
        <w:rPr>
          <w:sz w:val="22"/>
          <w:lang w:val="sk-SK"/>
        </w:rPr>
        <w:t>spustite</w:t>
      </w:r>
      <w:r w:rsidRPr="004229C9">
        <w:rPr>
          <w:sz w:val="22"/>
          <w:lang w:val="sk-SK"/>
        </w:rPr>
        <w:t xml:space="preserve"> infúziu.</w:t>
      </w:r>
    </w:p>
    <w:p w14:paraId="46DA3D11" w14:textId="77777777" w:rsidR="00D86D14" w:rsidRDefault="00D86D14" w:rsidP="00D86D14">
      <w:pPr>
        <w:rPr>
          <w:szCs w:val="24"/>
          <w:lang w:val="sk-SK" w:eastAsia="da-DK"/>
        </w:rPr>
      </w:pPr>
    </w:p>
    <w:p w14:paraId="3D657D42" w14:textId="77777777" w:rsidR="00D84C63" w:rsidRDefault="00D84C63" w:rsidP="00D84C63">
      <w:pPr>
        <w:tabs>
          <w:tab w:val="clear" w:pos="567"/>
          <w:tab w:val="left" w:pos="720"/>
        </w:tabs>
        <w:jc w:val="both"/>
        <w:rPr>
          <w:lang w:val="sk-SK"/>
        </w:rPr>
      </w:pPr>
      <w:r>
        <w:rPr>
          <w:lang w:val="sk-SK"/>
        </w:rPr>
        <w:t>Tabuľka riedenia (intravenózne podanie (</w:t>
      </w:r>
      <w:r w:rsidRPr="00FC070C">
        <w:rPr>
          <w:b/>
          <w:i/>
          <w:lang w:val="sk-SK"/>
        </w:rPr>
        <w:t>pomalé</w:t>
      </w:r>
      <w:r>
        <w:rPr>
          <w:lang w:val="sk-SK"/>
        </w:rPr>
        <w:t>)):</w:t>
      </w:r>
    </w:p>
    <w:p w14:paraId="79831CC6" w14:textId="77777777" w:rsidR="00D84C63" w:rsidRPr="00B457BB" w:rsidRDefault="00D84C63" w:rsidP="00D84C63">
      <w:pPr>
        <w:tabs>
          <w:tab w:val="clear" w:pos="567"/>
          <w:tab w:val="left" w:pos="720"/>
        </w:tabs>
        <w:ind w:left="460" w:firstLine="260"/>
        <w:jc w:val="both"/>
        <w:rPr>
          <w:lang w:val="sk-SK"/>
        </w:rPr>
      </w:pPr>
    </w:p>
    <w:tbl>
      <w:tblPr>
        <w:tblW w:w="9072" w:type="dxa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985"/>
        <w:gridCol w:w="2160"/>
        <w:gridCol w:w="2518"/>
        <w:gridCol w:w="2409"/>
      </w:tblGrid>
      <w:tr w:rsidR="00D84C63" w:rsidRPr="000979CA" w14:paraId="62E40DF5" w14:textId="77777777" w:rsidTr="006A6EC0">
        <w:tc>
          <w:tcPr>
            <w:tcW w:w="1985" w:type="dxa"/>
            <w:shd w:val="clear" w:color="auto" w:fill="auto"/>
          </w:tcPr>
          <w:p w14:paraId="35F3C2EE" w14:textId="77777777" w:rsidR="00D84C63" w:rsidRPr="000979CA" w:rsidRDefault="00D84C63" w:rsidP="004F0FB1">
            <w:pPr>
              <w:tabs>
                <w:tab w:val="clear" w:pos="567"/>
              </w:tabs>
              <w:rPr>
                <w:lang w:val="sk-SK"/>
              </w:rPr>
            </w:pPr>
            <w:r w:rsidRPr="000979CA">
              <w:rPr>
                <w:lang w:val="sk-SK"/>
              </w:rPr>
              <w:t>Veľkosť liekovky</w:t>
            </w:r>
          </w:p>
        </w:tc>
        <w:tc>
          <w:tcPr>
            <w:tcW w:w="2160" w:type="dxa"/>
            <w:shd w:val="clear" w:color="auto" w:fill="auto"/>
          </w:tcPr>
          <w:p w14:paraId="6389E69F" w14:textId="77777777" w:rsidR="00D84C63" w:rsidRPr="000979CA" w:rsidRDefault="00D84C63" w:rsidP="004F0FB1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 w:rsidRPr="000979CA">
              <w:rPr>
                <w:lang w:val="sk-SK"/>
              </w:rPr>
              <w:t>Pridané rozpúšťadlo</w:t>
            </w:r>
          </w:p>
        </w:tc>
        <w:tc>
          <w:tcPr>
            <w:tcW w:w="2518" w:type="dxa"/>
            <w:shd w:val="clear" w:color="auto" w:fill="auto"/>
          </w:tcPr>
          <w:p w14:paraId="3C614A83" w14:textId="77777777" w:rsidR="00D84C63" w:rsidRPr="000979CA" w:rsidRDefault="00D84C63" w:rsidP="004F0FB1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 w:rsidRPr="000979CA">
              <w:rPr>
                <w:lang w:val="sk-SK"/>
              </w:rPr>
              <w:t xml:space="preserve">Približný využiteľný </w:t>
            </w:r>
          </w:p>
          <w:p w14:paraId="7B745AE1" w14:textId="77777777" w:rsidR="00D84C63" w:rsidRPr="000979CA" w:rsidRDefault="00D84C63" w:rsidP="004F0FB1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 w:rsidRPr="000979CA">
              <w:rPr>
                <w:lang w:val="sk-SK"/>
              </w:rPr>
              <w:t>objem</w:t>
            </w:r>
          </w:p>
        </w:tc>
        <w:tc>
          <w:tcPr>
            <w:tcW w:w="2409" w:type="dxa"/>
            <w:shd w:val="clear" w:color="auto" w:fill="auto"/>
          </w:tcPr>
          <w:p w14:paraId="39CF5B08" w14:textId="77777777" w:rsidR="00D84C63" w:rsidRPr="000979CA" w:rsidRDefault="00D84C63" w:rsidP="006A6EC0">
            <w:pPr>
              <w:tabs>
                <w:tab w:val="clear" w:pos="567"/>
                <w:tab w:val="left" w:pos="720"/>
              </w:tabs>
              <w:rPr>
                <w:lang w:val="sk-SK"/>
              </w:rPr>
            </w:pPr>
            <w:r w:rsidRPr="000979CA">
              <w:rPr>
                <w:lang w:val="sk-SK"/>
              </w:rPr>
              <w:t>Približné navýšenie objemu</w:t>
            </w:r>
          </w:p>
        </w:tc>
      </w:tr>
      <w:tr w:rsidR="00D84C63" w:rsidRPr="000979CA" w14:paraId="403BD21E" w14:textId="77777777" w:rsidTr="006A6EC0">
        <w:tc>
          <w:tcPr>
            <w:tcW w:w="1985" w:type="dxa"/>
            <w:shd w:val="clear" w:color="auto" w:fill="auto"/>
          </w:tcPr>
          <w:p w14:paraId="61F857DA" w14:textId="77777777" w:rsidR="00D84C63" w:rsidRPr="000979CA" w:rsidRDefault="00D84C63" w:rsidP="006A6EC0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 w:rsidRPr="000979CA">
              <w:rPr>
                <w:lang w:val="sk-SK"/>
              </w:rPr>
              <w:t>2 g</w:t>
            </w:r>
          </w:p>
        </w:tc>
        <w:tc>
          <w:tcPr>
            <w:tcW w:w="2160" w:type="dxa"/>
            <w:shd w:val="clear" w:color="auto" w:fill="auto"/>
          </w:tcPr>
          <w:p w14:paraId="0F4F3CF6" w14:textId="77777777" w:rsidR="00D84C63" w:rsidRPr="000979CA" w:rsidRDefault="00D84C63" w:rsidP="004F0FB1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 w:rsidRPr="000979CA">
              <w:rPr>
                <w:lang w:val="sk-SK"/>
              </w:rPr>
              <w:t>100 ml</w:t>
            </w:r>
          </w:p>
        </w:tc>
        <w:tc>
          <w:tcPr>
            <w:tcW w:w="2518" w:type="dxa"/>
            <w:shd w:val="clear" w:color="auto" w:fill="auto"/>
          </w:tcPr>
          <w:p w14:paraId="6DE25905" w14:textId="77777777" w:rsidR="00D84C63" w:rsidRPr="000979CA" w:rsidRDefault="00D84C63" w:rsidP="004F0FB1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 w:rsidRPr="000979CA">
              <w:rPr>
                <w:lang w:val="sk-SK"/>
              </w:rPr>
              <w:t>101 ml</w:t>
            </w:r>
          </w:p>
        </w:tc>
        <w:tc>
          <w:tcPr>
            <w:tcW w:w="2409" w:type="dxa"/>
            <w:shd w:val="clear" w:color="auto" w:fill="auto"/>
          </w:tcPr>
          <w:p w14:paraId="1F7E02BD" w14:textId="77777777" w:rsidR="00D84C63" w:rsidRPr="000979CA" w:rsidRDefault="00D84C63" w:rsidP="004F0FB1">
            <w:pPr>
              <w:tabs>
                <w:tab w:val="clear" w:pos="567"/>
                <w:tab w:val="left" w:pos="720"/>
              </w:tabs>
              <w:jc w:val="both"/>
              <w:rPr>
                <w:lang w:val="sk-SK"/>
              </w:rPr>
            </w:pPr>
            <w:r w:rsidRPr="000979CA">
              <w:rPr>
                <w:lang w:val="sk-SK"/>
              </w:rPr>
              <w:t>1 ml</w:t>
            </w:r>
          </w:p>
        </w:tc>
      </w:tr>
    </w:tbl>
    <w:p w14:paraId="51F8B159" w14:textId="77777777" w:rsidR="00D84C63" w:rsidRDefault="00D84C63" w:rsidP="00D84C63">
      <w:pPr>
        <w:tabs>
          <w:tab w:val="clear" w:pos="567"/>
          <w:tab w:val="left" w:pos="720"/>
        </w:tabs>
        <w:ind w:left="460" w:firstLine="260"/>
        <w:jc w:val="both"/>
        <w:rPr>
          <w:lang w:val="sk-SK"/>
        </w:rPr>
      </w:pPr>
    </w:p>
    <w:p w14:paraId="1BEF8DF9" w14:textId="2AB6E86F" w:rsidR="00D86D14" w:rsidRPr="00D06041" w:rsidRDefault="00D86D14" w:rsidP="006A6EC0">
      <w:pPr>
        <w:numPr>
          <w:ilvl w:val="12"/>
          <w:numId w:val="0"/>
        </w:numPr>
        <w:rPr>
          <w:u w:val="single"/>
          <w:lang w:val="sk-SK"/>
        </w:rPr>
      </w:pPr>
      <w:r>
        <w:rPr>
          <w:lang w:val="sk-SK"/>
        </w:rPr>
        <w:t>Po</w:t>
      </w:r>
      <w:r w:rsidRPr="004229C9">
        <w:rPr>
          <w:lang w:val="sk-SK"/>
        </w:rPr>
        <w:t xml:space="preserve"> </w:t>
      </w:r>
      <w:r>
        <w:rPr>
          <w:lang w:val="sk-SK"/>
        </w:rPr>
        <w:t>príprave</w:t>
      </w:r>
      <w:r w:rsidRPr="004229C9">
        <w:rPr>
          <w:lang w:val="sk-SK"/>
        </w:rPr>
        <w:t xml:space="preserve"> m</w:t>
      </w:r>
      <w:r>
        <w:rPr>
          <w:lang w:val="sk-SK"/>
        </w:rPr>
        <w:t>á</w:t>
      </w:r>
      <w:r w:rsidRPr="004229C9">
        <w:rPr>
          <w:lang w:val="sk-SK"/>
        </w:rPr>
        <w:t xml:space="preserve"> byť roztok číry a bledožltý až žltohnedý. Nepoužívajte roztok, ak sú</w:t>
      </w:r>
      <w:r w:rsidR="00E16EDF">
        <w:rPr>
          <w:lang w:val="sk-SK"/>
        </w:rPr>
        <w:t xml:space="preserve"> </w:t>
      </w:r>
      <w:r w:rsidRPr="004229C9">
        <w:rPr>
          <w:lang w:val="sk-SK"/>
        </w:rPr>
        <w:t>viditeľné akékoľvek čast</w:t>
      </w:r>
      <w:r>
        <w:rPr>
          <w:lang w:val="sk-SK"/>
        </w:rPr>
        <w:t>ice</w:t>
      </w:r>
      <w:r w:rsidRPr="004229C9">
        <w:rPr>
          <w:lang w:val="sk-SK"/>
        </w:rPr>
        <w:t xml:space="preserve">. Len </w:t>
      </w:r>
      <w:r>
        <w:rPr>
          <w:lang w:val="sk-SK"/>
        </w:rPr>
        <w:t>na</w:t>
      </w:r>
      <w:r w:rsidRPr="004229C9">
        <w:rPr>
          <w:lang w:val="sk-SK"/>
        </w:rPr>
        <w:t xml:space="preserve"> jednor</w:t>
      </w:r>
      <w:r w:rsidR="008421A5">
        <w:rPr>
          <w:lang w:val="sk-SK"/>
        </w:rPr>
        <w:t>a</w:t>
      </w:r>
      <w:r w:rsidRPr="004229C9">
        <w:rPr>
          <w:lang w:val="sk-SK"/>
        </w:rPr>
        <w:t>zové použitie</w:t>
      </w:r>
      <w:bookmarkEnd w:id="3"/>
      <w:bookmarkEnd w:id="4"/>
      <w:r>
        <w:rPr>
          <w:lang w:val="sk-SK"/>
        </w:rPr>
        <w:t>.</w:t>
      </w:r>
    </w:p>
    <w:p w14:paraId="50264EFD" w14:textId="77777777" w:rsidR="00D86D14" w:rsidRPr="00D06041" w:rsidRDefault="00D86D14" w:rsidP="00D86D14">
      <w:pPr>
        <w:rPr>
          <w:lang w:val="sk-SK"/>
        </w:rPr>
      </w:pPr>
    </w:p>
    <w:p w14:paraId="68B12F54" w14:textId="77777777" w:rsidR="00D86D14" w:rsidRPr="00F95A93" w:rsidRDefault="00D86D14" w:rsidP="00D86D14">
      <w:pPr>
        <w:pStyle w:val="Normlnywebov"/>
        <w:spacing w:before="0" w:beforeAutospacing="0" w:after="0" w:afterAutospacing="0"/>
        <w:outlineLvl w:val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Čas</w:t>
      </w:r>
      <w:r w:rsidRPr="00F95A93">
        <w:rPr>
          <w:sz w:val="22"/>
          <w:szCs w:val="22"/>
          <w:u w:val="single"/>
          <w:lang w:val="sk-SK"/>
        </w:rPr>
        <w:t xml:space="preserve"> pou</w:t>
      </w:r>
      <w:r>
        <w:rPr>
          <w:sz w:val="22"/>
          <w:szCs w:val="22"/>
          <w:u w:val="single"/>
          <w:lang w:val="sk-SK"/>
        </w:rPr>
        <w:t>ž</w:t>
      </w:r>
      <w:r w:rsidRPr="00F95A93">
        <w:rPr>
          <w:sz w:val="22"/>
          <w:szCs w:val="22"/>
          <w:u w:val="single"/>
          <w:lang w:val="sk-SK"/>
        </w:rPr>
        <w:t>ite</w:t>
      </w:r>
      <w:r>
        <w:rPr>
          <w:sz w:val="22"/>
          <w:szCs w:val="22"/>
          <w:u w:val="single"/>
          <w:lang w:val="sk-SK"/>
        </w:rPr>
        <w:t>ľ</w:t>
      </w:r>
      <w:r w:rsidRPr="00F95A93">
        <w:rPr>
          <w:sz w:val="22"/>
          <w:szCs w:val="22"/>
          <w:u w:val="single"/>
          <w:lang w:val="sk-SK"/>
        </w:rPr>
        <w:t>nosti</w:t>
      </w:r>
      <w:r>
        <w:rPr>
          <w:sz w:val="22"/>
          <w:szCs w:val="22"/>
          <w:u w:val="single"/>
          <w:lang w:val="sk-SK"/>
        </w:rPr>
        <w:t xml:space="preserve"> a podmienky uchovávania</w:t>
      </w:r>
    </w:p>
    <w:p w14:paraId="7071872C" w14:textId="77777777" w:rsidR="00D86D14" w:rsidRDefault="00D86D14" w:rsidP="00D86D14">
      <w:pPr>
        <w:tabs>
          <w:tab w:val="clear" w:pos="567"/>
          <w:tab w:val="left" w:pos="720"/>
        </w:tabs>
        <w:rPr>
          <w:lang w:val="sk-SK"/>
        </w:rPr>
      </w:pPr>
      <w:r>
        <w:rPr>
          <w:lang w:val="sk-SK"/>
        </w:rPr>
        <w:t>Chemická a fyzikálna stabilita pri použití bola preukázaná počas</w:t>
      </w:r>
      <w:r w:rsidRPr="000723F6">
        <w:rPr>
          <w:lang w:val="sk-SK"/>
        </w:rPr>
        <w:t xml:space="preserve"> 24 hodín pri teplote 4 °C a 12 hodín pri teplote 25 °C. </w:t>
      </w:r>
    </w:p>
    <w:p w14:paraId="4E5BA522" w14:textId="77777777" w:rsidR="00D86D14" w:rsidRPr="00BC347B" w:rsidRDefault="00D86D14" w:rsidP="00D86D14">
      <w:pPr>
        <w:tabs>
          <w:tab w:val="left" w:pos="3206"/>
        </w:tabs>
        <w:outlineLvl w:val="0"/>
        <w:rPr>
          <w:lang w:val="sk-SK"/>
        </w:rPr>
      </w:pPr>
      <w:r w:rsidRPr="0024472C">
        <w:rPr>
          <w:lang w:val="sk-SK"/>
        </w:rPr>
        <w:t xml:space="preserve">Z mikrobiologického hľadiska </w:t>
      </w:r>
      <w:r>
        <w:rPr>
          <w:lang w:val="sk-SK"/>
        </w:rPr>
        <w:t xml:space="preserve">sa má liek použiť </w:t>
      </w:r>
      <w:r w:rsidRPr="0024472C">
        <w:rPr>
          <w:lang w:val="sk-SK"/>
        </w:rPr>
        <w:t xml:space="preserve">okamžite. Ak </w:t>
      </w:r>
      <w:r>
        <w:rPr>
          <w:lang w:val="sk-SK"/>
        </w:rPr>
        <w:t>sa nepoužije</w:t>
      </w:r>
      <w:r w:rsidRPr="0024472C">
        <w:rPr>
          <w:lang w:val="sk-SK"/>
        </w:rPr>
        <w:t xml:space="preserve"> okamžite,</w:t>
      </w:r>
      <w:r>
        <w:rPr>
          <w:lang w:val="sk-SK"/>
        </w:rPr>
        <w:t xml:space="preserve"> za dobu použiteľnosti</w:t>
      </w:r>
      <w:r w:rsidRPr="0024472C">
        <w:rPr>
          <w:lang w:val="sk-SK"/>
        </w:rPr>
        <w:t xml:space="preserve"> a podmienky uchovávania pred použitím </w:t>
      </w:r>
      <w:r>
        <w:rPr>
          <w:lang w:val="sk-SK"/>
        </w:rPr>
        <w:t>je zodpovedný</w:t>
      </w:r>
      <w:r w:rsidRPr="0024472C">
        <w:rPr>
          <w:lang w:val="sk-SK"/>
        </w:rPr>
        <w:t xml:space="preserve"> </w:t>
      </w:r>
      <w:r>
        <w:rPr>
          <w:lang w:val="sk-SK"/>
        </w:rPr>
        <w:t>po</w:t>
      </w:r>
      <w:r w:rsidRPr="0024472C">
        <w:rPr>
          <w:lang w:val="sk-SK"/>
        </w:rPr>
        <w:t>užívateľ</w:t>
      </w:r>
      <w:r>
        <w:rPr>
          <w:lang w:val="sk-SK"/>
        </w:rPr>
        <w:t xml:space="preserve">, pričom doba použiteľnosti bežne nemá byť dlhšia ako </w:t>
      </w:r>
      <w:r w:rsidRPr="0024472C">
        <w:rPr>
          <w:lang w:val="sk-SK"/>
        </w:rPr>
        <w:t xml:space="preserve">24 hodín pri teplote 2 až 8 °C, ak </w:t>
      </w:r>
      <w:r>
        <w:rPr>
          <w:lang w:val="sk-SK"/>
        </w:rPr>
        <w:t xml:space="preserve">príprava a riedenie neprebehli </w:t>
      </w:r>
      <w:r w:rsidRPr="0024472C">
        <w:rPr>
          <w:lang w:val="sk-SK"/>
        </w:rPr>
        <w:t>za kontrolovaných a val</w:t>
      </w:r>
      <w:r>
        <w:rPr>
          <w:lang w:val="sk-SK"/>
        </w:rPr>
        <w:t>idovaných aseptických podmienok</w:t>
      </w:r>
      <w:r w:rsidRPr="0024472C">
        <w:rPr>
          <w:lang w:val="sk-SK"/>
        </w:rPr>
        <w:t>.</w:t>
      </w:r>
    </w:p>
    <w:p w14:paraId="2CDAF6D3" w14:textId="77777777" w:rsidR="00D86D14" w:rsidRPr="00475859" w:rsidRDefault="00D86D14" w:rsidP="00D86D14">
      <w:pPr>
        <w:rPr>
          <w:lang w:val="sk-SK"/>
        </w:rPr>
      </w:pPr>
    </w:p>
    <w:p w14:paraId="673BBE96" w14:textId="77777777" w:rsidR="00D86D14" w:rsidRPr="0037222E" w:rsidRDefault="00D86D14" w:rsidP="00D86D14">
      <w:pPr>
        <w:rPr>
          <w:lang w:val="sk-SK"/>
        </w:rPr>
      </w:pPr>
    </w:p>
    <w:p w14:paraId="7A0B7AB2" w14:textId="77777777" w:rsidR="00D86D14" w:rsidRPr="00740FCD" w:rsidRDefault="00D86D14" w:rsidP="00D86D14">
      <w:pPr>
        <w:rPr>
          <w:lang w:val="sk-SK"/>
        </w:rPr>
      </w:pPr>
    </w:p>
    <w:p w14:paraId="256F08AF" w14:textId="77777777" w:rsidR="003133ED" w:rsidRPr="00467D17" w:rsidRDefault="003133ED">
      <w:pPr>
        <w:rPr>
          <w:lang w:val="sk-SK"/>
        </w:rPr>
      </w:pPr>
    </w:p>
    <w:sectPr w:rsidR="003133ED" w:rsidRPr="00467D17" w:rsidSect="006A6EC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418" w:bottom="1134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4EC106" w16cid:durableId="203A80F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10578" w14:textId="77777777" w:rsidR="00CC2F0C" w:rsidRDefault="00CC2F0C">
      <w:r>
        <w:separator/>
      </w:r>
    </w:p>
  </w:endnote>
  <w:endnote w:type="continuationSeparator" w:id="0">
    <w:p w14:paraId="3B4A7DB6" w14:textId="77777777" w:rsidR="00CC2F0C" w:rsidRDefault="00CC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CEB88" w14:textId="77777777" w:rsidR="00031160" w:rsidRDefault="00031160" w:rsidP="00D86D1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7D47E99" w14:textId="77777777" w:rsidR="00031160" w:rsidRDefault="00031160" w:rsidP="00D86D14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489AF" w14:textId="77777777" w:rsidR="00031160" w:rsidRPr="00E7552E" w:rsidRDefault="00031160">
    <w:pPr>
      <w:pStyle w:val="Pta"/>
      <w:jc w:val="center"/>
      <w:rPr>
        <w:sz w:val="18"/>
      </w:rPr>
    </w:pPr>
    <w:r w:rsidRPr="00E7552E">
      <w:rPr>
        <w:sz w:val="18"/>
      </w:rPr>
      <w:fldChar w:fldCharType="begin"/>
    </w:r>
    <w:r w:rsidRPr="00E7552E">
      <w:rPr>
        <w:sz w:val="18"/>
      </w:rPr>
      <w:instrText>PAGE   \* MERGEFORMAT</w:instrText>
    </w:r>
    <w:r w:rsidRPr="00E7552E">
      <w:rPr>
        <w:sz w:val="18"/>
      </w:rPr>
      <w:fldChar w:fldCharType="separate"/>
    </w:r>
    <w:r w:rsidR="00946230" w:rsidRPr="00946230">
      <w:rPr>
        <w:noProof/>
        <w:sz w:val="18"/>
        <w:lang w:val="sk-SK"/>
      </w:rPr>
      <w:t>1</w:t>
    </w:r>
    <w:r w:rsidRPr="00E7552E">
      <w:rPr>
        <w:sz w:val="18"/>
      </w:rPr>
      <w:fldChar w:fldCharType="end"/>
    </w:r>
  </w:p>
  <w:p w14:paraId="3AC2DC03" w14:textId="77777777" w:rsidR="00031160" w:rsidRDefault="00031160" w:rsidP="00D86D14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4B2A5" w14:textId="77777777" w:rsidR="00031160" w:rsidRPr="009C7B15" w:rsidRDefault="00031160">
    <w:pPr>
      <w:pStyle w:val="Pta"/>
      <w:jc w:val="center"/>
      <w:rPr>
        <w:sz w:val="18"/>
      </w:rPr>
    </w:pPr>
    <w:r w:rsidRPr="009C7B15">
      <w:rPr>
        <w:sz w:val="18"/>
      </w:rPr>
      <w:fldChar w:fldCharType="begin"/>
    </w:r>
    <w:r w:rsidRPr="009C7B15">
      <w:rPr>
        <w:sz w:val="18"/>
      </w:rPr>
      <w:instrText>PAGE   \* MERGEFORMAT</w:instrText>
    </w:r>
    <w:r w:rsidRPr="009C7B15">
      <w:rPr>
        <w:sz w:val="18"/>
      </w:rPr>
      <w:fldChar w:fldCharType="separate"/>
    </w:r>
    <w:r w:rsidRPr="004E524B">
      <w:rPr>
        <w:noProof/>
        <w:sz w:val="18"/>
        <w:lang w:val="sk-SK"/>
      </w:rPr>
      <w:t>1</w:t>
    </w:r>
    <w:r w:rsidRPr="009C7B15">
      <w:rPr>
        <w:sz w:val="18"/>
      </w:rPr>
      <w:fldChar w:fldCharType="end"/>
    </w:r>
  </w:p>
  <w:p w14:paraId="33A65229" w14:textId="77777777" w:rsidR="00031160" w:rsidRDefault="0003116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AED9E" w14:textId="77777777" w:rsidR="00CC2F0C" w:rsidRDefault="00CC2F0C">
      <w:r>
        <w:separator/>
      </w:r>
    </w:p>
  </w:footnote>
  <w:footnote w:type="continuationSeparator" w:id="0">
    <w:p w14:paraId="6BC7FCD4" w14:textId="77777777" w:rsidR="00CC2F0C" w:rsidRDefault="00CC2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A4D51" w14:textId="178E44AF" w:rsidR="00031160" w:rsidRDefault="00031160">
    <w:pPr>
      <w:pStyle w:val="Hlavika"/>
    </w:pPr>
    <w:r>
      <w:rPr>
        <w:noProof/>
        <w:sz w:val="18"/>
        <w:szCs w:val="18"/>
        <w:lang w:val="sk-SK"/>
      </w:rPr>
      <w:t>Schválený text k rozhodnutiu o zmene</w:t>
    </w:r>
    <w:r w:rsidRPr="00345FAC">
      <w:rPr>
        <w:noProof/>
        <w:sz w:val="18"/>
        <w:szCs w:val="18"/>
        <w:lang w:val="sk-SK"/>
      </w:rPr>
      <w:t>, ev.č.</w:t>
    </w:r>
    <w:r>
      <w:rPr>
        <w:noProof/>
        <w:sz w:val="18"/>
        <w:szCs w:val="18"/>
        <w:lang w:val="sk-SK"/>
      </w:rPr>
      <w:t xml:space="preserve"> </w:t>
    </w:r>
    <w:r w:rsidRPr="00416060">
      <w:rPr>
        <w:noProof/>
        <w:sz w:val="18"/>
        <w:szCs w:val="18"/>
        <w:lang w:val="sk-SK"/>
      </w:rPr>
      <w:t>2018/04022-Z</w:t>
    </w:r>
    <w:r>
      <w:rPr>
        <w:noProof/>
        <w:sz w:val="18"/>
        <w:szCs w:val="18"/>
        <w:lang w:val="sk-SK"/>
      </w:rPr>
      <w:t>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E14B0" w14:textId="5EDB7DF3" w:rsidR="00031160" w:rsidRPr="00DB2D3F" w:rsidRDefault="00031160" w:rsidP="00DB2D3F">
    <w:pPr>
      <w:tabs>
        <w:tab w:val="center" w:pos="4153"/>
        <w:tab w:val="right" w:pos="8306"/>
      </w:tabs>
      <w:spacing w:line="240" w:lineRule="auto"/>
      <w:rPr>
        <w:rFonts w:ascii="Helvetica" w:hAnsi="Helvetica"/>
      </w:rPr>
    </w:pPr>
    <w:r w:rsidRPr="00DB2D3F">
      <w:rPr>
        <w:noProof/>
        <w:sz w:val="18"/>
        <w:szCs w:val="18"/>
        <w:lang w:val="sk-SK"/>
      </w:rPr>
      <w:t>P</w:t>
    </w:r>
    <w:r>
      <w:rPr>
        <w:noProof/>
        <w:sz w:val="18"/>
        <w:szCs w:val="18"/>
        <w:lang w:val="sk-SK"/>
      </w:rPr>
      <w:t>ríloha č. 2</w:t>
    </w:r>
    <w:r w:rsidRPr="00DB2D3F">
      <w:rPr>
        <w:noProof/>
        <w:sz w:val="18"/>
        <w:szCs w:val="18"/>
        <w:lang w:val="sk-SK"/>
      </w:rPr>
      <w:t xml:space="preserve"> k notifikácii o zmene, ev.č. 2014/02485-ZIB</w:t>
    </w:r>
  </w:p>
  <w:p w14:paraId="08E094DB" w14:textId="77777777" w:rsidR="00031160" w:rsidRDefault="00031160">
    <w:pPr>
      <w:pStyle w:val="Hlavika"/>
    </w:pPr>
  </w:p>
  <w:p w14:paraId="2ABB4F68" w14:textId="77777777" w:rsidR="00031160" w:rsidRPr="00B82C42" w:rsidRDefault="00031160">
    <w:pPr>
      <w:pStyle w:val="Hlavika"/>
      <w:rPr>
        <w:sz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94793"/>
    <w:multiLevelType w:val="hybridMultilevel"/>
    <w:tmpl w:val="CDE42D0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78257F"/>
    <w:multiLevelType w:val="hybridMultilevel"/>
    <w:tmpl w:val="487AE5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809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2" w:tplc="0005080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00108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4" w:tplc="00030809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0050809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0010809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7" w:tplc="0003080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0050809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9084A7D"/>
    <w:multiLevelType w:val="hybridMultilevel"/>
    <w:tmpl w:val="4058F252"/>
    <w:lvl w:ilvl="0" w:tplc="FFFFFFFF">
      <w:start w:val="1"/>
      <w:numFmt w:val="bullet"/>
      <w:lvlText w:val="-"/>
      <w:lvlJc w:val="left"/>
      <w:pPr>
        <w:ind w:left="1146" w:hanging="360"/>
      </w:p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53"/>
    <w:rsid w:val="00007168"/>
    <w:rsid w:val="00015303"/>
    <w:rsid w:val="000225E9"/>
    <w:rsid w:val="0002413B"/>
    <w:rsid w:val="00024FCC"/>
    <w:rsid w:val="0002535C"/>
    <w:rsid w:val="00031160"/>
    <w:rsid w:val="000358C7"/>
    <w:rsid w:val="00046480"/>
    <w:rsid w:val="0005459A"/>
    <w:rsid w:val="00055AFF"/>
    <w:rsid w:val="00055C8C"/>
    <w:rsid w:val="00057FE7"/>
    <w:rsid w:val="00063780"/>
    <w:rsid w:val="00067AD7"/>
    <w:rsid w:val="00067AED"/>
    <w:rsid w:val="00071363"/>
    <w:rsid w:val="0007567A"/>
    <w:rsid w:val="00083D8A"/>
    <w:rsid w:val="00085485"/>
    <w:rsid w:val="00085D9A"/>
    <w:rsid w:val="00087A1D"/>
    <w:rsid w:val="00091328"/>
    <w:rsid w:val="00091D39"/>
    <w:rsid w:val="000927E1"/>
    <w:rsid w:val="000A0B45"/>
    <w:rsid w:val="000A470E"/>
    <w:rsid w:val="000A4925"/>
    <w:rsid w:val="000A781B"/>
    <w:rsid w:val="000B4109"/>
    <w:rsid w:val="000B59E4"/>
    <w:rsid w:val="000C0DFA"/>
    <w:rsid w:val="000C1930"/>
    <w:rsid w:val="000C2CD4"/>
    <w:rsid w:val="000C470A"/>
    <w:rsid w:val="000C53DA"/>
    <w:rsid w:val="000D1A79"/>
    <w:rsid w:val="000E0977"/>
    <w:rsid w:val="000E39A9"/>
    <w:rsid w:val="000F30AE"/>
    <w:rsid w:val="000F6CD7"/>
    <w:rsid w:val="00100763"/>
    <w:rsid w:val="00110BA1"/>
    <w:rsid w:val="00112D1F"/>
    <w:rsid w:val="0011580B"/>
    <w:rsid w:val="0012163A"/>
    <w:rsid w:val="00126B49"/>
    <w:rsid w:val="001342BB"/>
    <w:rsid w:val="001349DE"/>
    <w:rsid w:val="00137C72"/>
    <w:rsid w:val="00142C38"/>
    <w:rsid w:val="0014363C"/>
    <w:rsid w:val="001436A7"/>
    <w:rsid w:val="00145AA9"/>
    <w:rsid w:val="00151171"/>
    <w:rsid w:val="001534A4"/>
    <w:rsid w:val="00155631"/>
    <w:rsid w:val="001635CA"/>
    <w:rsid w:val="0017387D"/>
    <w:rsid w:val="0018094E"/>
    <w:rsid w:val="001879D3"/>
    <w:rsid w:val="00190F7C"/>
    <w:rsid w:val="001B0BEA"/>
    <w:rsid w:val="001B55E5"/>
    <w:rsid w:val="001C0E6A"/>
    <w:rsid w:val="001C5359"/>
    <w:rsid w:val="001D667F"/>
    <w:rsid w:val="001E400A"/>
    <w:rsid w:val="001E4EDD"/>
    <w:rsid w:val="001E7C09"/>
    <w:rsid w:val="001E7E96"/>
    <w:rsid w:val="0020240A"/>
    <w:rsid w:val="0020506E"/>
    <w:rsid w:val="00205626"/>
    <w:rsid w:val="00211DD4"/>
    <w:rsid w:val="00212674"/>
    <w:rsid w:val="002156C9"/>
    <w:rsid w:val="0021694A"/>
    <w:rsid w:val="002524B8"/>
    <w:rsid w:val="00257A46"/>
    <w:rsid w:val="00264DEC"/>
    <w:rsid w:val="0027433B"/>
    <w:rsid w:val="00280921"/>
    <w:rsid w:val="002816F3"/>
    <w:rsid w:val="00282E66"/>
    <w:rsid w:val="00285DB9"/>
    <w:rsid w:val="0028665B"/>
    <w:rsid w:val="00286DE3"/>
    <w:rsid w:val="0029508E"/>
    <w:rsid w:val="00295B17"/>
    <w:rsid w:val="002966A3"/>
    <w:rsid w:val="002A3E12"/>
    <w:rsid w:val="002A42F7"/>
    <w:rsid w:val="002A7C91"/>
    <w:rsid w:val="002B380A"/>
    <w:rsid w:val="002B4CB5"/>
    <w:rsid w:val="002B5C41"/>
    <w:rsid w:val="002B6057"/>
    <w:rsid w:val="002C34A5"/>
    <w:rsid w:val="002C3D37"/>
    <w:rsid w:val="002E0B7F"/>
    <w:rsid w:val="002E6016"/>
    <w:rsid w:val="002F2775"/>
    <w:rsid w:val="00303C72"/>
    <w:rsid w:val="003133ED"/>
    <w:rsid w:val="003251A5"/>
    <w:rsid w:val="00332BB0"/>
    <w:rsid w:val="003423C4"/>
    <w:rsid w:val="003435B1"/>
    <w:rsid w:val="003575E5"/>
    <w:rsid w:val="0035789A"/>
    <w:rsid w:val="00366C4D"/>
    <w:rsid w:val="00371717"/>
    <w:rsid w:val="003731DD"/>
    <w:rsid w:val="00377AB4"/>
    <w:rsid w:val="00382F4D"/>
    <w:rsid w:val="0039249E"/>
    <w:rsid w:val="0039609E"/>
    <w:rsid w:val="0039646F"/>
    <w:rsid w:val="00396E56"/>
    <w:rsid w:val="003A1EE4"/>
    <w:rsid w:val="003B5F3F"/>
    <w:rsid w:val="003C2EF4"/>
    <w:rsid w:val="003D22D6"/>
    <w:rsid w:val="003D75DC"/>
    <w:rsid w:val="003D775C"/>
    <w:rsid w:val="003F6248"/>
    <w:rsid w:val="003F67A9"/>
    <w:rsid w:val="003F7B8F"/>
    <w:rsid w:val="00400092"/>
    <w:rsid w:val="0040050C"/>
    <w:rsid w:val="0040321C"/>
    <w:rsid w:val="00407318"/>
    <w:rsid w:val="00410C1C"/>
    <w:rsid w:val="00411BEE"/>
    <w:rsid w:val="004177F8"/>
    <w:rsid w:val="00422599"/>
    <w:rsid w:val="00427686"/>
    <w:rsid w:val="00432FDD"/>
    <w:rsid w:val="00435A35"/>
    <w:rsid w:val="00440658"/>
    <w:rsid w:val="004411DF"/>
    <w:rsid w:val="00446A52"/>
    <w:rsid w:val="00462D56"/>
    <w:rsid w:val="00465C08"/>
    <w:rsid w:val="004674B0"/>
    <w:rsid w:val="00467D17"/>
    <w:rsid w:val="004703A4"/>
    <w:rsid w:val="0047698D"/>
    <w:rsid w:val="0048130A"/>
    <w:rsid w:val="00483ADA"/>
    <w:rsid w:val="00490CD6"/>
    <w:rsid w:val="00497BD2"/>
    <w:rsid w:val="004A5042"/>
    <w:rsid w:val="004A56ED"/>
    <w:rsid w:val="004A7863"/>
    <w:rsid w:val="004B1463"/>
    <w:rsid w:val="004C21B6"/>
    <w:rsid w:val="004C2558"/>
    <w:rsid w:val="004C33A9"/>
    <w:rsid w:val="004C5B5A"/>
    <w:rsid w:val="004D06F0"/>
    <w:rsid w:val="004D1C5B"/>
    <w:rsid w:val="004E524B"/>
    <w:rsid w:val="004F0FB1"/>
    <w:rsid w:val="004F30AF"/>
    <w:rsid w:val="004F4157"/>
    <w:rsid w:val="00500446"/>
    <w:rsid w:val="00501CFD"/>
    <w:rsid w:val="00504AD4"/>
    <w:rsid w:val="005052B9"/>
    <w:rsid w:val="00513110"/>
    <w:rsid w:val="00522F5B"/>
    <w:rsid w:val="00530575"/>
    <w:rsid w:val="0053714A"/>
    <w:rsid w:val="005412D4"/>
    <w:rsid w:val="0054431B"/>
    <w:rsid w:val="00544AF2"/>
    <w:rsid w:val="00552F0B"/>
    <w:rsid w:val="005612C8"/>
    <w:rsid w:val="00572351"/>
    <w:rsid w:val="0058250C"/>
    <w:rsid w:val="00586047"/>
    <w:rsid w:val="00587154"/>
    <w:rsid w:val="0059346E"/>
    <w:rsid w:val="0059525F"/>
    <w:rsid w:val="005A551B"/>
    <w:rsid w:val="005B1794"/>
    <w:rsid w:val="005B6E14"/>
    <w:rsid w:val="005B7279"/>
    <w:rsid w:val="005C0C50"/>
    <w:rsid w:val="005C2342"/>
    <w:rsid w:val="005C2423"/>
    <w:rsid w:val="005C7394"/>
    <w:rsid w:val="005D0260"/>
    <w:rsid w:val="005E6B62"/>
    <w:rsid w:val="005F38CC"/>
    <w:rsid w:val="005F515E"/>
    <w:rsid w:val="00601009"/>
    <w:rsid w:val="00613263"/>
    <w:rsid w:val="006132AE"/>
    <w:rsid w:val="006147DD"/>
    <w:rsid w:val="0061656E"/>
    <w:rsid w:val="00617E40"/>
    <w:rsid w:val="006216CA"/>
    <w:rsid w:val="00623275"/>
    <w:rsid w:val="00625884"/>
    <w:rsid w:val="0063478D"/>
    <w:rsid w:val="006367D5"/>
    <w:rsid w:val="006377CD"/>
    <w:rsid w:val="006425E6"/>
    <w:rsid w:val="006447BA"/>
    <w:rsid w:val="00652D97"/>
    <w:rsid w:val="00653602"/>
    <w:rsid w:val="006546DE"/>
    <w:rsid w:val="00655AC7"/>
    <w:rsid w:val="006579B7"/>
    <w:rsid w:val="006643F1"/>
    <w:rsid w:val="00664648"/>
    <w:rsid w:val="0066601B"/>
    <w:rsid w:val="00666686"/>
    <w:rsid w:val="00674398"/>
    <w:rsid w:val="00677C14"/>
    <w:rsid w:val="00683B12"/>
    <w:rsid w:val="00686F35"/>
    <w:rsid w:val="006913D1"/>
    <w:rsid w:val="00694938"/>
    <w:rsid w:val="0069500D"/>
    <w:rsid w:val="00696D9D"/>
    <w:rsid w:val="006A2B83"/>
    <w:rsid w:val="006A2F61"/>
    <w:rsid w:val="006A3841"/>
    <w:rsid w:val="006A6EC0"/>
    <w:rsid w:val="006B494B"/>
    <w:rsid w:val="006D02E9"/>
    <w:rsid w:val="006F4451"/>
    <w:rsid w:val="0070026F"/>
    <w:rsid w:val="00700B28"/>
    <w:rsid w:val="007010DE"/>
    <w:rsid w:val="0072110C"/>
    <w:rsid w:val="007241F9"/>
    <w:rsid w:val="0072532D"/>
    <w:rsid w:val="007301DB"/>
    <w:rsid w:val="0073714D"/>
    <w:rsid w:val="00741463"/>
    <w:rsid w:val="0074406E"/>
    <w:rsid w:val="00744FB7"/>
    <w:rsid w:val="007506DC"/>
    <w:rsid w:val="007560A6"/>
    <w:rsid w:val="0075667A"/>
    <w:rsid w:val="007640F6"/>
    <w:rsid w:val="007653A9"/>
    <w:rsid w:val="0076736D"/>
    <w:rsid w:val="00770C9C"/>
    <w:rsid w:val="007721A6"/>
    <w:rsid w:val="00772CF3"/>
    <w:rsid w:val="00784B18"/>
    <w:rsid w:val="00785288"/>
    <w:rsid w:val="00785AA5"/>
    <w:rsid w:val="00786F01"/>
    <w:rsid w:val="00795CF5"/>
    <w:rsid w:val="007A01F9"/>
    <w:rsid w:val="007A4BC2"/>
    <w:rsid w:val="007A5F7C"/>
    <w:rsid w:val="007B5703"/>
    <w:rsid w:val="007C10A8"/>
    <w:rsid w:val="007D1106"/>
    <w:rsid w:val="007D55DC"/>
    <w:rsid w:val="007D7C37"/>
    <w:rsid w:val="007E0DA8"/>
    <w:rsid w:val="007E30C8"/>
    <w:rsid w:val="007E7197"/>
    <w:rsid w:val="007E7D93"/>
    <w:rsid w:val="007F3526"/>
    <w:rsid w:val="007F3935"/>
    <w:rsid w:val="00801E06"/>
    <w:rsid w:val="0080493E"/>
    <w:rsid w:val="00807286"/>
    <w:rsid w:val="00812AEC"/>
    <w:rsid w:val="008150C8"/>
    <w:rsid w:val="00815DA3"/>
    <w:rsid w:val="00833D3B"/>
    <w:rsid w:val="00834E7B"/>
    <w:rsid w:val="008421A5"/>
    <w:rsid w:val="00842D86"/>
    <w:rsid w:val="0085273D"/>
    <w:rsid w:val="00854A0B"/>
    <w:rsid w:val="00861505"/>
    <w:rsid w:val="008675E4"/>
    <w:rsid w:val="00872058"/>
    <w:rsid w:val="0087278A"/>
    <w:rsid w:val="008812BC"/>
    <w:rsid w:val="00890294"/>
    <w:rsid w:val="00890D78"/>
    <w:rsid w:val="0089437A"/>
    <w:rsid w:val="008A7B23"/>
    <w:rsid w:val="008B00C4"/>
    <w:rsid w:val="008C0DC4"/>
    <w:rsid w:val="008C4D01"/>
    <w:rsid w:val="008D1198"/>
    <w:rsid w:val="008D362F"/>
    <w:rsid w:val="008D66A9"/>
    <w:rsid w:val="008E235D"/>
    <w:rsid w:val="008E7066"/>
    <w:rsid w:val="008F0447"/>
    <w:rsid w:val="008F1B0E"/>
    <w:rsid w:val="008F3589"/>
    <w:rsid w:val="008F5E7A"/>
    <w:rsid w:val="0090192A"/>
    <w:rsid w:val="00904782"/>
    <w:rsid w:val="009118AF"/>
    <w:rsid w:val="00913A5E"/>
    <w:rsid w:val="00914F14"/>
    <w:rsid w:val="009227D0"/>
    <w:rsid w:val="00935653"/>
    <w:rsid w:val="00946230"/>
    <w:rsid w:val="0094669E"/>
    <w:rsid w:val="009516A1"/>
    <w:rsid w:val="0095298A"/>
    <w:rsid w:val="00952E72"/>
    <w:rsid w:val="0095527D"/>
    <w:rsid w:val="00964FBB"/>
    <w:rsid w:val="009670D1"/>
    <w:rsid w:val="009903D7"/>
    <w:rsid w:val="00992106"/>
    <w:rsid w:val="00992DFF"/>
    <w:rsid w:val="009A4211"/>
    <w:rsid w:val="009A5D71"/>
    <w:rsid w:val="009B6F1F"/>
    <w:rsid w:val="009B7A5A"/>
    <w:rsid w:val="009C1EEC"/>
    <w:rsid w:val="009C7B15"/>
    <w:rsid w:val="009D24E3"/>
    <w:rsid w:val="009D6AF4"/>
    <w:rsid w:val="009D72FF"/>
    <w:rsid w:val="009E270A"/>
    <w:rsid w:val="009E32D3"/>
    <w:rsid w:val="009E3891"/>
    <w:rsid w:val="009E3F32"/>
    <w:rsid w:val="00A011D5"/>
    <w:rsid w:val="00A16556"/>
    <w:rsid w:val="00A21789"/>
    <w:rsid w:val="00A31049"/>
    <w:rsid w:val="00A35335"/>
    <w:rsid w:val="00A4228D"/>
    <w:rsid w:val="00A507CD"/>
    <w:rsid w:val="00A50E06"/>
    <w:rsid w:val="00A54568"/>
    <w:rsid w:val="00A56A27"/>
    <w:rsid w:val="00A57D07"/>
    <w:rsid w:val="00A64B64"/>
    <w:rsid w:val="00A7085F"/>
    <w:rsid w:val="00A73D76"/>
    <w:rsid w:val="00A8246F"/>
    <w:rsid w:val="00A82A15"/>
    <w:rsid w:val="00A853F1"/>
    <w:rsid w:val="00A855FE"/>
    <w:rsid w:val="00A90463"/>
    <w:rsid w:val="00A929F3"/>
    <w:rsid w:val="00A973FD"/>
    <w:rsid w:val="00AA5296"/>
    <w:rsid w:val="00AA70D8"/>
    <w:rsid w:val="00AB226E"/>
    <w:rsid w:val="00AB2E7A"/>
    <w:rsid w:val="00AB331F"/>
    <w:rsid w:val="00AC23B9"/>
    <w:rsid w:val="00AC5EF0"/>
    <w:rsid w:val="00AD16A2"/>
    <w:rsid w:val="00AD2EF0"/>
    <w:rsid w:val="00AE510C"/>
    <w:rsid w:val="00AE52A6"/>
    <w:rsid w:val="00AE6212"/>
    <w:rsid w:val="00AF2965"/>
    <w:rsid w:val="00B027A7"/>
    <w:rsid w:val="00B031D5"/>
    <w:rsid w:val="00B04931"/>
    <w:rsid w:val="00B0720E"/>
    <w:rsid w:val="00B34BDE"/>
    <w:rsid w:val="00B427AE"/>
    <w:rsid w:val="00B42893"/>
    <w:rsid w:val="00B503EA"/>
    <w:rsid w:val="00B54151"/>
    <w:rsid w:val="00B64AEF"/>
    <w:rsid w:val="00B66020"/>
    <w:rsid w:val="00B7065C"/>
    <w:rsid w:val="00B72C4F"/>
    <w:rsid w:val="00B75BDC"/>
    <w:rsid w:val="00B760B6"/>
    <w:rsid w:val="00B80EC6"/>
    <w:rsid w:val="00B828A6"/>
    <w:rsid w:val="00B82C42"/>
    <w:rsid w:val="00BA6AB8"/>
    <w:rsid w:val="00BB6EAB"/>
    <w:rsid w:val="00BC1183"/>
    <w:rsid w:val="00BC268D"/>
    <w:rsid w:val="00BC5865"/>
    <w:rsid w:val="00BD123B"/>
    <w:rsid w:val="00BD367F"/>
    <w:rsid w:val="00BF1859"/>
    <w:rsid w:val="00BF4976"/>
    <w:rsid w:val="00BF49A1"/>
    <w:rsid w:val="00C0050D"/>
    <w:rsid w:val="00C16569"/>
    <w:rsid w:val="00C21502"/>
    <w:rsid w:val="00C218E1"/>
    <w:rsid w:val="00C2276A"/>
    <w:rsid w:val="00C3091F"/>
    <w:rsid w:val="00C347F5"/>
    <w:rsid w:val="00C350D8"/>
    <w:rsid w:val="00C36072"/>
    <w:rsid w:val="00C450EE"/>
    <w:rsid w:val="00C45204"/>
    <w:rsid w:val="00C473B8"/>
    <w:rsid w:val="00C51A63"/>
    <w:rsid w:val="00C64DE6"/>
    <w:rsid w:val="00C6641F"/>
    <w:rsid w:val="00C714E7"/>
    <w:rsid w:val="00C72CFD"/>
    <w:rsid w:val="00C81833"/>
    <w:rsid w:val="00C87A22"/>
    <w:rsid w:val="00C93925"/>
    <w:rsid w:val="00CA22BE"/>
    <w:rsid w:val="00CA2400"/>
    <w:rsid w:val="00CA5367"/>
    <w:rsid w:val="00CA6492"/>
    <w:rsid w:val="00CA6574"/>
    <w:rsid w:val="00CB1912"/>
    <w:rsid w:val="00CB1AE4"/>
    <w:rsid w:val="00CB214F"/>
    <w:rsid w:val="00CB2CE3"/>
    <w:rsid w:val="00CB3F99"/>
    <w:rsid w:val="00CC162D"/>
    <w:rsid w:val="00CC2F0C"/>
    <w:rsid w:val="00CD22EE"/>
    <w:rsid w:val="00CD2B6D"/>
    <w:rsid w:val="00CD5A3B"/>
    <w:rsid w:val="00CE28E8"/>
    <w:rsid w:val="00CF289D"/>
    <w:rsid w:val="00CF2DAC"/>
    <w:rsid w:val="00CF3AF5"/>
    <w:rsid w:val="00D03AE3"/>
    <w:rsid w:val="00D1662B"/>
    <w:rsid w:val="00D202D7"/>
    <w:rsid w:val="00D2071D"/>
    <w:rsid w:val="00D2360E"/>
    <w:rsid w:val="00D25398"/>
    <w:rsid w:val="00D27B0F"/>
    <w:rsid w:val="00D32C23"/>
    <w:rsid w:val="00D43D3F"/>
    <w:rsid w:val="00D541C7"/>
    <w:rsid w:val="00D57F96"/>
    <w:rsid w:val="00D609B9"/>
    <w:rsid w:val="00D63584"/>
    <w:rsid w:val="00D64969"/>
    <w:rsid w:val="00D667DA"/>
    <w:rsid w:val="00D66CDC"/>
    <w:rsid w:val="00D768C6"/>
    <w:rsid w:val="00D77BA0"/>
    <w:rsid w:val="00D84C63"/>
    <w:rsid w:val="00D86D14"/>
    <w:rsid w:val="00DB0CC9"/>
    <w:rsid w:val="00DB2A42"/>
    <w:rsid w:val="00DB2D3F"/>
    <w:rsid w:val="00DB3613"/>
    <w:rsid w:val="00DC053F"/>
    <w:rsid w:val="00DC2C43"/>
    <w:rsid w:val="00DC4FEF"/>
    <w:rsid w:val="00DD181D"/>
    <w:rsid w:val="00DD7064"/>
    <w:rsid w:val="00DE132A"/>
    <w:rsid w:val="00DE3523"/>
    <w:rsid w:val="00DE632F"/>
    <w:rsid w:val="00DE784A"/>
    <w:rsid w:val="00DF0D0C"/>
    <w:rsid w:val="00DF5AC8"/>
    <w:rsid w:val="00E0122D"/>
    <w:rsid w:val="00E1670D"/>
    <w:rsid w:val="00E16EDF"/>
    <w:rsid w:val="00E26C55"/>
    <w:rsid w:val="00E30669"/>
    <w:rsid w:val="00E31FA9"/>
    <w:rsid w:val="00E36496"/>
    <w:rsid w:val="00E42274"/>
    <w:rsid w:val="00E422F3"/>
    <w:rsid w:val="00E44765"/>
    <w:rsid w:val="00E4484B"/>
    <w:rsid w:val="00E46346"/>
    <w:rsid w:val="00E47DC3"/>
    <w:rsid w:val="00E51323"/>
    <w:rsid w:val="00E52216"/>
    <w:rsid w:val="00E529E7"/>
    <w:rsid w:val="00E5581B"/>
    <w:rsid w:val="00E604C4"/>
    <w:rsid w:val="00E6173E"/>
    <w:rsid w:val="00E61CB1"/>
    <w:rsid w:val="00E63834"/>
    <w:rsid w:val="00E71653"/>
    <w:rsid w:val="00E73D7D"/>
    <w:rsid w:val="00E7552E"/>
    <w:rsid w:val="00E8168C"/>
    <w:rsid w:val="00E81EA8"/>
    <w:rsid w:val="00E8595C"/>
    <w:rsid w:val="00E86092"/>
    <w:rsid w:val="00E8789C"/>
    <w:rsid w:val="00E90F48"/>
    <w:rsid w:val="00E965A6"/>
    <w:rsid w:val="00E9670C"/>
    <w:rsid w:val="00EA4E7F"/>
    <w:rsid w:val="00EA7A8D"/>
    <w:rsid w:val="00EB093D"/>
    <w:rsid w:val="00EB0E72"/>
    <w:rsid w:val="00EB4F20"/>
    <w:rsid w:val="00EB6871"/>
    <w:rsid w:val="00ED40E3"/>
    <w:rsid w:val="00ED4CE0"/>
    <w:rsid w:val="00EE04DE"/>
    <w:rsid w:val="00EE61F1"/>
    <w:rsid w:val="00EF4CDA"/>
    <w:rsid w:val="00EF5071"/>
    <w:rsid w:val="00F06953"/>
    <w:rsid w:val="00F141B7"/>
    <w:rsid w:val="00F16E93"/>
    <w:rsid w:val="00F176A6"/>
    <w:rsid w:val="00F246CB"/>
    <w:rsid w:val="00F25F2F"/>
    <w:rsid w:val="00F27BA9"/>
    <w:rsid w:val="00F30BB1"/>
    <w:rsid w:val="00F40E22"/>
    <w:rsid w:val="00F4650C"/>
    <w:rsid w:val="00F50A92"/>
    <w:rsid w:val="00F54031"/>
    <w:rsid w:val="00F63163"/>
    <w:rsid w:val="00F63EBC"/>
    <w:rsid w:val="00F6571C"/>
    <w:rsid w:val="00F843CF"/>
    <w:rsid w:val="00F95B10"/>
    <w:rsid w:val="00FA02FD"/>
    <w:rsid w:val="00FA3353"/>
    <w:rsid w:val="00FB7BEE"/>
    <w:rsid w:val="00FC61CB"/>
    <w:rsid w:val="00FD1F59"/>
    <w:rsid w:val="00FD2AE7"/>
    <w:rsid w:val="00FE1E7E"/>
    <w:rsid w:val="00FF31FA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4DA6AB02"/>
  <w15:chartTrackingRefBased/>
  <w15:docId w15:val="{4D69F7B3-6629-4DCA-84CC-FBCE2F60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400A"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D86D1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da-DK" w:eastAsia="da-DK"/>
    </w:rPr>
  </w:style>
  <w:style w:type="paragraph" w:customStyle="1" w:styleId="knZulassung02">
    <w:name w:val="knZulassung02"/>
    <w:basedOn w:val="Normlny"/>
    <w:rsid w:val="00D86D14"/>
    <w:pPr>
      <w:tabs>
        <w:tab w:val="clear" w:pos="567"/>
      </w:tabs>
      <w:autoSpaceDE w:val="0"/>
      <w:autoSpaceDN w:val="0"/>
      <w:spacing w:line="240" w:lineRule="auto"/>
      <w:ind w:left="1843" w:right="284"/>
    </w:pPr>
    <w:rPr>
      <w:rFonts w:ascii="Courier" w:hAnsi="Courier"/>
      <w:snapToGrid w:val="0"/>
      <w:sz w:val="24"/>
      <w:szCs w:val="24"/>
      <w:lang w:val="de-DE" w:eastAsia="de-DE"/>
    </w:rPr>
  </w:style>
  <w:style w:type="character" w:styleId="Siln">
    <w:name w:val="Strong"/>
    <w:qFormat/>
    <w:rsid w:val="00D86D14"/>
    <w:rPr>
      <w:b/>
      <w:bCs/>
    </w:rPr>
  </w:style>
  <w:style w:type="paragraph" w:customStyle="1" w:styleId="knZulassung01">
    <w:name w:val="knZulassung01"/>
    <w:basedOn w:val="Normlny"/>
    <w:rsid w:val="00D86D14"/>
    <w:pPr>
      <w:autoSpaceDE w:val="0"/>
      <w:autoSpaceDN w:val="0"/>
      <w:spacing w:line="240" w:lineRule="auto"/>
      <w:ind w:left="1843" w:right="284" w:hanging="1843"/>
    </w:pPr>
    <w:rPr>
      <w:rFonts w:ascii="Courier" w:hAnsi="Courier"/>
      <w:snapToGrid w:val="0"/>
      <w:sz w:val="24"/>
      <w:szCs w:val="24"/>
      <w:lang w:val="de-DE" w:eastAsia="de-DE"/>
    </w:rPr>
  </w:style>
  <w:style w:type="paragraph" w:styleId="Zarkazkladnhotextu3">
    <w:name w:val="Body Text Indent 3"/>
    <w:basedOn w:val="Normlny"/>
    <w:rsid w:val="00D86D14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y"/>
    <w:rsid w:val="00D86D14"/>
    <w:pPr>
      <w:spacing w:after="120"/>
    </w:pPr>
    <w:rPr>
      <w:sz w:val="16"/>
      <w:szCs w:val="16"/>
    </w:rPr>
  </w:style>
  <w:style w:type="paragraph" w:customStyle="1" w:styleId="Formatvorlage2">
    <w:name w:val="Formatvorlage2"/>
    <w:basedOn w:val="Normlny"/>
    <w:rsid w:val="00D86D14"/>
    <w:pPr>
      <w:tabs>
        <w:tab w:val="clear" w:pos="567"/>
        <w:tab w:val="left" w:pos="7797"/>
      </w:tabs>
      <w:spacing w:line="240" w:lineRule="auto"/>
      <w:jc w:val="both"/>
    </w:pPr>
    <w:rPr>
      <w:sz w:val="24"/>
      <w:lang w:val="de-DE" w:eastAsia="de-DE"/>
    </w:rPr>
  </w:style>
  <w:style w:type="paragraph" w:styleId="Pta">
    <w:name w:val="footer"/>
    <w:basedOn w:val="Normlny"/>
    <w:link w:val="PtaChar"/>
    <w:uiPriority w:val="99"/>
    <w:rsid w:val="00D86D14"/>
    <w:pPr>
      <w:tabs>
        <w:tab w:val="clear" w:pos="567"/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86D14"/>
  </w:style>
  <w:style w:type="table" w:styleId="Mriekatabuky">
    <w:name w:val="Table Grid"/>
    <w:basedOn w:val="Normlnatabuka"/>
    <w:rsid w:val="00D86D14"/>
    <w:pPr>
      <w:tabs>
        <w:tab w:val="left" w:pos="567"/>
      </w:tabs>
      <w:spacing w:line="260" w:lineRule="exact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8812B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C0050D"/>
    <w:pPr>
      <w:tabs>
        <w:tab w:val="clear" w:pos="567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C0050D"/>
    <w:rPr>
      <w:rFonts w:eastAsia="Times New Roman"/>
      <w:sz w:val="22"/>
      <w:lang w:val="en-GB" w:eastAsia="en-US"/>
    </w:rPr>
  </w:style>
  <w:style w:type="character" w:customStyle="1" w:styleId="PtaChar">
    <w:name w:val="Päta Char"/>
    <w:link w:val="Pta"/>
    <w:uiPriority w:val="99"/>
    <w:rsid w:val="00C0050D"/>
    <w:rPr>
      <w:rFonts w:eastAsia="Times New Roman"/>
      <w:sz w:val="22"/>
      <w:lang w:val="en-GB" w:eastAsia="en-US"/>
    </w:rPr>
  </w:style>
  <w:style w:type="character" w:styleId="Odkaznakomentr">
    <w:name w:val="annotation reference"/>
    <w:rsid w:val="009118A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118AF"/>
    <w:rPr>
      <w:sz w:val="20"/>
    </w:rPr>
  </w:style>
  <w:style w:type="character" w:customStyle="1" w:styleId="TextkomentraChar">
    <w:name w:val="Text komentára Char"/>
    <w:link w:val="Textkomentra"/>
    <w:rsid w:val="009118AF"/>
    <w:rPr>
      <w:rFonts w:eastAsia="Times New Roman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9118AF"/>
    <w:rPr>
      <w:b/>
      <w:bCs/>
    </w:rPr>
  </w:style>
  <w:style w:type="character" w:customStyle="1" w:styleId="PredmetkomentraChar">
    <w:name w:val="Predmet komentára Char"/>
    <w:link w:val="Predmetkomentra"/>
    <w:rsid w:val="009118AF"/>
    <w:rPr>
      <w:rFonts w:eastAsia="Times New Roman"/>
      <w:b/>
      <w:bCs/>
      <w:lang w:val="en-GB" w:eastAsia="en-US"/>
    </w:rPr>
  </w:style>
  <w:style w:type="character" w:styleId="Hypertextovprepojenie">
    <w:name w:val="Hyperlink"/>
    <w:rsid w:val="00432FDD"/>
    <w:rPr>
      <w:color w:val="0000FF"/>
      <w:u w:val="single"/>
    </w:rPr>
  </w:style>
  <w:style w:type="paragraph" w:styleId="Revzia">
    <w:name w:val="Revision"/>
    <w:hidden/>
    <w:uiPriority w:val="99"/>
    <w:semiHidden/>
    <w:rsid w:val="0054431B"/>
    <w:rPr>
      <w:rFonts w:eastAsia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4444</Words>
  <Characters>25643</Characters>
  <Application>Microsoft Office Word</Application>
  <DocSecurity>0</DocSecurity>
  <Lines>213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Hewlett-Packard</Company>
  <LinksUpToDate>false</LinksUpToDate>
  <CharactersWithSpaces>30027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Sarkar</dc:creator>
  <cp:keywords/>
  <cp:lastModifiedBy>Repiščáková, Janka</cp:lastModifiedBy>
  <cp:revision>11</cp:revision>
  <cp:lastPrinted>2015-02-27T13:25:00Z</cp:lastPrinted>
  <dcterms:created xsi:type="dcterms:W3CDTF">2019-04-14T07:01:00Z</dcterms:created>
  <dcterms:modified xsi:type="dcterms:W3CDTF">2019-04-23T08:33:00Z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1214058821</vt:i4>
  </property>
  <property fmtid="{D5CDD505-2E9C-101B-9397-08002B2CF9AE}" pid="3" name="_NewReviewCycle">
    <vt:lpwstr/>
  </property>
  <property fmtid="{D5CDD505-2E9C-101B-9397-08002B2CF9AE}" pid="4" name="_EmailSubject">
    <vt:lpwstr>Cefotaxim Eberth - Submitting of texts to the procedure number DK/H/1745/001-003/IB/013/G; ev.No. 2018/04022-Z1B</vt:lpwstr>
  </property>
  <property fmtid="{D5CDD505-2E9C-101B-9397-08002B2CF9AE}" pid="5" name="_AuthorEmail">
    <vt:lpwstr>sarkar.dagmar@martinpharma.eu</vt:lpwstr>
  </property>
  <property fmtid="{D5CDD505-2E9C-101B-9397-08002B2CF9AE}" pid="6" name="_AuthorEmailDisplayName">
    <vt:lpwstr>Dagmar Sarkar</vt:lpwstr>
  </property>
  <property fmtid="{D5CDD505-2E9C-101B-9397-08002B2CF9AE}" pid="7" name="_ReviewingToolsShownOnce">
    <vt:lpwstr/>
  </property>
</Properties>
</file>