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DF3" w:rsidRPr="00CD0C72" w:rsidRDefault="00892DF3" w:rsidP="00C0542F">
      <w:pPr>
        <w:spacing w:after="0" w:line="240" w:lineRule="auto"/>
        <w:jc w:val="center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Písomná informácia pre používateľ</w:t>
      </w:r>
      <w:r w:rsidR="00C0542F" w:rsidRPr="00CD0C72">
        <w:rPr>
          <w:rFonts w:ascii="Times New Roman" w:hAnsi="Times New Roman"/>
          <w:b/>
          <w:bCs/>
          <w:lang w:val="sk-SK"/>
        </w:rPr>
        <w:t>ku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373896" w:rsidRDefault="00892DF3" w:rsidP="00C0542F">
      <w:pPr>
        <w:spacing w:after="0" w:line="240" w:lineRule="auto"/>
        <w:jc w:val="center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Fulvestrant </w:t>
      </w:r>
      <w:r w:rsidR="00373896">
        <w:rPr>
          <w:rFonts w:ascii="Times New Roman" w:hAnsi="Times New Roman"/>
          <w:b/>
          <w:bCs/>
          <w:lang w:val="sk-SK"/>
        </w:rPr>
        <w:t>STADA</w:t>
      </w:r>
      <w:r w:rsidR="00C0542F" w:rsidRPr="00CD0C72">
        <w:rPr>
          <w:rFonts w:ascii="Times New Roman" w:hAnsi="Times New Roman"/>
          <w:b/>
          <w:bCs/>
          <w:lang w:val="sk-SK"/>
        </w:rPr>
        <w:t xml:space="preserve"> 250 mg</w:t>
      </w:r>
      <w:r w:rsidRPr="00CD0C72">
        <w:rPr>
          <w:rFonts w:ascii="Times New Roman" w:hAnsi="Times New Roman"/>
          <w:b/>
          <w:bCs/>
          <w:lang w:val="sk-SK"/>
        </w:rPr>
        <w:t xml:space="preserve"> </w:t>
      </w:r>
    </w:p>
    <w:p w:rsidR="00B5704E" w:rsidRPr="00CD0C72" w:rsidRDefault="00B5704E" w:rsidP="00C0542F">
      <w:pPr>
        <w:spacing w:after="0" w:line="240" w:lineRule="auto"/>
        <w:jc w:val="center"/>
        <w:rPr>
          <w:rFonts w:ascii="Times New Roman" w:hAnsi="Times New Roman"/>
          <w:b/>
          <w:lang w:val="sk-SK"/>
        </w:rPr>
      </w:pPr>
      <w:r w:rsidRPr="00CD0C72">
        <w:rPr>
          <w:rFonts w:ascii="Times New Roman" w:hAnsi="Times New Roman"/>
          <w:b/>
          <w:lang w:val="sk-SK"/>
        </w:rPr>
        <w:t>injekčný roztok naplnený v injekčnej striekačke</w:t>
      </w:r>
    </w:p>
    <w:p w:rsidR="00B5704E" w:rsidRPr="00CD0C72" w:rsidRDefault="00B5704E" w:rsidP="00C0542F">
      <w:pPr>
        <w:spacing w:after="0" w:line="240" w:lineRule="auto"/>
        <w:jc w:val="center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jc w:val="center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fulvestrant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Pozorne si prečítajte celú písomnú informáciu predtým, ako začnete používať tento liek, pretože</w:t>
      </w:r>
    </w:p>
    <w:p w:rsidR="00BC5054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obsahuje pre vás dôležité informácie.</w:t>
      </w:r>
    </w:p>
    <w:p w:rsidR="0056733A" w:rsidRDefault="0056733A" w:rsidP="0056733A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Túto písomnú informáciu si uschovajte. Možno bude potrebné, aby ste si ju znovu prečítali.</w:t>
      </w:r>
    </w:p>
    <w:p w:rsidR="0056733A" w:rsidRPr="0056733A" w:rsidRDefault="0056733A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Ak máte akékoľvek ďalšie otázky, obráťte sa na svojho lekára, lekárnika alebo zdravotnú sestru.</w:t>
      </w:r>
    </w:p>
    <w:p w:rsidR="008728F6" w:rsidRPr="00CD0C72" w:rsidRDefault="008728F6" w:rsidP="00C0542F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Tento liek bol predpísaný iba vám. Nedávajte ho nikomu inému. Môže mu uškodiť, dokonca aj vtedy, ak má rovnaké </w:t>
      </w:r>
      <w:r w:rsidR="00991D0C" w:rsidRPr="00CD0C72">
        <w:rPr>
          <w:rFonts w:ascii="Times New Roman" w:hAnsi="Times New Roman"/>
          <w:lang w:val="sk-SK"/>
        </w:rPr>
        <w:t>prejavy</w:t>
      </w:r>
      <w:r w:rsidRPr="00CD0C72">
        <w:rPr>
          <w:rFonts w:ascii="Times New Roman" w:hAnsi="Times New Roman"/>
          <w:lang w:val="sk-SK"/>
        </w:rPr>
        <w:t xml:space="preserve"> ochorenia ako vy. </w:t>
      </w:r>
    </w:p>
    <w:p w:rsidR="00892DF3" w:rsidRPr="00CD0C72" w:rsidRDefault="00947B2E" w:rsidP="00C0542F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Ak sa u vás vyskytne akýkoľvek vedľajší účinok, obráťte sa na svojho lekára, lekárnika alebo zdravotnú sestru. </w:t>
      </w:r>
      <w:r w:rsidR="00892DF3" w:rsidRPr="00CD0C72">
        <w:rPr>
          <w:rFonts w:ascii="Times New Roman" w:hAnsi="Times New Roman"/>
          <w:lang w:val="sk-SK"/>
        </w:rPr>
        <w:t>To sa týka aj akýchkoľvek vedľajších účinkov, ktoré nie sú uvedené v tejto</w:t>
      </w:r>
      <w:r w:rsidR="00037F6E" w:rsidRPr="00CD0C72">
        <w:rPr>
          <w:rFonts w:ascii="Times New Roman" w:hAnsi="Times New Roman"/>
          <w:lang w:val="sk-SK"/>
        </w:rPr>
        <w:t xml:space="preserve"> </w:t>
      </w:r>
      <w:r w:rsidR="00892DF3" w:rsidRPr="00CD0C72">
        <w:rPr>
          <w:rFonts w:ascii="Times New Roman" w:hAnsi="Times New Roman"/>
          <w:lang w:val="sk-SK"/>
        </w:rPr>
        <w:t>písomnej informácii. Pozri časť 4.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V tejto písomnej informácii  sa dozviete</w:t>
      </w:r>
      <w:r w:rsidR="00C0542F" w:rsidRPr="00CD0C72">
        <w:rPr>
          <w:rFonts w:ascii="Times New Roman" w:hAnsi="Times New Roman"/>
          <w:b/>
          <w:bCs/>
          <w:lang w:val="sk-SK"/>
        </w:rPr>
        <w:t>: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1.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 xml:space="preserve">Čo je Fulvestrant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a na čo sa používa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2.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>Čo potrebujete vedieť predtým, ako použijete Fulvestrant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3.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>Ako používať Fulvestrant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4.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>Možné vedľajšie účinky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5.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>Ako uchovávať Fulvestrant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6.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>Obsah balenia a ďalšie informácie</w:t>
      </w: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pStyle w:val="Odsekzoznamu"/>
        <w:numPr>
          <w:ilvl w:val="0"/>
          <w:numId w:val="1"/>
        </w:numPr>
        <w:tabs>
          <w:tab w:val="left" w:pos="567"/>
        </w:tabs>
        <w:spacing w:after="0" w:line="240" w:lineRule="auto"/>
        <w:ind w:left="425" w:hanging="425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Čo je Fulvestrant </w:t>
      </w:r>
      <w:r w:rsidR="00373896">
        <w:rPr>
          <w:rFonts w:ascii="Times New Roman" w:hAnsi="Times New Roman"/>
          <w:b/>
          <w:lang w:val="sk-SK"/>
        </w:rPr>
        <w:t>STADA</w:t>
      </w:r>
      <w:r w:rsidR="00C0542F" w:rsidRPr="00CD0C72">
        <w:rPr>
          <w:rFonts w:ascii="Times New Roman" w:hAnsi="Times New Roman"/>
          <w:b/>
          <w:lang w:val="sk-SK"/>
        </w:rPr>
        <w:t xml:space="preserve"> 250 mg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 </w:t>
      </w:r>
      <w:r w:rsidRPr="00CD0C72">
        <w:rPr>
          <w:rFonts w:ascii="Times New Roman" w:hAnsi="Times New Roman"/>
          <w:b/>
          <w:bCs/>
          <w:lang w:val="sk-SK"/>
        </w:rPr>
        <w:t>a na čo sa používa</w:t>
      </w: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Fulvestrant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obsahuje liečivo fulvestrant, ktoré patrí do skupiny blokátorov estrogénov. Estrogény, ktoré patria medzi ženské pohlavné hormóny, sa môžu v niektorých prípadoch podieľať na raste karcinómu prsníka.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/>
        </w:rPr>
        <w:t xml:space="preserve">Fulvestrant </w:t>
      </w:r>
      <w:r w:rsidR="00373896">
        <w:rPr>
          <w:rFonts w:ascii="Times New Roman" w:hAnsi="Times New Roman"/>
          <w:lang w:val="sk-SK"/>
        </w:rPr>
        <w:t>STADA</w:t>
      </w:r>
      <w:r w:rsidRPr="00CD0C72">
        <w:rPr>
          <w:rFonts w:ascii="Times New Roman" w:hAnsi="Times New Roman"/>
          <w:lang w:val="sk-SK"/>
        </w:rPr>
        <w:t xml:space="preserve"> 250 mg </w:t>
      </w:r>
      <w:r w:rsidRPr="00CD0C72">
        <w:rPr>
          <w:rFonts w:ascii="Times New Roman" w:hAnsi="Times New Roman"/>
          <w:lang w:val="sk-SK" w:eastAsia="sk-SK"/>
        </w:rPr>
        <w:t>sa používa buď:</w:t>
      </w:r>
    </w:p>
    <w:p w:rsidR="00C0542F" w:rsidRPr="00CD0C72" w:rsidRDefault="00C0542F" w:rsidP="00C054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samotný na liečbu postmenopauzálnych žien s typom rakoviny prsníka, nazývanej karcinóm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prsníka s pozitivitou estrogénových receptorov, ktorý je lokálne pokročilý (rakovina sa začala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rozširovať) alebo metastatický (už sa rozšírila do iných častí tela), alebo</w:t>
      </w:r>
    </w:p>
    <w:p w:rsidR="00C0542F" w:rsidRPr="00CD0C72" w:rsidRDefault="00C0542F" w:rsidP="00C054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v kombinácií s palbociklibom na liečbu žien s typom rakoviny prsníka, nazývanej karcinóm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prsníka s pozitivitou hormonálnych receptorov a negativitou receptora 2 pre ľudský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epidermálny rastový faktor, ktorý je lokálne pokročilý alebo sa rozšíril do iných častí tela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(metastatický). Ženy, ktoré ešte nie sú v menopauze, budú tiež liečené agonistom hormónu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uvoľňujúceho luteinizačný hormón (LHRH).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</w:p>
    <w:p w:rsidR="00892DF3" w:rsidRPr="00CD0C72" w:rsidRDefault="00C0542F" w:rsidP="00C054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Ak sa </w:t>
      </w:r>
      <w:r w:rsidRPr="00CD0C72">
        <w:rPr>
          <w:rFonts w:ascii="Times New Roman" w:hAnsi="Times New Roman"/>
          <w:lang w:val="sk-SK"/>
        </w:rPr>
        <w:t xml:space="preserve">Fulvestrant </w:t>
      </w:r>
      <w:r w:rsidR="00373896">
        <w:rPr>
          <w:rFonts w:ascii="Times New Roman" w:hAnsi="Times New Roman"/>
          <w:lang w:val="sk-SK"/>
        </w:rPr>
        <w:t>STADA</w:t>
      </w:r>
      <w:r w:rsidRPr="00CD0C72">
        <w:rPr>
          <w:rFonts w:ascii="Times New Roman" w:hAnsi="Times New Roman"/>
          <w:lang w:val="sk-SK"/>
        </w:rPr>
        <w:t xml:space="preserve"> 250 mg </w:t>
      </w:r>
      <w:r w:rsidRPr="00CD0C72">
        <w:rPr>
          <w:rFonts w:ascii="Times New Roman" w:hAnsi="Times New Roman"/>
          <w:lang w:val="sk-SK" w:eastAsia="sk-SK"/>
        </w:rPr>
        <w:t>podáva v kombinácii s palbociklibom, je dôležité, aby ste si prečítali aj písomnú informáciu pre používateľa palbociklibu. Ak máte akékoľvek otázky týkajúce sa palbociklibu, opýtajte sa svojho lekára.</w:t>
      </w: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Čo potrebuje</w:t>
      </w:r>
      <w:r w:rsidR="00BC5054" w:rsidRPr="00CD0C72">
        <w:rPr>
          <w:rFonts w:ascii="Times New Roman" w:hAnsi="Times New Roman"/>
          <w:b/>
          <w:bCs/>
          <w:lang w:val="sk-SK"/>
        </w:rPr>
        <w:t>te</w:t>
      </w:r>
      <w:r w:rsidRPr="00CD0C72">
        <w:rPr>
          <w:rFonts w:ascii="Times New Roman" w:hAnsi="Times New Roman"/>
          <w:b/>
          <w:bCs/>
          <w:lang w:val="sk-SK"/>
        </w:rPr>
        <w:t xml:space="preserve"> vedieť predtým, ako použijete Fulvestrant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373896">
        <w:rPr>
          <w:rFonts w:ascii="Times New Roman" w:hAnsi="Times New Roman"/>
          <w:b/>
          <w:lang w:val="sk-SK"/>
        </w:rPr>
        <w:t>STADA</w:t>
      </w:r>
      <w:r w:rsidR="00C0542F" w:rsidRPr="00CD0C72">
        <w:rPr>
          <w:rFonts w:ascii="Times New Roman" w:hAnsi="Times New Roman"/>
          <w:b/>
          <w:lang w:val="sk-SK"/>
        </w:rPr>
        <w:t xml:space="preserve"> 250 mg</w:t>
      </w: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Nepoužívajte Fulvestrant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373896">
        <w:rPr>
          <w:rFonts w:ascii="Times New Roman" w:hAnsi="Times New Roman"/>
          <w:b/>
          <w:lang w:val="sk-SK"/>
        </w:rPr>
        <w:t>STADA</w:t>
      </w:r>
      <w:r w:rsidR="00C0542F" w:rsidRPr="00CD0C72">
        <w:rPr>
          <w:rFonts w:ascii="Times New Roman" w:hAnsi="Times New Roman"/>
          <w:b/>
          <w:lang w:val="sk-SK"/>
        </w:rPr>
        <w:t xml:space="preserve"> 250 mg</w:t>
      </w:r>
    </w:p>
    <w:p w:rsidR="00314931" w:rsidRPr="00CD0C72" w:rsidRDefault="00892DF3" w:rsidP="00C0542F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lastRenderedPageBreak/>
        <w:t>ak ste alergická na fulvestrant alebo na ktorúkoľvek z ďalších zložiek tohto lieku (uvedených</w:t>
      </w:r>
      <w:r w:rsidR="00314931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v časti 6),</w:t>
      </w:r>
    </w:p>
    <w:p w:rsidR="00314931" w:rsidRPr="00CD0C72" w:rsidRDefault="00892DF3" w:rsidP="00C0542F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ak ste tehotná, alebo dojčíte,</w:t>
      </w:r>
    </w:p>
    <w:p w:rsidR="00892DF3" w:rsidRPr="00CD0C72" w:rsidRDefault="00892DF3" w:rsidP="00C0542F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ak máte </w:t>
      </w:r>
      <w:r w:rsidR="00C0542F" w:rsidRPr="00CD0C72">
        <w:rPr>
          <w:rFonts w:ascii="Times New Roman" w:hAnsi="Times New Roman"/>
          <w:lang w:val="sk-SK"/>
        </w:rPr>
        <w:t>z</w:t>
      </w:r>
      <w:r w:rsidRPr="00CD0C72">
        <w:rPr>
          <w:rFonts w:ascii="Times New Roman" w:hAnsi="Times New Roman"/>
          <w:lang w:val="sk-SK"/>
        </w:rPr>
        <w:t>á</w:t>
      </w:r>
      <w:r w:rsidR="00C0542F" w:rsidRPr="00CD0C72">
        <w:rPr>
          <w:rFonts w:ascii="Times New Roman" w:hAnsi="Times New Roman"/>
          <w:lang w:val="sk-SK"/>
        </w:rPr>
        <w:t>va</w:t>
      </w:r>
      <w:r w:rsidRPr="00CD0C72">
        <w:rPr>
          <w:rFonts w:ascii="Times New Roman" w:hAnsi="Times New Roman"/>
          <w:lang w:val="sk-SK"/>
        </w:rPr>
        <w:t>žn</w:t>
      </w:r>
      <w:r w:rsidR="00C0542F" w:rsidRPr="00CD0C72">
        <w:rPr>
          <w:rFonts w:ascii="Times New Roman" w:hAnsi="Times New Roman"/>
          <w:lang w:val="sk-SK"/>
        </w:rPr>
        <w:t>é</w:t>
      </w:r>
      <w:r w:rsidRPr="00CD0C72">
        <w:rPr>
          <w:rFonts w:ascii="Times New Roman" w:hAnsi="Times New Roman"/>
          <w:lang w:val="sk-SK"/>
        </w:rPr>
        <w:t xml:space="preserve"> problémy s pečeňou.</w:t>
      </w:r>
    </w:p>
    <w:p w:rsidR="00BC5054" w:rsidRPr="00CD0C72" w:rsidRDefault="00BC5054" w:rsidP="00C0542F">
      <w:pPr>
        <w:pStyle w:val="Odsekzoznamu"/>
        <w:spacing w:after="0" w:line="240" w:lineRule="auto"/>
        <w:contextualSpacing w:val="0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Upozornenia a opatrenia</w:t>
      </w:r>
    </w:p>
    <w:p w:rsidR="00892DF3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Predtým, ako začnete používať Fulvestrant </w:t>
      </w:r>
      <w:r w:rsidR="00373896">
        <w:rPr>
          <w:rFonts w:ascii="Times New Roman" w:hAnsi="Times New Roman"/>
          <w:lang w:val="sk-SK"/>
        </w:rPr>
        <w:t>STADA</w:t>
      </w:r>
      <w:r w:rsidRPr="00CD0C72">
        <w:rPr>
          <w:rFonts w:ascii="Times New Roman" w:hAnsi="Times New Roman"/>
          <w:lang w:val="sk-SK"/>
        </w:rPr>
        <w:t xml:space="preserve"> 250 mg</w:t>
      </w:r>
      <w:r w:rsidR="00AF1399" w:rsidRPr="00CD0C72">
        <w:rPr>
          <w:rFonts w:ascii="Times New Roman" w:hAnsi="Times New Roman"/>
          <w:lang w:val="sk-SK"/>
        </w:rPr>
        <w:t xml:space="preserve">, obráťte sa na svojho lekára, lekárnika alebo zdravotnú sestru, </w:t>
      </w:r>
      <w:r w:rsidR="00AF1399" w:rsidRPr="00CD0C72">
        <w:rPr>
          <w:rFonts w:ascii="Times New Roman" w:hAnsi="Times New Roman"/>
          <w:lang w:val="sk-SK" w:eastAsia="sk-SK"/>
        </w:rPr>
        <w:t>ak sa vás týka niektorý z nasledovných zdravotných problémov:</w:t>
      </w:r>
    </w:p>
    <w:p w:rsidR="00314931" w:rsidRPr="00CD0C72" w:rsidRDefault="00892DF3" w:rsidP="00C0542F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problémy s obličkami alebo pečeňou,</w:t>
      </w:r>
    </w:p>
    <w:p w:rsidR="00314931" w:rsidRPr="00CD0C72" w:rsidRDefault="00892DF3" w:rsidP="00C0542F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nízky počet krvných doštičiek (ktoré napomáhajú zrážaniu krvi) alebo poruchy krvácavosti,</w:t>
      </w:r>
    </w:p>
    <w:p w:rsidR="00314931" w:rsidRPr="00CD0C72" w:rsidRDefault="00892DF3" w:rsidP="00C0542F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problémy s krvnými zrazeninami v minulosti,</w:t>
      </w:r>
    </w:p>
    <w:p w:rsidR="00314931" w:rsidRPr="00CD0C72" w:rsidRDefault="00892DF3" w:rsidP="00C0542F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osteoporóza (úbytok kostnej hmoty),</w:t>
      </w:r>
    </w:p>
    <w:p w:rsidR="00892DF3" w:rsidRPr="00CD0C72" w:rsidRDefault="00892DF3" w:rsidP="00C0542F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alkoholizmus.</w:t>
      </w:r>
    </w:p>
    <w:p w:rsidR="00AF1399" w:rsidRPr="00CD0C72" w:rsidRDefault="00AF1399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Deti a dospievajúci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Fulvestrant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nie je indikovaný na liečbu detí a dospievajúcich do 18 rokov.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Iné lieky a Fulvestrant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373896">
        <w:rPr>
          <w:rFonts w:ascii="Times New Roman" w:hAnsi="Times New Roman"/>
          <w:b/>
          <w:lang w:val="sk-SK"/>
        </w:rPr>
        <w:t>STADA</w:t>
      </w:r>
      <w:r w:rsidR="00C0542F" w:rsidRPr="00CD0C72">
        <w:rPr>
          <w:rFonts w:ascii="Times New Roman" w:hAnsi="Times New Roman"/>
          <w:b/>
          <w:lang w:val="sk-SK"/>
        </w:rPr>
        <w:t xml:space="preserve"> 250 mg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Ak </w:t>
      </w:r>
      <w:r w:rsidR="00AF1399" w:rsidRPr="00CD0C72">
        <w:rPr>
          <w:rFonts w:ascii="Times New Roman" w:hAnsi="Times New Roman"/>
          <w:lang w:val="sk-SK"/>
        </w:rPr>
        <w:t>teraz po</w:t>
      </w:r>
      <w:r w:rsidRPr="00CD0C72">
        <w:rPr>
          <w:rFonts w:ascii="Times New Roman" w:hAnsi="Times New Roman"/>
          <w:lang w:val="sk-SK"/>
        </w:rPr>
        <w:t xml:space="preserve">užívate alebo ste v poslednom čase </w:t>
      </w:r>
      <w:r w:rsidR="00AF1399" w:rsidRPr="00CD0C72">
        <w:rPr>
          <w:rFonts w:ascii="Times New Roman" w:hAnsi="Times New Roman"/>
          <w:lang w:val="sk-SK"/>
        </w:rPr>
        <w:t>po</w:t>
      </w:r>
      <w:r w:rsidRPr="00CD0C72">
        <w:rPr>
          <w:rFonts w:ascii="Times New Roman" w:hAnsi="Times New Roman"/>
          <w:lang w:val="sk-SK"/>
        </w:rPr>
        <w:t>užívali</w:t>
      </w:r>
      <w:r w:rsidR="00AF1399" w:rsidRPr="00CD0C72">
        <w:rPr>
          <w:rFonts w:ascii="Times New Roman" w:hAnsi="Times New Roman"/>
          <w:lang w:val="sk-SK"/>
        </w:rPr>
        <w:t>, či práve budete používať</w:t>
      </w:r>
      <w:r w:rsidRPr="00CD0C72">
        <w:rPr>
          <w:rFonts w:ascii="Times New Roman" w:hAnsi="Times New Roman"/>
          <w:lang w:val="sk-SK"/>
        </w:rPr>
        <w:t xml:space="preserve"> </w:t>
      </w:r>
      <w:r w:rsidR="00AF1399" w:rsidRPr="00CD0C72">
        <w:rPr>
          <w:rFonts w:ascii="Times New Roman" w:hAnsi="Times New Roman"/>
          <w:lang w:val="sk-SK"/>
        </w:rPr>
        <w:t>ďalšie</w:t>
      </w:r>
      <w:r w:rsidRPr="00CD0C72">
        <w:rPr>
          <w:rFonts w:ascii="Times New Roman" w:hAnsi="Times New Roman"/>
          <w:lang w:val="sk-SK"/>
        </w:rPr>
        <w:t xml:space="preserve"> lieky, </w:t>
      </w:r>
      <w:r w:rsidR="00AF1399" w:rsidRPr="00CD0C72">
        <w:rPr>
          <w:rFonts w:ascii="Times New Roman" w:hAnsi="Times New Roman"/>
          <w:lang w:val="sk-SK"/>
        </w:rPr>
        <w:t>povedzte</w:t>
      </w:r>
      <w:r w:rsidRPr="00CD0C72">
        <w:rPr>
          <w:rFonts w:ascii="Times New Roman" w:hAnsi="Times New Roman"/>
          <w:lang w:val="sk-SK"/>
        </w:rPr>
        <w:t xml:space="preserve"> to, svojmu lekárovi alebo lekárnikovi.</w:t>
      </w:r>
    </w:p>
    <w:p w:rsidR="00892DF3" w:rsidRPr="00CD0C72" w:rsidRDefault="007557FF" w:rsidP="00C0542F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</w:t>
      </w:r>
      <w:r w:rsidR="00892DF3" w:rsidRPr="00CD0C72">
        <w:rPr>
          <w:rFonts w:ascii="Times New Roman" w:hAnsi="Times New Roman"/>
          <w:lang w:val="sk-SK"/>
        </w:rPr>
        <w:t>vojho lekára</w:t>
      </w:r>
      <w:r>
        <w:rPr>
          <w:rFonts w:ascii="Times New Roman" w:hAnsi="Times New Roman"/>
          <w:lang w:val="sk-SK"/>
        </w:rPr>
        <w:t xml:space="preserve"> máte</w:t>
      </w:r>
      <w:r w:rsidR="00892DF3" w:rsidRPr="00CD0C72">
        <w:rPr>
          <w:rFonts w:ascii="Times New Roman" w:hAnsi="Times New Roman"/>
          <w:lang w:val="sk-SK"/>
        </w:rPr>
        <w:t xml:space="preserve"> informovať predovšetkým vtedy, keď užívate antikoagulanciá (lieky na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zabránenie vzniku krvných zrazenín).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Tehotenstvo</w:t>
      </w:r>
      <w:r w:rsidR="00530C59">
        <w:rPr>
          <w:rFonts w:ascii="Times New Roman" w:hAnsi="Times New Roman"/>
          <w:b/>
          <w:bCs/>
          <w:lang w:val="sk-SK"/>
        </w:rPr>
        <w:t>,</w:t>
      </w:r>
      <w:r w:rsidRPr="00CD0C72">
        <w:rPr>
          <w:rFonts w:ascii="Times New Roman" w:hAnsi="Times New Roman"/>
          <w:b/>
          <w:bCs/>
          <w:lang w:val="sk-SK"/>
        </w:rPr>
        <w:t xml:space="preserve"> dojčenie</w:t>
      </w:r>
      <w:r w:rsidR="00530C59">
        <w:rPr>
          <w:rFonts w:ascii="Times New Roman" w:hAnsi="Times New Roman"/>
          <w:b/>
          <w:bCs/>
          <w:lang w:val="sk-SK"/>
        </w:rPr>
        <w:t xml:space="preserve"> a plodnosť</w:t>
      </w:r>
    </w:p>
    <w:p w:rsidR="00530C59" w:rsidRDefault="00530C59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530C59" w:rsidRPr="00530C59" w:rsidRDefault="00530C59" w:rsidP="00C0542F">
      <w:pPr>
        <w:spacing w:after="0" w:line="240" w:lineRule="auto"/>
        <w:rPr>
          <w:rFonts w:ascii="Times New Roman" w:hAnsi="Times New Roman"/>
          <w:u w:val="single"/>
          <w:lang w:val="sk-SK"/>
        </w:rPr>
      </w:pPr>
      <w:r>
        <w:rPr>
          <w:rFonts w:ascii="Times New Roman" w:hAnsi="Times New Roman"/>
          <w:u w:val="single"/>
          <w:lang w:val="sk-SK"/>
        </w:rPr>
        <w:t>Tehotenstvo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Ak ste tehotná, nesmiete používať Fulvestrant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  <w:r w:rsidRPr="00CD0C72">
        <w:rPr>
          <w:rFonts w:ascii="Times New Roman" w:hAnsi="Times New Roman"/>
          <w:lang w:val="sk-SK"/>
        </w:rPr>
        <w:t>. V prípade, že by ste mohl</w:t>
      </w:r>
      <w:r w:rsidR="00AF1399" w:rsidRPr="00CD0C72">
        <w:rPr>
          <w:rFonts w:ascii="Times New Roman" w:hAnsi="Times New Roman"/>
          <w:lang w:val="sk-SK"/>
        </w:rPr>
        <w:t>i</w:t>
      </w:r>
      <w:r w:rsidRPr="00CD0C72">
        <w:rPr>
          <w:rFonts w:ascii="Times New Roman" w:hAnsi="Times New Roman"/>
          <w:lang w:val="sk-SK"/>
        </w:rPr>
        <w:t xml:space="preserve"> otehotnieť, používajte počas</w:t>
      </w:r>
      <w:r w:rsidR="00AF1399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 xml:space="preserve">liečby Fulvestrantom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účinnú antikoncepciu.</w:t>
      </w:r>
    </w:p>
    <w:p w:rsidR="00314931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530C59" w:rsidRPr="00530C59" w:rsidRDefault="00530C59" w:rsidP="00C0542F">
      <w:pPr>
        <w:spacing w:after="0" w:line="240" w:lineRule="auto"/>
        <w:rPr>
          <w:rFonts w:ascii="Times New Roman" w:hAnsi="Times New Roman"/>
          <w:u w:val="single"/>
          <w:lang w:val="sk-SK"/>
        </w:rPr>
      </w:pPr>
      <w:r>
        <w:rPr>
          <w:rFonts w:ascii="Times New Roman" w:hAnsi="Times New Roman"/>
          <w:u w:val="single"/>
          <w:lang w:val="sk-SK"/>
        </w:rPr>
        <w:t>Dojčenie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Počas liečby Fulvestrantom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nesmiete dojčiť.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Vedenie vozidiel a obsluha strojov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Neočakáva sa, že by Fulvestrant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ovplyvňoval vašu schopnosť viesť vozidlá alebo obsluhovať stroje. Ak</w:t>
      </w:r>
      <w:r w:rsidR="009C6E14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sa však počas liečby cítite unavená, neveďte vozidlá a neobsluhujte stroje.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AF1399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530C59">
        <w:rPr>
          <w:rFonts w:ascii="Times New Roman" w:hAnsi="Times New Roman"/>
          <w:b/>
          <w:bCs/>
          <w:lang w:val="sk-SK"/>
        </w:rPr>
        <w:t xml:space="preserve">Fulvestrant </w:t>
      </w:r>
      <w:r w:rsidR="00373896" w:rsidRPr="00530C59">
        <w:rPr>
          <w:rFonts w:ascii="Times New Roman" w:hAnsi="Times New Roman"/>
          <w:b/>
          <w:lang w:val="sk-SK"/>
        </w:rPr>
        <w:t>STADA</w:t>
      </w:r>
      <w:r w:rsidRPr="00530C59">
        <w:rPr>
          <w:rFonts w:ascii="Times New Roman" w:hAnsi="Times New Roman"/>
          <w:b/>
          <w:lang w:val="sk-SK"/>
        </w:rPr>
        <w:t xml:space="preserve"> 250 mg</w:t>
      </w:r>
      <w:r w:rsidRPr="00530C59">
        <w:rPr>
          <w:rFonts w:ascii="Times New Roman" w:hAnsi="Times New Roman"/>
          <w:b/>
          <w:bCs/>
          <w:lang w:val="sk-SK"/>
        </w:rPr>
        <w:t xml:space="preserve"> obsahuje</w:t>
      </w:r>
      <w:r w:rsidR="00892DF3" w:rsidRPr="00530C59">
        <w:rPr>
          <w:rFonts w:ascii="Times New Roman" w:hAnsi="Times New Roman"/>
          <w:b/>
          <w:bCs/>
          <w:lang w:val="sk-SK"/>
        </w:rPr>
        <w:t xml:space="preserve"> </w:t>
      </w:r>
      <w:r w:rsidR="00892DF3" w:rsidRPr="00530C59">
        <w:rPr>
          <w:rFonts w:ascii="Times New Roman" w:hAnsi="Times New Roman"/>
          <w:b/>
          <w:lang w:val="sk-SK"/>
        </w:rPr>
        <w:t>1</w:t>
      </w:r>
      <w:r w:rsidR="00530C59" w:rsidRPr="00530C59">
        <w:rPr>
          <w:rFonts w:ascii="Times New Roman" w:hAnsi="Times New Roman"/>
          <w:b/>
          <w:lang w:val="sk-SK"/>
        </w:rPr>
        <w:t>2,4</w:t>
      </w:r>
      <w:r w:rsidR="00892DF3" w:rsidRPr="00530C59">
        <w:rPr>
          <w:rFonts w:ascii="Times New Roman" w:hAnsi="Times New Roman"/>
          <w:b/>
          <w:lang w:val="sk-SK"/>
        </w:rPr>
        <w:t>% w/v etanolu (alkoholu</w:t>
      </w:r>
      <w:r w:rsidR="00892DF3" w:rsidRPr="00CD0C72">
        <w:rPr>
          <w:rFonts w:ascii="Times New Roman" w:hAnsi="Times New Roman"/>
          <w:lang w:val="sk-SK"/>
        </w:rPr>
        <w:t xml:space="preserve">), t.j. až do </w:t>
      </w:r>
      <w:r w:rsidR="00530C59">
        <w:rPr>
          <w:rFonts w:ascii="Times New Roman" w:hAnsi="Times New Roman"/>
          <w:lang w:val="sk-SK"/>
        </w:rPr>
        <w:t>10</w:t>
      </w:r>
      <w:r w:rsidR="00892DF3" w:rsidRPr="00CD0C72">
        <w:rPr>
          <w:rFonts w:ascii="Times New Roman" w:hAnsi="Times New Roman"/>
          <w:lang w:val="sk-SK"/>
        </w:rPr>
        <w:t xml:space="preserve">00 mg </w:t>
      </w:r>
      <w:r w:rsidRPr="00CD0C72">
        <w:rPr>
          <w:rFonts w:ascii="Times New Roman" w:hAnsi="Times New Roman"/>
          <w:lang w:val="sk-SK"/>
        </w:rPr>
        <w:t>na</w:t>
      </w:r>
      <w:r w:rsidR="00892DF3" w:rsidRPr="00CD0C72">
        <w:rPr>
          <w:rFonts w:ascii="Times New Roman" w:hAnsi="Times New Roman"/>
          <w:lang w:val="sk-SK"/>
        </w:rPr>
        <w:t xml:space="preserve"> jedn</w:t>
      </w:r>
      <w:r w:rsidRPr="00CD0C72">
        <w:rPr>
          <w:rFonts w:ascii="Times New Roman" w:hAnsi="Times New Roman"/>
          <w:lang w:val="sk-SK"/>
        </w:rPr>
        <w:t>u</w:t>
      </w:r>
      <w:r w:rsidR="00892DF3" w:rsidRPr="00CD0C72">
        <w:rPr>
          <w:rFonts w:ascii="Times New Roman" w:hAnsi="Times New Roman"/>
          <w:lang w:val="sk-SK"/>
        </w:rPr>
        <w:t xml:space="preserve"> </w:t>
      </w:r>
      <w:r w:rsidR="00530C59">
        <w:rPr>
          <w:rFonts w:ascii="Times New Roman" w:hAnsi="Times New Roman"/>
          <w:lang w:val="sk-SK"/>
        </w:rPr>
        <w:t>dávku</w:t>
      </w:r>
      <w:r w:rsidR="00892DF3" w:rsidRPr="00CD0C72">
        <w:rPr>
          <w:rFonts w:ascii="Times New Roman" w:hAnsi="Times New Roman"/>
          <w:lang w:val="sk-SK"/>
        </w:rPr>
        <w:t xml:space="preserve">, čo </w:t>
      </w:r>
      <w:r w:rsidRPr="00CD0C72">
        <w:rPr>
          <w:rFonts w:ascii="Times New Roman" w:hAnsi="Times New Roman"/>
          <w:lang w:val="sk-SK"/>
        </w:rPr>
        <w:t xml:space="preserve">zodpovedá </w:t>
      </w:r>
      <w:r w:rsidR="00530C59">
        <w:rPr>
          <w:rFonts w:ascii="Times New Roman" w:hAnsi="Times New Roman"/>
          <w:lang w:val="sk-SK"/>
        </w:rPr>
        <w:t>25</w:t>
      </w:r>
      <w:r w:rsidR="00892DF3" w:rsidRPr="00CD0C72">
        <w:rPr>
          <w:rFonts w:ascii="Times New Roman" w:hAnsi="Times New Roman"/>
          <w:lang w:val="sk-SK"/>
        </w:rPr>
        <w:t xml:space="preserve"> ml</w:t>
      </w:r>
      <w:r w:rsidR="009C6E14" w:rsidRPr="00CD0C72">
        <w:rPr>
          <w:rFonts w:ascii="Times New Roman" w:hAnsi="Times New Roman"/>
          <w:lang w:val="sk-SK"/>
        </w:rPr>
        <w:t xml:space="preserve"> </w:t>
      </w:r>
      <w:r w:rsidR="00892DF3" w:rsidRPr="00CD0C72">
        <w:rPr>
          <w:rFonts w:ascii="Times New Roman" w:hAnsi="Times New Roman"/>
          <w:lang w:val="sk-SK"/>
        </w:rPr>
        <w:t xml:space="preserve">piva alebo </w:t>
      </w:r>
      <w:r w:rsidR="00530C59">
        <w:rPr>
          <w:rFonts w:ascii="Times New Roman" w:hAnsi="Times New Roman"/>
          <w:lang w:val="sk-SK"/>
        </w:rPr>
        <w:t>10</w:t>
      </w:r>
      <w:r w:rsidR="00892DF3" w:rsidRPr="00CD0C72">
        <w:rPr>
          <w:rFonts w:ascii="Times New Roman" w:hAnsi="Times New Roman"/>
          <w:lang w:val="sk-SK"/>
        </w:rPr>
        <w:t xml:space="preserve"> ml vína </w:t>
      </w:r>
      <w:r w:rsidRPr="00CD0C72">
        <w:rPr>
          <w:rFonts w:ascii="Times New Roman" w:hAnsi="Times New Roman"/>
          <w:lang w:val="sk-SK"/>
        </w:rPr>
        <w:t xml:space="preserve">na jednu </w:t>
      </w:r>
      <w:r w:rsidR="00530C59">
        <w:rPr>
          <w:rFonts w:ascii="Times New Roman" w:hAnsi="Times New Roman"/>
          <w:lang w:val="sk-SK"/>
        </w:rPr>
        <w:t>dávku</w:t>
      </w:r>
      <w:r w:rsidR="00892DF3" w:rsidRPr="00CD0C72">
        <w:rPr>
          <w:rFonts w:ascii="Times New Roman" w:hAnsi="Times New Roman"/>
          <w:lang w:val="sk-SK"/>
        </w:rPr>
        <w:t>.</w:t>
      </w:r>
    </w:p>
    <w:p w:rsidR="00AF1399" w:rsidRPr="00CD0C72" w:rsidRDefault="00AF1399" w:rsidP="00AF13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Škodlivé pre tých, ktorí trpia alkoholizmom.</w:t>
      </w:r>
    </w:p>
    <w:p w:rsidR="00314931" w:rsidRPr="00CD0C72" w:rsidRDefault="00AF1399" w:rsidP="00AF13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Musí sa vziať do úvahy u dojčiacich a tehotných žien, detí a vysoko rizikových skupín, ako sú pacienti s ochorením pečene alebo epilepsiou.</w:t>
      </w:r>
    </w:p>
    <w:p w:rsidR="00AF1399" w:rsidRPr="00CD0C72" w:rsidRDefault="00AF1399" w:rsidP="00AF13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AF1399" w:rsidRPr="00530C59" w:rsidRDefault="00AF1399" w:rsidP="00AF1399">
      <w:pPr>
        <w:spacing w:after="0" w:line="240" w:lineRule="auto"/>
        <w:contextualSpacing/>
        <w:rPr>
          <w:rFonts w:ascii="Times New Roman" w:hAnsi="Times New Roman"/>
          <w:b/>
          <w:lang w:val="sk-SK"/>
        </w:rPr>
      </w:pPr>
      <w:r w:rsidRPr="00530C59">
        <w:rPr>
          <w:rFonts w:ascii="Times New Roman" w:hAnsi="Times New Roman"/>
          <w:b/>
          <w:bCs/>
          <w:lang w:val="sk-SK"/>
        </w:rPr>
        <w:t xml:space="preserve">Fulvestrant </w:t>
      </w:r>
      <w:r w:rsidR="00373896" w:rsidRPr="00530C59">
        <w:rPr>
          <w:rFonts w:ascii="Times New Roman" w:hAnsi="Times New Roman"/>
          <w:b/>
          <w:lang w:val="sk-SK"/>
        </w:rPr>
        <w:t>STADA</w:t>
      </w:r>
      <w:r w:rsidRPr="00530C59">
        <w:rPr>
          <w:rFonts w:ascii="Times New Roman" w:hAnsi="Times New Roman"/>
          <w:b/>
          <w:lang w:val="sk-SK"/>
        </w:rPr>
        <w:t xml:space="preserve"> 250 mg</w:t>
      </w:r>
      <w:r w:rsidRPr="00530C59">
        <w:rPr>
          <w:rFonts w:ascii="Times New Roman" w:hAnsi="Times New Roman"/>
          <w:b/>
          <w:bCs/>
          <w:lang w:val="sk-SK"/>
        </w:rPr>
        <w:t xml:space="preserve"> </w:t>
      </w:r>
      <w:r w:rsidRPr="00530C59">
        <w:rPr>
          <w:rFonts w:ascii="Times New Roman" w:hAnsi="Times New Roman"/>
          <w:b/>
          <w:lang w:val="sk-SK"/>
        </w:rPr>
        <w:t>obsahuje 500 mg benzylalkoholu v</w:t>
      </w:r>
      <w:r w:rsidR="00530C59" w:rsidRPr="00530C59">
        <w:rPr>
          <w:rFonts w:ascii="Times New Roman" w:hAnsi="Times New Roman"/>
          <w:b/>
          <w:lang w:val="sk-SK"/>
        </w:rPr>
        <w:t> </w:t>
      </w:r>
      <w:r w:rsidRPr="00530C59">
        <w:rPr>
          <w:rFonts w:ascii="Times New Roman" w:hAnsi="Times New Roman"/>
          <w:b/>
          <w:lang w:val="sk-SK"/>
        </w:rPr>
        <w:t>každ</w:t>
      </w:r>
      <w:r w:rsidR="00530C59" w:rsidRPr="00530C59">
        <w:rPr>
          <w:rFonts w:ascii="Times New Roman" w:hAnsi="Times New Roman"/>
          <w:b/>
          <w:lang w:val="sk-SK"/>
        </w:rPr>
        <w:t xml:space="preserve">ých 5 ml. </w:t>
      </w:r>
    </w:p>
    <w:p w:rsidR="00530C59" w:rsidRDefault="00AF1399" w:rsidP="00AF1399">
      <w:pPr>
        <w:spacing w:after="0" w:line="240" w:lineRule="auto"/>
        <w:contextualSpacing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Benzylalkohol môže spôsobiť alergické reakcie.</w:t>
      </w:r>
      <w:r w:rsidR="00B26961" w:rsidRPr="00CD0C72">
        <w:rPr>
          <w:rFonts w:ascii="Times New Roman" w:hAnsi="Times New Roman"/>
          <w:lang w:val="sk-SK" w:eastAsia="sk-SK"/>
        </w:rPr>
        <w:t xml:space="preserve"> </w:t>
      </w:r>
    </w:p>
    <w:p w:rsidR="00314931" w:rsidRPr="00CD0C72" w:rsidRDefault="00B26961" w:rsidP="00B2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Požiadajte svojho lekára alebo lekárnika o radu, ak máte ochorenie pečene alebo obličiek, pretože vo vašom tele sa môžu hromadiť veľké množstvá benzylalkoholu a</w:t>
      </w:r>
      <w:r w:rsidR="00530C59">
        <w:rPr>
          <w:rFonts w:ascii="Times New Roman" w:hAnsi="Times New Roman"/>
          <w:lang w:val="sk-SK" w:eastAsia="sk-SK"/>
        </w:rPr>
        <w:t xml:space="preserve"> </w:t>
      </w:r>
      <w:r w:rsidRPr="00CD0C72">
        <w:rPr>
          <w:rFonts w:ascii="Times New Roman" w:hAnsi="Times New Roman"/>
          <w:lang w:val="sk-SK" w:eastAsia="sk-SK"/>
        </w:rPr>
        <w:t>môžu spôsobiť vedľajšie účinky (nazývané “metabolická acidóza”).</w:t>
      </w:r>
    </w:p>
    <w:p w:rsidR="00B26961" w:rsidRPr="00CD0C72" w:rsidRDefault="00B26961" w:rsidP="00B2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B26961" w:rsidRPr="00530C59" w:rsidRDefault="00B26961" w:rsidP="00B26961">
      <w:pPr>
        <w:spacing w:after="0" w:line="240" w:lineRule="auto"/>
        <w:contextualSpacing/>
        <w:rPr>
          <w:rFonts w:ascii="Times New Roman" w:hAnsi="Times New Roman"/>
          <w:b/>
          <w:lang w:val="sk-SK"/>
        </w:rPr>
      </w:pPr>
      <w:r w:rsidRPr="00530C59">
        <w:rPr>
          <w:rFonts w:ascii="Times New Roman" w:hAnsi="Times New Roman"/>
          <w:b/>
          <w:bCs/>
          <w:lang w:val="sk-SK"/>
        </w:rPr>
        <w:t xml:space="preserve">Fulvestrant </w:t>
      </w:r>
      <w:r w:rsidR="00373896" w:rsidRPr="00530C59">
        <w:rPr>
          <w:rFonts w:ascii="Times New Roman" w:hAnsi="Times New Roman"/>
          <w:b/>
          <w:lang w:val="sk-SK"/>
        </w:rPr>
        <w:t>STADA</w:t>
      </w:r>
      <w:r w:rsidRPr="00530C59">
        <w:rPr>
          <w:rFonts w:ascii="Times New Roman" w:hAnsi="Times New Roman"/>
          <w:b/>
          <w:lang w:val="sk-SK"/>
        </w:rPr>
        <w:t xml:space="preserve"> 250 mg</w:t>
      </w:r>
      <w:r w:rsidRPr="00530C59">
        <w:rPr>
          <w:rFonts w:ascii="Times New Roman" w:hAnsi="Times New Roman"/>
          <w:b/>
          <w:bCs/>
          <w:lang w:val="sk-SK"/>
        </w:rPr>
        <w:t xml:space="preserve"> </w:t>
      </w:r>
      <w:r w:rsidRPr="00530C59">
        <w:rPr>
          <w:rFonts w:ascii="Times New Roman" w:hAnsi="Times New Roman"/>
          <w:b/>
          <w:lang w:val="sk-SK"/>
        </w:rPr>
        <w:t>obsahuje 750 mg benzylbenzoátu v</w:t>
      </w:r>
      <w:r w:rsidR="00530C59" w:rsidRPr="00530C59">
        <w:rPr>
          <w:rFonts w:ascii="Times New Roman" w:hAnsi="Times New Roman"/>
          <w:b/>
          <w:lang w:val="sk-SK"/>
        </w:rPr>
        <w:t> </w:t>
      </w:r>
      <w:r w:rsidRPr="00530C59">
        <w:rPr>
          <w:rFonts w:ascii="Times New Roman" w:hAnsi="Times New Roman"/>
          <w:b/>
          <w:lang w:val="sk-SK"/>
        </w:rPr>
        <w:t>každ</w:t>
      </w:r>
      <w:r w:rsidR="00530C59" w:rsidRPr="00530C59">
        <w:rPr>
          <w:rFonts w:ascii="Times New Roman" w:hAnsi="Times New Roman"/>
          <w:b/>
          <w:lang w:val="sk-SK"/>
        </w:rPr>
        <w:t>ých 5 ml.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CD0C72" w:rsidRDefault="00892DF3" w:rsidP="00B26961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Ako používať Fulvestrant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373896">
        <w:rPr>
          <w:rFonts w:ascii="Times New Roman" w:hAnsi="Times New Roman"/>
          <w:b/>
          <w:lang w:val="sk-SK"/>
        </w:rPr>
        <w:t>STADA</w:t>
      </w:r>
      <w:r w:rsidR="00C0542F" w:rsidRPr="00CD0C72">
        <w:rPr>
          <w:rFonts w:ascii="Times New Roman" w:hAnsi="Times New Roman"/>
          <w:b/>
          <w:lang w:val="sk-SK"/>
        </w:rPr>
        <w:t xml:space="preserve"> 250 mg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B26961" w:rsidRPr="00CD0C72" w:rsidRDefault="00B26961" w:rsidP="00B2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Vždy používajte tento liek presne tak, ako vám povedal váš lekár alebo lekárnik. Ak si nie ste niečím</w:t>
      </w:r>
    </w:p>
    <w:p w:rsidR="001723CF" w:rsidRPr="00CD0C72" w:rsidRDefault="00B26961" w:rsidP="00B26961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istá, overte si to u svojho lekára alebo lekárnika.</w:t>
      </w:r>
    </w:p>
    <w:p w:rsidR="00B26961" w:rsidRPr="00CD0C72" w:rsidRDefault="00B26961" w:rsidP="00B26961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Odporúčaná dávka je 500 mg fulvestrantu (dve 250 mg/5 ml injekcie) podávané jedenkrát mesačne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s ďalšou 500 mg dávkou podávanou 2 týždne po začiatočnej dávke.</w:t>
      </w:r>
    </w:p>
    <w:p w:rsidR="001723CF" w:rsidRPr="00CD0C72" w:rsidRDefault="001723C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Váš lekár alebo zdravotná sestra vám podá Fulvestrant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ako pomalú vnútrosvalovú injekciu do sedacieho</w:t>
      </w:r>
      <w:r w:rsidR="009C6E14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svalu.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B26961" w:rsidRPr="00CD0C72" w:rsidRDefault="00B26961" w:rsidP="00B2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Ak máte akékoľvek ďalšie otázky týkajúce sa použitia tohto lieku, opýtajte sa svojho lekára, lekárnika alebo zdravotnej sestry.</w:t>
      </w:r>
    </w:p>
    <w:p w:rsidR="00B26961" w:rsidRPr="00CD0C72" w:rsidRDefault="00B26961" w:rsidP="00B26961">
      <w:pPr>
        <w:spacing w:after="0" w:line="240" w:lineRule="auto"/>
        <w:rPr>
          <w:rFonts w:ascii="Times New Roman" w:hAnsi="Times New Roman"/>
          <w:lang w:val="sk-SK"/>
        </w:rPr>
      </w:pPr>
    </w:p>
    <w:p w:rsidR="00B26961" w:rsidRPr="00CD0C72" w:rsidRDefault="00B26961" w:rsidP="00B26961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CD0C72" w:rsidRDefault="00892DF3" w:rsidP="00B26961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Možné vedľajšie účinky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Tak ako všetky lieky, aj tento liek môže spôsobovať vedľajšie účinky, hoci sa neprejavia u každého.</w:t>
      </w:r>
    </w:p>
    <w:p w:rsidR="001723CF" w:rsidRPr="00CD0C72" w:rsidRDefault="001723C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Ak spozorujete niektorý z nasledujúcich vedľajších účinkov, môžete potrebovať okamžitú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lekársku starostlivosť:</w:t>
      </w:r>
    </w:p>
    <w:p w:rsidR="001723CF" w:rsidRPr="00CD0C72" w:rsidRDefault="001723CF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1723CF" w:rsidRPr="00CD0C72" w:rsidRDefault="00892DF3" w:rsidP="00B2696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Alergické reakcie (precitlivenosť), vrátane opuchu tváre, pier, jazyka a/alebo hrdla</w:t>
      </w:r>
      <w:r w:rsidR="00B26961" w:rsidRPr="00CD0C72">
        <w:rPr>
          <w:rFonts w:ascii="Times New Roman" w:hAnsi="Times New Roman"/>
          <w:lang w:val="sk-SK"/>
        </w:rPr>
        <w:t xml:space="preserve"> </w:t>
      </w:r>
      <w:r w:rsidR="00B26961" w:rsidRPr="00CD0C72">
        <w:rPr>
          <w:rFonts w:ascii="Times New Roman" w:hAnsi="Times New Roman"/>
          <w:lang w:val="sk-SK" w:eastAsia="sk-SK"/>
        </w:rPr>
        <w:t>môžu to byť prejavy anafylaktickej reakcie</w:t>
      </w:r>
    </w:p>
    <w:p w:rsidR="001723CF" w:rsidRPr="00CD0C72" w:rsidRDefault="00892DF3" w:rsidP="00B26961">
      <w:pPr>
        <w:pStyle w:val="Odsekzoznamu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Tromboembólia (zvýšené riziko vzniku krvných zrazenín)*</w:t>
      </w:r>
    </w:p>
    <w:p w:rsidR="001723CF" w:rsidRPr="00CD0C72" w:rsidRDefault="00892DF3" w:rsidP="00B26961">
      <w:pPr>
        <w:pStyle w:val="Odsekzoznamu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Zápal pečene (hepatitída)</w:t>
      </w:r>
    </w:p>
    <w:p w:rsidR="00892DF3" w:rsidRPr="00CD0C72" w:rsidRDefault="00892DF3" w:rsidP="00B26961">
      <w:pPr>
        <w:pStyle w:val="Odsekzoznamu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Zlyhanie pečene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EC35ED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I</w:t>
      </w:r>
      <w:r w:rsidR="00892DF3" w:rsidRPr="00CD0C72">
        <w:rPr>
          <w:rFonts w:ascii="Times New Roman" w:hAnsi="Times New Roman"/>
          <w:b/>
          <w:bCs/>
          <w:lang w:val="sk-SK"/>
        </w:rPr>
        <w:t>nformujte svojho lekára, lekárnika alebo zdravotnú sestru, ak spozorujete niektorý</w:t>
      </w:r>
      <w:r w:rsidR="00B26961" w:rsidRPr="00CD0C72">
        <w:rPr>
          <w:rFonts w:ascii="Times New Roman" w:hAnsi="Times New Roman"/>
          <w:b/>
          <w:bCs/>
          <w:lang w:val="sk-SK"/>
        </w:rPr>
        <w:t xml:space="preserve"> </w:t>
      </w:r>
      <w:r w:rsidR="00892DF3" w:rsidRPr="00CD0C72">
        <w:rPr>
          <w:rFonts w:ascii="Times New Roman" w:hAnsi="Times New Roman"/>
          <w:b/>
          <w:bCs/>
          <w:lang w:val="sk-SK"/>
        </w:rPr>
        <w:t xml:space="preserve">z </w:t>
      </w:r>
      <w:r w:rsidR="00B26961" w:rsidRPr="00CD0C72">
        <w:rPr>
          <w:rFonts w:ascii="Times New Roman" w:hAnsi="Times New Roman"/>
          <w:b/>
          <w:bCs/>
          <w:lang w:val="sk-SK"/>
        </w:rPr>
        <w:t>n</w:t>
      </w:r>
      <w:r w:rsidR="00892DF3" w:rsidRPr="00CD0C72">
        <w:rPr>
          <w:rFonts w:ascii="Times New Roman" w:hAnsi="Times New Roman"/>
          <w:b/>
          <w:bCs/>
          <w:lang w:val="sk-SK"/>
        </w:rPr>
        <w:t>asledujúcich vedľajších účinkov:</w:t>
      </w:r>
    </w:p>
    <w:p w:rsidR="001723CF" w:rsidRPr="00CD0C72" w:rsidRDefault="001723CF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Veľmi časté vedľajšie účinky </w:t>
      </w:r>
      <w:r w:rsidRPr="00CD0C72">
        <w:rPr>
          <w:rFonts w:ascii="Times New Roman" w:hAnsi="Times New Roman"/>
          <w:lang w:val="sk-SK"/>
        </w:rPr>
        <w:t xml:space="preserve">(môžu </w:t>
      </w:r>
      <w:r w:rsidR="001723CF" w:rsidRPr="00CD0C72">
        <w:rPr>
          <w:rFonts w:ascii="Times New Roman" w:hAnsi="Times New Roman"/>
          <w:lang w:val="sk-SK"/>
        </w:rPr>
        <w:t>postihovať viac ako</w:t>
      </w:r>
      <w:r w:rsidRPr="00CD0C72">
        <w:rPr>
          <w:rFonts w:ascii="Times New Roman" w:hAnsi="Times New Roman"/>
          <w:lang w:val="sk-SK"/>
        </w:rPr>
        <w:t xml:space="preserve"> 1 z 10 </w:t>
      </w:r>
      <w:r w:rsidR="001723CF" w:rsidRPr="00CD0C72">
        <w:rPr>
          <w:rFonts w:ascii="Times New Roman" w:hAnsi="Times New Roman"/>
          <w:lang w:val="sk-SK"/>
        </w:rPr>
        <w:t>osôb</w:t>
      </w:r>
      <w:r w:rsidRPr="00CD0C72">
        <w:rPr>
          <w:rFonts w:ascii="Times New Roman" w:hAnsi="Times New Roman"/>
          <w:lang w:val="sk-SK"/>
        </w:rPr>
        <w:t>)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Reakcie v mieste podania injekcie ako je bolesť a/alebo zápal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Abnormálne hladiny pečeňových enzýmov (v krvných testoch)*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Nauzea (pocit na vracanie)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Slabosť, únava*</w:t>
      </w:r>
    </w:p>
    <w:p w:rsidR="00B26961" w:rsidRPr="00CD0C72" w:rsidRDefault="00B26961" w:rsidP="00B2696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Bolesť kĺbov, svalov a kostí</w:t>
      </w:r>
    </w:p>
    <w:p w:rsidR="00B26961" w:rsidRPr="00CD0C72" w:rsidRDefault="00B26961" w:rsidP="00B2696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Návaly tepla</w:t>
      </w:r>
    </w:p>
    <w:p w:rsidR="00B26961" w:rsidRPr="00CD0C72" w:rsidRDefault="00B26961" w:rsidP="00B2696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Kožná vyrážka</w:t>
      </w:r>
    </w:p>
    <w:p w:rsidR="00B26961" w:rsidRPr="00CD0C72" w:rsidRDefault="00B26961" w:rsidP="00B26961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lang w:val="sk-SK" w:eastAsia="sk-SK"/>
        </w:rPr>
        <w:t>Alergické reakcie (precitlivenosť), vrátane opuchu tváre, pier, jazyka a/alebo hrdla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eastAsia="TimesNewRoman,Bold" w:hAnsi="Times New Roman"/>
          <w:b/>
          <w:bCs/>
          <w:lang w:val="sk-SK" w:eastAsia="sk-SK"/>
        </w:rPr>
        <w:t>Ďalšie vedľajšie účinky: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Časté vedľajšie účinky </w:t>
      </w:r>
      <w:r w:rsidR="001723CF" w:rsidRPr="00CD0C72">
        <w:rPr>
          <w:rFonts w:ascii="Times New Roman" w:hAnsi="Times New Roman"/>
          <w:lang w:val="sk-SK"/>
        </w:rPr>
        <w:t>(môžu postihovať menej ako 1 z 10 osôb)</w:t>
      </w:r>
    </w:p>
    <w:p w:rsidR="00892DF3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Bolesť hlavy</w:t>
      </w:r>
    </w:p>
    <w:p w:rsidR="00892DF3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Vracanie, hnač</w:t>
      </w:r>
      <w:r w:rsidR="001723CF" w:rsidRPr="00CD0C72">
        <w:rPr>
          <w:rFonts w:ascii="Times New Roman" w:hAnsi="Times New Roman"/>
          <w:lang w:val="sk-SK"/>
        </w:rPr>
        <w:t>ka alebo strata chuti do jedla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Infekcie močových ciest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Bolesť chrbta*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Zvýšenie hodnôt bilirubínu (žlčové farbivo, ktoré sa tvorí v pečeni)</w:t>
      </w:r>
    </w:p>
    <w:p w:rsidR="001723CF" w:rsidRPr="00CD0C72" w:rsidRDefault="00892DF3" w:rsidP="00330203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Tromboembólia (zvýšené riziko vzniku krvných zrazenín)*</w:t>
      </w:r>
    </w:p>
    <w:p w:rsidR="00330203" w:rsidRPr="00CD0C72" w:rsidRDefault="00330203" w:rsidP="003302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Znížené hladiny krvných doštičiek (trombocytopénia)</w:t>
      </w:r>
    </w:p>
    <w:p w:rsidR="00330203" w:rsidRPr="00CD0C72" w:rsidRDefault="00330203" w:rsidP="003302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Vaginálne krvácanie</w:t>
      </w:r>
    </w:p>
    <w:p w:rsidR="00330203" w:rsidRPr="00CD0C72" w:rsidRDefault="00330203" w:rsidP="003302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lastRenderedPageBreak/>
        <w:t>Bolesť v dolnej časti chrbta vyžarujúca do dolnej končatiny na jednej strane (ischias)</w:t>
      </w:r>
    </w:p>
    <w:p w:rsidR="00B26961" w:rsidRPr="00CD0C72" w:rsidRDefault="00330203" w:rsidP="003302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lang w:val="sk-SK" w:eastAsia="sk-SK"/>
        </w:rPr>
        <w:t>Náhla slabosť, znecitlivenie, mravčenie alebo nepohyblivosť nohy, obzvlášť iba na jednej strane tela, náhle problémy s chôdzou alebo rovnováhou (periférna neuropatia)</w:t>
      </w:r>
    </w:p>
    <w:p w:rsidR="00330203" w:rsidRPr="00CD0C72" w:rsidRDefault="00330203" w:rsidP="00330203">
      <w:pPr>
        <w:spacing w:after="0" w:line="240" w:lineRule="auto"/>
        <w:ind w:left="720"/>
        <w:rPr>
          <w:rFonts w:ascii="Times New Roman" w:hAnsi="Times New Roman"/>
          <w:b/>
          <w:bCs/>
          <w:lang w:val="sk-SK"/>
        </w:rPr>
      </w:pPr>
    </w:p>
    <w:p w:rsidR="001723CF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Menej časté vedľajšie účinky </w:t>
      </w:r>
      <w:r w:rsidR="001723CF" w:rsidRPr="00CD0C72">
        <w:rPr>
          <w:rFonts w:ascii="Times New Roman" w:hAnsi="Times New Roman"/>
          <w:lang w:val="sk-SK"/>
        </w:rPr>
        <w:t>(môžu postihovať menej ako 1 zo 100 osôb)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Hustý belavý výtok z pošvy a kandidóza (infekcia)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Podliatina a krvácanie v mieste vpichu injekcie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Zvýšenie gama-GT pečeňového enzýmu, pozorovaného pri kontrole krvi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Zápal pečene (hepatitída)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Zlyhanie pečene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Znecitlivenie, mravčenie a bolesť</w:t>
      </w:r>
    </w:p>
    <w:p w:rsidR="00EC35ED" w:rsidRPr="00CD0C72" w:rsidRDefault="00330203" w:rsidP="00330203">
      <w:pPr>
        <w:numPr>
          <w:ilvl w:val="0"/>
          <w:numId w:val="12"/>
        </w:numPr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Anafylaktické reakcie</w:t>
      </w:r>
    </w:p>
    <w:p w:rsidR="00330203" w:rsidRPr="00CD0C72" w:rsidRDefault="00330203" w:rsidP="00330203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CD0C72" w:rsidRDefault="00330203" w:rsidP="0033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 w:eastAsia="sk-SK"/>
        </w:rPr>
        <w:t xml:space="preserve">*Zahŕňa vedľajšie účinky, pri ktorých sa spôsobenie Fulvestrantom </w:t>
      </w:r>
      <w:r w:rsidR="00373896">
        <w:rPr>
          <w:rFonts w:ascii="Times New Roman" w:hAnsi="Times New Roman"/>
          <w:lang w:val="sk-SK" w:eastAsia="sk-SK"/>
        </w:rPr>
        <w:t>STADA</w:t>
      </w:r>
      <w:r w:rsidRPr="00CD0C72">
        <w:rPr>
          <w:rFonts w:ascii="Times New Roman" w:hAnsi="Times New Roman"/>
          <w:lang w:val="sk-SK" w:eastAsia="sk-SK"/>
        </w:rPr>
        <w:t xml:space="preserve"> nemôže posudzovať vzhľadom na základné ochorenie.</w:t>
      </w:r>
    </w:p>
    <w:p w:rsidR="00330203" w:rsidRPr="00577FE3" w:rsidRDefault="00330203" w:rsidP="00577FE3">
      <w:pPr>
        <w:spacing w:after="0" w:line="240" w:lineRule="auto"/>
        <w:rPr>
          <w:rFonts w:ascii="Times New Roman" w:hAnsi="Times New Roman"/>
          <w:b/>
          <w:lang w:val="sk-SK"/>
        </w:rPr>
      </w:pPr>
    </w:p>
    <w:p w:rsidR="00330203" w:rsidRPr="00577FE3" w:rsidRDefault="00330203" w:rsidP="00577FE3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lang w:val="sk-SK"/>
        </w:rPr>
      </w:pPr>
      <w:r w:rsidRPr="00577FE3">
        <w:rPr>
          <w:rFonts w:ascii="Times New Roman" w:hAnsi="Times New Roman"/>
          <w:b/>
          <w:bCs/>
          <w:lang w:val="sk-SK"/>
        </w:rPr>
        <w:t>Hlásenie vedľajších účinkov</w:t>
      </w:r>
    </w:p>
    <w:p w:rsidR="00577FE3" w:rsidRPr="00577FE3" w:rsidRDefault="00577FE3" w:rsidP="00577FE3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lang w:val="sk-SK"/>
        </w:rPr>
      </w:pPr>
      <w:r w:rsidRPr="00577FE3">
        <w:rPr>
          <w:rFonts w:ascii="Times New Roman" w:hAnsi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577FE3">
        <w:rPr>
          <w:rFonts w:ascii="Times New Roman" w:hAnsi="Times New Roman"/>
          <w:shd w:val="clear" w:color="auto" w:fill="C0C0C0"/>
          <w:lang w:val="sk-SK"/>
        </w:rPr>
        <w:t>národné centrum hlásenia uvedené v </w:t>
      </w:r>
      <w:hyperlink r:id="rId8" w:history="1">
        <w:r w:rsidRPr="00577FE3">
          <w:rPr>
            <w:rStyle w:val="Hypertextovprepojenie"/>
            <w:rFonts w:ascii="Times New Roman" w:hAnsi="Times New Roman"/>
            <w:shd w:val="clear" w:color="auto" w:fill="C0C0C0"/>
            <w:lang w:val="sk-SK"/>
          </w:rPr>
          <w:t>prílohe V</w:t>
        </w:r>
      </w:hyperlink>
      <w:r w:rsidRPr="00577FE3">
        <w:rPr>
          <w:rFonts w:ascii="Times New Roman" w:hAnsi="Times New Roman"/>
          <w:lang w:val="sk-SK"/>
        </w:rPr>
        <w:t>. Hlásením vedľajších účinkov môžete prispieť k získaniu ďalších informácií o bezpečnosti tohto lieku.</w:t>
      </w:r>
    </w:p>
    <w:p w:rsidR="001723CF" w:rsidRPr="00577FE3" w:rsidRDefault="001723CF" w:rsidP="00577FE3">
      <w:pPr>
        <w:spacing w:after="0" w:line="240" w:lineRule="auto"/>
        <w:rPr>
          <w:rFonts w:ascii="Times New Roman" w:hAnsi="Times New Roman"/>
          <w:lang w:val="sk-SK"/>
        </w:rPr>
      </w:pPr>
    </w:p>
    <w:p w:rsidR="00330203" w:rsidRPr="00577FE3" w:rsidRDefault="00330203" w:rsidP="00577FE3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577FE3" w:rsidRDefault="00892DF3" w:rsidP="00577FE3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577FE3">
        <w:rPr>
          <w:rFonts w:ascii="Times New Roman" w:hAnsi="Times New Roman"/>
          <w:b/>
          <w:bCs/>
          <w:lang w:val="sk-SK"/>
        </w:rPr>
        <w:t>Ako uchovávať Fulvestrant</w:t>
      </w:r>
      <w:r w:rsidR="00B5704E" w:rsidRPr="00577FE3">
        <w:rPr>
          <w:rFonts w:ascii="Times New Roman" w:hAnsi="Times New Roman"/>
          <w:b/>
          <w:bCs/>
          <w:lang w:val="sk-SK"/>
        </w:rPr>
        <w:t xml:space="preserve"> </w:t>
      </w:r>
      <w:r w:rsidR="00373896">
        <w:rPr>
          <w:rFonts w:ascii="Times New Roman" w:hAnsi="Times New Roman"/>
          <w:b/>
          <w:lang w:val="sk-SK"/>
        </w:rPr>
        <w:t>STADA</w:t>
      </w:r>
      <w:r w:rsidR="00C0542F" w:rsidRPr="00577FE3">
        <w:rPr>
          <w:rFonts w:ascii="Times New Roman" w:hAnsi="Times New Roman"/>
          <w:b/>
          <w:lang w:val="sk-SK"/>
        </w:rPr>
        <w:t xml:space="preserve"> 250 mg</w:t>
      </w:r>
    </w:p>
    <w:p w:rsidR="009840F2" w:rsidRPr="00577FE3" w:rsidRDefault="009840F2" w:rsidP="00577FE3">
      <w:pPr>
        <w:pStyle w:val="Odsekzoznamu"/>
        <w:spacing w:after="0" w:line="240" w:lineRule="auto"/>
        <w:contextualSpacing w:val="0"/>
        <w:rPr>
          <w:rFonts w:ascii="Times New Roman" w:hAnsi="Times New Roman"/>
          <w:b/>
          <w:bCs/>
          <w:lang w:val="sk-SK"/>
        </w:rPr>
      </w:pPr>
    </w:p>
    <w:p w:rsidR="001723CF" w:rsidRPr="00577FE3" w:rsidRDefault="005F667C" w:rsidP="00577FE3">
      <w:pPr>
        <w:pStyle w:val="Odsekzoznamu"/>
        <w:numPr>
          <w:ilvl w:val="12"/>
          <w:numId w:val="1"/>
        </w:numPr>
        <w:tabs>
          <w:tab w:val="clear" w:pos="360"/>
          <w:tab w:val="num" w:pos="0"/>
        </w:tabs>
        <w:spacing w:after="0" w:line="240" w:lineRule="auto"/>
        <w:ind w:left="0" w:right="-2"/>
        <w:contextualSpacing w:val="0"/>
        <w:rPr>
          <w:rFonts w:ascii="Times New Roman" w:hAnsi="Times New Roman"/>
          <w:lang w:val="sk-SK"/>
        </w:rPr>
      </w:pP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="001723CF" w:rsidRPr="00577FE3">
        <w:rPr>
          <w:rFonts w:ascii="Times New Roman" w:hAnsi="Times New Roman"/>
          <w:lang w:val="sk-SK"/>
        </w:rPr>
        <w:t>Tento liek uchovávajte mimo dohľadu a dosahu detí.</w:t>
      </w:r>
    </w:p>
    <w:p w:rsidR="00580274" w:rsidRDefault="00580274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526D05" w:rsidRPr="000C254D" w:rsidRDefault="00526D05" w:rsidP="00526D05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Uchovávajte a prepravujte v chladničke (2 °C – 8 °C). </w:t>
      </w:r>
    </w:p>
    <w:p w:rsidR="00526D05" w:rsidRPr="000C254D" w:rsidRDefault="00526D05" w:rsidP="00526D05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Naplnenú injekčnú striekačku uchovávajte v pôvodnom </w:t>
      </w:r>
      <w:r w:rsidR="002D74CD">
        <w:rPr>
          <w:rFonts w:ascii="Times New Roman" w:hAnsi="Times New Roman"/>
          <w:lang w:val="sk-SK"/>
        </w:rPr>
        <w:t>obale</w:t>
      </w:r>
      <w:r w:rsidR="002D74CD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na ochranu pred svetlom.</w:t>
      </w:r>
    </w:p>
    <w:p w:rsidR="00526D05" w:rsidRPr="000C254D" w:rsidRDefault="00526D05" w:rsidP="00526D05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</w:p>
    <w:p w:rsidR="00526D05" w:rsidRPr="000C254D" w:rsidRDefault="00526D05" w:rsidP="00526D05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Má sa zamedziť teplotným odchýlkam mimo rozsahu 2 °C – 8 °C. </w:t>
      </w:r>
      <w:r w:rsidR="002D74CD" w:rsidRPr="00AD1FEC">
        <w:rPr>
          <w:rFonts w:ascii="Times New Roman" w:eastAsia="Times New Roman" w:hAnsi="Times New Roman"/>
          <w:lang w:val="sk-SK" w:bidi="sk-SK"/>
        </w:rPr>
        <w:t>Vyhnite sa uchovávaniu pri teplote prevyšujúcej 30 °C a</w:t>
      </w:r>
      <w:r w:rsidR="002D74CD">
        <w:rPr>
          <w:rFonts w:ascii="Times New Roman" w:eastAsia="Times New Roman" w:hAnsi="Times New Roman"/>
          <w:lang w:val="sk-SK" w:bidi="sk-SK"/>
        </w:rPr>
        <w:t xml:space="preserve"> v prípade, </w:t>
      </w:r>
      <w:r w:rsidR="002D74CD" w:rsidRPr="00AD1FEC">
        <w:rPr>
          <w:rFonts w:ascii="Times New Roman" w:eastAsia="Times New Roman" w:hAnsi="Times New Roman"/>
          <w:lang w:val="sk-SK" w:bidi="sk-SK"/>
        </w:rPr>
        <w:t xml:space="preserve">uchovávania </w:t>
      </w:r>
      <w:r w:rsidR="002D74CD">
        <w:rPr>
          <w:rFonts w:ascii="Times New Roman" w:eastAsia="Times New Roman" w:hAnsi="Times New Roman"/>
          <w:lang w:val="sk-SK" w:bidi="sk-SK"/>
        </w:rPr>
        <w:t xml:space="preserve">tohto </w:t>
      </w:r>
      <w:r w:rsidR="002D74CD" w:rsidRPr="00AD1FEC">
        <w:rPr>
          <w:rFonts w:ascii="Times New Roman" w:eastAsia="Times New Roman" w:hAnsi="Times New Roman"/>
          <w:lang w:val="sk-SK" w:bidi="sk-SK"/>
        </w:rPr>
        <w:t>liek</w:t>
      </w:r>
      <w:r w:rsidR="002D74CD">
        <w:rPr>
          <w:rFonts w:ascii="Times New Roman" w:eastAsia="Times New Roman" w:hAnsi="Times New Roman"/>
          <w:lang w:val="sk-SK" w:bidi="sk-SK"/>
        </w:rPr>
        <w:t>u pri teplote</w:t>
      </w:r>
      <w:r w:rsidR="002D74CD" w:rsidRPr="00AD1FEC">
        <w:rPr>
          <w:rFonts w:ascii="Times New Roman" w:eastAsia="Times New Roman" w:hAnsi="Times New Roman"/>
          <w:lang w:val="sk-SK" w:bidi="sk-SK"/>
        </w:rPr>
        <w:t xml:space="preserve"> nižš</w:t>
      </w:r>
      <w:r w:rsidR="002D74CD">
        <w:rPr>
          <w:rFonts w:ascii="Times New Roman" w:eastAsia="Times New Roman" w:hAnsi="Times New Roman"/>
          <w:lang w:val="sk-SK" w:bidi="sk-SK"/>
        </w:rPr>
        <w:t>ej</w:t>
      </w:r>
      <w:r w:rsidR="002D74CD" w:rsidRPr="00AD1FEC">
        <w:rPr>
          <w:rFonts w:ascii="Times New Roman" w:eastAsia="Times New Roman" w:hAnsi="Times New Roman"/>
          <w:lang w:val="sk-SK" w:bidi="sk-SK"/>
        </w:rPr>
        <w:t xml:space="preserve"> ako 25 °C</w:t>
      </w:r>
      <w:r w:rsidR="002D74CD">
        <w:rPr>
          <w:rFonts w:ascii="Times New Roman" w:eastAsia="Times New Roman" w:hAnsi="Times New Roman"/>
          <w:lang w:val="sk-SK" w:bidi="sk-SK"/>
        </w:rPr>
        <w:t xml:space="preserve"> v priemere</w:t>
      </w:r>
      <w:r w:rsidR="002D74CD" w:rsidRPr="00AD1FEC">
        <w:rPr>
          <w:rFonts w:ascii="Times New Roman" w:eastAsia="Times New Roman" w:hAnsi="Times New Roman"/>
          <w:lang w:val="sk-SK" w:bidi="sk-SK"/>
        </w:rPr>
        <w:t xml:space="preserve"> (ale nad rozsah 2 °C - 8 °C)</w:t>
      </w:r>
      <w:r w:rsidR="002D74CD" w:rsidRPr="001B0C4A">
        <w:rPr>
          <w:rFonts w:ascii="Times New Roman" w:eastAsia="Times New Roman" w:hAnsi="Times New Roman"/>
          <w:lang w:val="sk-SK" w:bidi="sk-SK"/>
        </w:rPr>
        <w:t xml:space="preserve"> </w:t>
      </w:r>
      <w:r w:rsidR="002D74CD">
        <w:rPr>
          <w:rFonts w:ascii="Times New Roman" w:eastAsia="Times New Roman" w:hAnsi="Times New Roman"/>
          <w:lang w:val="sk-SK" w:bidi="sk-SK"/>
        </w:rPr>
        <w:t>uchovávanie nemá presiahnuť</w:t>
      </w:r>
      <w:r w:rsidR="002D74CD" w:rsidRPr="00AD1FEC">
        <w:rPr>
          <w:rFonts w:ascii="Times New Roman" w:eastAsia="Times New Roman" w:hAnsi="Times New Roman"/>
          <w:lang w:val="sk-SK" w:bidi="sk-SK"/>
        </w:rPr>
        <w:t xml:space="preserve"> 28-dňové obdobie.</w:t>
      </w:r>
      <w:r w:rsidRPr="000C254D">
        <w:rPr>
          <w:rFonts w:ascii="Times New Roman" w:hAnsi="Times New Roman"/>
          <w:lang w:val="sk-SK"/>
        </w:rPr>
        <w:t xml:space="preserve"> Po teplotných odchýlkach sa má liek ihneď vrátiť do odporúčaných podmienok uchovávania (uchovávanie a preprava v chladničke 2 °C – 8 °C). Teplotné odchýlky majú kumulatívny účinok na kvalitu lieku a 28-dňová lehota sa nesmie prekročiť počas štvorročného času použiteľnosti Fulvestrantu STADA (pozri časť 6.3). Vystavením teplotám nižším ako 2 °C nedôjde k poškodeniu lieku za predpokladu, že nie je uchovávaný pod -20 °C.</w:t>
      </w:r>
    </w:p>
    <w:p w:rsidR="00526D05" w:rsidRPr="00CD0C72" w:rsidRDefault="00526D05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Nepoužívajte tento liek po dátume exspirácie, ktorý je uvedený na škatuli alebo na štítkoch na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injekčnej striekačke po EXP. Dátum exspirácie sa vzťahuje na posledný deň v</w:t>
      </w:r>
      <w:r w:rsidR="00330203" w:rsidRPr="00CD0C72">
        <w:rPr>
          <w:rFonts w:ascii="Times New Roman" w:hAnsi="Times New Roman"/>
          <w:lang w:val="sk-SK"/>
        </w:rPr>
        <w:t xml:space="preserve"> danom </w:t>
      </w:r>
      <w:r w:rsidRPr="00CD0C72">
        <w:rPr>
          <w:rFonts w:ascii="Times New Roman" w:hAnsi="Times New Roman"/>
          <w:lang w:val="sk-SK"/>
        </w:rPr>
        <w:t>mesiaci.</w:t>
      </w:r>
    </w:p>
    <w:p w:rsidR="00856F60" w:rsidRPr="00CD0C72" w:rsidRDefault="00856F60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526D05" w:rsidRPr="000C254D" w:rsidRDefault="00330203" w:rsidP="00526D05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 w:eastAsia="sk-SK"/>
        </w:rPr>
        <w:t xml:space="preserve">Váš lekár bude zodpovedný za riadne uchovávanie, použitie a likvidáciu Fulvestrantu </w:t>
      </w:r>
      <w:r w:rsidR="00526D05" w:rsidRPr="000C254D">
        <w:rPr>
          <w:rFonts w:ascii="Times New Roman" w:hAnsi="Times New Roman"/>
          <w:lang w:val="sk-SK"/>
        </w:rPr>
        <w:t xml:space="preserve">STADA 250 mg </w:t>
      </w:r>
    </w:p>
    <w:p w:rsidR="00526D05" w:rsidRPr="000C254D" w:rsidRDefault="00526D05" w:rsidP="00526D05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injekčný roztok naplnený v injekčnej striekačke</w:t>
      </w:r>
      <w:r>
        <w:rPr>
          <w:rFonts w:ascii="Times New Roman" w:hAnsi="Times New Roman"/>
          <w:lang w:val="sk-SK"/>
        </w:rPr>
        <w:t>.</w:t>
      </w:r>
    </w:p>
    <w:p w:rsidR="00330203" w:rsidRPr="00CD0C72" w:rsidRDefault="00330203" w:rsidP="0033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</w:p>
    <w:p w:rsidR="00330203" w:rsidRPr="00CD0C72" w:rsidRDefault="00330203" w:rsidP="00330203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Tento liek môže predstavovať riziko pre vodné prostredie.</w:t>
      </w:r>
    </w:p>
    <w:p w:rsidR="001723CF" w:rsidRPr="00CD0C72" w:rsidRDefault="00856F60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Nelikvidujte lieky odpadovou vodou alebo domovým odpadom. Nepoužitý liek vráťte do lekárne. Tieto opatrenia pomôžu chrániť životné prostredie</w:t>
      </w:r>
      <w:r w:rsidR="00330203" w:rsidRPr="00CD0C72">
        <w:rPr>
          <w:rFonts w:ascii="Times New Roman" w:hAnsi="Times New Roman"/>
          <w:lang w:val="sk-SK"/>
        </w:rPr>
        <w:t>.</w:t>
      </w:r>
    </w:p>
    <w:p w:rsidR="00330203" w:rsidRPr="00CD0C72" w:rsidRDefault="00330203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56F60" w:rsidRPr="00CD0C72" w:rsidRDefault="00856F60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CD0C72" w:rsidRDefault="00892DF3" w:rsidP="00330203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Obsah balenia a ďalšie informácie</w:t>
      </w:r>
    </w:p>
    <w:p w:rsidR="00330203" w:rsidRPr="00CD0C72" w:rsidRDefault="0033020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9840F2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Čo Fulvestrant </w:t>
      </w:r>
      <w:r w:rsidR="00373896">
        <w:rPr>
          <w:rFonts w:ascii="Times New Roman" w:hAnsi="Times New Roman"/>
          <w:b/>
          <w:lang w:val="sk-SK"/>
        </w:rPr>
        <w:t>STADA</w:t>
      </w:r>
      <w:r w:rsidR="00C0542F" w:rsidRPr="00CD0C72">
        <w:rPr>
          <w:rFonts w:ascii="Times New Roman" w:hAnsi="Times New Roman"/>
          <w:b/>
          <w:lang w:val="sk-SK"/>
        </w:rPr>
        <w:t xml:space="preserve"> 250 mg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Pr="00CD0C72">
        <w:rPr>
          <w:rFonts w:ascii="Times New Roman" w:hAnsi="Times New Roman"/>
          <w:b/>
          <w:bCs/>
          <w:lang w:val="sk-SK"/>
        </w:rPr>
        <w:t>obsahuje</w:t>
      </w:r>
    </w:p>
    <w:p w:rsidR="00586594" w:rsidRPr="00CD0C72" w:rsidRDefault="00892DF3" w:rsidP="007A2388">
      <w:pPr>
        <w:pStyle w:val="Odsekzoznamu"/>
        <w:numPr>
          <w:ilvl w:val="0"/>
          <w:numId w:val="6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lastRenderedPageBreak/>
        <w:t xml:space="preserve">Liečivo je fulvestrant. </w:t>
      </w:r>
    </w:p>
    <w:p w:rsidR="009840F2" w:rsidRPr="00CD0C72" w:rsidRDefault="00892DF3" w:rsidP="007A2388">
      <w:pPr>
        <w:pStyle w:val="Odsekzoznamu"/>
        <w:spacing w:after="0" w:line="240" w:lineRule="auto"/>
        <w:ind w:left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Každá naplnená injekčná striekačka </w:t>
      </w:r>
      <w:r w:rsidR="00330203" w:rsidRPr="00CD0C72">
        <w:rPr>
          <w:rFonts w:ascii="Times New Roman" w:hAnsi="Times New Roman"/>
          <w:lang w:val="sk-SK"/>
        </w:rPr>
        <w:t xml:space="preserve">(5 ml) </w:t>
      </w:r>
      <w:r w:rsidRPr="00CD0C72">
        <w:rPr>
          <w:rFonts w:ascii="Times New Roman" w:hAnsi="Times New Roman"/>
          <w:lang w:val="sk-SK"/>
        </w:rPr>
        <w:t>obsahuje 250 mg</w:t>
      </w:r>
      <w:r w:rsidR="009840F2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fulvestrantu</w:t>
      </w:r>
      <w:r w:rsidR="00330203" w:rsidRPr="00CD0C72">
        <w:rPr>
          <w:rFonts w:ascii="Times New Roman" w:hAnsi="Times New Roman"/>
          <w:lang w:val="sk-SK"/>
        </w:rPr>
        <w:t xml:space="preserve">. Každý ml </w:t>
      </w:r>
      <w:r w:rsidR="00526D05">
        <w:rPr>
          <w:rFonts w:ascii="Times New Roman" w:hAnsi="Times New Roman"/>
          <w:lang w:val="sk-SK"/>
        </w:rPr>
        <w:t xml:space="preserve">roztoku </w:t>
      </w:r>
      <w:r w:rsidR="00330203" w:rsidRPr="00CD0C72">
        <w:rPr>
          <w:rFonts w:ascii="Times New Roman" w:hAnsi="Times New Roman"/>
          <w:lang w:val="sk-SK"/>
        </w:rPr>
        <w:t>obsahuje 50 mg fulvestrantu.</w:t>
      </w:r>
    </w:p>
    <w:p w:rsidR="00892DF3" w:rsidRPr="00CD0C72" w:rsidRDefault="00892DF3" w:rsidP="007A2388">
      <w:pPr>
        <w:pStyle w:val="Odsekzoznamu"/>
        <w:numPr>
          <w:ilvl w:val="0"/>
          <w:numId w:val="6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Ďalšie zložk</w:t>
      </w:r>
      <w:r w:rsidR="00EC35ED" w:rsidRPr="00CD0C72">
        <w:rPr>
          <w:rFonts w:ascii="Times New Roman" w:hAnsi="Times New Roman"/>
          <w:lang w:val="sk-SK"/>
        </w:rPr>
        <w:t>y sú etanol 96%</w:t>
      </w:r>
      <w:r w:rsidRPr="00CD0C72">
        <w:rPr>
          <w:rFonts w:ascii="Times New Roman" w:hAnsi="Times New Roman"/>
          <w:lang w:val="sk-SK"/>
        </w:rPr>
        <w:t xml:space="preserve">, benzylakohol, </w:t>
      </w:r>
      <w:r w:rsidR="00B56ED0" w:rsidRPr="00CD0C72">
        <w:rPr>
          <w:rFonts w:ascii="Times New Roman" w:hAnsi="Times New Roman"/>
          <w:lang w:val="sk-SK"/>
        </w:rPr>
        <w:t>benzylbenzoát</w:t>
      </w:r>
      <w:r w:rsidR="009840F2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a</w:t>
      </w:r>
      <w:r w:rsidR="00AE1526">
        <w:rPr>
          <w:rFonts w:ascii="Times New Roman" w:hAnsi="Times New Roman"/>
          <w:lang w:val="sk-SK"/>
        </w:rPr>
        <w:t xml:space="preserve"> rafinovaný</w:t>
      </w:r>
      <w:r w:rsidRPr="00CD0C72">
        <w:rPr>
          <w:rFonts w:ascii="Times New Roman" w:hAnsi="Times New Roman"/>
          <w:lang w:val="sk-SK"/>
        </w:rPr>
        <w:t xml:space="preserve"> ricínový olej.</w:t>
      </w:r>
    </w:p>
    <w:p w:rsidR="00B6043B" w:rsidRPr="00CD0C72" w:rsidRDefault="00B6043B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Ako vyzerá Fulvestrant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373896">
        <w:rPr>
          <w:rFonts w:ascii="Times New Roman" w:hAnsi="Times New Roman"/>
          <w:b/>
          <w:lang w:val="sk-SK"/>
        </w:rPr>
        <w:t>STADA</w:t>
      </w:r>
      <w:r w:rsidR="00C0542F" w:rsidRPr="00CD0C72">
        <w:rPr>
          <w:rFonts w:ascii="Times New Roman" w:hAnsi="Times New Roman"/>
          <w:b/>
          <w:lang w:val="sk-SK"/>
        </w:rPr>
        <w:t xml:space="preserve"> 250 mg</w:t>
      </w:r>
      <w:r w:rsidRPr="00CD0C72">
        <w:rPr>
          <w:rFonts w:ascii="Times New Roman" w:hAnsi="Times New Roman"/>
          <w:b/>
          <w:bCs/>
          <w:lang w:val="sk-SK"/>
        </w:rPr>
        <w:t xml:space="preserve"> a obsah balenia</w:t>
      </w:r>
    </w:p>
    <w:p w:rsidR="009840F2" w:rsidRPr="00CD0C72" w:rsidRDefault="009840F2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526D05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Fulvestrant </w:t>
      </w:r>
      <w:r w:rsidR="00373896">
        <w:rPr>
          <w:rFonts w:ascii="Times New Roman" w:hAnsi="Times New Roman"/>
          <w:lang w:val="sk-SK"/>
        </w:rPr>
        <w:t>STADA</w:t>
      </w:r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 xml:space="preserve">je číry, bezfarebný až žltý, </w:t>
      </w:r>
      <w:r w:rsidR="00526D05">
        <w:rPr>
          <w:rFonts w:ascii="Times New Roman" w:hAnsi="Times New Roman"/>
          <w:lang w:val="sk-SK"/>
        </w:rPr>
        <w:t xml:space="preserve">olejovitý a </w:t>
      </w:r>
      <w:r w:rsidRPr="00CD0C72">
        <w:rPr>
          <w:rFonts w:ascii="Times New Roman" w:hAnsi="Times New Roman"/>
          <w:lang w:val="sk-SK"/>
        </w:rPr>
        <w:t xml:space="preserve">viskózny roztok </w:t>
      </w:r>
      <w:r w:rsidR="00B6043B" w:rsidRPr="00CD0C72">
        <w:rPr>
          <w:rFonts w:ascii="Times New Roman" w:hAnsi="Times New Roman"/>
          <w:lang w:val="sk-SK"/>
        </w:rPr>
        <w:t xml:space="preserve">v podstate bez viditeľných častíc </w:t>
      </w:r>
      <w:r w:rsidRPr="00CD0C72">
        <w:rPr>
          <w:rFonts w:ascii="Times New Roman" w:hAnsi="Times New Roman"/>
          <w:lang w:val="sk-SK"/>
        </w:rPr>
        <w:t>v</w:t>
      </w:r>
      <w:r w:rsidR="00B6043B" w:rsidRPr="00CD0C72">
        <w:rPr>
          <w:rFonts w:ascii="Times New Roman" w:hAnsi="Times New Roman"/>
          <w:lang w:val="sk-SK"/>
        </w:rPr>
        <w:t xml:space="preserve"> naplnenej injekčnej striekačke</w:t>
      </w:r>
      <w:r w:rsidR="00526D05">
        <w:rPr>
          <w:rFonts w:ascii="Times New Roman" w:hAnsi="Times New Roman"/>
          <w:lang w:val="sk-SK"/>
        </w:rPr>
        <w:t>. Každá injekčná striekačka obsahuje</w:t>
      </w:r>
      <w:r w:rsidR="00526D05" w:rsidRPr="00526D05">
        <w:rPr>
          <w:rFonts w:ascii="Times New Roman" w:hAnsi="Times New Roman"/>
          <w:lang w:val="sk-SK"/>
        </w:rPr>
        <w:t xml:space="preserve"> </w:t>
      </w:r>
      <w:r w:rsidR="00526D05" w:rsidRPr="00CD0C72">
        <w:rPr>
          <w:rFonts w:ascii="Times New Roman" w:hAnsi="Times New Roman"/>
          <w:lang w:val="sk-SK"/>
        </w:rPr>
        <w:t>5 ml injekčného roztoku</w:t>
      </w:r>
      <w:r w:rsidR="00526D05">
        <w:rPr>
          <w:rFonts w:ascii="Times New Roman" w:hAnsi="Times New Roman"/>
          <w:lang w:val="sk-SK"/>
        </w:rPr>
        <w:t>.</w:t>
      </w:r>
    </w:p>
    <w:p w:rsidR="00526D05" w:rsidRDefault="00526D05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526D05" w:rsidRPr="000C254D" w:rsidRDefault="00526D05" w:rsidP="00526D05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Fulvestrant STADA má dva typy balenia:</w:t>
      </w:r>
    </w:p>
    <w:p w:rsidR="00526D05" w:rsidRPr="000C254D" w:rsidRDefault="00526D05" w:rsidP="00526D05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Papierová škatuľa s blistrom s jednou naplnenou injekčnou striekačkou, jednou hypodermickou sterilnou ihlou (BD SafetyGlide) a jednou písomnou informáciou.</w:t>
      </w:r>
    </w:p>
    <w:p w:rsidR="00526D05" w:rsidRPr="000C254D" w:rsidRDefault="00526D05" w:rsidP="00526D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alebo</w:t>
      </w:r>
    </w:p>
    <w:p w:rsidR="00526D05" w:rsidRPr="000C254D" w:rsidRDefault="00526D05" w:rsidP="00526D05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Papierová škatuľa s dvoma blistrami v každom s naplnenou injekčnou striekačkou, dvoma hypodermickými sterilnými ihlami (BD SafetyGlide) a jednou písomnou informáciou.</w:t>
      </w:r>
    </w:p>
    <w:p w:rsidR="00526D05" w:rsidRPr="000C254D" w:rsidRDefault="00526D05" w:rsidP="00526D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526D05" w:rsidRPr="000C254D" w:rsidRDefault="00526D05" w:rsidP="00526D05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Na trh nemusia byť uvedené všetky veľkosti balenia.</w:t>
      </w:r>
    </w:p>
    <w:p w:rsidR="00526D05" w:rsidRDefault="00526D05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CD0C72" w:rsidRPr="00CD0C72" w:rsidRDefault="00CD0C72" w:rsidP="00CD0C7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Držiteľ rozhodnutia o registrácii a výrobca</w:t>
      </w:r>
    </w:p>
    <w:p w:rsidR="00CD0C72" w:rsidRPr="00CD0C72" w:rsidRDefault="00CD0C72" w:rsidP="00CD0C7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Cs/>
          <w:u w:val="single"/>
          <w:lang w:val="sk-SK"/>
        </w:rPr>
      </w:pPr>
    </w:p>
    <w:p w:rsidR="00CD0C72" w:rsidRPr="00CD0C72" w:rsidRDefault="00CD0C72" w:rsidP="00CD0C7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Cs/>
          <w:u w:val="single"/>
          <w:lang w:val="sk-SK"/>
        </w:rPr>
      </w:pPr>
      <w:r w:rsidRPr="00CD0C72">
        <w:rPr>
          <w:rFonts w:ascii="Times New Roman" w:hAnsi="Times New Roman"/>
          <w:bCs/>
          <w:u w:val="single"/>
          <w:lang w:val="sk-SK"/>
        </w:rPr>
        <w:t>Držiteľ rozhodnutia o registrácii</w:t>
      </w:r>
    </w:p>
    <w:p w:rsidR="00D9124B" w:rsidRDefault="00D9124B" w:rsidP="00D9124B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STADA Arzneimittel AG</w:t>
      </w:r>
    </w:p>
    <w:p w:rsidR="00D9124B" w:rsidRDefault="00D9124B" w:rsidP="00D9124B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Stadastrasse 2-18</w:t>
      </w:r>
    </w:p>
    <w:p w:rsidR="00D9124B" w:rsidRDefault="00D9124B" w:rsidP="00D9124B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61118 Bad Vilbel</w:t>
      </w:r>
    </w:p>
    <w:p w:rsidR="00D9124B" w:rsidRPr="000C254D" w:rsidRDefault="00D9124B" w:rsidP="00D9124B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Nemecko</w:t>
      </w:r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lang w:val="sk-SK"/>
        </w:rPr>
      </w:pPr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CD0C72">
        <w:rPr>
          <w:rFonts w:ascii="Times New Roman" w:hAnsi="Times New Roman"/>
          <w:u w:val="single"/>
          <w:lang w:val="sk-SK"/>
        </w:rPr>
        <w:t>Výrobca</w:t>
      </w:r>
    </w:p>
    <w:p w:rsidR="00CD0C72" w:rsidRDefault="00D9124B" w:rsidP="00CD0C72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S.C. Rompharm Company S.R.L., Str</w:t>
      </w:r>
      <w:r w:rsidR="001C1BEB">
        <w:rPr>
          <w:rFonts w:ascii="Times New Roman" w:hAnsi="Times New Roman"/>
          <w:lang w:val="sk-SK"/>
        </w:rPr>
        <w:t>a</w:t>
      </w:r>
      <w:bookmarkStart w:id="0" w:name="_GoBack"/>
      <w:bookmarkEnd w:id="0"/>
      <w:r>
        <w:rPr>
          <w:rFonts w:ascii="Times New Roman" w:hAnsi="Times New Roman"/>
          <w:lang w:val="sk-SK"/>
        </w:rPr>
        <w:t>da Eroilor nr. 1A, 075100 Otopeni, Rumunsko</w:t>
      </w:r>
    </w:p>
    <w:p w:rsidR="00D9124B" w:rsidRDefault="00D9124B" w:rsidP="00D9124B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STADA Arzneimittel AG, Stadastrasse 2-18, 61118 Bad Vilbel, Nemecko</w:t>
      </w:r>
    </w:p>
    <w:p w:rsidR="00D9124B" w:rsidRDefault="00D9124B" w:rsidP="00D9124B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STADApharm GmbH, Feodor-Lynen-Str. 35, 30625 Hannover, Nemecko</w:t>
      </w:r>
    </w:p>
    <w:p w:rsidR="00D9124B" w:rsidRPr="00CD0C72" w:rsidRDefault="00D9124B" w:rsidP="00D9124B">
      <w:pPr>
        <w:pStyle w:val="yiv9287724709msonormal"/>
        <w:shd w:val="clear" w:color="auto" w:fill="FFFFFF"/>
        <w:spacing w:before="0" w:beforeAutospacing="0" w:after="0" w:afterAutospacing="0"/>
      </w:pPr>
      <w:r>
        <w:rPr>
          <w:sz w:val="22"/>
          <w:szCs w:val="22"/>
        </w:rPr>
        <w:t>STADA Arzneimittel GmbH, Muthgasse 36/2, 1190 Viedeň, Rakúsko</w:t>
      </w:r>
    </w:p>
    <w:p w:rsidR="009840F2" w:rsidRPr="007A2388" w:rsidRDefault="009840F2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077F53" w:rsidRPr="007A2388" w:rsidRDefault="00077F5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7A2388">
        <w:rPr>
          <w:rFonts w:ascii="Times New Roman" w:hAnsi="Times New Roman"/>
          <w:b/>
          <w:bCs/>
          <w:lang w:val="sk-SK"/>
        </w:rPr>
        <w:t>Liek je schválený v členských štátoch Európskeho hospodárskeho priestoru (EHP) pod nasledovnými názvami:</w:t>
      </w:r>
    </w:p>
    <w:p w:rsidR="009840F2" w:rsidRPr="00373896" w:rsidRDefault="009840F2" w:rsidP="00C0542F">
      <w:pPr>
        <w:spacing w:after="0" w:line="240" w:lineRule="auto"/>
        <w:rPr>
          <w:rFonts w:ascii="Times New Roman" w:hAnsi="Times New Roman"/>
          <w:lang w:val="sk-SK"/>
        </w:rPr>
      </w:pPr>
    </w:p>
    <w:tbl>
      <w:tblPr>
        <w:tblW w:w="900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2"/>
        <w:gridCol w:w="7405"/>
      </w:tblGrid>
      <w:tr w:rsidR="00373896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59576B">
            <w:pPr>
              <w:spacing w:before="60" w:after="6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Česká republika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373896" w:rsidP="00373896">
            <w:pPr>
              <w:spacing w:before="60" w:after="60"/>
              <w:rPr>
                <w:rFonts w:ascii="Times New Roman" w:hAnsi="Times New Roman"/>
                <w:lang w:val="en-GB"/>
              </w:rPr>
            </w:pPr>
            <w:r w:rsidRPr="00373896">
              <w:rPr>
                <w:rFonts w:ascii="Times New Roman" w:hAnsi="Times New Roman"/>
                <w:lang w:val="en-GB"/>
              </w:rPr>
              <w:t xml:space="preserve">Fulvestrant </w:t>
            </w:r>
            <w:r>
              <w:rPr>
                <w:rFonts w:ascii="Times New Roman" w:hAnsi="Times New Roman"/>
                <w:lang w:val="en-GB"/>
              </w:rPr>
              <w:t>STADA</w:t>
            </w:r>
          </w:p>
        </w:tc>
      </w:tr>
      <w:tr w:rsidR="00373896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466D1C">
            <w:pPr>
              <w:spacing w:before="60" w:after="60"/>
              <w:rPr>
                <w:rFonts w:ascii="Times New Roman" w:hAnsi="Times New Roman"/>
              </w:rPr>
            </w:pPr>
            <w:r w:rsidRPr="00373896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ánsko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373896" w:rsidP="00466D1C">
            <w:pPr>
              <w:spacing w:before="60" w:after="60"/>
              <w:rPr>
                <w:rFonts w:ascii="Times New Roman" w:hAnsi="Times New Roman"/>
                <w:lang w:val="en-GB"/>
              </w:rPr>
            </w:pPr>
            <w:r w:rsidRPr="00373896">
              <w:rPr>
                <w:rFonts w:ascii="Times New Roman" w:hAnsi="Times New Roman"/>
                <w:lang w:val="en-GB"/>
              </w:rPr>
              <w:t xml:space="preserve">Fulvestrant </w:t>
            </w:r>
            <w:r>
              <w:rPr>
                <w:rFonts w:ascii="Times New Roman" w:hAnsi="Times New Roman"/>
                <w:lang w:val="en-GB"/>
              </w:rPr>
              <w:t>STADA</w:t>
            </w:r>
            <w:r w:rsidRPr="00373896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250 mg</w:t>
            </w:r>
          </w:p>
        </w:tc>
      </w:tr>
      <w:tr w:rsidR="00373896" w:rsidRPr="001C1BEB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466D1C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Fínsko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FB6019" w:rsidRDefault="00373896" w:rsidP="00466D1C">
            <w:pPr>
              <w:spacing w:before="60" w:after="60"/>
              <w:rPr>
                <w:rFonts w:ascii="Times New Roman" w:hAnsi="Times New Roman"/>
                <w:lang w:val="de-DE"/>
              </w:rPr>
            </w:pPr>
            <w:r w:rsidRPr="00FB6019">
              <w:rPr>
                <w:rFonts w:ascii="Times New Roman" w:hAnsi="Times New Roman"/>
                <w:lang w:val="de-DE"/>
              </w:rPr>
              <w:t>Fulvestrant STADA 250 mg injektioneste, liuos</w:t>
            </w:r>
          </w:p>
        </w:tc>
      </w:tr>
      <w:tr w:rsidR="00373896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893623">
            <w:pPr>
              <w:spacing w:before="60" w:after="60"/>
              <w:rPr>
                <w:rFonts w:ascii="Times New Roman" w:hAnsi="Times New Roman"/>
                <w:lang w:val="de-DE"/>
              </w:rPr>
            </w:pPr>
            <w:r w:rsidRPr="00373896">
              <w:rPr>
                <w:rFonts w:ascii="Times New Roman" w:hAnsi="Times New Roman"/>
                <w:lang w:val="de-DE"/>
              </w:rPr>
              <w:t>F</w:t>
            </w:r>
            <w:r>
              <w:rPr>
                <w:rFonts w:ascii="Times New Roman" w:hAnsi="Times New Roman"/>
                <w:lang w:val="de-DE"/>
              </w:rPr>
              <w:t>rancúzsko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373896" w:rsidP="00373896">
            <w:pPr>
              <w:spacing w:before="60" w:after="60"/>
              <w:rPr>
                <w:rFonts w:ascii="Times New Roman" w:hAnsi="Times New Roman"/>
                <w:lang w:val="fr-FR"/>
              </w:rPr>
            </w:pPr>
            <w:r w:rsidRPr="00373896">
              <w:rPr>
                <w:rFonts w:ascii="Times New Roman" w:hAnsi="Times New Roman"/>
                <w:lang w:val="en-GB"/>
              </w:rPr>
              <w:t xml:space="preserve">FULVESTRANT </w:t>
            </w:r>
            <w:r>
              <w:rPr>
                <w:rFonts w:ascii="Times New Roman" w:hAnsi="Times New Roman"/>
                <w:lang w:val="en-GB"/>
              </w:rPr>
              <w:t>EG</w:t>
            </w:r>
            <w:r w:rsidRPr="00373896">
              <w:rPr>
                <w:rFonts w:ascii="Times New Roman" w:hAnsi="Times New Roman"/>
                <w:lang w:val="en-GB"/>
              </w:rPr>
              <w:t xml:space="preserve"> 250 mg</w:t>
            </w:r>
            <w:r>
              <w:rPr>
                <w:rFonts w:ascii="Times New Roman" w:hAnsi="Times New Roman"/>
                <w:lang w:val="en-GB"/>
              </w:rPr>
              <w:t>,</w:t>
            </w:r>
            <w:r w:rsidRPr="00373896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s</w:t>
            </w:r>
            <w:r w:rsidRPr="00373896">
              <w:rPr>
                <w:rFonts w:ascii="Times New Roman" w:hAnsi="Times New Roman"/>
                <w:lang w:val="fr-FR"/>
              </w:rPr>
              <w:t>olution injectable en seringue pré</w:t>
            </w:r>
            <w:r>
              <w:rPr>
                <w:rFonts w:ascii="Times New Roman" w:hAnsi="Times New Roman"/>
                <w:lang w:val="fr-FR"/>
              </w:rPr>
              <w:t>-</w:t>
            </w:r>
            <w:r w:rsidRPr="00373896">
              <w:rPr>
                <w:rFonts w:ascii="Times New Roman" w:hAnsi="Times New Roman"/>
                <w:lang w:val="fr-FR"/>
              </w:rPr>
              <w:t>remplie</w:t>
            </w:r>
          </w:p>
        </w:tc>
      </w:tr>
      <w:tr w:rsidR="00373896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54521A">
            <w:pPr>
              <w:spacing w:before="60" w:after="6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Holandsko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373896" w:rsidP="00373896">
            <w:pPr>
              <w:spacing w:before="60" w:after="60"/>
              <w:rPr>
                <w:rFonts w:ascii="Times New Roman" w:hAnsi="Times New Roman"/>
              </w:rPr>
            </w:pPr>
            <w:r w:rsidRPr="00373896">
              <w:rPr>
                <w:rFonts w:ascii="Times New Roman" w:hAnsi="Times New Roman"/>
                <w:lang w:val="en-GB"/>
              </w:rPr>
              <w:t xml:space="preserve">Fulvestrant </w:t>
            </w:r>
            <w:r>
              <w:rPr>
                <w:rFonts w:ascii="Times New Roman" w:hAnsi="Times New Roman"/>
                <w:lang w:val="en-GB"/>
              </w:rPr>
              <w:t>Stada</w:t>
            </w:r>
            <w:r w:rsidRPr="00373896">
              <w:rPr>
                <w:rFonts w:ascii="Times New Roman" w:hAnsi="Times New Roman"/>
                <w:lang w:val="en-GB"/>
              </w:rPr>
              <w:t xml:space="preserve"> 250 mg </w:t>
            </w:r>
            <w:r w:rsidRPr="00373896">
              <w:rPr>
                <w:rFonts w:ascii="Times New Roman" w:hAnsi="Times New Roman"/>
              </w:rPr>
              <w:t xml:space="preserve">oplossing voor injectie </w:t>
            </w:r>
          </w:p>
        </w:tc>
      </w:tr>
      <w:tr w:rsidR="00373896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D9124B" w:rsidP="001808EE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Island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D9124B" w:rsidP="001808EE">
            <w:pPr>
              <w:spacing w:before="60" w:after="60"/>
              <w:rPr>
                <w:rFonts w:ascii="Times New Roman" w:hAnsi="Times New Roman"/>
                <w:lang w:val="sv-SE"/>
              </w:rPr>
            </w:pPr>
            <w:r w:rsidRPr="00D9124B">
              <w:rPr>
                <w:rFonts w:ascii="Times New Roman" w:hAnsi="Times New Roman"/>
                <w:lang w:val="sv-SE"/>
              </w:rPr>
              <w:t>Fulvestrant STADA 250 mg</w:t>
            </w:r>
          </w:p>
        </w:tc>
      </w:tr>
      <w:tr w:rsidR="00D9124B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124B" w:rsidRDefault="00D9124B" w:rsidP="001808EE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Maďarsko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D9124B" w:rsidRPr="00D9124B" w:rsidRDefault="00D9124B" w:rsidP="001808EE">
            <w:pPr>
              <w:spacing w:before="60" w:after="60"/>
              <w:rPr>
                <w:rFonts w:ascii="Times New Roman" w:hAnsi="Times New Roman"/>
                <w:lang w:val="sv-SE"/>
              </w:rPr>
            </w:pPr>
            <w:r w:rsidRPr="00D9124B">
              <w:rPr>
                <w:rFonts w:ascii="Times New Roman" w:hAnsi="Times New Roman"/>
                <w:lang w:val="sv-SE"/>
              </w:rPr>
              <w:t>Fulvestrant STADA 250 mg oldatos injekció</w:t>
            </w:r>
          </w:p>
        </w:tc>
      </w:tr>
      <w:tr w:rsidR="00373896" w:rsidRPr="001C1BEB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8A3820">
            <w:pPr>
              <w:spacing w:before="60" w:after="6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Nemecko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373896" w:rsidP="008A3820">
            <w:pPr>
              <w:spacing w:before="60" w:after="60"/>
              <w:rPr>
                <w:rFonts w:ascii="Times New Roman" w:hAnsi="Times New Roman"/>
                <w:lang w:val="de-DE"/>
              </w:rPr>
            </w:pPr>
            <w:r w:rsidRPr="00373896">
              <w:rPr>
                <w:rFonts w:ascii="Times New Roman" w:hAnsi="Times New Roman"/>
                <w:lang w:val="de-AT"/>
              </w:rPr>
              <w:t xml:space="preserve">Fulvestrant </w:t>
            </w:r>
            <w:r>
              <w:rPr>
                <w:rFonts w:ascii="Times New Roman" w:hAnsi="Times New Roman"/>
                <w:lang w:val="de-AT"/>
              </w:rPr>
              <w:t>STADA</w:t>
            </w:r>
            <w:r w:rsidRPr="00373896">
              <w:rPr>
                <w:rFonts w:ascii="Times New Roman" w:hAnsi="Times New Roman"/>
                <w:lang w:val="de-AT"/>
              </w:rPr>
              <w:t xml:space="preserve"> 250 mg Injektionslösung in einer Fertigspritze</w:t>
            </w:r>
          </w:p>
        </w:tc>
      </w:tr>
      <w:tr w:rsidR="00373896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3816B0">
            <w:pPr>
              <w:spacing w:before="60" w:after="60"/>
              <w:rPr>
                <w:rFonts w:ascii="Times New Roman" w:hAnsi="Times New Roman"/>
                <w:lang w:val="de-DE"/>
              </w:rPr>
            </w:pPr>
            <w:r w:rsidRPr="00373896">
              <w:rPr>
                <w:rFonts w:ascii="Times New Roman" w:hAnsi="Times New Roman"/>
                <w:lang w:val="de-DE"/>
              </w:rPr>
              <w:t>P</w:t>
            </w:r>
            <w:r>
              <w:rPr>
                <w:rFonts w:ascii="Times New Roman" w:hAnsi="Times New Roman"/>
                <w:lang w:val="de-DE"/>
              </w:rPr>
              <w:t>oľsko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373896" w:rsidP="00D9124B">
            <w:pPr>
              <w:spacing w:before="60" w:after="60"/>
              <w:rPr>
                <w:rFonts w:ascii="Times New Roman" w:hAnsi="Times New Roman"/>
              </w:rPr>
            </w:pPr>
            <w:r w:rsidRPr="00373896">
              <w:rPr>
                <w:rFonts w:ascii="Times New Roman" w:hAnsi="Times New Roman"/>
                <w:lang w:val="en-GB"/>
              </w:rPr>
              <w:t xml:space="preserve">Fulvestrant </w:t>
            </w:r>
            <w:r>
              <w:rPr>
                <w:rFonts w:ascii="Times New Roman" w:hAnsi="Times New Roman"/>
                <w:lang w:val="en-GB"/>
              </w:rPr>
              <w:t>S</w:t>
            </w:r>
            <w:r w:rsidR="00D9124B">
              <w:rPr>
                <w:rFonts w:ascii="Times New Roman" w:hAnsi="Times New Roman"/>
                <w:lang w:val="en-GB"/>
              </w:rPr>
              <w:t>tada</w:t>
            </w:r>
            <w:r w:rsidRPr="00373896">
              <w:rPr>
                <w:rFonts w:ascii="Times New Roman" w:hAnsi="Times New Roman"/>
                <w:lang w:val="en-GB"/>
              </w:rPr>
              <w:t xml:space="preserve"> </w:t>
            </w:r>
          </w:p>
        </w:tc>
      </w:tr>
      <w:tr w:rsidR="00373896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7D3AF4">
            <w:pPr>
              <w:spacing w:before="60" w:after="6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lastRenderedPageBreak/>
              <w:t>Rakúsko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373896" w:rsidP="00D9124B">
            <w:pPr>
              <w:spacing w:before="60" w:after="60"/>
              <w:rPr>
                <w:rFonts w:ascii="Times New Roman" w:hAnsi="Times New Roman"/>
                <w:lang w:val="de-AT"/>
              </w:rPr>
            </w:pPr>
            <w:r w:rsidRPr="00373896">
              <w:rPr>
                <w:rFonts w:ascii="Times New Roman" w:hAnsi="Times New Roman"/>
                <w:lang w:val="de-AT"/>
              </w:rPr>
              <w:t xml:space="preserve">Fulvestrant </w:t>
            </w:r>
            <w:r>
              <w:rPr>
                <w:rFonts w:ascii="Times New Roman" w:hAnsi="Times New Roman"/>
                <w:lang w:val="de-AT"/>
              </w:rPr>
              <w:t>STADA</w:t>
            </w:r>
            <w:r w:rsidRPr="00373896">
              <w:rPr>
                <w:rFonts w:ascii="Times New Roman" w:hAnsi="Times New Roman"/>
                <w:lang w:val="de-AT"/>
              </w:rPr>
              <w:t xml:space="preserve"> 250 mg Injektionslösung </w:t>
            </w:r>
          </w:p>
        </w:tc>
      </w:tr>
      <w:tr w:rsidR="00373896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295E14">
            <w:pPr>
              <w:spacing w:before="60" w:after="60"/>
              <w:rPr>
                <w:rFonts w:ascii="Times New Roman" w:hAnsi="Times New Roman"/>
                <w:lang w:val="de-DE"/>
              </w:rPr>
            </w:pPr>
            <w:r w:rsidRPr="00373896">
              <w:rPr>
                <w:rFonts w:ascii="Times New Roman" w:hAnsi="Times New Roman"/>
                <w:lang w:val="de-DE"/>
              </w:rPr>
              <w:t>S</w:t>
            </w:r>
            <w:r>
              <w:rPr>
                <w:rFonts w:ascii="Times New Roman" w:hAnsi="Times New Roman"/>
                <w:lang w:val="de-DE"/>
              </w:rPr>
              <w:t>lovensko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373896" w:rsidP="00D9124B">
            <w:pPr>
              <w:spacing w:before="60" w:after="60"/>
              <w:rPr>
                <w:rFonts w:ascii="Times New Roman" w:hAnsi="Times New Roman"/>
                <w:lang w:val="de-DE"/>
              </w:rPr>
            </w:pPr>
            <w:r w:rsidRPr="00373896">
              <w:rPr>
                <w:rFonts w:ascii="Times New Roman" w:hAnsi="Times New Roman"/>
                <w:lang w:val="de-DE"/>
              </w:rPr>
              <w:t xml:space="preserve">Fulvestrant </w:t>
            </w:r>
            <w:r>
              <w:rPr>
                <w:rFonts w:ascii="Times New Roman" w:hAnsi="Times New Roman"/>
                <w:lang w:val="de-DE"/>
              </w:rPr>
              <w:t>STADA</w:t>
            </w:r>
            <w:r w:rsidRPr="00373896">
              <w:rPr>
                <w:rFonts w:ascii="Times New Roman" w:hAnsi="Times New Roman"/>
                <w:lang w:val="de-DE"/>
              </w:rPr>
              <w:t xml:space="preserve"> 250 mg </w:t>
            </w:r>
          </w:p>
        </w:tc>
      </w:tr>
      <w:tr w:rsidR="00373896" w:rsidRPr="00373896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CF0123">
            <w:pPr>
              <w:spacing w:before="60" w:after="6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Španielsko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373896" w:rsidP="00CF0123">
            <w:pPr>
              <w:spacing w:before="60" w:after="60"/>
              <w:rPr>
                <w:rFonts w:ascii="Times New Roman" w:hAnsi="Times New Roman"/>
                <w:lang w:val="fr-FR"/>
              </w:rPr>
            </w:pPr>
            <w:r w:rsidRPr="00373896">
              <w:rPr>
                <w:rFonts w:ascii="Times New Roman" w:hAnsi="Times New Roman"/>
                <w:lang w:val="en-GB"/>
              </w:rPr>
              <w:t xml:space="preserve">Fulvestrant </w:t>
            </w:r>
            <w:r>
              <w:rPr>
                <w:rFonts w:ascii="Times New Roman" w:hAnsi="Times New Roman"/>
                <w:lang w:val="en-GB"/>
              </w:rPr>
              <w:t>STADA</w:t>
            </w:r>
            <w:r w:rsidRPr="00373896">
              <w:rPr>
                <w:rFonts w:ascii="Times New Roman" w:hAnsi="Times New Roman"/>
                <w:lang w:val="en-GB"/>
              </w:rPr>
              <w:t xml:space="preserve"> 250 mg </w:t>
            </w:r>
            <w:r w:rsidRPr="00373896">
              <w:rPr>
                <w:rFonts w:ascii="Times New Roman" w:hAnsi="Times New Roman"/>
                <w:lang w:val="fr-FR"/>
              </w:rPr>
              <w:t>solución inyectable en jeringa precargada EFG</w:t>
            </w:r>
          </w:p>
        </w:tc>
      </w:tr>
      <w:tr w:rsidR="00D9124B" w:rsidRPr="001C1BEB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124B" w:rsidRDefault="00D9124B" w:rsidP="00CF0123">
            <w:pPr>
              <w:spacing w:before="60" w:after="6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Švédsko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D9124B" w:rsidRPr="00FB6019" w:rsidRDefault="00D9124B" w:rsidP="00D9124B">
            <w:pPr>
              <w:spacing w:before="60" w:after="60"/>
              <w:rPr>
                <w:rFonts w:ascii="Times New Roman" w:hAnsi="Times New Roman"/>
                <w:lang w:val="de-DE"/>
              </w:rPr>
            </w:pPr>
            <w:r w:rsidRPr="00FB6019">
              <w:rPr>
                <w:rFonts w:ascii="Times New Roman" w:hAnsi="Times New Roman"/>
                <w:lang w:val="de-DE"/>
              </w:rPr>
              <w:t>Fulvestrant STADA 250 mg injektionsvätska, lösning</w:t>
            </w:r>
          </w:p>
        </w:tc>
      </w:tr>
      <w:tr w:rsidR="00373896" w:rsidRPr="00373896" w:rsidTr="00373896">
        <w:trPr>
          <w:trHeight w:val="330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373896" w:rsidRDefault="00373896" w:rsidP="00DB5146">
            <w:pPr>
              <w:spacing w:before="60" w:after="6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Taliansko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D9124B" w:rsidP="00D9124B">
            <w:pPr>
              <w:spacing w:before="60" w:after="60"/>
              <w:rPr>
                <w:rFonts w:ascii="Times New Roman" w:hAnsi="Times New Roman"/>
                <w:lang w:val="en-GB"/>
              </w:rPr>
            </w:pPr>
            <w:r w:rsidRPr="00373896">
              <w:rPr>
                <w:rFonts w:ascii="Times New Roman" w:hAnsi="Times New Roman"/>
                <w:lang w:val="en-GB"/>
              </w:rPr>
              <w:t xml:space="preserve">FULVESTRANT </w:t>
            </w:r>
            <w:r>
              <w:rPr>
                <w:rFonts w:ascii="Times New Roman" w:hAnsi="Times New Roman"/>
                <w:lang w:val="en-GB"/>
              </w:rPr>
              <w:t>EG</w:t>
            </w:r>
            <w:r w:rsidRPr="00373896">
              <w:rPr>
                <w:rFonts w:ascii="Times New Roman" w:hAnsi="Times New Roman"/>
                <w:lang w:val="en-GB"/>
              </w:rPr>
              <w:t xml:space="preserve"> </w:t>
            </w:r>
            <w:r w:rsidR="00373896" w:rsidRPr="00373896">
              <w:rPr>
                <w:rFonts w:ascii="Times New Roman" w:hAnsi="Times New Roman"/>
                <w:lang w:val="en-GB"/>
              </w:rPr>
              <w:t>250 mg soluzione iniettabile in siringa preriempita</w:t>
            </w:r>
          </w:p>
        </w:tc>
      </w:tr>
      <w:tr w:rsidR="00373896" w:rsidRPr="00373896" w:rsidTr="00373896">
        <w:trPr>
          <w:trHeight w:val="330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124B" w:rsidRPr="00373896" w:rsidRDefault="00D9124B" w:rsidP="00D9124B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Veľká Británia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373896" w:rsidRDefault="00D9124B" w:rsidP="00D9124B">
            <w:pPr>
              <w:spacing w:before="60" w:after="60"/>
              <w:rPr>
                <w:rFonts w:ascii="Times New Roman" w:hAnsi="Times New Roman"/>
                <w:lang w:val="sv-SE"/>
              </w:rPr>
            </w:pPr>
            <w:r w:rsidRPr="00D9124B">
              <w:rPr>
                <w:rFonts w:ascii="Times New Roman" w:hAnsi="Times New Roman"/>
                <w:lang w:val="sv-SE"/>
              </w:rPr>
              <w:t>Fulvestrant 250 mg solution for injection in pre-filled syringe</w:t>
            </w:r>
          </w:p>
        </w:tc>
      </w:tr>
    </w:tbl>
    <w:p w:rsidR="00373896" w:rsidRPr="00373896" w:rsidRDefault="00373896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373896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373896">
        <w:rPr>
          <w:rFonts w:ascii="Times New Roman" w:hAnsi="Times New Roman"/>
          <w:b/>
          <w:bCs/>
          <w:lang w:val="sk-SK"/>
        </w:rPr>
        <w:t>Táto písomná informácia bola naposledy aktualizovaná v</w:t>
      </w:r>
      <w:r w:rsidR="002526C7">
        <w:rPr>
          <w:rFonts w:ascii="Times New Roman" w:hAnsi="Times New Roman"/>
          <w:b/>
          <w:bCs/>
          <w:lang w:val="sk-SK"/>
        </w:rPr>
        <w:t> júli 2019.</w:t>
      </w:r>
    </w:p>
    <w:p w:rsidR="009840F2" w:rsidRPr="00373896" w:rsidRDefault="009840F2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373896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373896">
        <w:rPr>
          <w:rFonts w:ascii="Times New Roman" w:hAnsi="Times New Roman"/>
          <w:lang w:val="sk-SK"/>
        </w:rPr>
        <w:t>------------------------------------------------------------------------------------------------------------------------</w:t>
      </w:r>
    </w:p>
    <w:p w:rsidR="00892DF3" w:rsidRPr="00373896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373896">
        <w:rPr>
          <w:rFonts w:ascii="Times New Roman" w:hAnsi="Times New Roman"/>
          <w:b/>
          <w:bCs/>
          <w:lang w:val="sk-SK"/>
        </w:rPr>
        <w:t>Nasledujúca informácia je určená len pre zdravotníckych pracovníkov:</w:t>
      </w:r>
    </w:p>
    <w:p w:rsidR="00586594" w:rsidRDefault="00586594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0F0C23" w:rsidRDefault="000F0C2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Fulvestrant STADA 250 mg</w:t>
      </w:r>
      <w:r>
        <w:rPr>
          <w:rFonts w:ascii="Times New Roman" w:eastAsia="TimesNewRoman" w:hAnsi="Times New Roman"/>
          <w:lang w:val="sk-SK"/>
        </w:rPr>
        <w:t xml:space="preserve"> sa má podávať s použitím dvoch naplnených injekčných striekačiek, pozri časť 3.</w:t>
      </w:r>
    </w:p>
    <w:p w:rsidR="000F0C23" w:rsidRPr="000C254D" w:rsidRDefault="000F0C23" w:rsidP="000F0C23">
      <w:pPr>
        <w:pStyle w:val="Odsekzoznamu"/>
        <w:spacing w:after="0" w:line="240" w:lineRule="auto"/>
        <w:ind w:left="0"/>
        <w:rPr>
          <w:rFonts w:ascii="Times New Roman" w:eastAsia="TimesNewRoman" w:hAnsi="Times New Roman"/>
          <w:u w:val="single"/>
          <w:lang w:val="sk-SK"/>
        </w:rPr>
      </w:pPr>
    </w:p>
    <w:p w:rsidR="000F0C23" w:rsidRPr="000C254D" w:rsidRDefault="000F0C23" w:rsidP="000F0C23">
      <w:pPr>
        <w:pStyle w:val="Odsekzoznamu"/>
        <w:spacing w:after="0" w:line="240" w:lineRule="auto"/>
        <w:ind w:left="0"/>
        <w:rPr>
          <w:rFonts w:ascii="Times New Roman" w:hAnsi="Times New Roman"/>
          <w:bCs/>
          <w:u w:val="single"/>
          <w:lang w:val="sk-SK"/>
        </w:rPr>
      </w:pPr>
      <w:r w:rsidRPr="000C254D">
        <w:rPr>
          <w:rFonts w:ascii="Times New Roman" w:eastAsia="TimesNewRoman" w:hAnsi="Times New Roman"/>
          <w:u w:val="single"/>
          <w:lang w:val="sk-SK"/>
        </w:rPr>
        <w:t>Pokyny na podávanie</w:t>
      </w:r>
    </w:p>
    <w:p w:rsidR="000F0C23" w:rsidRPr="000C254D" w:rsidRDefault="000F0C23" w:rsidP="000F0C2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Injekciu podávajte podľa lokálnych postupov na podávanie intramuskulárnych injekcií s veľkým</w:t>
      </w:r>
    </w:p>
    <w:p w:rsidR="000F0C23" w:rsidRPr="000C254D" w:rsidRDefault="000F0C23" w:rsidP="000F0C2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objemom.</w:t>
      </w:r>
    </w:p>
    <w:p w:rsidR="000F0C23" w:rsidRPr="000C254D" w:rsidRDefault="000F0C23" w:rsidP="000F0C2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0F0C23" w:rsidRPr="000C254D" w:rsidRDefault="000F0C23" w:rsidP="000F0C2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POZNÁMKA: Vzhľadom na blízkosť sedacieho nervu je potrebná opatrnosť pri injekčnom podávaní</w:t>
      </w:r>
    </w:p>
    <w:p w:rsidR="000F0C23" w:rsidRPr="000C254D" w:rsidRDefault="000F0C23" w:rsidP="000F0C23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Fulvestrantu STADA </w:t>
      </w:r>
      <w:r>
        <w:rPr>
          <w:rFonts w:ascii="Times New Roman" w:eastAsia="TimesNewRoman" w:hAnsi="Times New Roman"/>
          <w:lang w:val="sk-SK"/>
        </w:rPr>
        <w:t>do dorzogluteálnej oblasti</w:t>
      </w:r>
      <w:r w:rsidRPr="000C254D">
        <w:rPr>
          <w:rFonts w:ascii="Times New Roman" w:eastAsia="TimesNewRoman" w:hAnsi="Times New Roman"/>
          <w:lang w:val="sk-SK"/>
        </w:rPr>
        <w:t>.</w:t>
      </w:r>
    </w:p>
    <w:p w:rsidR="000F0C23" w:rsidRPr="000C254D" w:rsidRDefault="000F0C23" w:rsidP="000F0C2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0F0C23" w:rsidRPr="000C254D" w:rsidRDefault="000F0C23" w:rsidP="000F0C2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Upozornenie: Bezpečnostnú ihlu (BD SafetyGlide chránená hypodermická ihla) pred použitím</w:t>
      </w:r>
    </w:p>
    <w:p w:rsidR="000F0C23" w:rsidRPr="000C254D" w:rsidRDefault="000F0C23" w:rsidP="000F0C2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neautoklávujte. Počas použitia aj pri likvidácii musia byť ruky stále za ihlou.</w:t>
      </w:r>
    </w:p>
    <w:p w:rsidR="000F0C23" w:rsidRPr="000C254D" w:rsidRDefault="000F0C23" w:rsidP="000F0C2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0F0C23" w:rsidRPr="000F0C23" w:rsidRDefault="000F0C23" w:rsidP="000F0C23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F0C23">
        <w:rPr>
          <w:rFonts w:ascii="Times New Roman" w:eastAsia="TimesNewRoman" w:hAnsi="Times New Roman"/>
          <w:lang w:val="sk-SK"/>
        </w:rPr>
        <w:t>Pre každú z oboch injekčných striekačiek:</w:t>
      </w:r>
    </w:p>
    <w:p w:rsidR="000F0C23" w:rsidRPr="000C254D" w:rsidRDefault="000F0C23" w:rsidP="000F0C23">
      <w:pPr>
        <w:spacing w:after="0" w:line="240" w:lineRule="auto"/>
        <w:contextualSpacing/>
        <w:rPr>
          <w:rFonts w:ascii="Times New Roman" w:eastAsia="TimesNewRoman" w:hAnsi="Times New Roman"/>
          <w:u w:val="single"/>
          <w:lang w:val="sk-SK"/>
        </w:rPr>
      </w:pPr>
    </w:p>
    <w:p w:rsidR="000F0C23" w:rsidRPr="000C254D" w:rsidRDefault="000F0C23" w:rsidP="000F0C23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Vyberte sklenenú injekčnú striekačku z blistra a skontrolujte, či nie je poškodená.</w:t>
      </w:r>
    </w:p>
    <w:p w:rsidR="000F0C23" w:rsidRPr="000C254D" w:rsidRDefault="000F0C23" w:rsidP="000F0C23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Opatrne vyberte bezpečnostnú ihlu (SafetyGlide) z vonkajšieho obalu.</w:t>
      </w:r>
    </w:p>
    <w:p w:rsidR="000F0C23" w:rsidRPr="000C254D" w:rsidRDefault="000F0C23" w:rsidP="000F0C2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NewRoman" w:hAnsi="Times New Roman"/>
          <w:u w:val="single"/>
          <w:lang w:val="sk-SK"/>
        </w:rPr>
      </w:pPr>
      <w:r w:rsidRPr="000C254D">
        <w:rPr>
          <w:rFonts w:ascii="Times New Roman" w:hAnsi="Times New Roman"/>
          <w:lang w:val="sk-SK"/>
        </w:rPr>
        <w:t>Parenterálne roztoky sa musia pred podávaním vizuálne skontrolovať, či neobsahujú častice a či nedošlo k zmene ich zafarbenia.</w:t>
      </w:r>
    </w:p>
    <w:p w:rsidR="000F0C23" w:rsidRPr="000C254D" w:rsidRDefault="000F0C23" w:rsidP="000F0C2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Injekčnú striekačku držte vo zvislej polohe</w:t>
      </w:r>
    </w:p>
    <w:p w:rsidR="000F0C23" w:rsidRPr="000F0C23" w:rsidRDefault="000F0C23" w:rsidP="000F0C23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F0C23">
        <w:rPr>
          <w:rFonts w:ascii="Times New Roman" w:eastAsia="TimesNewRoman" w:hAnsi="Times New Roman"/>
          <w:lang w:val="sk-SK"/>
        </w:rPr>
        <w:t>Druhou rukou držte kryt  a opatrným otáčaním ho odstráňte. Na zachovanie sterility sa nedotýkajte hrotu injekčnej striekačky (pozri obrázok 1).</w:t>
      </w:r>
    </w:p>
    <w:p w:rsidR="000F0C23" w:rsidRPr="000C254D" w:rsidRDefault="000F0C23" w:rsidP="000F0C23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:rsidR="000F0C23" w:rsidRPr="000C254D" w:rsidRDefault="001C1BEB" w:rsidP="000F0C2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167.25pt">
            <v:imagedata r:id="rId9" o:title=""/>
          </v:shape>
        </w:pict>
      </w:r>
    </w:p>
    <w:p w:rsidR="000F0C23" w:rsidRPr="000C254D" w:rsidRDefault="000F0C23" w:rsidP="000F0C2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lastRenderedPageBreak/>
        <w:t>Obrázok 1</w:t>
      </w:r>
    </w:p>
    <w:p w:rsidR="000F0C23" w:rsidRPr="000C254D" w:rsidRDefault="000F0C23" w:rsidP="000F0C23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:rsidR="000F0C23" w:rsidRPr="000C254D" w:rsidRDefault="000F0C23" w:rsidP="000F0C23">
      <w:pPr>
        <w:widowControl w:val="0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Pripojte bezpečnostnú ihlu k luerovej koncovke injekčnej striekačky a otáčajte ňou, kým pevne nezapadne (pozri obrázok </w:t>
      </w:r>
      <w:r>
        <w:rPr>
          <w:rFonts w:ascii="Times New Roman" w:hAnsi="Times New Roman"/>
          <w:lang w:val="sk-SK"/>
        </w:rPr>
        <w:t>2</w:t>
      </w:r>
      <w:r w:rsidRPr="000C254D">
        <w:rPr>
          <w:rFonts w:ascii="Times New Roman" w:hAnsi="Times New Roman"/>
          <w:lang w:val="sk-SK"/>
        </w:rPr>
        <w:t>).</w:t>
      </w:r>
    </w:p>
    <w:p w:rsidR="000F0C23" w:rsidRPr="000C254D" w:rsidRDefault="001C1BEB" w:rsidP="000F0C23">
      <w:pPr>
        <w:widowControl w:val="0"/>
        <w:tabs>
          <w:tab w:val="left" w:pos="567"/>
          <w:tab w:val="left" w:pos="2977"/>
        </w:tabs>
        <w:spacing w:after="0" w:line="240" w:lineRule="auto"/>
        <w:ind w:left="36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pict>
          <v:shape id="_x0000_i1026" type="#_x0000_t75" style="width:113.25pt;height:163.5pt">
            <v:imagedata r:id="rId10" o:title=""/>
          </v:shape>
        </w:pict>
      </w:r>
    </w:p>
    <w:p w:rsidR="000F0C23" w:rsidRPr="000C254D" w:rsidRDefault="000F0C23" w:rsidP="000F0C2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Obrázok 2</w:t>
      </w:r>
    </w:p>
    <w:p w:rsidR="000F0C23" w:rsidRPr="000C254D" w:rsidRDefault="000F0C23" w:rsidP="000F0C23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:rsidR="000F0C23" w:rsidRPr="000C254D" w:rsidRDefault="000F0C23" w:rsidP="000F0C23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Skontrolujte, či je ihla zafixovaná k luerovému konektoru, predtým ako ju otočíte z vertikálnej roviny. </w:t>
      </w:r>
    </w:p>
    <w:p w:rsidR="000F0C23" w:rsidRPr="000C254D" w:rsidRDefault="000F0C23" w:rsidP="000F0C23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Priamym pohybom stiahnite z ihly kryt tak, aby sa nepoškodil hrot ihly. </w:t>
      </w:r>
    </w:p>
    <w:p w:rsidR="000F0C23" w:rsidRPr="000C254D" w:rsidRDefault="000F0C23" w:rsidP="000F0C23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Preneste naplnenú injekčnú striekačku na miesto podania. </w:t>
      </w:r>
    </w:p>
    <w:p w:rsidR="000F0C23" w:rsidRPr="000C254D" w:rsidRDefault="000F0C23" w:rsidP="000F0C23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Odstráňte kryt z ihly. </w:t>
      </w:r>
    </w:p>
    <w:p w:rsidR="000F0C23" w:rsidRDefault="000F0C23" w:rsidP="000F0C23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>Vytlačte z injekčnej striekačky prebytočný plyn.</w:t>
      </w:r>
    </w:p>
    <w:p w:rsidR="000F0C23" w:rsidRPr="000C254D" w:rsidRDefault="000F0C23" w:rsidP="000F0C23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Podávajte pomaly intramuskulárne (1-2 minúty/injekcia) do sedacieho svalu (gluteálna oblasť). Na uľahčenie podávania je skosená strana ihly orientovaná k ramenu páčky (pozri obrázok </w:t>
      </w:r>
      <w:r>
        <w:rPr>
          <w:rFonts w:eastAsia="Calibri"/>
          <w:sz w:val="22"/>
          <w:szCs w:val="22"/>
          <w:lang w:val="sk-SK" w:eastAsia="en-US"/>
        </w:rPr>
        <w:t>3</w:t>
      </w:r>
      <w:r w:rsidRPr="000C254D">
        <w:rPr>
          <w:rFonts w:eastAsia="Calibri"/>
          <w:sz w:val="22"/>
          <w:szCs w:val="22"/>
          <w:lang w:val="sk-SK" w:eastAsia="en-US"/>
        </w:rPr>
        <w:t>).</w:t>
      </w:r>
    </w:p>
    <w:p w:rsidR="000F0C23" w:rsidRPr="000C254D" w:rsidRDefault="000F0C23" w:rsidP="000F0C23">
      <w:pPr>
        <w:pStyle w:val="TableText"/>
        <w:widowControl w:val="0"/>
        <w:tabs>
          <w:tab w:val="left" w:pos="567"/>
        </w:tabs>
        <w:ind w:left="567"/>
        <w:rPr>
          <w:sz w:val="22"/>
          <w:szCs w:val="22"/>
          <w:lang w:val="sk-SK" w:eastAsia="en-US"/>
        </w:rPr>
      </w:pPr>
    </w:p>
    <w:p w:rsidR="000F0C23" w:rsidRPr="000C254D" w:rsidRDefault="001C1BEB" w:rsidP="000F0C23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pict>
          <v:shape id="_x0000_i1027" type="#_x0000_t75" style="width:150.75pt;height:113.25pt">
            <v:imagedata r:id="rId11" o:title=""/>
          </v:shape>
        </w:pict>
      </w:r>
    </w:p>
    <w:p w:rsidR="000F0C23" w:rsidRPr="000C254D" w:rsidRDefault="000F0C23" w:rsidP="000F0C23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Obrázok 3</w:t>
      </w:r>
    </w:p>
    <w:p w:rsidR="000F0C23" w:rsidRPr="000C254D" w:rsidRDefault="000F0C23" w:rsidP="000F0C23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</w:p>
    <w:p w:rsidR="000F0C23" w:rsidRPr="00446DE6" w:rsidRDefault="000F0C23" w:rsidP="000F0C23">
      <w:pPr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1003"/>
        <w:rPr>
          <w:rFonts w:ascii="Times New Roman" w:eastAsia="Times New Roman" w:hAnsi="Times New Roman"/>
          <w:lang w:val="sk-SK"/>
        </w:rPr>
      </w:pPr>
      <w:r w:rsidRPr="00446DE6">
        <w:rPr>
          <w:rFonts w:ascii="Times New Roman" w:eastAsia="Times New Roman" w:hAnsi="Times New Roman"/>
          <w:lang w:val="sk-SK"/>
        </w:rPr>
        <w:t xml:space="preserve">Po podaní injekcie ihneď využite ťah jedného prsta na aktiváciu ramena páčky, ktorá aktivuje ochranný mechanizmus (pozri obrázok </w:t>
      </w:r>
      <w:r>
        <w:rPr>
          <w:rFonts w:ascii="Times New Roman" w:eastAsia="Times New Roman" w:hAnsi="Times New Roman"/>
          <w:lang w:val="sk-SK"/>
        </w:rPr>
        <w:t>4</w:t>
      </w:r>
      <w:r w:rsidRPr="00446DE6">
        <w:rPr>
          <w:rFonts w:ascii="Times New Roman" w:eastAsia="Times New Roman" w:hAnsi="Times New Roman"/>
          <w:lang w:val="sk-SK"/>
        </w:rPr>
        <w:t xml:space="preserve">). </w:t>
      </w:r>
    </w:p>
    <w:p w:rsidR="000F0C23" w:rsidRDefault="000F0C23" w:rsidP="000F0C23">
      <w:pPr>
        <w:widowControl w:val="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lang w:val="sk-SK"/>
        </w:rPr>
      </w:pPr>
      <w:r w:rsidRPr="00446DE6">
        <w:rPr>
          <w:rFonts w:ascii="Times New Roman" w:eastAsia="Times New Roman" w:hAnsi="Times New Roman"/>
          <w:lang w:val="sk-SK"/>
        </w:rPr>
        <w:t>POZNÁMKA: Aktivujte mechanizmus smerom od seba a</w:t>
      </w:r>
      <w:r>
        <w:rPr>
          <w:rFonts w:ascii="Times New Roman" w:eastAsia="Times New Roman" w:hAnsi="Times New Roman"/>
          <w:lang w:val="sk-SK"/>
        </w:rPr>
        <w:t> </w:t>
      </w:r>
      <w:r w:rsidRPr="00446DE6">
        <w:rPr>
          <w:rFonts w:ascii="Times New Roman" w:eastAsia="Times New Roman" w:hAnsi="Times New Roman"/>
          <w:lang w:val="sk-SK"/>
        </w:rPr>
        <w:t>iných</w:t>
      </w:r>
      <w:r>
        <w:rPr>
          <w:rFonts w:ascii="Times New Roman" w:eastAsia="Times New Roman" w:hAnsi="Times New Roman"/>
          <w:lang w:val="sk-SK"/>
        </w:rPr>
        <w:t xml:space="preserve"> ľudí</w:t>
      </w:r>
      <w:r w:rsidRPr="00446DE6">
        <w:rPr>
          <w:rFonts w:ascii="Times New Roman" w:eastAsia="Times New Roman" w:hAnsi="Times New Roman"/>
          <w:lang w:val="sk-SK"/>
        </w:rPr>
        <w:t xml:space="preserve">. Dávajte pozor na </w:t>
      </w:r>
      <w:r>
        <w:rPr>
          <w:rFonts w:ascii="Times New Roman" w:eastAsia="Times New Roman" w:hAnsi="Times New Roman"/>
          <w:lang w:val="sk-SK"/>
        </w:rPr>
        <w:t>kliknutie</w:t>
      </w:r>
      <w:r w:rsidRPr="00446DE6">
        <w:rPr>
          <w:rFonts w:ascii="Times New Roman" w:eastAsia="Times New Roman" w:hAnsi="Times New Roman"/>
          <w:lang w:val="sk-SK"/>
        </w:rPr>
        <w:t xml:space="preserve"> a vizuálne sa presvedčte, že hrot ihly je úplne zakrytý.</w:t>
      </w:r>
    </w:p>
    <w:p w:rsidR="000F0C23" w:rsidRDefault="000F0C23" w:rsidP="000F0C23">
      <w:pPr>
        <w:widowControl w:val="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lang w:val="sk-SK"/>
        </w:rPr>
      </w:pPr>
    </w:p>
    <w:p w:rsidR="000F0C23" w:rsidRDefault="000F0C23" w:rsidP="000F0C23">
      <w:pPr>
        <w:widowControl w:val="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lang w:val="sk-SK"/>
        </w:rPr>
      </w:pPr>
    </w:p>
    <w:p w:rsidR="000F0C23" w:rsidRPr="000C254D" w:rsidRDefault="000F0C23" w:rsidP="000F0C23">
      <w:pPr>
        <w:widowControl w:val="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lang w:val="sk-SK"/>
        </w:rPr>
      </w:pPr>
    </w:p>
    <w:p w:rsidR="000F0C23" w:rsidRPr="000C254D" w:rsidRDefault="001C1BEB" w:rsidP="000F0C23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lastRenderedPageBreak/>
        <w:pict>
          <v:shape id="_x0000_i1028" type="#_x0000_t75" style="width:113.25pt;height:113.25pt">
            <v:imagedata r:id="rId12" o:title=""/>
          </v:shape>
        </w:pict>
      </w:r>
    </w:p>
    <w:p w:rsidR="000F0C23" w:rsidRPr="000C254D" w:rsidRDefault="000F0C23" w:rsidP="000F0C23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Obrázok 4</w:t>
      </w:r>
    </w:p>
    <w:p w:rsidR="000F0C23" w:rsidRPr="000C254D" w:rsidRDefault="000F0C23" w:rsidP="000F0C23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sk-SK"/>
        </w:rPr>
      </w:pPr>
    </w:p>
    <w:p w:rsidR="000F0C23" w:rsidRPr="000C254D" w:rsidRDefault="000F0C23" w:rsidP="000F0C23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F0C23" w:rsidRPr="000C254D" w:rsidRDefault="000F0C23" w:rsidP="000F0C23">
      <w:pPr>
        <w:pStyle w:val="Odsekzoznamu"/>
        <w:spacing w:after="0" w:line="240" w:lineRule="auto"/>
        <w:ind w:left="0"/>
        <w:rPr>
          <w:rFonts w:ascii="Times New Roman" w:hAnsi="Times New Roman"/>
          <w:bCs/>
          <w:u w:val="single"/>
          <w:lang w:val="sk-SK"/>
        </w:rPr>
      </w:pPr>
      <w:r w:rsidRPr="000C254D">
        <w:rPr>
          <w:rFonts w:ascii="Times New Roman" w:hAnsi="Times New Roman"/>
          <w:bCs/>
          <w:u w:val="single"/>
          <w:lang w:val="sk-SK"/>
        </w:rPr>
        <w:t>Likvidácia</w:t>
      </w:r>
    </w:p>
    <w:p w:rsidR="000F0C23" w:rsidRPr="000C254D" w:rsidRDefault="000F0C23" w:rsidP="000F0C23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  <w:r w:rsidRPr="000C254D">
        <w:rPr>
          <w:rFonts w:ascii="Times New Roman" w:hAnsi="Times New Roman"/>
          <w:bCs/>
          <w:lang w:val="sk-SK"/>
        </w:rPr>
        <w:t xml:space="preserve">Naplnené striekačky sú určené </w:t>
      </w:r>
      <w:r w:rsidRPr="000C254D">
        <w:rPr>
          <w:rFonts w:ascii="Times New Roman" w:hAnsi="Times New Roman"/>
          <w:b/>
          <w:bCs/>
          <w:lang w:val="sk-SK"/>
        </w:rPr>
        <w:t xml:space="preserve">len </w:t>
      </w:r>
      <w:r w:rsidRPr="000C254D">
        <w:rPr>
          <w:rFonts w:ascii="Times New Roman" w:hAnsi="Times New Roman"/>
          <w:bCs/>
          <w:lang w:val="sk-SK"/>
        </w:rPr>
        <w:t>na jednorazové použitie.</w:t>
      </w:r>
    </w:p>
    <w:p w:rsidR="000F0C23" w:rsidRPr="000C254D" w:rsidRDefault="000F0C23" w:rsidP="000F0C23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  <w:r w:rsidRPr="000C254D">
        <w:rPr>
          <w:rFonts w:ascii="Times New Roman" w:hAnsi="Times New Roman"/>
          <w:lang w:val="sk-SK" w:eastAsia="sk-SK"/>
        </w:rPr>
        <w:t>Tento liek môže predstavovať riziko pre vodné prostredie.</w:t>
      </w:r>
      <w:r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bCs/>
          <w:lang w:val="sk-SK"/>
        </w:rPr>
        <w:t>Všetok nepoužitý liek alebo odpad vzniknutý z lieku sa má zlikvidovať v súlade s národnými požiadavkami.</w:t>
      </w:r>
    </w:p>
    <w:p w:rsidR="000F0C23" w:rsidRPr="00373896" w:rsidRDefault="000F0C2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sectPr w:rsidR="000F0C23" w:rsidRPr="00373896" w:rsidSect="00523F66">
      <w:headerReference w:type="default" r:id="rId13"/>
      <w:footerReference w:type="default" r:id="rId14"/>
      <w:pgSz w:w="12240" w:h="15840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F5C" w:rsidRDefault="009B6F5C" w:rsidP="00037F6E">
      <w:pPr>
        <w:spacing w:after="0" w:line="240" w:lineRule="auto"/>
      </w:pPr>
      <w:r>
        <w:separator/>
      </w:r>
    </w:p>
  </w:endnote>
  <w:endnote w:type="continuationSeparator" w:id="0">
    <w:p w:rsidR="009B6F5C" w:rsidRDefault="009B6F5C" w:rsidP="0003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ACB" w:rsidRPr="00A43D1E" w:rsidRDefault="002A0ACB">
    <w:pPr>
      <w:pStyle w:val="Pta"/>
      <w:jc w:val="center"/>
      <w:rPr>
        <w:rFonts w:ascii="Times New Roman" w:hAnsi="Times New Roman"/>
        <w:sz w:val="18"/>
        <w:szCs w:val="18"/>
      </w:rPr>
    </w:pPr>
    <w:r w:rsidRPr="00A43D1E">
      <w:rPr>
        <w:rFonts w:ascii="Times New Roman" w:hAnsi="Times New Roman"/>
        <w:sz w:val="18"/>
        <w:szCs w:val="18"/>
      </w:rPr>
      <w:fldChar w:fldCharType="begin"/>
    </w:r>
    <w:r w:rsidRPr="00A43D1E">
      <w:rPr>
        <w:rFonts w:ascii="Times New Roman" w:hAnsi="Times New Roman"/>
        <w:sz w:val="18"/>
        <w:szCs w:val="18"/>
      </w:rPr>
      <w:instrText>PAGE   \* MERGEFORMAT</w:instrText>
    </w:r>
    <w:r w:rsidRPr="00A43D1E">
      <w:rPr>
        <w:rFonts w:ascii="Times New Roman" w:hAnsi="Times New Roman"/>
        <w:sz w:val="18"/>
        <w:szCs w:val="18"/>
      </w:rPr>
      <w:fldChar w:fldCharType="separate"/>
    </w:r>
    <w:r w:rsidR="001C1BEB" w:rsidRPr="001C1BEB">
      <w:rPr>
        <w:rFonts w:ascii="Times New Roman" w:hAnsi="Times New Roman"/>
        <w:noProof/>
        <w:sz w:val="18"/>
        <w:szCs w:val="18"/>
        <w:lang w:val="sk-SK"/>
      </w:rPr>
      <w:t>4</w:t>
    </w:r>
    <w:r w:rsidRPr="00A43D1E">
      <w:rPr>
        <w:rFonts w:ascii="Times New Roman" w:hAnsi="Times New Roman"/>
        <w:sz w:val="18"/>
        <w:szCs w:val="18"/>
      </w:rPr>
      <w:fldChar w:fldCharType="end"/>
    </w:r>
  </w:p>
  <w:p w:rsidR="002A0ACB" w:rsidRDefault="002A0AC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F5C" w:rsidRDefault="009B6F5C" w:rsidP="00037F6E">
      <w:pPr>
        <w:spacing w:after="0" w:line="240" w:lineRule="auto"/>
      </w:pPr>
      <w:r>
        <w:separator/>
      </w:r>
    </w:p>
  </w:footnote>
  <w:footnote w:type="continuationSeparator" w:id="0">
    <w:p w:rsidR="009B6F5C" w:rsidRDefault="009B6F5C" w:rsidP="0003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42F" w:rsidRPr="0023506C" w:rsidRDefault="00C0542F" w:rsidP="00C0542F">
    <w:pPr>
      <w:pStyle w:val="Hlavika"/>
      <w:rPr>
        <w:rFonts w:ascii="Times New Roman" w:hAnsi="Times New Roman"/>
        <w:sz w:val="18"/>
        <w:szCs w:val="18"/>
        <w:lang w:val="sk-SK"/>
      </w:rPr>
    </w:pPr>
    <w:r w:rsidRPr="0023506C">
      <w:rPr>
        <w:rFonts w:ascii="Times New Roman" w:hAnsi="Times New Roman"/>
        <w:sz w:val="18"/>
        <w:szCs w:val="18"/>
        <w:lang w:val="sk-SK"/>
      </w:rPr>
      <w:t>Schválený text k rozhodnutiu o registrácii, ev.</w:t>
    </w:r>
    <w:r>
      <w:rPr>
        <w:rFonts w:ascii="Times New Roman" w:hAnsi="Times New Roman"/>
        <w:sz w:val="18"/>
        <w:szCs w:val="18"/>
        <w:lang w:val="sk-SK"/>
      </w:rPr>
      <w:t xml:space="preserve"> </w:t>
    </w:r>
    <w:r w:rsidRPr="0023506C">
      <w:rPr>
        <w:rFonts w:ascii="Times New Roman" w:hAnsi="Times New Roman"/>
        <w:sz w:val="18"/>
        <w:szCs w:val="18"/>
        <w:lang w:val="sk-SK"/>
      </w:rPr>
      <w:t xml:space="preserve">č.: </w:t>
    </w:r>
    <w:r w:rsidR="0056733A">
      <w:rPr>
        <w:rFonts w:ascii="Times New Roman" w:hAnsi="Times New Roman"/>
        <w:sz w:val="18"/>
        <w:szCs w:val="18"/>
        <w:lang w:val="sk-SK"/>
      </w:rPr>
      <w:t>2018/00009-REG</w:t>
    </w:r>
  </w:p>
  <w:p w:rsidR="00577FE3" w:rsidRPr="00373896" w:rsidRDefault="00577FE3" w:rsidP="00C0542F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2087"/>
    <w:multiLevelType w:val="hybridMultilevel"/>
    <w:tmpl w:val="1054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95D2D"/>
    <w:multiLevelType w:val="hybridMultilevel"/>
    <w:tmpl w:val="7E66A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74B51"/>
    <w:multiLevelType w:val="hybridMultilevel"/>
    <w:tmpl w:val="36689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260E"/>
    <w:multiLevelType w:val="hybridMultilevel"/>
    <w:tmpl w:val="1E085B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5585F"/>
    <w:multiLevelType w:val="hybridMultilevel"/>
    <w:tmpl w:val="0228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73DBA"/>
    <w:multiLevelType w:val="hybridMultilevel"/>
    <w:tmpl w:val="F572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20E69"/>
    <w:multiLevelType w:val="hybridMultilevel"/>
    <w:tmpl w:val="12AE0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B57E2"/>
    <w:multiLevelType w:val="hybridMultilevel"/>
    <w:tmpl w:val="8FAE853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D56375"/>
    <w:multiLevelType w:val="hybridMultilevel"/>
    <w:tmpl w:val="B6C0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D2652"/>
    <w:multiLevelType w:val="hybridMultilevel"/>
    <w:tmpl w:val="906E6622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35C62B48"/>
    <w:multiLevelType w:val="hybridMultilevel"/>
    <w:tmpl w:val="574216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10C15"/>
    <w:multiLevelType w:val="hybridMultilevel"/>
    <w:tmpl w:val="0240B3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12682"/>
    <w:multiLevelType w:val="hybridMultilevel"/>
    <w:tmpl w:val="46AA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C1E59"/>
    <w:multiLevelType w:val="hybridMultilevel"/>
    <w:tmpl w:val="7EE0D1A2"/>
    <w:lvl w:ilvl="0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C974EE8"/>
    <w:multiLevelType w:val="hybridMultilevel"/>
    <w:tmpl w:val="116E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639AE"/>
    <w:multiLevelType w:val="hybridMultilevel"/>
    <w:tmpl w:val="77846E22"/>
    <w:lvl w:ilvl="0" w:tplc="800EF8C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6"/>
  </w:num>
  <w:num w:numId="5">
    <w:abstractNumId w:val="12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2DF3"/>
    <w:rsid w:val="00012680"/>
    <w:rsid w:val="00037F6E"/>
    <w:rsid w:val="00077F53"/>
    <w:rsid w:val="00090288"/>
    <w:rsid w:val="000F0C23"/>
    <w:rsid w:val="00103CAA"/>
    <w:rsid w:val="001723CF"/>
    <w:rsid w:val="001C1BEB"/>
    <w:rsid w:val="002526C7"/>
    <w:rsid w:val="00265CB8"/>
    <w:rsid w:val="002A0ACB"/>
    <w:rsid w:val="002D74CD"/>
    <w:rsid w:val="002F733C"/>
    <w:rsid w:val="00314931"/>
    <w:rsid w:val="00330203"/>
    <w:rsid w:val="003538C0"/>
    <w:rsid w:val="003701B7"/>
    <w:rsid w:val="00373896"/>
    <w:rsid w:val="00374046"/>
    <w:rsid w:val="003B06F2"/>
    <w:rsid w:val="00457B5A"/>
    <w:rsid w:val="004C7256"/>
    <w:rsid w:val="004D16F7"/>
    <w:rsid w:val="004E6582"/>
    <w:rsid w:val="00523AE9"/>
    <w:rsid w:val="00523F66"/>
    <w:rsid w:val="00526D05"/>
    <w:rsid w:val="00530C59"/>
    <w:rsid w:val="005602F7"/>
    <w:rsid w:val="0056733A"/>
    <w:rsid w:val="00577FE3"/>
    <w:rsid w:val="00580274"/>
    <w:rsid w:val="00586594"/>
    <w:rsid w:val="005F667C"/>
    <w:rsid w:val="00604A82"/>
    <w:rsid w:val="00666EBF"/>
    <w:rsid w:val="006F1456"/>
    <w:rsid w:val="007557FF"/>
    <w:rsid w:val="007A2388"/>
    <w:rsid w:val="00856F60"/>
    <w:rsid w:val="008728F6"/>
    <w:rsid w:val="00892DF3"/>
    <w:rsid w:val="008B5695"/>
    <w:rsid w:val="008D3DD6"/>
    <w:rsid w:val="008F7962"/>
    <w:rsid w:val="009340D0"/>
    <w:rsid w:val="00945B1A"/>
    <w:rsid w:val="00947B2E"/>
    <w:rsid w:val="00964915"/>
    <w:rsid w:val="009840F2"/>
    <w:rsid w:val="00991D0C"/>
    <w:rsid w:val="009B171E"/>
    <w:rsid w:val="009B6F5C"/>
    <w:rsid w:val="009C6E14"/>
    <w:rsid w:val="00A32F2F"/>
    <w:rsid w:val="00A43D1E"/>
    <w:rsid w:val="00A53949"/>
    <w:rsid w:val="00A76DA2"/>
    <w:rsid w:val="00A8239D"/>
    <w:rsid w:val="00AD2F97"/>
    <w:rsid w:val="00AE1526"/>
    <w:rsid w:val="00AF1399"/>
    <w:rsid w:val="00B15B4D"/>
    <w:rsid w:val="00B26961"/>
    <w:rsid w:val="00B4499E"/>
    <w:rsid w:val="00B548D0"/>
    <w:rsid w:val="00B56ED0"/>
    <w:rsid w:val="00B5704E"/>
    <w:rsid w:val="00B6043B"/>
    <w:rsid w:val="00BC4512"/>
    <w:rsid w:val="00BC5054"/>
    <w:rsid w:val="00C0542F"/>
    <w:rsid w:val="00C21617"/>
    <w:rsid w:val="00C44850"/>
    <w:rsid w:val="00C9173C"/>
    <w:rsid w:val="00CB4CE6"/>
    <w:rsid w:val="00CB636D"/>
    <w:rsid w:val="00CD0C72"/>
    <w:rsid w:val="00D144E9"/>
    <w:rsid w:val="00D9124B"/>
    <w:rsid w:val="00DC35FF"/>
    <w:rsid w:val="00E05308"/>
    <w:rsid w:val="00E506C8"/>
    <w:rsid w:val="00EC35ED"/>
    <w:rsid w:val="00F7112F"/>
    <w:rsid w:val="00FB6019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077EA6-8C91-4E0D-B66A-14D7B677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B2E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92DF3"/>
    <w:pPr>
      <w:ind w:left="720"/>
      <w:contextualSpacing/>
    </w:pPr>
  </w:style>
  <w:style w:type="character" w:styleId="Hypertextovprepojenie">
    <w:name w:val="Hyperlink"/>
    <w:uiPriority w:val="99"/>
    <w:unhideWhenUsed/>
    <w:rsid w:val="0058027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7F6E"/>
  </w:style>
  <w:style w:type="paragraph" w:styleId="Pta">
    <w:name w:val="footer"/>
    <w:basedOn w:val="Normlny"/>
    <w:link w:val="Pta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7F6E"/>
  </w:style>
  <w:style w:type="paragraph" w:styleId="Textbubliny">
    <w:name w:val="Balloon Text"/>
    <w:basedOn w:val="Normlny"/>
    <w:link w:val="TextbublinyChar"/>
    <w:uiPriority w:val="99"/>
    <w:semiHidden/>
    <w:unhideWhenUsed/>
    <w:rsid w:val="0052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3AE9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91D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91D0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91D0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0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91D0C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FE2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1">
    <w:name w:val="Text Char1"/>
    <w:link w:val="Text"/>
    <w:locked/>
    <w:rsid w:val="007A2388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7A2388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val="sk-SK" w:eastAsia="sk-SK"/>
    </w:rPr>
  </w:style>
  <w:style w:type="paragraph" w:customStyle="1" w:styleId="yiv9287724709msonormal">
    <w:name w:val="yiv9287724709msonormal"/>
    <w:basedOn w:val="Normlny"/>
    <w:rsid w:val="00D91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TableText">
    <w:name w:val="Table Text"/>
    <w:basedOn w:val="Normlny"/>
    <w:uiPriority w:val="99"/>
    <w:rsid w:val="000F0C23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B1338-FBBE-44FB-973F-6D86C419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2142</Words>
  <Characters>12215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14329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Meszarosova, Eva</dc:creator>
  <cp:lastModifiedBy>Kristína Ráczová</cp:lastModifiedBy>
  <cp:revision>4</cp:revision>
  <dcterms:created xsi:type="dcterms:W3CDTF">2019-07-09T14:05:00Z</dcterms:created>
  <dcterms:modified xsi:type="dcterms:W3CDTF">2019-07-11T10:35:00Z</dcterms:modified>
</cp:coreProperties>
</file>