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793C1" w14:textId="71AEDB3F" w:rsidR="0025223D" w:rsidRPr="00B914C4" w:rsidRDefault="00F839E2" w:rsidP="00B8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Písomná informácia pre používateľku</w:t>
      </w:r>
    </w:p>
    <w:p w14:paraId="456793C2" w14:textId="77777777" w:rsidR="0025223D" w:rsidRPr="00B914C4" w:rsidRDefault="0025223D" w:rsidP="00B858F8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6731C13" w14:textId="41D9A47E" w:rsidR="009875C7" w:rsidRPr="00B914C4" w:rsidRDefault="00D262A8" w:rsidP="00B858F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9C66E4" w:rsidRPr="009C66E4">
        <w:rPr>
          <w:rFonts w:ascii="Times New Roman" w:eastAsia="Times New Roman" w:hAnsi="Times New Roman" w:cs="Times New Roman"/>
          <w:b/>
          <w:noProof/>
          <w:lang w:bidi="sk-SK"/>
        </w:rPr>
        <w:t xml:space="preserve"> 250 mg injekčný roztok naplnený v injekčnej striekačke</w:t>
      </w:r>
    </w:p>
    <w:p w14:paraId="0EF9DCD6" w14:textId="77777777" w:rsidR="00D9164B" w:rsidRDefault="00D9164B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sk-SK"/>
        </w:rPr>
      </w:pPr>
    </w:p>
    <w:p w14:paraId="107EBAAF" w14:textId="77777777" w:rsidR="00016C84" w:rsidRPr="00D156A0" w:rsidRDefault="00016C84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>fulvestrant</w:t>
      </w:r>
    </w:p>
    <w:p w14:paraId="456793C5" w14:textId="77777777" w:rsidR="0025223D" w:rsidRPr="00D156A0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6" w14:textId="77777777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Pozorne si prečítajte celú písomnú informáciu predtým, ako začnete používať tento liek, pretože obsahuje pre vás dôležité informácie.</w:t>
      </w:r>
    </w:p>
    <w:p w14:paraId="52F4A8BB" w14:textId="77777777" w:rsidR="00D9164B" w:rsidRPr="00D156A0" w:rsidRDefault="00D9164B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3C7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Túto písomnú informáciu si uschovajte. Možno bude potrebné, aby ste si ju znovu prečítali.</w:t>
      </w:r>
    </w:p>
    <w:p w14:paraId="456793C8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akékoľvek ďalšie otázky, obráťte sa na svojho lekára, lekárnika alebo zdravotnú sestru.</w:t>
      </w:r>
    </w:p>
    <w:p w14:paraId="456793C9" w14:textId="77777777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Tento liek bol predpísaný iba vám. Nedávajte ho nikomu inému. Môže mu uškodiť, dokonca aj vtedy, ak má rovnaké prejavy ochorenia ako vy.</w:t>
      </w:r>
    </w:p>
    <w:p w14:paraId="456793CA" w14:textId="3F7A4E57" w:rsidR="0025223D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456793C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 tejto písomnej informácii sa dozviete</w:t>
      </w:r>
    </w:p>
    <w:p w14:paraId="456793CD" w14:textId="26A770E9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1.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a na čo sa používa</w:t>
      </w:r>
    </w:p>
    <w:p w14:paraId="059CEC0B" w14:textId="1911D239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2.</w:t>
      </w:r>
      <w:r w:rsidRPr="00B914C4">
        <w:rPr>
          <w:rFonts w:ascii="Times New Roman" w:eastAsia="Times New Roman" w:hAnsi="Times New Roman" w:cs="Times New Roman"/>
          <w:lang w:bidi="sk-SK"/>
        </w:rPr>
        <w:tab/>
        <w:t>Čo potrebujete vedieť predtým, ako použijete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18B3B8F8" w14:textId="1F4941C4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3.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0" w14:textId="41CBB2DF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4.</w:t>
      </w:r>
      <w:r w:rsidRPr="00B914C4">
        <w:rPr>
          <w:rFonts w:ascii="Times New Roman" w:eastAsia="Times New Roman" w:hAnsi="Times New Roman" w:cs="Times New Roman"/>
          <w:lang w:bidi="sk-SK"/>
        </w:rPr>
        <w:tab/>
        <w:t>Možné vedľajšie účinky</w:t>
      </w:r>
    </w:p>
    <w:p w14:paraId="4D9C9027" w14:textId="2093D1A0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5.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lang w:bidi="sk-SK"/>
        </w:rPr>
        <w:t>uchovávať</w:t>
      </w:r>
      <w:r w:rsidR="00AC0DAC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2" w14:textId="0A52FF9D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6.</w:t>
      </w:r>
      <w:r w:rsidRPr="00B914C4">
        <w:rPr>
          <w:rFonts w:ascii="Times New Roman" w:eastAsia="Times New Roman" w:hAnsi="Times New Roman" w:cs="Times New Roman"/>
          <w:lang w:bidi="sk-SK"/>
        </w:rPr>
        <w:tab/>
        <w:t>Obsah balenia a ďalšie informácie</w:t>
      </w:r>
    </w:p>
    <w:p w14:paraId="456793D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6" w14:textId="2BD51D48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1.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b/>
          <w:lang w:bidi="sk-SK"/>
        </w:rPr>
        <w:t>a na čo sa používa</w:t>
      </w:r>
    </w:p>
    <w:p w14:paraId="456793D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8" w14:textId="400CEEF0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obsahuje liečivo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>
        <w:rPr>
          <w:rFonts w:ascii="Times New Roman" w:eastAsia="Times New Roman" w:hAnsi="Times New Roman" w:cs="Times New Roman"/>
          <w:lang w:bidi="sk-SK"/>
        </w:rPr>
        <w:t>ulvestrant</w:t>
      </w:r>
      <w:r w:rsidR="00F839E2" w:rsidRPr="00B914C4">
        <w:rPr>
          <w:rFonts w:ascii="Times New Roman" w:eastAsia="Times New Roman" w:hAnsi="Times New Roman" w:cs="Times New Roman"/>
          <w:lang w:bidi="sk-SK"/>
        </w:rPr>
        <w:t>, ktorý patrí do skupiny blokátorov estrogénov. Estrogény, ktorá patria medzi ženské pohlavné hormóny, sa môžu v niektorých prípadoch podieľať na raste karcinómu prsníka.</w:t>
      </w:r>
    </w:p>
    <w:p w14:paraId="456793D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23C339D5" w14:textId="77777777" w:rsidR="00795C4A" w:rsidRPr="00795C4A" w:rsidRDefault="00D262A8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F839E2" w:rsidRPr="009420CA">
        <w:rPr>
          <w:rFonts w:ascii="Times New Roman" w:eastAsia="Times New Roman" w:hAnsi="Times New Roman" w:cs="Times New Roman"/>
          <w:lang w:bidi="sk-SK"/>
        </w:rPr>
        <w:t>s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a používa </w:t>
      </w:r>
      <w:r w:rsidR="00795C4A" w:rsidRPr="00795C4A">
        <w:rPr>
          <w:rFonts w:ascii="Times New Roman" w:eastAsia="Times New Roman" w:hAnsi="Times New Roman" w:cs="Times New Roman"/>
          <w:lang w:bidi="sk-SK"/>
        </w:rPr>
        <w:t>buď:</w:t>
      </w:r>
    </w:p>
    <w:p w14:paraId="138E7520" w14:textId="4E13ABCD" w:rsidR="00795C4A" w:rsidRPr="00D156A0" w:rsidRDefault="00795C4A" w:rsidP="00D156A0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>samotný na liečbu postmenopauzálnych žien s typom rakoviny prsníka nazývanej karcinóm</w:t>
      </w:r>
    </w:p>
    <w:p w14:paraId="5B3010CF" w14:textId="4CCF496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prsníka s pozitivitou estrogénových receptorov, ktorý je lokálne pokročilý (rakovina sa začala</w:t>
      </w:r>
    </w:p>
    <w:p w14:paraId="5E01BA47" w14:textId="63B2A9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rozširovať)</w:t>
      </w:r>
      <w:r>
        <w:rPr>
          <w:rFonts w:ascii="Times New Roman" w:eastAsia="Times New Roman" w:hAnsi="Times New Roman" w:cs="Times New Roman"/>
          <w:lang w:bidi="sk-SK"/>
        </w:rPr>
        <w:t>,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 alebo metastatický (už sa rozšírila do iných častí tela), alebo</w:t>
      </w:r>
    </w:p>
    <w:p w14:paraId="035410E9" w14:textId="5812A9B3" w:rsidR="00795C4A" w:rsidRPr="00D156A0" w:rsidRDefault="00795C4A" w:rsidP="00D156A0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>v kombinácií s palbociklibom na liečbu žien s typom rakoviny prsníka nazývanej karcinóm</w:t>
      </w:r>
    </w:p>
    <w:p w14:paraId="4B196953" w14:textId="13AE30AA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prsníka s pozitivitou hormonálnych receptorov a negativitou receptora 2 pre ľudský</w:t>
      </w:r>
    </w:p>
    <w:p w14:paraId="28EA7537" w14:textId="071A8D32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epidermálny rastový faktor, ktorý je lokálne pokročilý alebo sa rozšíril do iných častí tela</w:t>
      </w:r>
    </w:p>
    <w:p w14:paraId="459F8437" w14:textId="6A817F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(metastatický). Ženy, ktoré ešte nie sú v menopauze, budú tiež liečené agonistom hormónu</w:t>
      </w:r>
    </w:p>
    <w:p w14:paraId="456793DA" w14:textId="2C385A4C" w:rsidR="0025223D" w:rsidRPr="009420CA" w:rsidRDefault="00795C4A" w:rsidP="0079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uvoľňujúceho luteinizačný hormón (LHRH). </w:t>
      </w:r>
    </w:p>
    <w:p w14:paraId="456793DC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D" w14:textId="1E298163" w:rsidR="0025223D" w:rsidRDefault="00795C4A" w:rsidP="00795C4A">
      <w:pPr>
        <w:spacing w:after="0" w:line="240" w:lineRule="auto"/>
        <w:rPr>
          <w:rFonts w:ascii="Times New Roman" w:hAnsi="Times New Roman" w:cs="Times New Roman"/>
        </w:rPr>
      </w:pPr>
      <w:r w:rsidRPr="00795C4A">
        <w:rPr>
          <w:rFonts w:ascii="Times New Roman" w:hAnsi="Times New Roman" w:cs="Times New Roman"/>
        </w:rPr>
        <w:t xml:space="preserve">Ak sa </w:t>
      </w:r>
      <w:r>
        <w:rPr>
          <w:rFonts w:ascii="Times New Roman" w:hAnsi="Times New Roman" w:cs="Times New Roman"/>
        </w:rPr>
        <w:t>Fulvestrant Accord</w:t>
      </w:r>
      <w:r w:rsidRPr="00795C4A">
        <w:rPr>
          <w:rFonts w:ascii="Times New Roman" w:hAnsi="Times New Roman" w:cs="Times New Roman"/>
        </w:rPr>
        <w:t xml:space="preserve"> </w:t>
      </w:r>
      <w:r w:rsidR="00231262" w:rsidRPr="00231262">
        <w:rPr>
          <w:rFonts w:ascii="Times New Roman" w:hAnsi="Times New Roman" w:cs="Times New Roman"/>
        </w:rPr>
        <w:t xml:space="preserve">250 mg injekčný roztok naplnený v injekčnej striekačke </w:t>
      </w:r>
      <w:r w:rsidRPr="00795C4A">
        <w:rPr>
          <w:rFonts w:ascii="Times New Roman" w:hAnsi="Times New Roman" w:cs="Times New Roman"/>
        </w:rPr>
        <w:t>podáva v kombinácii s palbociklibom, je dôležité, aby ste si prečítali aj písomnú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>informáciu pre používateľa palbociklibu. Ak máte akékoľvek otázky týkajúce sa palbociklibu, opýtajte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>sa svojho lekára</w:t>
      </w:r>
      <w:r>
        <w:rPr>
          <w:rFonts w:ascii="Times New Roman" w:hAnsi="Times New Roman" w:cs="Times New Roman"/>
        </w:rPr>
        <w:t>.</w:t>
      </w:r>
    </w:p>
    <w:p w14:paraId="43479D1B" w14:textId="77777777" w:rsidR="00795C4A" w:rsidRPr="009420CA" w:rsidRDefault="00795C4A" w:rsidP="00795C4A">
      <w:pPr>
        <w:spacing w:after="0" w:line="240" w:lineRule="auto"/>
        <w:rPr>
          <w:rFonts w:ascii="Times New Roman" w:hAnsi="Times New Roman" w:cs="Times New Roman"/>
        </w:rPr>
      </w:pPr>
    </w:p>
    <w:p w14:paraId="456793DF" w14:textId="26D406B5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2.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potrebujete vedieť predtým, 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použijete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75A90054" w14:textId="77777777" w:rsidR="00C42E5D" w:rsidRPr="009420CA" w:rsidRDefault="00C42E5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56793E0" w14:textId="1FD28A11" w:rsidR="0025223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00F32">
        <w:rPr>
          <w:rFonts w:ascii="Times New Roman" w:eastAsia="Times New Roman" w:hAnsi="Times New Roman" w:cs="Times New Roman"/>
          <w:b/>
          <w:lang w:bidi="sk-SK"/>
        </w:rPr>
        <w:t xml:space="preserve">Nepoužívajte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>Fulvestrant Accord</w:t>
      </w:r>
      <w:r w:rsidRPr="00200F32">
        <w:rPr>
          <w:rFonts w:ascii="Times New Roman" w:eastAsia="Times New Roman" w:hAnsi="Times New Roman" w:cs="Times New Roman"/>
          <w:b/>
          <w:lang w:bidi="sk-SK"/>
        </w:rPr>
        <w:t>:</w:t>
      </w:r>
    </w:p>
    <w:p w14:paraId="456793E1" w14:textId="16CC833D" w:rsidR="0025223D" w:rsidRPr="009420CA" w:rsidRDefault="00F839E2" w:rsidP="00B858F8">
      <w:pPr>
        <w:tabs>
          <w:tab w:val="left" w:pos="-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 ste alergická na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alebo na ktorúkoľvek z ďalších zložiek tohto lieku (uvedených v časti 6)</w:t>
      </w:r>
    </w:p>
    <w:p w14:paraId="456793E2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ste tehotná alebo dojčíte,</w:t>
      </w:r>
    </w:p>
    <w:p w14:paraId="456793E3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vážne problémy s pečeňou,</w:t>
      </w:r>
    </w:p>
    <w:p w14:paraId="456793E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E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Upozornenia a opatrenia</w:t>
      </w:r>
    </w:p>
    <w:p w14:paraId="456793E6" w14:textId="500337FD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Predtým, ako začnete používať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obráťte sa na svojho lekára</w:t>
      </w:r>
      <w:r w:rsidR="00AC0DAC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lekárnika alebo </w:t>
      </w:r>
      <w:r w:rsidRPr="00B914C4">
        <w:rPr>
          <w:rFonts w:ascii="Times New Roman" w:eastAsia="Times New Roman" w:hAnsi="Times New Roman" w:cs="Times New Roman"/>
          <w:lang w:bidi="sk-SK"/>
        </w:rPr>
        <w:lastRenderedPageBreak/>
        <w:t>zdravotnú sestru, ak sa vás týka niektorý z nasledovných zdravotných problémov:</w:t>
      </w:r>
    </w:p>
    <w:p w14:paraId="456793E7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obličkami alebo pečeňou,</w:t>
      </w:r>
    </w:p>
    <w:p w14:paraId="456793E8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nízky počet krvných doštičiek (ktoré napomáhajú zrážaniu krvi) alebo poruchy krvácavosti,</w:t>
      </w:r>
    </w:p>
    <w:p w14:paraId="456793E9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krvnými zrazeninami v minulosti,</w:t>
      </w:r>
    </w:p>
    <w:p w14:paraId="456793EA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osteoporóza (úbytok kostnej hmoty),</w:t>
      </w:r>
    </w:p>
    <w:p w14:paraId="456793EB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alkoholizmus.</w:t>
      </w:r>
    </w:p>
    <w:p w14:paraId="456793EC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ED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Deti a dospievajúci</w:t>
      </w:r>
    </w:p>
    <w:p w14:paraId="456793EE" w14:textId="38CE4767" w:rsidR="0025223D" w:rsidRPr="00B914C4" w:rsidRDefault="00D262A8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nie je určený na liečbu detí a dospievajúcich do 18 rokov.</w:t>
      </w:r>
    </w:p>
    <w:p w14:paraId="456793EF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CA7503" w14:textId="00F9432B" w:rsidR="00C42E5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Iné lieky a</w:t>
      </w:r>
      <w:r w:rsidR="00354A92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3F0" w14:textId="2CE55A6B" w:rsidR="0025223D" w:rsidRPr="00B914C4" w:rsidRDefault="0025223D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D6241CF" w14:textId="6881B074" w:rsidR="001F3EE5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Ak teraz užívate, alebo ste v poslednom čase užívali, či práve budete užívať ďalšie lieky, povedzte to svojmu lekárovi alebo lekárnikovi.</w:t>
      </w:r>
    </w:p>
    <w:p w14:paraId="6BF762F4" w14:textId="77777777" w:rsidR="001F3EE5" w:rsidRPr="00B914C4" w:rsidRDefault="001F3EE5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3F4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Mali by ste svojho lekára informovať predovšetkým vtedy, keď užívate antikoagulanciá (lieky na zabránenie vzniku krvných zrazenín).</w:t>
      </w:r>
    </w:p>
    <w:p w14:paraId="456793F5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F6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Tehotenstvo a dojčenie</w:t>
      </w:r>
    </w:p>
    <w:p w14:paraId="3AA11442" w14:textId="2687D47B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Ak ste tehotná, nesmiete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.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V prípade, že by ste mohla otehotnieť, používajte 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účinnú antikoncepciu.</w:t>
      </w:r>
    </w:p>
    <w:p w14:paraId="456793F8" w14:textId="496B762A" w:rsidR="0025223D" w:rsidRPr="009420CA" w:rsidRDefault="0025223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F2D2977" w14:textId="4F744F87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nesmiete dojčiť.</w:t>
      </w:r>
    </w:p>
    <w:p w14:paraId="456793FA" w14:textId="5092EA23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B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Vedenie vozidiel a obsluha strojov</w:t>
      </w:r>
    </w:p>
    <w:p w14:paraId="456793FC" w14:textId="104600FC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Neočakáva sa, že by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o</w:t>
      </w:r>
      <w:r w:rsidRPr="00B914C4">
        <w:rPr>
          <w:rFonts w:ascii="Times New Roman" w:eastAsia="Times New Roman" w:hAnsi="Times New Roman" w:cs="Times New Roman"/>
          <w:lang w:bidi="sk-SK"/>
        </w:rPr>
        <w:t>vplyvnil vašu schopnosť viesť vozidlá alebo obsluhovať stroje. Ak sa však počas liečby cítite unavená, neveďte motorové vozidlá a neobsluhujte stroje.</w:t>
      </w:r>
    </w:p>
    <w:p w14:paraId="456793F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E" w14:textId="3ADFB8BF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>250 mg injekčný roztok naplnený v injekčnej striekačke</w:t>
      </w:r>
      <w:r w:rsidR="00790226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F839E2" w:rsidRPr="009420CA">
        <w:rPr>
          <w:rFonts w:ascii="Times New Roman" w:eastAsia="Times New Roman" w:hAnsi="Times New Roman" w:cs="Times New Roman"/>
          <w:b/>
          <w:lang w:bidi="sk-SK"/>
        </w:rPr>
        <w:t>ob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>sahuje 10 obj</w:t>
      </w:r>
      <w:r w:rsidR="00B0283E">
        <w:rPr>
          <w:rFonts w:ascii="Times New Roman" w:eastAsia="Times New Roman" w:hAnsi="Times New Roman" w:cs="Times New Roman"/>
          <w:b/>
          <w:lang w:bidi="sk-SK"/>
        </w:rPr>
        <w:t>.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 % etanolu (alkoholu)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, t.j. až do </w:t>
      </w:r>
      <w:r w:rsidR="00B0283E">
        <w:rPr>
          <w:rFonts w:ascii="Times New Roman" w:eastAsia="Times New Roman" w:hAnsi="Times New Roman" w:cs="Times New Roman"/>
          <w:lang w:bidi="sk-SK"/>
        </w:rPr>
        <w:t>500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 mg na dávku, čo zodpovedá </w:t>
      </w:r>
      <w:r w:rsidR="00B0283E">
        <w:rPr>
          <w:rFonts w:ascii="Times New Roman" w:eastAsia="Times New Roman" w:hAnsi="Times New Roman" w:cs="Times New Roman"/>
          <w:lang w:bidi="sk-SK"/>
        </w:rPr>
        <w:t>10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ml piva alebo </w:t>
      </w:r>
      <w:r w:rsidR="00B0283E">
        <w:rPr>
          <w:rFonts w:ascii="Times New Roman" w:eastAsia="Times New Roman" w:hAnsi="Times New Roman" w:cs="Times New Roman"/>
          <w:lang w:bidi="sk-SK"/>
        </w:rPr>
        <w:t>4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>ml vína na dávku.</w:t>
      </w:r>
    </w:p>
    <w:p w14:paraId="456793FF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Škodlivé pre tých, ktorí trpia alkoholizmom.</w:t>
      </w:r>
    </w:p>
    <w:p w14:paraId="45679400" w14:textId="23BD57F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Musí sa vziať do úvahy u vysoko rizikových skupín, ako sú pacientky s poškodenou funkciou pečene alebo epilepsiou.</w:t>
      </w:r>
    </w:p>
    <w:p w14:paraId="45679402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B07645A" w14:textId="2F297FB4" w:rsidR="00BF2B54" w:rsidRPr="00BF2B54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r w:rsidRPr="00D156A0">
        <w:rPr>
          <w:rFonts w:ascii="Times New Roman" w:hAnsi="Times New Roman" w:cs="Times New Roman"/>
          <w:b/>
          <w:bCs/>
        </w:rPr>
        <w:t>Fulvestrant Accord</w:t>
      </w:r>
      <w:r>
        <w:rPr>
          <w:rFonts w:ascii="Times New Roman" w:hAnsi="Times New Roman" w:cs="Times New Roman"/>
        </w:rPr>
        <w:t xml:space="preserve"> </w:t>
      </w:r>
      <w:r w:rsidR="009D11AA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9D11AA" w:rsidRPr="009D11AA">
        <w:rPr>
          <w:rFonts w:ascii="Times New Roman" w:hAnsi="Times New Roman" w:cs="Times New Roman"/>
        </w:rPr>
        <w:t xml:space="preserve"> </w:t>
      </w:r>
      <w:r w:rsidRPr="00D156A0">
        <w:rPr>
          <w:rFonts w:ascii="Times New Roman" w:hAnsi="Times New Roman" w:cs="Times New Roman"/>
          <w:b/>
          <w:bCs/>
        </w:rPr>
        <w:t>obsahuje 500 mg benzylalkoholu v jednej injekcii</w:t>
      </w:r>
      <w:r w:rsidRPr="00BF2B54">
        <w:rPr>
          <w:rFonts w:ascii="Times New Roman" w:hAnsi="Times New Roman" w:cs="Times New Roman"/>
        </w:rPr>
        <w:t>, čo zodpovedá 100 mg/ml.</w:t>
      </w:r>
    </w:p>
    <w:p w14:paraId="45679403" w14:textId="712F04BB" w:rsidR="0025223D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r w:rsidRPr="00BF2B54">
        <w:rPr>
          <w:rFonts w:ascii="Times New Roman" w:hAnsi="Times New Roman" w:cs="Times New Roman"/>
        </w:rPr>
        <w:t>Benzylalkohol môže spôsobiť alergické reakcie</w:t>
      </w:r>
      <w:r>
        <w:rPr>
          <w:rFonts w:ascii="Times New Roman" w:hAnsi="Times New Roman" w:cs="Times New Roman"/>
        </w:rPr>
        <w:t xml:space="preserve">. </w:t>
      </w:r>
      <w:r w:rsidRPr="00BF2B54">
        <w:rPr>
          <w:rFonts w:ascii="Times New Roman" w:hAnsi="Times New Roman" w:cs="Times New Roman"/>
        </w:rPr>
        <w:t>Požiadajte svojho lekára alebo lekárnika o</w:t>
      </w:r>
      <w:r>
        <w:rPr>
          <w:rFonts w:ascii="Times New Roman" w:hAnsi="Times New Roman" w:cs="Times New Roman"/>
        </w:rPr>
        <w:t> </w:t>
      </w:r>
      <w:r w:rsidRPr="00BF2B54">
        <w:rPr>
          <w:rFonts w:ascii="Times New Roman" w:hAnsi="Times New Roman" w:cs="Times New Roman"/>
        </w:rPr>
        <w:t>radu</w:t>
      </w:r>
      <w:r>
        <w:rPr>
          <w:rFonts w:ascii="Times New Roman" w:hAnsi="Times New Roman" w:cs="Times New Roman"/>
        </w:rPr>
        <w:t>,</w:t>
      </w:r>
      <w:r w:rsidRPr="00BF2B54">
        <w:rPr>
          <w:rFonts w:ascii="Times New Roman" w:hAnsi="Times New Roman" w:cs="Times New Roman"/>
        </w:rPr>
        <w:t xml:space="preserve"> ak máte ochorenie pečene alebo obličiek.</w:t>
      </w:r>
      <w:r>
        <w:rPr>
          <w:rFonts w:ascii="Times New Roman" w:hAnsi="Times New Roman" w:cs="Times New Roman"/>
        </w:rPr>
        <w:t xml:space="preserve"> V</w:t>
      </w:r>
      <w:r w:rsidRPr="00BF2B54">
        <w:rPr>
          <w:rFonts w:ascii="Times New Roman" w:hAnsi="Times New Roman" w:cs="Times New Roman"/>
        </w:rPr>
        <w:t xml:space="preserve">o vašom tele sa </w:t>
      </w:r>
      <w:r>
        <w:rPr>
          <w:rFonts w:ascii="Times New Roman" w:hAnsi="Times New Roman" w:cs="Times New Roman"/>
        </w:rPr>
        <w:t xml:space="preserve">totiž </w:t>
      </w:r>
      <w:r w:rsidRPr="00BF2B54">
        <w:rPr>
          <w:rFonts w:ascii="Times New Roman" w:hAnsi="Times New Roman" w:cs="Times New Roman"/>
        </w:rPr>
        <w:t>môžu hromadiť veľké množstvá benzylalkoholu a môžu spôsobiť vedľajšie</w:t>
      </w:r>
      <w:r>
        <w:rPr>
          <w:rFonts w:ascii="Times New Roman" w:hAnsi="Times New Roman" w:cs="Times New Roman"/>
        </w:rPr>
        <w:t xml:space="preserve"> </w:t>
      </w:r>
      <w:r w:rsidRPr="00BF2B54">
        <w:rPr>
          <w:rFonts w:ascii="Times New Roman" w:hAnsi="Times New Roman" w:cs="Times New Roman"/>
        </w:rPr>
        <w:t>účinky (nazývané „metabolická acidóza“).</w:t>
      </w:r>
    </w:p>
    <w:p w14:paraId="33D56FDF" w14:textId="1E319442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6F115E12" w14:textId="7F9F3AF6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  <w:r w:rsidRPr="00500E6A">
        <w:rPr>
          <w:rFonts w:ascii="Times New Roman" w:hAnsi="Times New Roman" w:cs="Times New Roman"/>
          <w:b/>
          <w:bCs/>
        </w:rPr>
        <w:t>Fulvestrant Accord</w:t>
      </w:r>
      <w:r>
        <w:rPr>
          <w:rFonts w:ascii="Times New Roman" w:hAnsi="Times New Roman" w:cs="Times New Roman"/>
        </w:rPr>
        <w:t xml:space="preserve"> </w:t>
      </w:r>
      <w:r w:rsidR="000F4422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0F4422" w:rsidRPr="000F4422">
        <w:rPr>
          <w:rFonts w:ascii="Times New Roman" w:hAnsi="Times New Roman" w:cs="Times New Roman"/>
        </w:rPr>
        <w:t xml:space="preserve"> </w:t>
      </w:r>
      <w:r w:rsidRPr="00500E6A">
        <w:rPr>
          <w:rFonts w:ascii="Times New Roman" w:hAnsi="Times New Roman" w:cs="Times New Roman"/>
          <w:b/>
          <w:bCs/>
        </w:rPr>
        <w:t xml:space="preserve">obsahuje </w:t>
      </w:r>
      <w:r>
        <w:rPr>
          <w:rFonts w:ascii="Times New Roman" w:hAnsi="Times New Roman" w:cs="Times New Roman"/>
          <w:b/>
          <w:bCs/>
        </w:rPr>
        <w:t>750</w:t>
      </w:r>
      <w:r w:rsidRPr="00500E6A">
        <w:rPr>
          <w:rFonts w:ascii="Times New Roman" w:hAnsi="Times New Roman" w:cs="Times New Roman"/>
          <w:b/>
          <w:bCs/>
        </w:rPr>
        <w:t xml:space="preserve"> mg benzyl</w:t>
      </w:r>
      <w:r>
        <w:rPr>
          <w:rFonts w:ascii="Times New Roman" w:hAnsi="Times New Roman" w:cs="Times New Roman"/>
          <w:b/>
          <w:bCs/>
        </w:rPr>
        <w:t>benzoátu</w:t>
      </w:r>
      <w:r w:rsidRPr="00500E6A">
        <w:rPr>
          <w:rFonts w:ascii="Times New Roman" w:hAnsi="Times New Roman" w:cs="Times New Roman"/>
          <w:b/>
          <w:bCs/>
        </w:rPr>
        <w:t xml:space="preserve"> v jednej injekcii</w:t>
      </w:r>
      <w:r w:rsidRPr="00BF2B54">
        <w:rPr>
          <w:rFonts w:ascii="Times New Roman" w:hAnsi="Times New Roman" w:cs="Times New Roman"/>
        </w:rPr>
        <w:t>, čo zodpovedá 1</w:t>
      </w:r>
      <w:r>
        <w:rPr>
          <w:rFonts w:ascii="Times New Roman" w:hAnsi="Times New Roman" w:cs="Times New Roman"/>
        </w:rPr>
        <w:t>5</w:t>
      </w:r>
      <w:r w:rsidRPr="00BF2B54">
        <w:rPr>
          <w:rFonts w:ascii="Times New Roman" w:hAnsi="Times New Roman" w:cs="Times New Roman"/>
        </w:rPr>
        <w:t>0 mg/ml</w:t>
      </w:r>
      <w:r>
        <w:rPr>
          <w:rFonts w:ascii="Times New Roman" w:hAnsi="Times New Roman" w:cs="Times New Roman"/>
        </w:rPr>
        <w:t xml:space="preserve">. </w:t>
      </w:r>
    </w:p>
    <w:p w14:paraId="535ACBDA" w14:textId="77777777" w:rsidR="00440769" w:rsidRPr="009420CA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45679404" w14:textId="144D6DCD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3.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používať</w:t>
      </w:r>
      <w:r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0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6" w14:textId="02A6C78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Vždy používajte tento liek presne tak, ako vám povedal váš lekár alebo lekárnik. Ak si nie ste niečím istá, overte si to u svojho lekára alebo lekárnika.</w:t>
      </w:r>
    </w:p>
    <w:p w14:paraId="4567940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8" w14:textId="188CD028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Odporúčaná dávka je 500 mg </w:t>
      </w:r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r w:rsidR="00D262A8">
        <w:rPr>
          <w:rFonts w:ascii="Times New Roman" w:eastAsia="Times New Roman" w:hAnsi="Times New Roman" w:cs="Times New Roman"/>
          <w:lang w:bidi="sk-SK"/>
        </w:rPr>
        <w:t xml:space="preserve"> Accord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(dve 250 mg/5 ml injekcie) podávané jedenkrát mesačne s ďalšou 500 mg dávkou podávanou 2 týždne po začiatočnej dávke.</w:t>
      </w:r>
    </w:p>
    <w:p w14:paraId="4567940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A" w14:textId="6D1A4274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alebo zdravotná sestra vám podá </w:t>
      </w:r>
      <w:r w:rsidR="00D262A8"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Pr="009420CA">
        <w:rPr>
          <w:rFonts w:ascii="Times New Roman" w:eastAsia="Times New Roman" w:hAnsi="Times New Roman" w:cs="Times New Roman"/>
          <w:lang w:bidi="sk-SK"/>
        </w:rPr>
        <w:t>ako poma</w:t>
      </w:r>
      <w:r w:rsidRPr="00B914C4">
        <w:rPr>
          <w:rFonts w:ascii="Times New Roman" w:eastAsia="Times New Roman" w:hAnsi="Times New Roman" w:cs="Times New Roman"/>
          <w:lang w:bidi="sk-SK"/>
        </w:rPr>
        <w:t>lú vnútrosvalovú injekciu do oboch sedacích svalov.</w:t>
      </w:r>
    </w:p>
    <w:p w14:paraId="4567940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Ak máte akékoľvek ďalšie otázky týkajúce sa použitia tohto lieku, opýtajte sa svojho lekára, lekárnika alebo zdravotnej sestry.</w:t>
      </w:r>
    </w:p>
    <w:p w14:paraId="4567940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810014B" w14:textId="77777777" w:rsidR="008E63AD" w:rsidRPr="009420CA" w:rsidRDefault="008E63A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E" w14:textId="77777777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4.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>Možné vedľajšie účinky</w:t>
      </w:r>
    </w:p>
    <w:p w14:paraId="4567940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0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Tak ako všetky lieky, aj tento liek môže spôsobovať vedľajšie účinky, hoci sa neprejavia u každého.</w:t>
      </w:r>
    </w:p>
    <w:p w14:paraId="4567941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2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Ak spozorujete niektorý z nasledujúcich vedľajších účinkov, môžete potrebovať okamžitú lekársku starostlivosť:</w:t>
      </w:r>
    </w:p>
    <w:p w14:paraId="4567941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4" w14:textId="4C2E1FE0" w:rsidR="0025223D" w:rsidRPr="009420CA" w:rsidRDefault="00E55009" w:rsidP="00C6771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Alergické reakcie (precitlivenosť), vrátane opuchu tváre, pier, jazyka a/alebo hrdla, môžu to byť prejavy anafylaktickej reakcie</w:t>
      </w:r>
    </w:p>
    <w:p w14:paraId="45679415" w14:textId="0B46BAA3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Tromboembólia (zvýšené riziko vzniku krvných zrazenín)*</w:t>
      </w:r>
    </w:p>
    <w:p w14:paraId="45679416" w14:textId="3372BAC9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17" w14:textId="53747401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4DD67988" w14:textId="77777777" w:rsidR="00141409" w:rsidRPr="009420CA" w:rsidRDefault="00141409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0C1C7B4" w14:textId="77777777" w:rsidR="00864B2C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Informujte svojho lekára, lekárnika alebo zdravotnú sestru, ak spozorujete niektorý z nasledujúcich vedľajších účinkov:</w:t>
      </w:r>
    </w:p>
    <w:p w14:paraId="45457435" w14:textId="77777777" w:rsidR="00864B2C" w:rsidRPr="009420CA" w:rsidRDefault="00864B2C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5679418" w14:textId="05533649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Veľmi 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viac ako 1 z 10 osôb)</w:t>
      </w:r>
    </w:p>
    <w:p w14:paraId="45679419" w14:textId="6B19D6F4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Reakcie v mieste podania injekcie ako je bolesť a/alebo zápal</w:t>
      </w:r>
    </w:p>
    <w:p w14:paraId="4567941A" w14:textId="5958440D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Abnormálne hladiny pečeňových enzýmov (v krvných testoch)*</w:t>
      </w:r>
    </w:p>
    <w:p w14:paraId="4567941B" w14:textId="2A3798D7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Nevoľnosť (pocit na vracanie)</w:t>
      </w:r>
    </w:p>
    <w:p w14:paraId="4567941C" w14:textId="326AE1F4" w:rsidR="0025223D" w:rsidRDefault="00E55009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Slabosť, únava*</w:t>
      </w:r>
    </w:p>
    <w:p w14:paraId="32585EF2" w14:textId="2BE406B4" w:rsidR="00155A8D" w:rsidRPr="00D156A0" w:rsidRDefault="00155A8D" w:rsidP="00D156A0">
      <w:pPr>
        <w:pStyle w:val="Odsekzoznamu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kĺbov, svalov a kostí</w:t>
      </w:r>
    </w:p>
    <w:p w14:paraId="033F3200" w14:textId="422A24EB" w:rsidR="00155A8D" w:rsidRPr="00D156A0" w:rsidRDefault="00155A8D" w:rsidP="00D156A0">
      <w:pPr>
        <w:pStyle w:val="Odsekzoznamu"/>
        <w:numPr>
          <w:ilvl w:val="0"/>
          <w:numId w:val="13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Návaly tepla</w:t>
      </w:r>
    </w:p>
    <w:p w14:paraId="2A6DD370" w14:textId="1EDC72DA" w:rsidR="00155A8D" w:rsidRPr="00D156A0" w:rsidRDefault="00155A8D" w:rsidP="00D156A0">
      <w:pPr>
        <w:pStyle w:val="Odsekzoznamu"/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Kožná vyrážka</w:t>
      </w:r>
    </w:p>
    <w:p w14:paraId="496B17F8" w14:textId="470D96F7" w:rsidR="00155A8D" w:rsidRPr="00D156A0" w:rsidRDefault="00155A8D" w:rsidP="00D156A0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Alergické reakcie (precitlivenosť), vrátane opuchu tváre, pier, jazyka a/alebo hrdla</w:t>
      </w:r>
    </w:p>
    <w:p w14:paraId="4567941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Ďalšie vedľajšie účinky:</w:t>
      </w:r>
    </w:p>
    <w:p w14:paraId="4567941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0" w14:textId="64563EC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menej ako 1 z 10 osôb)</w:t>
      </w:r>
    </w:p>
    <w:p w14:paraId="05BA7580" w14:textId="470EF57C" w:rsidR="001302BA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hlavy</w:t>
      </w:r>
    </w:p>
    <w:p w14:paraId="45679424" w14:textId="3EEC5BE4" w:rsidR="0025223D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Vracanie, hnačka alebo strata chuti do jedla*</w:t>
      </w:r>
    </w:p>
    <w:p w14:paraId="45679426" w14:textId="3F1455A2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Infekcie močových ciest</w:t>
      </w:r>
    </w:p>
    <w:p w14:paraId="45679427" w14:textId="0A25FF85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chrbta*</w:t>
      </w:r>
    </w:p>
    <w:p w14:paraId="45679428" w14:textId="6EC858B8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Zvýšenie hodnôt bilirubínu (žlčové farbivo, ktoré sa tvorí v pečeni)</w:t>
      </w:r>
    </w:p>
    <w:p w14:paraId="45679429" w14:textId="7119AA3C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Tromboembólia (zvýšené riziko vzniku krvných zrazenín)*</w:t>
      </w:r>
    </w:p>
    <w:p w14:paraId="5F349B75" w14:textId="1AF05C7C" w:rsidR="00D8014C" w:rsidRPr="00D156A0" w:rsidDel="00A75545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 w:rsidDel="00A75545">
        <w:rPr>
          <w:rFonts w:ascii="Times New Roman" w:eastAsia="Times New Roman" w:hAnsi="Times New Roman" w:cs="Times New Roman"/>
          <w:lang w:val="it-IT"/>
        </w:rPr>
        <w:t>Znížené hladiny krvných doštičiek (trombocytopénia)</w:t>
      </w:r>
    </w:p>
    <w:p w14:paraId="003CAE46" w14:textId="2CAA0D49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Vaginálne krvácanie</w:t>
      </w:r>
    </w:p>
    <w:p w14:paraId="32F673F2" w14:textId="2171B09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v dolnej časti chrbta vyžarujúca do dolnej končatiny na jednej strane (ischias)</w:t>
      </w:r>
    </w:p>
    <w:p w14:paraId="33CACD74" w14:textId="2180E1C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Náhla slabosť, znecitlivenie, mravčenie alebo nepohyblivosť nohy, obzvlášť iba na jednej strane</w:t>
      </w:r>
    </w:p>
    <w:p w14:paraId="00A4B3F1" w14:textId="3D6B5AAA" w:rsidR="00D8014C" w:rsidRPr="009420CA" w:rsidRDefault="00D8014C" w:rsidP="00D156A0">
      <w:p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         </w:t>
      </w:r>
      <w:r w:rsidRPr="00D8014C">
        <w:rPr>
          <w:rFonts w:ascii="Times New Roman" w:eastAsia="Times New Roman" w:hAnsi="Times New Roman" w:cs="Times New Roman"/>
          <w:lang w:val="it-IT"/>
        </w:rPr>
        <w:t>tela, náhle problémy s chôdzou alebo rovnováhou (periférna neuropatia)</w:t>
      </w:r>
    </w:p>
    <w:p w14:paraId="4567942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C" w14:textId="5BB30ADE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Menej časté vedľajšie účinky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(môžu postihovať menej ako 1 zo 100 osôb)</w:t>
      </w:r>
    </w:p>
    <w:p w14:paraId="0DF20B5E" w14:textId="77777777" w:rsidR="00A75545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r w:rsidR="00E86069" w:rsidRPr="00E86069">
        <w:rPr>
          <w:rFonts w:ascii="Times New Roman" w:eastAsia="Symbol" w:hAnsi="Times New Roman" w:cs="Times New Roman"/>
          <w:lang w:bidi="sk-SK"/>
        </w:rPr>
        <w:t>Hustý belavý výtok z pošvy a kandidóza (infekcia)</w:t>
      </w:r>
    </w:p>
    <w:p w14:paraId="4995504A" w14:textId="30EEAEC5" w:rsidR="00C6771E" w:rsidRPr="009420CA" w:rsidRDefault="00C6771E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Anafylaktické reakcie</w:t>
      </w:r>
    </w:p>
    <w:p w14:paraId="4567942F" w14:textId="06843E0E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Podliatina a krvácanie v mieste vpichu injekcie</w:t>
      </w:r>
    </w:p>
    <w:p w14:paraId="45679430" w14:textId="1A4D5928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Zvýšenie gama-GT pečeňového enzýmu, pozorovaného pri kontrole krvi</w:t>
      </w:r>
    </w:p>
    <w:p w14:paraId="45679431" w14:textId="2462249B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32" w14:textId="64231650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2902A38F" w14:textId="301BCE82" w:rsidR="00FE18BB" w:rsidRPr="009420CA" w:rsidRDefault="00FE18B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Znecitlivenie, mravčenie a bolesť</w:t>
      </w:r>
    </w:p>
    <w:p w14:paraId="4567943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34" w14:textId="415255CA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*Zahŕňa vedľajšie účinky, pri ktorých sa zavinenie </w:t>
      </w:r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om</w:t>
      </w:r>
      <w:r w:rsidR="00D262A8">
        <w:rPr>
          <w:rFonts w:ascii="Times New Roman" w:eastAsia="Times New Roman" w:hAnsi="Times New Roman" w:cs="Times New Roman"/>
          <w:lang w:bidi="sk-SK"/>
        </w:rPr>
        <w:t xml:space="preserve"> Accord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nemôže posudzovať vzhľadom na základné ochorenie.</w:t>
      </w:r>
    </w:p>
    <w:p w14:paraId="4567943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CF04855" w14:textId="77777777" w:rsidR="00C01378" w:rsidRPr="009420CA" w:rsidRDefault="00C01378" w:rsidP="00B858F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lang w:val="it-IT"/>
        </w:rPr>
      </w:pPr>
      <w:r w:rsidRPr="00B914C4">
        <w:rPr>
          <w:rFonts w:ascii="Times New Roman" w:eastAsia="Times New Roman" w:hAnsi="Times New Roman" w:cs="Times New Roman"/>
          <w:b/>
          <w:noProof/>
          <w:lang w:bidi="sk-SK"/>
        </w:rPr>
        <w:t>Hlásenie vedľajších účinkov</w:t>
      </w:r>
    </w:p>
    <w:p w14:paraId="49139E6C" w14:textId="369C7FF3" w:rsidR="00C01378" w:rsidRPr="009420CA" w:rsidRDefault="00C01378" w:rsidP="00B858F8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914C4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lastRenderedPageBreak/>
        <w:t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</w:t>
      </w:r>
      <w:r w:rsidR="00354A92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t xml:space="preserve"> </w:t>
      </w:r>
      <w:r w:rsidRPr="00B914C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bidi="sk-SK"/>
        </w:rPr>
        <w:t xml:space="preserve">národné centrum hlásenia uvedené v </w:t>
      </w:r>
      <w:hyperlink r:id="rId11" w:history="1">
        <w:r w:rsidRPr="00B914C4">
          <w:rPr>
            <w:rStyle w:val="Hypertextovprepojenie"/>
            <w:rFonts w:ascii="Times New Roman" w:eastAsia="Times New Roman" w:hAnsi="Times New Roman" w:cs="Times New Roman"/>
            <w:sz w:val="22"/>
            <w:szCs w:val="22"/>
            <w:highlight w:val="lightGray"/>
            <w:lang w:val="sk-SK" w:bidi="sk-SK"/>
          </w:rPr>
          <w:t>Prílohe V</w:t>
        </w:r>
      </w:hyperlink>
      <w:r w:rsidRPr="00B914C4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4567943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A" w14:textId="5F0C4366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57782">
        <w:rPr>
          <w:rFonts w:ascii="Times New Roman" w:eastAsia="Times New Roman" w:hAnsi="Times New Roman" w:cs="Times New Roman"/>
          <w:b/>
          <w:lang w:bidi="sk-SK"/>
        </w:rPr>
        <w:t>5.</w:t>
      </w:r>
      <w:r w:rsidRPr="00C57782">
        <w:rPr>
          <w:rFonts w:ascii="Times New Roman" w:eastAsia="Times New Roman" w:hAnsi="Times New Roman" w:cs="Times New Roman"/>
          <w:b/>
          <w:lang w:bidi="sk-SK"/>
        </w:rPr>
        <w:tab/>
        <w:t xml:space="preserve">Ako uchovávať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3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Tento liek uchovávajte mimo dohľadu a dosahu detí.</w:t>
      </w:r>
    </w:p>
    <w:p w14:paraId="4567943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Nepoužívajte tento liek po dátume exspirácie, ktorý je uvedený na škatuli alebo na štítkoch na injekčnej striekačke po EXP. Dátum exspirácie sa vzťahuje na posledný deň v danom mesiaci.</w:t>
      </w:r>
    </w:p>
    <w:p w14:paraId="4567943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0" w14:textId="0EB1F6D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Uchovávajte a prepravujte v chlad</w:t>
      </w:r>
      <w:r w:rsidR="004937CD">
        <w:rPr>
          <w:rFonts w:ascii="Times New Roman" w:eastAsia="Times New Roman" w:hAnsi="Times New Roman" w:cs="Times New Roman"/>
          <w:lang w:bidi="sk-SK"/>
        </w:rPr>
        <w:t>e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(2 °C – 8 °C).</w:t>
      </w:r>
    </w:p>
    <w:p w14:paraId="4567944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3" w14:textId="5C580C8B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 xml:space="preserve">Má sa zamedziť teplotným odchýlkam mimo rozsah 2 °C – 8 °C. Vyhnite sa uchovávaniu pri teplote prevyšujúcej 30 °C a presahujúcej 28-dňové obdobie, kde priemerná teplota uchovávania pre tento liek je nižšia ako 25 °C (ale nad rozsah 2 °C - 8 °C). Po teplotných odchýlkach sa má liek okamžite vrátiť do odporúčaných podmienok uchovávania (uchovávanie a preprava v chladničke 2 °C – 8 °C). Teplotné odchýlky majú kumulatívny účinok na kvalitu lieku a 28-dňová lehota sa nesmie prekročiť počas trvania 2 rokov času použiteľnosti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. Vystavením teplotám nižším ako 2 °C nedôjde k poškodeniu lieku za predpokladu, že nie je uchovávaný pod </w:t>
      </w:r>
      <w:r w:rsidR="004937CD" w:rsidRPr="00D944C5">
        <w:rPr>
          <w:rFonts w:ascii="Times New Roman" w:eastAsia="Times New Roman" w:hAnsi="Times New Roman" w:cs="Times New Roman"/>
          <w:lang w:bidi="sk-SK"/>
        </w:rPr>
        <w:t>-</w:t>
      </w:r>
      <w:r w:rsidRPr="00D944C5">
        <w:rPr>
          <w:rFonts w:ascii="Times New Roman" w:eastAsia="Times New Roman" w:hAnsi="Times New Roman" w:cs="Times New Roman"/>
          <w:lang w:bidi="sk-SK"/>
        </w:rPr>
        <w:t>20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°C.</w:t>
      </w:r>
    </w:p>
    <w:p w14:paraId="4567944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Naplnenú injekčnú striekačku uchovávajte v pôvodnom obale na ochranu pred svetlom.</w:t>
      </w:r>
    </w:p>
    <w:p w14:paraId="6C804B1A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8302AC" w14:textId="38E61A4C" w:rsidR="00972591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bude zodpovedný za riadne uchovávanie, použitie a likvidáciu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="00C42E5D" w:rsidRPr="009420CA">
        <w:rPr>
          <w:rFonts w:ascii="Times New Roman" w:eastAsia="Times New Roman" w:hAnsi="Times New Roman" w:cs="Times New Roman"/>
          <w:noProof/>
          <w:lang w:bidi="sk-SK"/>
        </w:rPr>
        <w:t>.</w:t>
      </w:r>
    </w:p>
    <w:p w14:paraId="4A52AC36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47" w14:textId="0527ACDE" w:rsidR="0025223D" w:rsidRPr="009420CA" w:rsidRDefault="00B62259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2259">
        <w:rPr>
          <w:rFonts w:ascii="Times New Roman" w:eastAsia="Times New Roman" w:hAnsi="Times New Roman" w:cs="Times New Roman"/>
          <w:lang w:bidi="sk-SK"/>
        </w:rPr>
        <w:t xml:space="preserve">Tento liek môže predstavovať riziko pre vodné prostredie.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Nelikvidujte lieky odpadovou vodou alebo domovým odpadom. </w:t>
      </w:r>
      <w:r w:rsidR="00AC0DAC" w:rsidRPr="00AC0DAC">
        <w:rPr>
          <w:rFonts w:ascii="Times New Roman" w:eastAsia="Times New Roman" w:hAnsi="Times New Roman" w:cs="Times New Roman"/>
          <w:lang w:bidi="sk-SK"/>
        </w:rPr>
        <w:t xml:space="preserve">Nepoužitý liek vráťte do lekárne.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Tieto opatrenia pomôžu chrániť životné prostredie.</w:t>
      </w:r>
    </w:p>
    <w:p w14:paraId="4567944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586788E3" w14:textId="34FE8175" w:rsidR="00D00B60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AF51F0">
        <w:rPr>
          <w:rFonts w:ascii="Times New Roman" w:eastAsia="Times New Roman" w:hAnsi="Times New Roman" w:cs="Times New Roman"/>
          <w:b/>
          <w:lang w:bidi="sk-SK"/>
        </w:rPr>
        <w:t>6.</w:t>
      </w:r>
      <w:r w:rsidRPr="00AF51F0">
        <w:rPr>
          <w:rFonts w:ascii="Times New Roman" w:eastAsia="Times New Roman" w:hAnsi="Times New Roman" w:cs="Times New Roman"/>
          <w:b/>
          <w:lang w:bidi="sk-SK"/>
        </w:rPr>
        <w:tab/>
        <w:t>Obsah balenia a ďalšie informácie</w:t>
      </w:r>
    </w:p>
    <w:p w14:paraId="1713C378" w14:textId="77777777" w:rsidR="00D00B60" w:rsidRPr="009420CA" w:rsidRDefault="00D00B60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67944D" w14:textId="3BCE4AE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Čo </w:t>
      </w:r>
      <w:r w:rsidR="00D262A8"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b/>
          <w:lang w:bidi="sk-SK"/>
        </w:rPr>
        <w:t>o</w:t>
      </w:r>
      <w:r w:rsidRPr="00B914C4">
        <w:rPr>
          <w:rFonts w:ascii="Times New Roman" w:eastAsia="Times New Roman" w:hAnsi="Times New Roman" w:cs="Times New Roman"/>
          <w:b/>
          <w:lang w:bidi="sk-SK"/>
        </w:rPr>
        <w:t>bsahuje</w:t>
      </w:r>
    </w:p>
    <w:p w14:paraId="4567944E" w14:textId="31607493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Liečivo je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. Každá naplnená injekčná striekačka (5 ml) obsahuje 250 mg </w:t>
      </w:r>
      <w:r w:rsidR="00200F32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r w:rsidRPr="00B914C4">
        <w:rPr>
          <w:rFonts w:ascii="Times New Roman" w:eastAsia="Times New Roman" w:hAnsi="Times New Roman" w:cs="Times New Roman"/>
          <w:lang w:bidi="sk-SK"/>
        </w:rPr>
        <w:t>.</w:t>
      </w:r>
    </w:p>
    <w:p w14:paraId="4567944F" w14:textId="2CF35EA5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-</w:t>
      </w:r>
      <w:r w:rsidRPr="00AF51F0">
        <w:rPr>
          <w:rFonts w:ascii="Times New Roman" w:eastAsia="Times New Roman" w:hAnsi="Times New Roman" w:cs="Times New Roman"/>
          <w:lang w:bidi="sk-SK"/>
        </w:rPr>
        <w:tab/>
        <w:t xml:space="preserve">Ďalšie zložky (pomocné látky) sú etanol (96-percentný), benzylalkohol, benzylbenzoát a ricínový olej </w:t>
      </w:r>
      <w:r w:rsidRPr="00E23C27">
        <w:rPr>
          <w:rFonts w:ascii="Times New Roman" w:eastAsia="Times New Roman" w:hAnsi="Times New Roman" w:cs="Times New Roman"/>
          <w:lang w:bidi="sk-SK"/>
        </w:rPr>
        <w:t>rafinovaný</w:t>
      </w:r>
      <w:r w:rsidRPr="00AF51F0">
        <w:rPr>
          <w:rFonts w:ascii="Times New Roman" w:eastAsia="Times New Roman" w:hAnsi="Times New Roman" w:cs="Times New Roman"/>
          <w:lang w:bidi="sk-SK"/>
        </w:rPr>
        <w:t>.</w:t>
      </w:r>
    </w:p>
    <w:p w14:paraId="45679450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1" w14:textId="5C65004B" w:rsidR="0025223D" w:rsidRPr="00D3130C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b/>
          <w:lang w:bidi="sk-SK"/>
        </w:rPr>
        <w:t xml:space="preserve">Ako vyzerá </w:t>
      </w:r>
      <w:r w:rsidR="00D262A8"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Pr="00D3130C">
        <w:rPr>
          <w:rFonts w:ascii="Times New Roman" w:eastAsia="Times New Roman" w:hAnsi="Times New Roman" w:cs="Times New Roman"/>
          <w:b/>
          <w:lang w:bidi="sk-SK"/>
        </w:rPr>
        <w:t>a obsah balenia</w:t>
      </w:r>
    </w:p>
    <w:p w14:paraId="2B22642F" w14:textId="311FC529" w:rsidR="00CD2AE7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354A92" w:rsidRPr="00D3130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3130C">
        <w:rPr>
          <w:rFonts w:ascii="Times New Roman" w:eastAsia="Times New Roman" w:hAnsi="Times New Roman" w:cs="Times New Roman"/>
          <w:lang w:bidi="sk-SK"/>
        </w:rPr>
        <w:t>je číry, bezfarebný až žltý viskózny roztok.</w:t>
      </w:r>
    </w:p>
    <w:p w14:paraId="3F90768C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3" w14:textId="06C18418" w:rsidR="0025223D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je v naplnenej injekčnej striekačke z číreho skla typu I </w:t>
      </w:r>
      <w:r w:rsidR="00BF7125" w:rsidRPr="00E23C27">
        <w:rPr>
          <w:rFonts w:ascii="Times New Roman" w:eastAsia="Times New Roman" w:hAnsi="Times New Roman" w:cs="Times New Roman"/>
          <w:lang w:bidi="sk-SK"/>
        </w:rPr>
        <w:t>s</w:t>
      </w:r>
      <w:r w:rsidR="00F14CD5">
        <w:rPr>
          <w:rFonts w:ascii="Times New Roman" w:eastAsia="Times New Roman" w:hAnsi="Times New Roman" w:cs="Times New Roman"/>
          <w:lang w:bidi="sk-SK"/>
        </w:rPr>
        <w:t xml:space="preserve"> koncovým </w:t>
      </w:r>
      <w:r w:rsidR="00BF7125" w:rsidRPr="00E23C27">
        <w:rPr>
          <w:rFonts w:ascii="Times New Roman" w:eastAsia="Times New Roman" w:hAnsi="Times New Roman" w:cs="Times New Roman"/>
          <w:lang w:bidi="sk-SK"/>
        </w:rPr>
        <w:t>uzáverom</w:t>
      </w:r>
      <w:r w:rsidR="00F14CD5">
        <w:rPr>
          <w:rFonts w:ascii="Times New Roman" w:eastAsia="Times New Roman" w:hAnsi="Times New Roman" w:cs="Times New Roman"/>
          <w:lang w:bidi="sk-SK"/>
        </w:rPr>
        <w:t xml:space="preserve"> a uzáverom piestu a piestom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, obsahujúcej 250 mg </w:t>
      </w:r>
      <w:r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u v 5 ml injekčného roztoku.</w:t>
      </w:r>
    </w:p>
    <w:p w14:paraId="78B12975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4" w14:textId="296BFBCB" w:rsidR="0025223D" w:rsidRPr="00D3130C" w:rsidRDefault="00BF7125" w:rsidP="00B858F8">
      <w:pPr>
        <w:spacing w:after="0" w:line="240" w:lineRule="auto"/>
        <w:rPr>
          <w:rFonts w:ascii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lang w:bidi="sk-SK"/>
        </w:rPr>
        <w:t>Priložená je tiež bezpečnostná ihla (BD SafetyGlide) na pripojenie ku každej nádobke injekčnej striekačky.</w:t>
      </w:r>
    </w:p>
    <w:p w14:paraId="260781A4" w14:textId="77777777" w:rsidR="00BF7125" w:rsidRPr="00D3130C" w:rsidRDefault="00BF7125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5" w14:textId="5D21C3D6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sa dodáva v balení dvoch naplnených injekčných striekačiek na jedno použitie.</w:t>
      </w:r>
      <w:r w:rsidR="00BF7125" w:rsidRPr="00220348">
        <w:rPr>
          <w:rFonts w:ascii="Times New Roman" w:eastAsia="Times New Roman" w:hAnsi="Times New Roman" w:cs="Times New Roman"/>
          <w:lang w:bidi="sk-SK"/>
        </w:rPr>
        <w:t xml:space="preserve"> </w:t>
      </w:r>
    </w:p>
    <w:p w14:paraId="4567945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B" w14:textId="4CCDB4DD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 a</w:t>
      </w:r>
      <w:r w:rsidR="00D9164B">
        <w:rPr>
          <w:rFonts w:ascii="Times New Roman" w:eastAsia="Times New Roman" w:hAnsi="Times New Roman" w:cs="Times New Roman"/>
          <w:b/>
          <w:lang w:bidi="sk-SK"/>
        </w:rPr>
        <w:t> </w:t>
      </w:r>
      <w:r w:rsidRPr="000405A2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2299BB7C" w14:textId="77777777" w:rsidR="00D9164B" w:rsidRPr="009420CA" w:rsidRDefault="00D9164B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34CFE6B" w14:textId="1BC94197" w:rsidR="00854EAD" w:rsidRPr="009420CA" w:rsidRDefault="00854EAD" w:rsidP="00AF51F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</w:t>
      </w:r>
    </w:p>
    <w:p w14:paraId="0BDCB8F4" w14:textId="77777777" w:rsidR="00D73040" w:rsidRDefault="00D73040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14:paraId="4CBA2D29" w14:textId="6C9721E2" w:rsidR="00FD4318" w:rsidRDefault="00FD4318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Accord Healthcare Polska Sp. z o.o.</w:t>
      </w:r>
    </w:p>
    <w:p w14:paraId="1D635DF4" w14:textId="68FB3099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lastRenderedPageBreak/>
        <w:t>ul. Taśmowa 7</w:t>
      </w:r>
    </w:p>
    <w:p w14:paraId="08182E3D" w14:textId="7A374EE6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02-677 Warszawa</w:t>
      </w:r>
    </w:p>
    <w:p w14:paraId="22B29069" w14:textId="36DABE9F" w:rsidR="00FD4318" w:rsidRDefault="00FD4318" w:rsidP="00FD4318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lang w:bidi="sk-SK"/>
        </w:rPr>
        <w:t>Poľsko</w:t>
      </w:r>
    </w:p>
    <w:p w14:paraId="7C841E78" w14:textId="77777777" w:rsidR="00854EAD" w:rsidRPr="009420CA" w:rsidRDefault="00854EAD" w:rsidP="00854E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6CF1270" w14:textId="77777777" w:rsidR="00854EAD" w:rsidRPr="009420CA" w:rsidRDefault="00854EAD" w:rsidP="00854EAD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420CA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5B471922" w14:textId="77777777" w:rsidR="00D73040" w:rsidRDefault="00D73040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0B7BFC9B" w14:textId="2DB030A6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Accord Healthcare Limited,</w:t>
      </w:r>
    </w:p>
    <w:p w14:paraId="2E967C69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Sage House, 319 Pinner Road,</w:t>
      </w:r>
    </w:p>
    <w:p w14:paraId="5E2F812A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North Harrow, Middlesex, HA1 4HF,</w:t>
      </w:r>
    </w:p>
    <w:p w14:paraId="33303E81" w14:textId="43B969D9" w:rsidR="00C03B87" w:rsidRDefault="00F61979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F61979">
        <w:rPr>
          <w:rFonts w:ascii="Times New Roman" w:eastAsia="Times New Roman" w:hAnsi="Times New Roman" w:cs="Times New Roman"/>
          <w:noProof/>
          <w:szCs w:val="20"/>
          <w:lang w:bidi="sk-SK"/>
        </w:rPr>
        <w:t>Spojené kráľovstvo</w:t>
      </w:r>
    </w:p>
    <w:p w14:paraId="11CB0CB7" w14:textId="35B375D0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0BB8248" w14:textId="57FD3E9A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>
        <w:rPr>
          <w:rFonts w:ascii="Times New Roman" w:eastAsia="Times New Roman" w:hAnsi="Times New Roman" w:cs="Times New Roman"/>
          <w:noProof/>
          <w:szCs w:val="20"/>
          <w:lang w:bidi="sk-SK"/>
        </w:rPr>
        <w:t>alebo</w:t>
      </w:r>
    </w:p>
    <w:p w14:paraId="29576BFE" w14:textId="19D6C525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AC16B3A" w14:textId="0060ADCC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Accord Healthcare Polska Sp.</w:t>
      </w:r>
      <w:r w:rsidR="00E30FD1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 </w:t>
      </w: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>z o.o.</w:t>
      </w:r>
    </w:p>
    <w:p w14:paraId="793B6111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ul. Lutomierska 50,</w:t>
      </w:r>
    </w:p>
    <w:p w14:paraId="7607B093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95-200 Pabianice</w:t>
      </w:r>
    </w:p>
    <w:p w14:paraId="5F55D60F" w14:textId="0132B144" w:rsidR="00843FA7" w:rsidRPr="009420CA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Po</w:t>
      </w:r>
      <w:r>
        <w:rPr>
          <w:rFonts w:ascii="Times New Roman" w:eastAsia="Times New Roman" w:hAnsi="Times New Roman" w:cs="Times New Roman"/>
          <w:noProof/>
          <w:szCs w:val="20"/>
          <w:lang w:val="it-IT"/>
        </w:rPr>
        <w:t>ľsko</w:t>
      </w:r>
    </w:p>
    <w:p w14:paraId="293DF760" w14:textId="77777777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3068BD98" w14:textId="455729F4" w:rsidR="004A23B3" w:rsidRPr="009420CA" w:rsidRDefault="004A23B3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  <w:lang w:val="it-IT"/>
        </w:rPr>
      </w:pPr>
      <w:r w:rsidRPr="004A23B3">
        <w:rPr>
          <w:rFonts w:ascii="Times New Roman" w:eastAsia="Times New Roman" w:hAnsi="Times New Roman" w:cs="Times New Roman"/>
          <w:b/>
          <w:noProof/>
          <w:szCs w:val="20"/>
          <w:lang w:bidi="sk-SK"/>
        </w:rPr>
        <w:t>Tento liek je v členských štátoch EHP povolený pod nasledujúcimi názvami:</w:t>
      </w:r>
    </w:p>
    <w:p w14:paraId="3BF14836" w14:textId="77777777" w:rsidR="00C42E5D" w:rsidRPr="009420CA" w:rsidRDefault="00C42E5D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it-IT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D9164B" w14:paraId="0085CC79" w14:textId="77777777" w:rsidTr="00276DC6">
        <w:trPr>
          <w:trHeight w:hRule="exact" w:val="3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57EE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  <w:ind w:left="96"/>
            </w:pP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členského štátu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EF4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</w:pPr>
            <w:r>
              <w:rPr>
                <w:b/>
                <w:spacing w:val="-1"/>
                <w:sz w:val="22"/>
                <w:szCs w:val="22"/>
                <w:lang w:bidi="sk-SK"/>
              </w:rPr>
              <w:t xml:space="preserve"> </w:t>
            </w: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lieku</w:t>
            </w:r>
          </w:p>
        </w:tc>
      </w:tr>
      <w:tr w:rsidR="00D9164B" w14:paraId="503D41F2" w14:textId="77777777" w:rsidTr="00276DC6">
        <w:trPr>
          <w:trHeight w:hRule="exact"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BAA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Rakúsko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AF4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529" w:hanging="1"/>
            </w:pPr>
            <w:r>
              <w:rPr>
                <w:spacing w:val="-1"/>
                <w:sz w:val="22"/>
                <w:szCs w:val="22"/>
                <w:lang w:bidi="sk-SK"/>
              </w:rPr>
              <w:t>Fulvestrant Accord 250 mg Injektionslösung in einer Fertigspritze</w:t>
            </w:r>
          </w:p>
        </w:tc>
      </w:tr>
      <w:tr w:rsidR="00D9164B" w14:paraId="478B290A" w14:textId="77777777" w:rsidTr="00276DC6">
        <w:trPr>
          <w:trHeight w:hRule="exact"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757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Belgicko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A10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Fulvestrant Accord 250 mg oplossing voor injectie in een voorgevulde spuit</w:t>
            </w:r>
          </w:p>
        </w:tc>
      </w:tr>
      <w:tr w:rsidR="00D9164B" w14:paraId="3D3B64B0" w14:textId="77777777" w:rsidTr="00276DC6">
        <w:trPr>
          <w:trHeight w:hRule="exact" w:val="1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B7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Bulharsko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1A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r w:rsidRPr="00C926BE">
              <w:rPr>
                <w:spacing w:val="-1"/>
                <w:sz w:val="22"/>
                <w:szCs w:val="22"/>
                <w:lang w:bidi="sk-SK"/>
              </w:rPr>
              <w:t>Фулвестрант Акорд 250 mg/ 5 ml инжекционен разтвор в предварително напълнена спринцовка</w:t>
            </w:r>
          </w:p>
          <w:p w14:paraId="3AEB6522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</w:p>
          <w:p w14:paraId="73939A0C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Solution for injection in pre- filled syringe</w:t>
            </w:r>
          </w:p>
          <w:p w14:paraId="0089B041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</w:pPr>
          </w:p>
        </w:tc>
      </w:tr>
      <w:tr w:rsidR="00D9164B" w14:paraId="262BEEFF" w14:textId="77777777" w:rsidTr="00276DC6">
        <w:trPr>
          <w:trHeight w:hRule="exact"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AD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Cyprus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92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406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Solution for injection in pre- filled syringe</w:t>
            </w:r>
          </w:p>
        </w:tc>
      </w:tr>
      <w:tr w:rsidR="00D9164B" w14:paraId="3479F270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E7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Chorvátsko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5D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317" w:hanging="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mg </w:t>
            </w: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otopina za injekciju u napunjenoj štrcaljki</w:t>
            </w:r>
          </w:p>
        </w:tc>
      </w:tr>
      <w:tr w:rsidR="00D9164B" w14:paraId="0AE0652B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62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Česká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3B6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397" w:hanging="3"/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Fulvestrant Accord </w:t>
            </w:r>
          </w:p>
        </w:tc>
      </w:tr>
      <w:tr w:rsidR="00D9164B" w14:paraId="5E7CFAF0" w14:textId="77777777" w:rsidTr="00276DC6">
        <w:trPr>
          <w:trHeight w:hRule="exact"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100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Dánsko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8C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Fulvestrant Accord 250 mg</w:t>
            </w:r>
          </w:p>
        </w:tc>
      </w:tr>
      <w:tr w:rsidR="00D9164B" w14:paraId="2D21C096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44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Estónsko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F30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4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363BC81A" w14:textId="77777777" w:rsidTr="00276DC6">
        <w:trPr>
          <w:trHeight w:hRule="exact" w:val="3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160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Fínsko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F9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1158"/>
            </w:pPr>
            <w:r w:rsidRPr="000E3FB4">
              <w:t>Fulvestrant Accord</w:t>
            </w:r>
            <w:r>
              <w:t xml:space="preserve"> </w:t>
            </w:r>
          </w:p>
        </w:tc>
      </w:tr>
      <w:tr w:rsidR="00D9164B" w14:paraId="29B232FB" w14:textId="77777777" w:rsidTr="00276DC6">
        <w:trPr>
          <w:trHeight w:hRule="exact" w:val="2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4EE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Francúzsko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CE0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63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Solution injectable en </w:t>
            </w:r>
            <w:r>
              <w:rPr>
                <w:sz w:val="22"/>
                <w:szCs w:val="22"/>
                <w:lang w:bidi="sk-SK"/>
              </w:rPr>
              <w:t xml:space="preserve">seringue </w:t>
            </w:r>
            <w:r>
              <w:rPr>
                <w:spacing w:val="-1"/>
                <w:sz w:val="22"/>
                <w:szCs w:val="22"/>
                <w:lang w:bidi="sk-SK"/>
              </w:rPr>
              <w:t>pré-remplie</w:t>
            </w:r>
          </w:p>
        </w:tc>
      </w:tr>
      <w:tr w:rsidR="00D9164B" w14:paraId="416D2782" w14:textId="77777777" w:rsidTr="00276DC6">
        <w:trPr>
          <w:trHeight w:hRule="exact"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65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Nemecko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2E5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46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Injektionslösung in einer Fertigspritze</w:t>
            </w:r>
          </w:p>
        </w:tc>
      </w:tr>
      <w:tr w:rsidR="00D9164B" w14:paraId="2D6264DE" w14:textId="77777777" w:rsidTr="00276DC6">
        <w:trPr>
          <w:trHeight w:hRule="exact" w:val="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88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Grécko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AF3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>Fulvestrant /Accord</w:t>
            </w:r>
          </w:p>
        </w:tc>
      </w:tr>
      <w:tr w:rsidR="00D9164B" w14:paraId="26CD892C" w14:textId="77777777" w:rsidTr="00276DC6">
        <w:trPr>
          <w:trHeight w:hRule="exact"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AD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Maďarsko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44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145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Fulvesztrant Accord </w:t>
            </w:r>
            <w:r>
              <w:rPr>
                <w:sz w:val="22"/>
                <w:szCs w:val="22"/>
                <w:lang w:bidi="sk-SK"/>
              </w:rPr>
              <w:t xml:space="preserve">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oldatos injekció előretöltött fecskendőben</w:t>
            </w:r>
          </w:p>
        </w:tc>
      </w:tr>
      <w:tr w:rsidR="00D9164B" w14:paraId="56851645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B5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2"/>
                <w:sz w:val="22"/>
                <w:szCs w:val="22"/>
                <w:lang w:bidi="sk-SK"/>
              </w:rPr>
              <w:t>Island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21D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75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stungulyf, lausn </w:t>
            </w:r>
            <w:r>
              <w:rPr>
                <w:color w:val="212121"/>
                <w:sz w:val="22"/>
                <w:szCs w:val="22"/>
                <w:lang w:bidi="sk-SK"/>
              </w:rPr>
              <w:t xml:space="preserve">í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áfylltri sprautu</w:t>
            </w:r>
          </w:p>
        </w:tc>
      </w:tr>
      <w:tr w:rsidR="00D9164B" w14:paraId="57A1ADA8" w14:textId="77777777" w:rsidTr="00276DC6">
        <w:trPr>
          <w:trHeight w:hRule="exact"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6B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Taliansko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E8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7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7A1F59F1" w14:textId="77777777" w:rsidTr="00276DC6">
        <w:trPr>
          <w:trHeight w:hRule="exact"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B4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Lotyšsko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05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05BBA237" w14:textId="77777777" w:rsidTr="00276DC6">
        <w:trPr>
          <w:trHeight w:hRule="exact"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D2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Nórsko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5C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47C241AD" w14:textId="77777777" w:rsidTr="00276DC6">
        <w:trPr>
          <w:trHeight w:hRule="exact"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D8F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Holandsko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58D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00" w:hanging="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oplossing voor injectie in voorgevulde spuit</w:t>
            </w:r>
          </w:p>
        </w:tc>
      </w:tr>
      <w:tr w:rsidR="00D9164B" w14:paraId="29FFF799" w14:textId="77777777" w:rsidTr="00276DC6">
        <w:trPr>
          <w:trHeight w:hRule="exact"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A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Poľsko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A6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Fulwestrant Accord</w:t>
            </w:r>
          </w:p>
        </w:tc>
      </w:tr>
      <w:tr w:rsidR="00D9164B" w14:paraId="1A6CD2B0" w14:textId="77777777" w:rsidTr="00276DC6">
        <w:trPr>
          <w:trHeight w:hRule="exact"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23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Portugalsko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28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73880B1B" w14:textId="77777777" w:rsidTr="00276DC6">
        <w:trPr>
          <w:trHeight w:hRule="exact"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09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Rumunsko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C1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400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Soluție injectabilă în seringă preumplută</w:t>
            </w:r>
          </w:p>
        </w:tc>
      </w:tr>
      <w:tr w:rsidR="00D9164B" w14:paraId="4E5A3030" w14:textId="77777777" w:rsidTr="00276DC6">
        <w:trPr>
          <w:trHeight w:hRule="exact"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29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Španielsko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6B3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575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solución para inyección en jeringa precargada </w:t>
            </w:r>
            <w:r>
              <w:rPr>
                <w:color w:val="212121"/>
                <w:sz w:val="22"/>
                <w:szCs w:val="22"/>
                <w:lang w:bidi="sk-SK"/>
              </w:rPr>
              <w:t>EFG</w:t>
            </w:r>
          </w:p>
        </w:tc>
      </w:tr>
      <w:tr w:rsidR="00D9164B" w14:paraId="7691C054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F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Slovenská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96A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52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injekčný roztok naplnený </w:t>
            </w:r>
            <w:r>
              <w:rPr>
                <w:sz w:val="22"/>
                <w:szCs w:val="22"/>
                <w:lang w:bidi="sk-SK"/>
              </w:rPr>
              <w:t xml:space="preserve">v </w:t>
            </w:r>
            <w:r>
              <w:rPr>
                <w:spacing w:val="-1"/>
                <w:sz w:val="22"/>
                <w:szCs w:val="22"/>
                <w:lang w:bidi="sk-SK"/>
              </w:rPr>
              <w:t>injekčnej striekačke</w:t>
            </w:r>
          </w:p>
        </w:tc>
      </w:tr>
      <w:tr w:rsidR="00D9164B" w14:paraId="658CE2E4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B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Slovinsko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AE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67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5798C8D4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928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Švédsko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5B0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6" w:lineRule="auto"/>
              <w:ind w:left="96" w:right="61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0AD98438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95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spacing w:val="-1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lastRenderedPageBreak/>
              <w:t xml:space="preserve">Spojené kráľovstvo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CF6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 250 mg Solution for injection in prefilled syringe</w:t>
            </w:r>
          </w:p>
        </w:tc>
      </w:tr>
      <w:tr w:rsidR="00D9164B" w14:paraId="4BC801AA" w14:textId="77777777" w:rsidTr="00276DC6">
        <w:trPr>
          <w:trHeight w:hRule="exact" w:val="3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C91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Írsko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7AB" w14:textId="77777777" w:rsidR="00D9164B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 250 mg Solution for injection in prefilled syringe</w:t>
            </w:r>
          </w:p>
        </w:tc>
      </w:tr>
    </w:tbl>
    <w:p w14:paraId="1D1A0484" w14:textId="77777777" w:rsidR="00CF19FA" w:rsidRPr="004A23B3" w:rsidRDefault="00CF19FA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en-GB"/>
        </w:rPr>
      </w:pPr>
    </w:p>
    <w:p w14:paraId="11B5BDFB" w14:textId="2285972B" w:rsidR="001A6F05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en-GB"/>
        </w:rPr>
      </w:pPr>
      <w:r w:rsidRPr="007353A7">
        <w:rPr>
          <w:rFonts w:ascii="Times New Roman" w:eastAsia="Times New Roman" w:hAnsi="Times New Roman" w:cs="Times New Roman"/>
          <w:b/>
          <w:lang w:bidi="sk-SK"/>
        </w:rPr>
        <w:t>Táto písomná informácia bola naposledy aktualizovaná v</w:t>
      </w:r>
      <w:r w:rsidR="006E0C13">
        <w:rPr>
          <w:rFonts w:ascii="Times New Roman" w:eastAsia="Times New Roman" w:hAnsi="Times New Roman" w:cs="Times New Roman"/>
          <w:b/>
          <w:lang w:bidi="sk-SK"/>
        </w:rPr>
        <w:t> auguste 2019.</w:t>
      </w:r>
    </w:p>
    <w:p w14:paraId="278EF64E" w14:textId="77777777" w:rsidR="007353A7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en-GB"/>
        </w:rPr>
      </w:pPr>
    </w:p>
    <w:p w14:paraId="0F1E00C0" w14:textId="77777777" w:rsidR="001A6F05" w:rsidRDefault="001A6F05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3FE63D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98C975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96E4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4D1CB0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659C8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8321B7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538D54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16189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5EDD04E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F5D2677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3996CCF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FF02946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B6C47B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408C0F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EDF196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FDE1FD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778676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122B9C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C3DA9FD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AF063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87648C5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CE657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917FE2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7E9356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E70A4E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8337CA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98DFB0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E49C08" w14:textId="6B759D73" w:rsidR="006E0C13" w:rsidRDefault="006E0C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456794E7" w14:textId="2F65E333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lastRenderedPageBreak/>
        <w:t>---------------------------------------------------------------------------------------------------------------------------</w:t>
      </w:r>
    </w:p>
    <w:p w14:paraId="456794E8" w14:textId="77777777" w:rsidR="0025223D" w:rsidRPr="00FD5F8F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FD5F8F">
        <w:rPr>
          <w:rFonts w:ascii="Times New Roman" w:eastAsia="Times New Roman" w:hAnsi="Times New Roman" w:cs="Times New Roman"/>
          <w:b/>
          <w:lang w:bidi="sk-SK"/>
        </w:rPr>
        <w:t>Nasledujúca informácia je určená len pre zdravotníckych pracovníkov:</w:t>
      </w:r>
    </w:p>
    <w:p w14:paraId="456794E9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EBEF024" w14:textId="66BF8A19" w:rsidR="007C7E68" w:rsidRPr="00B914C4" w:rsidRDefault="00D262A8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D9164B"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="00354A92" w:rsidRPr="00D9164B">
        <w:rPr>
          <w:rFonts w:ascii="Times New Roman" w:eastAsia="Times New Roman" w:hAnsi="Times New Roman" w:cs="Times New Roman"/>
          <w:lang w:bidi="sk-SK"/>
        </w:rPr>
        <w:t xml:space="preserve"> 250 mg injekčný roztok naplnený v injekčnej striekačke</w:t>
      </w:r>
      <w:r w:rsidR="00790226"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9164B">
        <w:rPr>
          <w:rFonts w:ascii="Times New Roman" w:eastAsia="Times New Roman" w:hAnsi="Times New Roman" w:cs="Times New Roman"/>
          <w:lang w:bidi="sk-SK"/>
        </w:rPr>
        <w:t>5</w:t>
      </w:r>
      <w:r w:rsidR="00F839E2" w:rsidRPr="00B914C4">
        <w:rPr>
          <w:rFonts w:ascii="Times New Roman" w:eastAsia="Times New Roman" w:hAnsi="Times New Roman" w:cs="Times New Roman"/>
          <w:lang w:bidi="sk-SK"/>
        </w:rPr>
        <w:t>00 mg (2 x 250 mg/5 ml injekčného roztoku) sa má podať tak, že sa použijú dve naplnené injekčné striekačky, pozri časť 3.</w:t>
      </w:r>
    </w:p>
    <w:p w14:paraId="456794ED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4EE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Pokyny na podávanie</w:t>
      </w:r>
    </w:p>
    <w:p w14:paraId="1DF3C0D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Upozornenie - Bezpečnostnú ihlu pred použitím neautoklávujte. Počas použitia aj pri likvidácii musia byť ruky stále za ihlou.</w:t>
      </w:r>
    </w:p>
    <w:p w14:paraId="2B395E5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4AA23" w14:textId="57CB32E2" w:rsidR="00B646A7" w:rsidRPr="00220348" w:rsidRDefault="00B646A7" w:rsidP="00B64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83692">
        <w:rPr>
          <w:rFonts w:ascii="Times New Roman" w:eastAsia="Times New Roman" w:hAnsi="Times New Roman" w:cs="Times New Roman"/>
          <w:lang w:bidi="sk-SK"/>
        </w:rPr>
        <w:t>Injekčné striekačky sa dodávajú s bezpečnostnou ihlou BD Safety Glide®.</w:t>
      </w:r>
    </w:p>
    <w:p w14:paraId="295FD097" w14:textId="77777777" w:rsidR="00B646A7" w:rsidRPr="009420CA" w:rsidRDefault="00B646A7" w:rsidP="00B646A7">
      <w:pPr>
        <w:spacing w:after="0" w:line="240" w:lineRule="auto"/>
        <w:rPr>
          <w:rFonts w:ascii="Times New Roman" w:hAnsi="Times New Roman" w:cs="Times New Roman"/>
        </w:rPr>
      </w:pPr>
    </w:p>
    <w:p w14:paraId="5BD1FC7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348">
        <w:rPr>
          <w:rFonts w:ascii="Times New Roman" w:eastAsia="Times New Roman" w:hAnsi="Times New Roman" w:cs="Times New Roman"/>
          <w:lang w:bidi="sk-SK"/>
        </w:rPr>
        <w:t>Pre každú z oboch injekčných striekačiek:</w:t>
      </w:r>
    </w:p>
    <w:p w14:paraId="13083D69" w14:textId="77777777" w:rsidR="00CA1586" w:rsidRPr="009420CA" w:rsidRDefault="00CA1586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976"/>
      </w:tblGrid>
      <w:tr w:rsidR="00B646A7" w:rsidRPr="00B914C4" w14:paraId="1582E078" w14:textId="77777777" w:rsidTr="00296926">
        <w:tc>
          <w:tcPr>
            <w:tcW w:w="6204" w:type="dxa"/>
          </w:tcPr>
          <w:p w14:paraId="55CF41BD" w14:textId="160BA84C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Opatrne vyberte sklenenú injekčnú striekačku z puzdra a skontrolujte, či nie je poškodená.</w:t>
            </w:r>
          </w:p>
          <w:p w14:paraId="7E6B0EBA" w14:textId="22FD0139" w:rsidR="00B646A7" w:rsidRPr="009420CA" w:rsidRDefault="00B646A7" w:rsidP="00307188">
            <w:pPr>
              <w:tabs>
                <w:tab w:val="left" w:pos="567"/>
              </w:tabs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 xml:space="preserve">Otočte plombou plastového krytu luerovej koncovky ihly tak, aby ste kryt s pripojeným gumovým hrotom odstránili (pozri Obrázok 1). </w:t>
            </w:r>
          </w:p>
          <w:p w14:paraId="6C20FEB0" w14:textId="77777777" w:rsidR="00B646A7" w:rsidRPr="009420CA" w:rsidRDefault="00B646A7" w:rsidP="0029692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D78F36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1</w:t>
            </w:r>
          </w:p>
          <w:p w14:paraId="109DEC67" w14:textId="5A835FC4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CFDC960" wp14:editId="4A3A92ED">
                  <wp:extent cx="1996469" cy="577970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96" cy="57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7EB4F54F" w14:textId="77777777" w:rsidTr="00296926">
        <w:tc>
          <w:tcPr>
            <w:tcW w:w="6204" w:type="dxa"/>
          </w:tcPr>
          <w:p w14:paraId="58EA2625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Odlepte vonkajší obal bezpečnostnej ihly (BD SafetyGlide). Pripojte bezpečnostnú ihlu k luerovej koncovke injekčnej striekačky (pozri Obrázok 2).</w:t>
            </w:r>
          </w:p>
          <w:p w14:paraId="29C64F61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sk-SK"/>
              </w:rPr>
              <w:t>-</w:t>
            </w:r>
            <w:r>
              <w:rPr>
                <w:rFonts w:ascii="Times New Roman" w:eastAsia="Times New Roman" w:hAnsi="Times New Roman" w:cs="Times New Roman"/>
                <w:lang w:bidi="sk-SK"/>
              </w:rPr>
              <w:tab/>
              <w:t>Otočte ňou tak, aby sa ihla pevne prichytila o luerovú koncovku. Otáčajte ňou, kým pevne nezapadne.</w:t>
            </w:r>
          </w:p>
          <w:p w14:paraId="37E01255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Priamym pohybom stiahnite z ihly kryt tak, aby sa nepoškodil hrot ihly.</w:t>
            </w:r>
          </w:p>
          <w:p w14:paraId="2A2C1568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Preneste naplnenú injekčnú striekačku na miesto podania.</w:t>
            </w:r>
          </w:p>
          <w:p w14:paraId="783DF80A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Odstráňte kryt z ihly.</w:t>
            </w:r>
          </w:p>
          <w:p w14:paraId="7C619FD9" w14:textId="77777777" w:rsidR="00B646A7" w:rsidRPr="009420CA" w:rsidRDefault="00B646A7" w:rsidP="00296926">
            <w:pPr>
              <w:tabs>
                <w:tab w:val="left" w:pos="-1418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Parenterálne roztoky sa musia pred podávaním vizuálne skontrolovať, či neobsahujú častice a či nedošlo k zmene ich zafarbenia.</w:t>
            </w:r>
          </w:p>
          <w:p w14:paraId="483E5093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Vytlačte z injekčnej striekačky prebytočný plyn.</w:t>
            </w:r>
          </w:p>
          <w:p w14:paraId="19A60447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10FEC85A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3360" behindDoc="1" locked="0" layoutInCell="1" allowOverlap="1" wp14:anchorId="2C5747A0" wp14:editId="2B63A050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2336" behindDoc="1" locked="0" layoutInCell="1" allowOverlap="1" wp14:anchorId="2809F914" wp14:editId="21A529D7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2</w:t>
            </w:r>
          </w:p>
          <w:p w14:paraId="1958CCC9" w14:textId="09B0BEA5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C8E6721" wp14:editId="1F0F24C1">
                  <wp:extent cx="1811547" cy="52154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34" cy="53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1ED5F5B9" w14:textId="77777777" w:rsidTr="00296926">
        <w:tc>
          <w:tcPr>
            <w:tcW w:w="6204" w:type="dxa"/>
          </w:tcPr>
          <w:p w14:paraId="7F33E409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Podávajte pomaly, intramuskulárne (1-2 minúty/injekcia) do sedacieho svalu (gluteálna oblasť). Na uľahčenie podávania je skosená strana ihly orientovaná k ramenu páčky (pozri obrázok 3).</w:t>
            </w:r>
          </w:p>
        </w:tc>
        <w:tc>
          <w:tcPr>
            <w:tcW w:w="2976" w:type="dxa"/>
          </w:tcPr>
          <w:p w14:paraId="04C035B8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3</w:t>
            </w:r>
          </w:p>
          <w:p w14:paraId="5CD97E7A" w14:textId="680F5DAD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089A471" wp14:editId="61130F3C">
                  <wp:extent cx="1768878" cy="550924"/>
                  <wp:effectExtent l="0" t="0" r="317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6435"/>
                          <a:stretch/>
                        </pic:blipFill>
                        <pic:spPr bwMode="auto">
                          <a:xfrm>
                            <a:off x="0" y="0"/>
                            <a:ext cx="1771868" cy="55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3C04AEFC" w14:textId="77777777" w:rsidTr="00296926">
        <w:trPr>
          <w:trHeight w:val="671"/>
        </w:trPr>
        <w:tc>
          <w:tcPr>
            <w:tcW w:w="6204" w:type="dxa"/>
          </w:tcPr>
          <w:p w14:paraId="738DF846" w14:textId="0698AE48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Po podaní injekcie okamžite aktivujte bezpečnostný mechanizmus zatlačením luerového ramena dopredu, až kým hrot ihly nie je úplne zakrytý (pozri obrázok 4).</w:t>
            </w:r>
          </w:p>
          <w:p w14:paraId="287A811A" w14:textId="77777777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</w:p>
          <w:p w14:paraId="7EB79D08" w14:textId="77777777" w:rsidR="00B646A7" w:rsidRPr="009420CA" w:rsidRDefault="00B646A7" w:rsidP="00296926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b/>
              </w:rPr>
            </w:pPr>
            <w:r w:rsidRPr="00643D5E">
              <w:rPr>
                <w:rFonts w:ascii="Times New Roman" w:eastAsia="Times New Roman" w:hAnsi="Times New Roman" w:cs="Times New Roman"/>
                <w:b/>
                <w:lang w:bidi="sk-SK"/>
              </w:rPr>
              <w:t>POZNÁMKA: Aktivujte mechanizmus smerom od seba a iných. Dávajte pozor na cvaknutie a vizuálne sa presvedčte, že hrot ihly je úplne zakrytý.</w:t>
            </w:r>
          </w:p>
        </w:tc>
        <w:tc>
          <w:tcPr>
            <w:tcW w:w="2976" w:type="dxa"/>
          </w:tcPr>
          <w:p w14:paraId="65102CE5" w14:textId="77777777" w:rsidR="00B646A7" w:rsidRPr="009420CA" w:rsidRDefault="00B646A7" w:rsidP="00296926">
            <w:pPr>
              <w:rPr>
                <w:rFonts w:ascii="Times New Roman" w:eastAsia="Times New Roman" w:hAnsi="Times New Roman" w:cs="Times New Roman"/>
              </w:rPr>
            </w:pPr>
          </w:p>
          <w:p w14:paraId="38974A19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4</w:t>
            </w:r>
          </w:p>
          <w:p w14:paraId="5125F83E" w14:textId="4B64F31E" w:rsidR="00307188" w:rsidRPr="00B914C4" w:rsidRDefault="00307188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02730E" w14:textId="1F71EB4F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05CED85" wp14:editId="4712CC26">
                  <wp:extent cx="1906438" cy="57339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38" cy="57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17B1E" w14:textId="77777777" w:rsidR="00B82F9B" w:rsidRPr="00B914C4" w:rsidRDefault="00B82F9B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A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52B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Likvidácia</w:t>
      </w:r>
    </w:p>
    <w:p w14:paraId="4567952C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Naplnené injekčné striekačky sú určené </w:t>
      </w: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len </w:t>
      </w:r>
      <w:r w:rsidRPr="00B914C4">
        <w:rPr>
          <w:rFonts w:ascii="Times New Roman" w:eastAsia="Times New Roman" w:hAnsi="Times New Roman" w:cs="Times New Roman"/>
          <w:lang w:bidi="sk-SK"/>
        </w:rPr>
        <w:t>na jednorazové použitie.</w:t>
      </w:r>
    </w:p>
    <w:p w14:paraId="575653A6" w14:textId="77777777" w:rsidR="00B646A7" w:rsidRDefault="00B646A7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D" w14:textId="7ABAFBFB" w:rsidR="0025223D" w:rsidRPr="00D156A0" w:rsidRDefault="000461B3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61B3">
        <w:rPr>
          <w:rFonts w:ascii="Times New Roman" w:eastAsia="Times New Roman" w:hAnsi="Times New Roman" w:cs="Times New Roman"/>
          <w:lang w:bidi="sk-SK"/>
        </w:rPr>
        <w:t>Tento liek môže predstavovať riziko pre vodné prostredie.</w:t>
      </w:r>
      <w:r w:rsidR="00934D6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Všetok nepoužitý liek alebo odpad vzniknutý z lieku sa má zlikvidovať v súlade s národnými požiadavkami.</w:t>
      </w:r>
    </w:p>
    <w:sectPr w:rsidR="0025223D" w:rsidRPr="00D156A0" w:rsidSect="00D944C5">
      <w:headerReference w:type="default" r:id="rId17"/>
      <w:footerReference w:type="default" r:id="rId18"/>
      <w:type w:val="nextColumn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27AC4" w14:textId="77777777" w:rsidR="00AF41AE" w:rsidRDefault="00AF41AE">
      <w:pPr>
        <w:spacing w:after="0" w:line="240" w:lineRule="auto"/>
      </w:pPr>
      <w:r>
        <w:separator/>
      </w:r>
    </w:p>
  </w:endnote>
  <w:endnote w:type="continuationSeparator" w:id="0">
    <w:p w14:paraId="220B34BF" w14:textId="77777777" w:rsidR="00AF41AE" w:rsidRDefault="00AF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79557" w14:textId="74878EF8" w:rsidR="007645CE" w:rsidRDefault="007645CE">
    <w:pPr>
      <w:spacing w:after="0" w:line="200" w:lineRule="exact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679558" wp14:editId="0657E20C">
              <wp:simplePos x="0" y="0"/>
              <wp:positionH relativeFrom="page">
                <wp:posOffset>3667125</wp:posOffset>
              </wp:positionH>
              <wp:positionV relativeFrom="page">
                <wp:posOffset>10107295</wp:posOffset>
              </wp:positionV>
              <wp:extent cx="163830" cy="127635"/>
              <wp:effectExtent l="0" t="1270" r="0" b="444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795D4" w14:textId="77777777" w:rsidR="007645CE" w:rsidRDefault="007645CE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bidi="sk-SK"/>
                            </w:rPr>
                            <w:instrText xml:space="preserve"> PAGE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 w:rsidR="00D156A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bidi="sk-SK"/>
                            </w:rPr>
                            <w:t>4</w:t>
                          </w:r>
                          <w:r>
                            <w:rPr>
                              <w:lang w:bidi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79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5pt;margin-top:795.8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GuqwIAAKk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" filled="f" stroked="f">
              <v:textbox inset="0,0,0,0">
                <w:txbxContent>
                  <w:p w14:paraId="456795D4" w14:textId="77777777" w:rsidR="007645CE" w:rsidRDefault="007645CE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bidi="sk-SK"/>
                      </w:rPr>
                      <w:instrText xml:space="preserve"> PAGE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 w:rsidR="00D156A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bidi="sk-SK"/>
                      </w:rPr>
                      <w:t>4</w:t>
                    </w:r>
                    <w:r>
                      <w:rPr>
                        <w:lang w:bidi="sk-S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E550" w14:textId="77777777" w:rsidR="00AF41AE" w:rsidRDefault="00AF41AE">
      <w:pPr>
        <w:spacing w:after="0" w:line="240" w:lineRule="auto"/>
      </w:pPr>
      <w:r>
        <w:separator/>
      </w:r>
    </w:p>
  </w:footnote>
  <w:footnote w:type="continuationSeparator" w:id="0">
    <w:p w14:paraId="45F57C33" w14:textId="77777777" w:rsidR="00AF41AE" w:rsidRDefault="00AF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A2C4F" w14:textId="1B61FE9E" w:rsidR="006E0C13" w:rsidRPr="00C725C0" w:rsidRDefault="006E0C13" w:rsidP="006E0C13">
    <w:pPr>
      <w:pStyle w:val="Hlavika"/>
      <w:rPr>
        <w:rFonts w:ascii="Times New Roman" w:hAnsi="Times New Roman" w:cs="Times New Roman"/>
        <w:sz w:val="18"/>
        <w:szCs w:val="18"/>
      </w:rPr>
    </w:pPr>
    <w:bookmarkStart w:id="1" w:name="_Hlk513112080"/>
    <w:r w:rsidRPr="00C725C0">
      <w:rPr>
        <w:rFonts w:ascii="Times New Roman" w:hAnsi="Times New Roman" w:cs="Times New Roman"/>
        <w:sz w:val="18"/>
        <w:szCs w:val="18"/>
      </w:rPr>
      <w:t>Príloha č. 1 k notifik</w:t>
    </w:r>
    <w:r>
      <w:rPr>
        <w:rFonts w:ascii="Times New Roman" w:hAnsi="Times New Roman" w:cs="Times New Roman"/>
        <w:sz w:val="18"/>
        <w:szCs w:val="18"/>
      </w:rPr>
      <w:t>ácii o zmene, ev. č.: 2019/01362</w:t>
    </w:r>
    <w:r w:rsidRPr="00C725C0">
      <w:rPr>
        <w:rFonts w:ascii="Times New Roman" w:hAnsi="Times New Roman" w:cs="Times New Roman"/>
        <w:sz w:val="18"/>
        <w:szCs w:val="18"/>
      </w:rPr>
      <w:t>-Z1</w:t>
    </w:r>
    <w:r>
      <w:rPr>
        <w:rFonts w:ascii="Times New Roman" w:hAnsi="Times New Roman" w:cs="Times New Roman"/>
        <w:sz w:val="18"/>
        <w:szCs w:val="18"/>
      </w:rPr>
      <w:t>A</w:t>
    </w:r>
  </w:p>
  <w:p w14:paraId="1142A2CD" w14:textId="0BCF49E8" w:rsidR="006E0C13" w:rsidRPr="00C725C0" w:rsidRDefault="006E0C13" w:rsidP="006E0C13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2</w:t>
    </w:r>
    <w:r w:rsidRPr="00C725C0">
      <w:rPr>
        <w:rFonts w:ascii="Times New Roman" w:hAnsi="Times New Roman" w:cs="Times New Roman"/>
        <w:sz w:val="18"/>
        <w:szCs w:val="18"/>
      </w:rPr>
      <w:t xml:space="preserve"> k notifikácii o zmene, ev. č.: 2019/01364-Z1B</w:t>
    </w:r>
  </w:p>
  <w:bookmarkEnd w:id="1"/>
  <w:p w14:paraId="1E445133" w14:textId="77777777" w:rsidR="00AC0DAC" w:rsidRDefault="00AC0D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6FAB"/>
    <w:multiLevelType w:val="hybridMultilevel"/>
    <w:tmpl w:val="4E04510A"/>
    <w:lvl w:ilvl="0" w:tplc="464A1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59FF"/>
    <w:multiLevelType w:val="hybridMultilevel"/>
    <w:tmpl w:val="FFAC2274"/>
    <w:lvl w:ilvl="0" w:tplc="B49C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F15"/>
    <w:multiLevelType w:val="hybridMultilevel"/>
    <w:tmpl w:val="63AE889A"/>
    <w:lvl w:ilvl="0" w:tplc="27D2261C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08D1"/>
    <w:multiLevelType w:val="hybridMultilevel"/>
    <w:tmpl w:val="AFBC5D6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63FB"/>
    <w:multiLevelType w:val="hybridMultilevel"/>
    <w:tmpl w:val="B6C0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74589"/>
    <w:multiLevelType w:val="hybridMultilevel"/>
    <w:tmpl w:val="B714000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0199"/>
    <w:multiLevelType w:val="hybridMultilevel"/>
    <w:tmpl w:val="1336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1BE6"/>
    <w:multiLevelType w:val="hybridMultilevel"/>
    <w:tmpl w:val="5B2E8238"/>
    <w:lvl w:ilvl="0" w:tplc="1B4EE20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25C2"/>
    <w:multiLevelType w:val="hybridMultilevel"/>
    <w:tmpl w:val="6A3E40AC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6343A"/>
    <w:multiLevelType w:val="hybridMultilevel"/>
    <w:tmpl w:val="4CCA4524"/>
    <w:lvl w:ilvl="0" w:tplc="0CA8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8B0"/>
    <w:multiLevelType w:val="hybridMultilevel"/>
    <w:tmpl w:val="01627998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01DB"/>
    <w:multiLevelType w:val="hybridMultilevel"/>
    <w:tmpl w:val="5E7E6546"/>
    <w:lvl w:ilvl="0" w:tplc="E480BD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2267D"/>
    <w:multiLevelType w:val="hybridMultilevel"/>
    <w:tmpl w:val="3C922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0F90"/>
    <w:multiLevelType w:val="hybridMultilevel"/>
    <w:tmpl w:val="D074AA30"/>
    <w:lvl w:ilvl="0" w:tplc="AA1A56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D"/>
    <w:rsid w:val="00002E2D"/>
    <w:rsid w:val="00003E20"/>
    <w:rsid w:val="00004F58"/>
    <w:rsid w:val="00005A31"/>
    <w:rsid w:val="0000691A"/>
    <w:rsid w:val="000075A9"/>
    <w:rsid w:val="00014B07"/>
    <w:rsid w:val="00016C84"/>
    <w:rsid w:val="000173F7"/>
    <w:rsid w:val="00017FAB"/>
    <w:rsid w:val="00022FE4"/>
    <w:rsid w:val="000240E4"/>
    <w:rsid w:val="00026AAC"/>
    <w:rsid w:val="00026BF3"/>
    <w:rsid w:val="000301CA"/>
    <w:rsid w:val="00031461"/>
    <w:rsid w:val="00032487"/>
    <w:rsid w:val="000366CD"/>
    <w:rsid w:val="000375BE"/>
    <w:rsid w:val="000405A2"/>
    <w:rsid w:val="00041AB4"/>
    <w:rsid w:val="0004368E"/>
    <w:rsid w:val="000461B3"/>
    <w:rsid w:val="00047B31"/>
    <w:rsid w:val="00050725"/>
    <w:rsid w:val="00051382"/>
    <w:rsid w:val="000521EB"/>
    <w:rsid w:val="00055114"/>
    <w:rsid w:val="00055966"/>
    <w:rsid w:val="00061273"/>
    <w:rsid w:val="000757F3"/>
    <w:rsid w:val="000777A3"/>
    <w:rsid w:val="00077D44"/>
    <w:rsid w:val="00092037"/>
    <w:rsid w:val="00094355"/>
    <w:rsid w:val="00094D9F"/>
    <w:rsid w:val="000963B7"/>
    <w:rsid w:val="00096FE7"/>
    <w:rsid w:val="000A4D09"/>
    <w:rsid w:val="000A7482"/>
    <w:rsid w:val="000B22A8"/>
    <w:rsid w:val="000B3BC7"/>
    <w:rsid w:val="000D2AF1"/>
    <w:rsid w:val="000D3F78"/>
    <w:rsid w:val="000D5AF3"/>
    <w:rsid w:val="000D6598"/>
    <w:rsid w:val="000E0438"/>
    <w:rsid w:val="000E1276"/>
    <w:rsid w:val="000E1BFA"/>
    <w:rsid w:val="000E3FB4"/>
    <w:rsid w:val="000E4EFF"/>
    <w:rsid w:val="000E6B8A"/>
    <w:rsid w:val="000F3D0A"/>
    <w:rsid w:val="000F4422"/>
    <w:rsid w:val="000F5099"/>
    <w:rsid w:val="000F5C09"/>
    <w:rsid w:val="000F5EFD"/>
    <w:rsid w:val="00100186"/>
    <w:rsid w:val="0010065F"/>
    <w:rsid w:val="00110E16"/>
    <w:rsid w:val="001121D5"/>
    <w:rsid w:val="001129E3"/>
    <w:rsid w:val="00114207"/>
    <w:rsid w:val="00114290"/>
    <w:rsid w:val="00117411"/>
    <w:rsid w:val="0012086B"/>
    <w:rsid w:val="00120A4D"/>
    <w:rsid w:val="00123D07"/>
    <w:rsid w:val="001302BA"/>
    <w:rsid w:val="0013447D"/>
    <w:rsid w:val="001362E3"/>
    <w:rsid w:val="0014012D"/>
    <w:rsid w:val="00141409"/>
    <w:rsid w:val="0014199E"/>
    <w:rsid w:val="00143F7B"/>
    <w:rsid w:val="0014578C"/>
    <w:rsid w:val="00145E58"/>
    <w:rsid w:val="00145EB4"/>
    <w:rsid w:val="00146B7A"/>
    <w:rsid w:val="00147F57"/>
    <w:rsid w:val="001508CB"/>
    <w:rsid w:val="0015200B"/>
    <w:rsid w:val="00154120"/>
    <w:rsid w:val="0015537D"/>
    <w:rsid w:val="00155A8D"/>
    <w:rsid w:val="001631BC"/>
    <w:rsid w:val="00163AC3"/>
    <w:rsid w:val="00165943"/>
    <w:rsid w:val="00165D3E"/>
    <w:rsid w:val="001671E2"/>
    <w:rsid w:val="0016729C"/>
    <w:rsid w:val="001672F2"/>
    <w:rsid w:val="00172FF8"/>
    <w:rsid w:val="00173B4D"/>
    <w:rsid w:val="00174123"/>
    <w:rsid w:val="00183444"/>
    <w:rsid w:val="00185273"/>
    <w:rsid w:val="001916AB"/>
    <w:rsid w:val="00194998"/>
    <w:rsid w:val="001968CD"/>
    <w:rsid w:val="001A0965"/>
    <w:rsid w:val="001A0E1E"/>
    <w:rsid w:val="001A670A"/>
    <w:rsid w:val="001A6F05"/>
    <w:rsid w:val="001B4422"/>
    <w:rsid w:val="001C2F1C"/>
    <w:rsid w:val="001C49A2"/>
    <w:rsid w:val="001C6872"/>
    <w:rsid w:val="001D4A80"/>
    <w:rsid w:val="001D51E7"/>
    <w:rsid w:val="001D79CC"/>
    <w:rsid w:val="001E0EB6"/>
    <w:rsid w:val="001E2725"/>
    <w:rsid w:val="001E2F77"/>
    <w:rsid w:val="001E61D5"/>
    <w:rsid w:val="001F2CE7"/>
    <w:rsid w:val="001F347E"/>
    <w:rsid w:val="001F3EE5"/>
    <w:rsid w:val="001F424F"/>
    <w:rsid w:val="001F6AB4"/>
    <w:rsid w:val="00200F32"/>
    <w:rsid w:val="00203510"/>
    <w:rsid w:val="002048FA"/>
    <w:rsid w:val="0020736F"/>
    <w:rsid w:val="00213628"/>
    <w:rsid w:val="00217206"/>
    <w:rsid w:val="0021764B"/>
    <w:rsid w:val="00220348"/>
    <w:rsid w:val="002212F4"/>
    <w:rsid w:val="002259CC"/>
    <w:rsid w:val="00230F42"/>
    <w:rsid w:val="00231262"/>
    <w:rsid w:val="002315AD"/>
    <w:rsid w:val="0023188F"/>
    <w:rsid w:val="002344A3"/>
    <w:rsid w:val="00241D83"/>
    <w:rsid w:val="0024444E"/>
    <w:rsid w:val="00245783"/>
    <w:rsid w:val="0025223D"/>
    <w:rsid w:val="00254455"/>
    <w:rsid w:val="00255B17"/>
    <w:rsid w:val="002563F3"/>
    <w:rsid w:val="0025780F"/>
    <w:rsid w:val="00261646"/>
    <w:rsid w:val="002623F3"/>
    <w:rsid w:val="0026722C"/>
    <w:rsid w:val="002674BE"/>
    <w:rsid w:val="00272DCC"/>
    <w:rsid w:val="002763EC"/>
    <w:rsid w:val="00276D48"/>
    <w:rsid w:val="00282E72"/>
    <w:rsid w:val="00286CE6"/>
    <w:rsid w:val="002938D9"/>
    <w:rsid w:val="00293CA3"/>
    <w:rsid w:val="00295B3A"/>
    <w:rsid w:val="00296926"/>
    <w:rsid w:val="002A099A"/>
    <w:rsid w:val="002A3193"/>
    <w:rsid w:val="002A46AB"/>
    <w:rsid w:val="002A4AA0"/>
    <w:rsid w:val="002A723C"/>
    <w:rsid w:val="002A79E6"/>
    <w:rsid w:val="002A7EFD"/>
    <w:rsid w:val="002C091A"/>
    <w:rsid w:val="002C46EF"/>
    <w:rsid w:val="002D0CB6"/>
    <w:rsid w:val="002D1EB2"/>
    <w:rsid w:val="002D1F82"/>
    <w:rsid w:val="002E2F95"/>
    <w:rsid w:val="002E3EC4"/>
    <w:rsid w:val="002F18FA"/>
    <w:rsid w:val="002F4AE2"/>
    <w:rsid w:val="002F7741"/>
    <w:rsid w:val="00307188"/>
    <w:rsid w:val="003078A3"/>
    <w:rsid w:val="003127E6"/>
    <w:rsid w:val="00314B21"/>
    <w:rsid w:val="00315C63"/>
    <w:rsid w:val="00316D1C"/>
    <w:rsid w:val="00323834"/>
    <w:rsid w:val="00325AD7"/>
    <w:rsid w:val="00325C9B"/>
    <w:rsid w:val="00330574"/>
    <w:rsid w:val="00330791"/>
    <w:rsid w:val="00332907"/>
    <w:rsid w:val="00334BD7"/>
    <w:rsid w:val="003473A7"/>
    <w:rsid w:val="0035073E"/>
    <w:rsid w:val="0035170A"/>
    <w:rsid w:val="00354A92"/>
    <w:rsid w:val="00355295"/>
    <w:rsid w:val="00361F81"/>
    <w:rsid w:val="00363207"/>
    <w:rsid w:val="00376EAB"/>
    <w:rsid w:val="003837CD"/>
    <w:rsid w:val="00383A34"/>
    <w:rsid w:val="00384799"/>
    <w:rsid w:val="00391052"/>
    <w:rsid w:val="003A0462"/>
    <w:rsid w:val="003A12B8"/>
    <w:rsid w:val="003A4EE5"/>
    <w:rsid w:val="003A79A3"/>
    <w:rsid w:val="003B18BA"/>
    <w:rsid w:val="003B6DE2"/>
    <w:rsid w:val="003B71B5"/>
    <w:rsid w:val="003C2BB2"/>
    <w:rsid w:val="003D21CA"/>
    <w:rsid w:val="003D27EF"/>
    <w:rsid w:val="003D4CA3"/>
    <w:rsid w:val="003D6487"/>
    <w:rsid w:val="003D7E0A"/>
    <w:rsid w:val="003E5436"/>
    <w:rsid w:val="00404070"/>
    <w:rsid w:val="004044C5"/>
    <w:rsid w:val="00405EC5"/>
    <w:rsid w:val="00406C54"/>
    <w:rsid w:val="00406EBA"/>
    <w:rsid w:val="00407E11"/>
    <w:rsid w:val="00411167"/>
    <w:rsid w:val="00412011"/>
    <w:rsid w:val="00413CEB"/>
    <w:rsid w:val="00415110"/>
    <w:rsid w:val="004151EF"/>
    <w:rsid w:val="00416C7C"/>
    <w:rsid w:val="004179FD"/>
    <w:rsid w:val="00420663"/>
    <w:rsid w:val="004208D8"/>
    <w:rsid w:val="0042121A"/>
    <w:rsid w:val="00424865"/>
    <w:rsid w:val="00426220"/>
    <w:rsid w:val="00427FEE"/>
    <w:rsid w:val="00434D3C"/>
    <w:rsid w:val="00436805"/>
    <w:rsid w:val="0043739B"/>
    <w:rsid w:val="00440769"/>
    <w:rsid w:val="004431B8"/>
    <w:rsid w:val="004463A1"/>
    <w:rsid w:val="004554DF"/>
    <w:rsid w:val="004618B9"/>
    <w:rsid w:val="0046274E"/>
    <w:rsid w:val="00464BA3"/>
    <w:rsid w:val="004650FA"/>
    <w:rsid w:val="00467404"/>
    <w:rsid w:val="00467EF5"/>
    <w:rsid w:val="0047338B"/>
    <w:rsid w:val="00475E0D"/>
    <w:rsid w:val="00477382"/>
    <w:rsid w:val="00480344"/>
    <w:rsid w:val="00481002"/>
    <w:rsid w:val="00481BEC"/>
    <w:rsid w:val="0048318F"/>
    <w:rsid w:val="00484AD5"/>
    <w:rsid w:val="00491D71"/>
    <w:rsid w:val="00493091"/>
    <w:rsid w:val="004937CD"/>
    <w:rsid w:val="00493CD4"/>
    <w:rsid w:val="004A23B3"/>
    <w:rsid w:val="004A2C1A"/>
    <w:rsid w:val="004A3E65"/>
    <w:rsid w:val="004A4085"/>
    <w:rsid w:val="004B10EE"/>
    <w:rsid w:val="004B2080"/>
    <w:rsid w:val="004B246A"/>
    <w:rsid w:val="004B2535"/>
    <w:rsid w:val="004B25C3"/>
    <w:rsid w:val="004B3100"/>
    <w:rsid w:val="004B540A"/>
    <w:rsid w:val="004C1DF1"/>
    <w:rsid w:val="004C1E9A"/>
    <w:rsid w:val="004D13A2"/>
    <w:rsid w:val="004D48CC"/>
    <w:rsid w:val="004E08FD"/>
    <w:rsid w:val="004E2559"/>
    <w:rsid w:val="004E5EC3"/>
    <w:rsid w:val="004E7EFD"/>
    <w:rsid w:val="004F2FBC"/>
    <w:rsid w:val="004F3ADD"/>
    <w:rsid w:val="004F559D"/>
    <w:rsid w:val="004F6FA0"/>
    <w:rsid w:val="004F760A"/>
    <w:rsid w:val="00500606"/>
    <w:rsid w:val="00502BEF"/>
    <w:rsid w:val="00507624"/>
    <w:rsid w:val="0051066F"/>
    <w:rsid w:val="005107EF"/>
    <w:rsid w:val="0052190F"/>
    <w:rsid w:val="0052401A"/>
    <w:rsid w:val="00525DDA"/>
    <w:rsid w:val="00526EF9"/>
    <w:rsid w:val="00532A48"/>
    <w:rsid w:val="00533304"/>
    <w:rsid w:val="00537ED8"/>
    <w:rsid w:val="005408B9"/>
    <w:rsid w:val="00547249"/>
    <w:rsid w:val="00550798"/>
    <w:rsid w:val="00557982"/>
    <w:rsid w:val="00557CB1"/>
    <w:rsid w:val="005602F0"/>
    <w:rsid w:val="00561304"/>
    <w:rsid w:val="005615C0"/>
    <w:rsid w:val="0056191D"/>
    <w:rsid w:val="005646BD"/>
    <w:rsid w:val="005658AE"/>
    <w:rsid w:val="00567BDD"/>
    <w:rsid w:val="00567D64"/>
    <w:rsid w:val="00567EE3"/>
    <w:rsid w:val="005708C7"/>
    <w:rsid w:val="00570E5C"/>
    <w:rsid w:val="00571AA8"/>
    <w:rsid w:val="005723FD"/>
    <w:rsid w:val="00574BFB"/>
    <w:rsid w:val="00577B65"/>
    <w:rsid w:val="005836F1"/>
    <w:rsid w:val="00583A22"/>
    <w:rsid w:val="00584D24"/>
    <w:rsid w:val="0059563F"/>
    <w:rsid w:val="005A0DEB"/>
    <w:rsid w:val="005A22A2"/>
    <w:rsid w:val="005A7CEB"/>
    <w:rsid w:val="005B07DE"/>
    <w:rsid w:val="005B35DD"/>
    <w:rsid w:val="005C4D7B"/>
    <w:rsid w:val="005C4DEF"/>
    <w:rsid w:val="005C56C7"/>
    <w:rsid w:val="005D2A69"/>
    <w:rsid w:val="005D4568"/>
    <w:rsid w:val="005D5DE4"/>
    <w:rsid w:val="005D604C"/>
    <w:rsid w:val="005E0041"/>
    <w:rsid w:val="005E6D1A"/>
    <w:rsid w:val="005F5094"/>
    <w:rsid w:val="006035FA"/>
    <w:rsid w:val="00604B9C"/>
    <w:rsid w:val="0060614A"/>
    <w:rsid w:val="006104CE"/>
    <w:rsid w:val="006174BC"/>
    <w:rsid w:val="00622931"/>
    <w:rsid w:val="00622A6A"/>
    <w:rsid w:val="00622F63"/>
    <w:rsid w:val="00623B1A"/>
    <w:rsid w:val="0062601D"/>
    <w:rsid w:val="00632693"/>
    <w:rsid w:val="0064119D"/>
    <w:rsid w:val="006419D9"/>
    <w:rsid w:val="00643D5E"/>
    <w:rsid w:val="006530AA"/>
    <w:rsid w:val="00655AA1"/>
    <w:rsid w:val="00657F04"/>
    <w:rsid w:val="00661D99"/>
    <w:rsid w:val="00661F02"/>
    <w:rsid w:val="00662432"/>
    <w:rsid w:val="0066340D"/>
    <w:rsid w:val="00664EAC"/>
    <w:rsid w:val="00666F28"/>
    <w:rsid w:val="00671065"/>
    <w:rsid w:val="006744AC"/>
    <w:rsid w:val="0067666B"/>
    <w:rsid w:val="006845DC"/>
    <w:rsid w:val="00684DB3"/>
    <w:rsid w:val="00687EAF"/>
    <w:rsid w:val="00693D45"/>
    <w:rsid w:val="006A41CA"/>
    <w:rsid w:val="006C2629"/>
    <w:rsid w:val="006C28E3"/>
    <w:rsid w:val="006C42A8"/>
    <w:rsid w:val="006C5D79"/>
    <w:rsid w:val="006D579F"/>
    <w:rsid w:val="006D6239"/>
    <w:rsid w:val="006D7492"/>
    <w:rsid w:val="006E0B1D"/>
    <w:rsid w:val="006E0C13"/>
    <w:rsid w:val="006E3CEB"/>
    <w:rsid w:val="006E4BA4"/>
    <w:rsid w:val="006E4DB4"/>
    <w:rsid w:val="006E68DC"/>
    <w:rsid w:val="006E7F81"/>
    <w:rsid w:val="006F6930"/>
    <w:rsid w:val="006F7A39"/>
    <w:rsid w:val="00700133"/>
    <w:rsid w:val="00703BD0"/>
    <w:rsid w:val="00706656"/>
    <w:rsid w:val="00710773"/>
    <w:rsid w:val="00712E63"/>
    <w:rsid w:val="00713069"/>
    <w:rsid w:val="007130EF"/>
    <w:rsid w:val="0071785E"/>
    <w:rsid w:val="00721D96"/>
    <w:rsid w:val="00722294"/>
    <w:rsid w:val="0072788E"/>
    <w:rsid w:val="00727CB1"/>
    <w:rsid w:val="007320B7"/>
    <w:rsid w:val="00734A3D"/>
    <w:rsid w:val="007353A7"/>
    <w:rsid w:val="0073626B"/>
    <w:rsid w:val="00742561"/>
    <w:rsid w:val="00746560"/>
    <w:rsid w:val="00751498"/>
    <w:rsid w:val="0075155B"/>
    <w:rsid w:val="00753AB1"/>
    <w:rsid w:val="00756E80"/>
    <w:rsid w:val="00762FD8"/>
    <w:rsid w:val="007645CE"/>
    <w:rsid w:val="00770EA4"/>
    <w:rsid w:val="00771EF2"/>
    <w:rsid w:val="00773692"/>
    <w:rsid w:val="00786647"/>
    <w:rsid w:val="00787137"/>
    <w:rsid w:val="00790226"/>
    <w:rsid w:val="00792B98"/>
    <w:rsid w:val="00795C4A"/>
    <w:rsid w:val="00796561"/>
    <w:rsid w:val="00796D2F"/>
    <w:rsid w:val="007A0143"/>
    <w:rsid w:val="007A0401"/>
    <w:rsid w:val="007A3976"/>
    <w:rsid w:val="007B04B6"/>
    <w:rsid w:val="007B0D56"/>
    <w:rsid w:val="007B1C2A"/>
    <w:rsid w:val="007B2AFA"/>
    <w:rsid w:val="007B2CA6"/>
    <w:rsid w:val="007B42D6"/>
    <w:rsid w:val="007B5DC9"/>
    <w:rsid w:val="007C3105"/>
    <w:rsid w:val="007C4907"/>
    <w:rsid w:val="007C5CFC"/>
    <w:rsid w:val="007C7668"/>
    <w:rsid w:val="007C76EB"/>
    <w:rsid w:val="007C7A2B"/>
    <w:rsid w:val="007C7E68"/>
    <w:rsid w:val="007D0B38"/>
    <w:rsid w:val="007D11B2"/>
    <w:rsid w:val="007D37A2"/>
    <w:rsid w:val="007D4683"/>
    <w:rsid w:val="007D6AE7"/>
    <w:rsid w:val="007D7E05"/>
    <w:rsid w:val="007F02D6"/>
    <w:rsid w:val="007F10D0"/>
    <w:rsid w:val="007F28E4"/>
    <w:rsid w:val="007F4975"/>
    <w:rsid w:val="008043CB"/>
    <w:rsid w:val="00820406"/>
    <w:rsid w:val="00820903"/>
    <w:rsid w:val="008328AF"/>
    <w:rsid w:val="00833967"/>
    <w:rsid w:val="008405BA"/>
    <w:rsid w:val="0084112B"/>
    <w:rsid w:val="008414F4"/>
    <w:rsid w:val="008430D6"/>
    <w:rsid w:val="00843FA7"/>
    <w:rsid w:val="00846A2E"/>
    <w:rsid w:val="00846D86"/>
    <w:rsid w:val="00850335"/>
    <w:rsid w:val="00852A54"/>
    <w:rsid w:val="008538B9"/>
    <w:rsid w:val="00854EAD"/>
    <w:rsid w:val="00861FAD"/>
    <w:rsid w:val="0086458E"/>
    <w:rsid w:val="00864B21"/>
    <w:rsid w:val="00864B2C"/>
    <w:rsid w:val="00867064"/>
    <w:rsid w:val="0087094B"/>
    <w:rsid w:val="008740F5"/>
    <w:rsid w:val="00875F8D"/>
    <w:rsid w:val="008825B7"/>
    <w:rsid w:val="008835A0"/>
    <w:rsid w:val="00883A3A"/>
    <w:rsid w:val="00885288"/>
    <w:rsid w:val="00885EB4"/>
    <w:rsid w:val="008959DF"/>
    <w:rsid w:val="008A2629"/>
    <w:rsid w:val="008A54E0"/>
    <w:rsid w:val="008B539A"/>
    <w:rsid w:val="008C0274"/>
    <w:rsid w:val="008C070F"/>
    <w:rsid w:val="008C072F"/>
    <w:rsid w:val="008C0A23"/>
    <w:rsid w:val="008C451E"/>
    <w:rsid w:val="008C7840"/>
    <w:rsid w:val="008D1DA0"/>
    <w:rsid w:val="008D2009"/>
    <w:rsid w:val="008D630E"/>
    <w:rsid w:val="008E02D1"/>
    <w:rsid w:val="008E0E13"/>
    <w:rsid w:val="008E2B8F"/>
    <w:rsid w:val="008E2EC2"/>
    <w:rsid w:val="008E4DB2"/>
    <w:rsid w:val="008E63AD"/>
    <w:rsid w:val="008E7A2F"/>
    <w:rsid w:val="008F1950"/>
    <w:rsid w:val="008F3DC9"/>
    <w:rsid w:val="008F6737"/>
    <w:rsid w:val="008F6789"/>
    <w:rsid w:val="008F7AF8"/>
    <w:rsid w:val="00905692"/>
    <w:rsid w:val="00905F75"/>
    <w:rsid w:val="00906CEB"/>
    <w:rsid w:val="009100DD"/>
    <w:rsid w:val="00910C7B"/>
    <w:rsid w:val="00912AC6"/>
    <w:rsid w:val="0091371A"/>
    <w:rsid w:val="00915731"/>
    <w:rsid w:val="00925EF1"/>
    <w:rsid w:val="00926E0C"/>
    <w:rsid w:val="009308F9"/>
    <w:rsid w:val="00934D6C"/>
    <w:rsid w:val="00940A04"/>
    <w:rsid w:val="009420CA"/>
    <w:rsid w:val="009447DE"/>
    <w:rsid w:val="009472EA"/>
    <w:rsid w:val="00961005"/>
    <w:rsid w:val="00961FE3"/>
    <w:rsid w:val="009718AF"/>
    <w:rsid w:val="00972591"/>
    <w:rsid w:val="00980B04"/>
    <w:rsid w:val="0098200C"/>
    <w:rsid w:val="00982042"/>
    <w:rsid w:val="00982E80"/>
    <w:rsid w:val="00984BD7"/>
    <w:rsid w:val="009856B1"/>
    <w:rsid w:val="00985AB7"/>
    <w:rsid w:val="00986B61"/>
    <w:rsid w:val="009870B6"/>
    <w:rsid w:val="009875C7"/>
    <w:rsid w:val="009943D9"/>
    <w:rsid w:val="00996FA1"/>
    <w:rsid w:val="009A0A5F"/>
    <w:rsid w:val="009A0D32"/>
    <w:rsid w:val="009A3960"/>
    <w:rsid w:val="009A6E7E"/>
    <w:rsid w:val="009B2BF1"/>
    <w:rsid w:val="009B42E2"/>
    <w:rsid w:val="009B53D6"/>
    <w:rsid w:val="009B66CF"/>
    <w:rsid w:val="009C13A8"/>
    <w:rsid w:val="009C4DC8"/>
    <w:rsid w:val="009C54F6"/>
    <w:rsid w:val="009C66E4"/>
    <w:rsid w:val="009C67D0"/>
    <w:rsid w:val="009D04A6"/>
    <w:rsid w:val="009D11AA"/>
    <w:rsid w:val="009D69C6"/>
    <w:rsid w:val="009E047F"/>
    <w:rsid w:val="009E0DD3"/>
    <w:rsid w:val="009E3ABC"/>
    <w:rsid w:val="009E4539"/>
    <w:rsid w:val="009E4C68"/>
    <w:rsid w:val="009E57B8"/>
    <w:rsid w:val="009F3637"/>
    <w:rsid w:val="009F7593"/>
    <w:rsid w:val="009F7CF6"/>
    <w:rsid w:val="00A060BC"/>
    <w:rsid w:val="00A07671"/>
    <w:rsid w:val="00A1201D"/>
    <w:rsid w:val="00A21E37"/>
    <w:rsid w:val="00A36496"/>
    <w:rsid w:val="00A36E46"/>
    <w:rsid w:val="00A37717"/>
    <w:rsid w:val="00A451BB"/>
    <w:rsid w:val="00A46226"/>
    <w:rsid w:val="00A5283B"/>
    <w:rsid w:val="00A52E42"/>
    <w:rsid w:val="00A56063"/>
    <w:rsid w:val="00A57B2D"/>
    <w:rsid w:val="00A57EFD"/>
    <w:rsid w:val="00A614BD"/>
    <w:rsid w:val="00A6306E"/>
    <w:rsid w:val="00A63A8C"/>
    <w:rsid w:val="00A63F4D"/>
    <w:rsid w:val="00A65DA5"/>
    <w:rsid w:val="00A734BB"/>
    <w:rsid w:val="00A744F8"/>
    <w:rsid w:val="00A75545"/>
    <w:rsid w:val="00A763D4"/>
    <w:rsid w:val="00A77A97"/>
    <w:rsid w:val="00A83ECE"/>
    <w:rsid w:val="00A85BC1"/>
    <w:rsid w:val="00A87291"/>
    <w:rsid w:val="00A90726"/>
    <w:rsid w:val="00A95540"/>
    <w:rsid w:val="00AA15A7"/>
    <w:rsid w:val="00AA4E06"/>
    <w:rsid w:val="00AA5503"/>
    <w:rsid w:val="00AA5752"/>
    <w:rsid w:val="00AA5881"/>
    <w:rsid w:val="00AA5D41"/>
    <w:rsid w:val="00AA5E71"/>
    <w:rsid w:val="00AA7F01"/>
    <w:rsid w:val="00AB4B3C"/>
    <w:rsid w:val="00AB5020"/>
    <w:rsid w:val="00AB67C5"/>
    <w:rsid w:val="00AB7207"/>
    <w:rsid w:val="00AC0DAC"/>
    <w:rsid w:val="00AC11A9"/>
    <w:rsid w:val="00AC292E"/>
    <w:rsid w:val="00AC2D62"/>
    <w:rsid w:val="00AC4164"/>
    <w:rsid w:val="00AC434F"/>
    <w:rsid w:val="00AC5932"/>
    <w:rsid w:val="00AD0962"/>
    <w:rsid w:val="00AD1B4C"/>
    <w:rsid w:val="00AD4389"/>
    <w:rsid w:val="00AD5926"/>
    <w:rsid w:val="00AE1BC1"/>
    <w:rsid w:val="00AE1F80"/>
    <w:rsid w:val="00AE2CDB"/>
    <w:rsid w:val="00AE456B"/>
    <w:rsid w:val="00AE5CEF"/>
    <w:rsid w:val="00AF0E8D"/>
    <w:rsid w:val="00AF12FD"/>
    <w:rsid w:val="00AF301D"/>
    <w:rsid w:val="00AF41AE"/>
    <w:rsid w:val="00AF47FE"/>
    <w:rsid w:val="00AF487D"/>
    <w:rsid w:val="00AF51F0"/>
    <w:rsid w:val="00AF5F7B"/>
    <w:rsid w:val="00AF6494"/>
    <w:rsid w:val="00B02155"/>
    <w:rsid w:val="00B0283E"/>
    <w:rsid w:val="00B05BA1"/>
    <w:rsid w:val="00B06F83"/>
    <w:rsid w:val="00B1141E"/>
    <w:rsid w:val="00B11CBA"/>
    <w:rsid w:val="00B12508"/>
    <w:rsid w:val="00B21A61"/>
    <w:rsid w:val="00B21E2F"/>
    <w:rsid w:val="00B22B71"/>
    <w:rsid w:val="00B24FE0"/>
    <w:rsid w:val="00B30D6B"/>
    <w:rsid w:val="00B365AC"/>
    <w:rsid w:val="00B41D45"/>
    <w:rsid w:val="00B41DC3"/>
    <w:rsid w:val="00B44AA0"/>
    <w:rsid w:val="00B52792"/>
    <w:rsid w:val="00B54769"/>
    <w:rsid w:val="00B55754"/>
    <w:rsid w:val="00B55EEE"/>
    <w:rsid w:val="00B60CB2"/>
    <w:rsid w:val="00B616EF"/>
    <w:rsid w:val="00B62259"/>
    <w:rsid w:val="00B63E1F"/>
    <w:rsid w:val="00B63FAD"/>
    <w:rsid w:val="00B646A7"/>
    <w:rsid w:val="00B6548E"/>
    <w:rsid w:val="00B65BA1"/>
    <w:rsid w:val="00B677CE"/>
    <w:rsid w:val="00B7111F"/>
    <w:rsid w:val="00B802CF"/>
    <w:rsid w:val="00B8210F"/>
    <w:rsid w:val="00B82A07"/>
    <w:rsid w:val="00B82F9B"/>
    <w:rsid w:val="00B8541B"/>
    <w:rsid w:val="00B854BD"/>
    <w:rsid w:val="00B858F8"/>
    <w:rsid w:val="00B90C6E"/>
    <w:rsid w:val="00B914C4"/>
    <w:rsid w:val="00B91FDB"/>
    <w:rsid w:val="00B92E56"/>
    <w:rsid w:val="00B93CC6"/>
    <w:rsid w:val="00B96BB1"/>
    <w:rsid w:val="00B97564"/>
    <w:rsid w:val="00B97A08"/>
    <w:rsid w:val="00BA0225"/>
    <w:rsid w:val="00BB1457"/>
    <w:rsid w:val="00BB279F"/>
    <w:rsid w:val="00BB3541"/>
    <w:rsid w:val="00BB5C46"/>
    <w:rsid w:val="00BB69A8"/>
    <w:rsid w:val="00BB6F3F"/>
    <w:rsid w:val="00BC7C6F"/>
    <w:rsid w:val="00BD1A70"/>
    <w:rsid w:val="00BD1B6B"/>
    <w:rsid w:val="00BD7433"/>
    <w:rsid w:val="00BD7FCE"/>
    <w:rsid w:val="00BE018C"/>
    <w:rsid w:val="00BE51F8"/>
    <w:rsid w:val="00BF1C93"/>
    <w:rsid w:val="00BF1FB2"/>
    <w:rsid w:val="00BF2B54"/>
    <w:rsid w:val="00BF4403"/>
    <w:rsid w:val="00BF58E6"/>
    <w:rsid w:val="00BF6375"/>
    <w:rsid w:val="00BF7125"/>
    <w:rsid w:val="00BF7249"/>
    <w:rsid w:val="00C0114B"/>
    <w:rsid w:val="00C01378"/>
    <w:rsid w:val="00C03B87"/>
    <w:rsid w:val="00C05BA4"/>
    <w:rsid w:val="00C0709F"/>
    <w:rsid w:val="00C07717"/>
    <w:rsid w:val="00C12B30"/>
    <w:rsid w:val="00C14D75"/>
    <w:rsid w:val="00C17E96"/>
    <w:rsid w:val="00C26E0A"/>
    <w:rsid w:val="00C30C0D"/>
    <w:rsid w:val="00C311F5"/>
    <w:rsid w:val="00C338D3"/>
    <w:rsid w:val="00C42E5D"/>
    <w:rsid w:val="00C4317D"/>
    <w:rsid w:val="00C47069"/>
    <w:rsid w:val="00C47E20"/>
    <w:rsid w:val="00C507B2"/>
    <w:rsid w:val="00C5545C"/>
    <w:rsid w:val="00C57782"/>
    <w:rsid w:val="00C6771E"/>
    <w:rsid w:val="00C700CE"/>
    <w:rsid w:val="00C70EAE"/>
    <w:rsid w:val="00C77C03"/>
    <w:rsid w:val="00C8114D"/>
    <w:rsid w:val="00C817FB"/>
    <w:rsid w:val="00C8273C"/>
    <w:rsid w:val="00C85246"/>
    <w:rsid w:val="00C85648"/>
    <w:rsid w:val="00C8710B"/>
    <w:rsid w:val="00C91EB3"/>
    <w:rsid w:val="00C926BE"/>
    <w:rsid w:val="00C92BCE"/>
    <w:rsid w:val="00C941BC"/>
    <w:rsid w:val="00CA1586"/>
    <w:rsid w:val="00CA6D32"/>
    <w:rsid w:val="00CC2108"/>
    <w:rsid w:val="00CC73CF"/>
    <w:rsid w:val="00CD1109"/>
    <w:rsid w:val="00CD2AE7"/>
    <w:rsid w:val="00CD3F0F"/>
    <w:rsid w:val="00CD629C"/>
    <w:rsid w:val="00CE233D"/>
    <w:rsid w:val="00CE2571"/>
    <w:rsid w:val="00CE4E60"/>
    <w:rsid w:val="00CF19FA"/>
    <w:rsid w:val="00CF56FB"/>
    <w:rsid w:val="00D00B60"/>
    <w:rsid w:val="00D00F1A"/>
    <w:rsid w:val="00D0103B"/>
    <w:rsid w:val="00D07BBE"/>
    <w:rsid w:val="00D102ED"/>
    <w:rsid w:val="00D156A0"/>
    <w:rsid w:val="00D262A8"/>
    <w:rsid w:val="00D3130C"/>
    <w:rsid w:val="00D31B07"/>
    <w:rsid w:val="00D36766"/>
    <w:rsid w:val="00D42650"/>
    <w:rsid w:val="00D42742"/>
    <w:rsid w:val="00D4300E"/>
    <w:rsid w:val="00D43684"/>
    <w:rsid w:val="00D466D0"/>
    <w:rsid w:val="00D50271"/>
    <w:rsid w:val="00D52875"/>
    <w:rsid w:val="00D54AF4"/>
    <w:rsid w:val="00D55FB3"/>
    <w:rsid w:val="00D56274"/>
    <w:rsid w:val="00D71C75"/>
    <w:rsid w:val="00D73040"/>
    <w:rsid w:val="00D75939"/>
    <w:rsid w:val="00D75BC6"/>
    <w:rsid w:val="00D8014C"/>
    <w:rsid w:val="00D8047B"/>
    <w:rsid w:val="00D80871"/>
    <w:rsid w:val="00D80A14"/>
    <w:rsid w:val="00D80FEA"/>
    <w:rsid w:val="00D83685"/>
    <w:rsid w:val="00D8393E"/>
    <w:rsid w:val="00D847E0"/>
    <w:rsid w:val="00D869B6"/>
    <w:rsid w:val="00D902E9"/>
    <w:rsid w:val="00D9164B"/>
    <w:rsid w:val="00D91C1B"/>
    <w:rsid w:val="00D93308"/>
    <w:rsid w:val="00D944C5"/>
    <w:rsid w:val="00DA175B"/>
    <w:rsid w:val="00DA5BA9"/>
    <w:rsid w:val="00DA6362"/>
    <w:rsid w:val="00DB2A00"/>
    <w:rsid w:val="00DB57EC"/>
    <w:rsid w:val="00DB64EA"/>
    <w:rsid w:val="00DC4DCB"/>
    <w:rsid w:val="00DC60DB"/>
    <w:rsid w:val="00DC7680"/>
    <w:rsid w:val="00DD0AA0"/>
    <w:rsid w:val="00DD0CE5"/>
    <w:rsid w:val="00DD1472"/>
    <w:rsid w:val="00DD275F"/>
    <w:rsid w:val="00DD5E84"/>
    <w:rsid w:val="00DD6C9A"/>
    <w:rsid w:val="00DE0248"/>
    <w:rsid w:val="00DE11CA"/>
    <w:rsid w:val="00DE1469"/>
    <w:rsid w:val="00DE7842"/>
    <w:rsid w:val="00DF1435"/>
    <w:rsid w:val="00DF7636"/>
    <w:rsid w:val="00E00965"/>
    <w:rsid w:val="00E03590"/>
    <w:rsid w:val="00E050CB"/>
    <w:rsid w:val="00E059AD"/>
    <w:rsid w:val="00E07B79"/>
    <w:rsid w:val="00E07CD5"/>
    <w:rsid w:val="00E1267F"/>
    <w:rsid w:val="00E129AB"/>
    <w:rsid w:val="00E172CA"/>
    <w:rsid w:val="00E23C27"/>
    <w:rsid w:val="00E23DD7"/>
    <w:rsid w:val="00E255FF"/>
    <w:rsid w:val="00E3051B"/>
    <w:rsid w:val="00E30FD1"/>
    <w:rsid w:val="00E325B3"/>
    <w:rsid w:val="00E426E1"/>
    <w:rsid w:val="00E45252"/>
    <w:rsid w:val="00E55009"/>
    <w:rsid w:val="00E61AD8"/>
    <w:rsid w:val="00E6529F"/>
    <w:rsid w:val="00E65D1F"/>
    <w:rsid w:val="00E667E9"/>
    <w:rsid w:val="00E679FC"/>
    <w:rsid w:val="00E70E0B"/>
    <w:rsid w:val="00E712D4"/>
    <w:rsid w:val="00E71306"/>
    <w:rsid w:val="00E722AC"/>
    <w:rsid w:val="00E72E57"/>
    <w:rsid w:val="00E73A48"/>
    <w:rsid w:val="00E75CB0"/>
    <w:rsid w:val="00E771C3"/>
    <w:rsid w:val="00E77260"/>
    <w:rsid w:val="00E8162E"/>
    <w:rsid w:val="00E86069"/>
    <w:rsid w:val="00E87665"/>
    <w:rsid w:val="00E87F88"/>
    <w:rsid w:val="00E92CB8"/>
    <w:rsid w:val="00E93D3E"/>
    <w:rsid w:val="00EA423D"/>
    <w:rsid w:val="00EA5850"/>
    <w:rsid w:val="00EB12B9"/>
    <w:rsid w:val="00EB1EDE"/>
    <w:rsid w:val="00EC06C2"/>
    <w:rsid w:val="00EC3CD0"/>
    <w:rsid w:val="00EC4826"/>
    <w:rsid w:val="00EC5133"/>
    <w:rsid w:val="00EC57D5"/>
    <w:rsid w:val="00EE1B4C"/>
    <w:rsid w:val="00EE1F7F"/>
    <w:rsid w:val="00EE486D"/>
    <w:rsid w:val="00EF1C33"/>
    <w:rsid w:val="00EF4915"/>
    <w:rsid w:val="00EF634F"/>
    <w:rsid w:val="00EF6EA2"/>
    <w:rsid w:val="00EF7997"/>
    <w:rsid w:val="00F074C9"/>
    <w:rsid w:val="00F113D5"/>
    <w:rsid w:val="00F14CD5"/>
    <w:rsid w:val="00F14FD1"/>
    <w:rsid w:val="00F150CD"/>
    <w:rsid w:val="00F17FAE"/>
    <w:rsid w:val="00F20789"/>
    <w:rsid w:val="00F2388D"/>
    <w:rsid w:val="00F25743"/>
    <w:rsid w:val="00F2623F"/>
    <w:rsid w:val="00F30518"/>
    <w:rsid w:val="00F36A14"/>
    <w:rsid w:val="00F46389"/>
    <w:rsid w:val="00F47254"/>
    <w:rsid w:val="00F50AB6"/>
    <w:rsid w:val="00F51C71"/>
    <w:rsid w:val="00F53370"/>
    <w:rsid w:val="00F53B25"/>
    <w:rsid w:val="00F579BD"/>
    <w:rsid w:val="00F61979"/>
    <w:rsid w:val="00F61BDC"/>
    <w:rsid w:val="00F648C9"/>
    <w:rsid w:val="00F75BA1"/>
    <w:rsid w:val="00F8105A"/>
    <w:rsid w:val="00F839E2"/>
    <w:rsid w:val="00F848E6"/>
    <w:rsid w:val="00F866B8"/>
    <w:rsid w:val="00F86C31"/>
    <w:rsid w:val="00F87945"/>
    <w:rsid w:val="00F92A0A"/>
    <w:rsid w:val="00F9380A"/>
    <w:rsid w:val="00FA003B"/>
    <w:rsid w:val="00FA4631"/>
    <w:rsid w:val="00FA5A52"/>
    <w:rsid w:val="00FB0876"/>
    <w:rsid w:val="00FB0A75"/>
    <w:rsid w:val="00FB1658"/>
    <w:rsid w:val="00FB3002"/>
    <w:rsid w:val="00FB3D5B"/>
    <w:rsid w:val="00FB44BC"/>
    <w:rsid w:val="00FB6471"/>
    <w:rsid w:val="00FB6FBE"/>
    <w:rsid w:val="00FD4318"/>
    <w:rsid w:val="00FD5F8F"/>
    <w:rsid w:val="00FD77A4"/>
    <w:rsid w:val="00FE17C4"/>
    <w:rsid w:val="00FE18BB"/>
    <w:rsid w:val="00FE5D24"/>
    <w:rsid w:val="00FE7356"/>
    <w:rsid w:val="00FF2F6C"/>
    <w:rsid w:val="00FF384A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6790AE"/>
  <w15:docId w15:val="{75454E5A-CD4F-45F5-8F8E-A26BEDED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4DB4"/>
    <w:pPr>
      <w:ind w:left="720"/>
      <w:contextualSpacing/>
    </w:pPr>
  </w:style>
  <w:style w:type="character" w:styleId="Hypertextovprepojenie">
    <w:name w:val="Hyperlink"/>
    <w:rsid w:val="00C01378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C01378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01378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64E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E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E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E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EA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AC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E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CF19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DAC"/>
  </w:style>
  <w:style w:type="paragraph" w:styleId="Pta">
    <w:name w:val="footer"/>
    <w:basedOn w:val="Normlny"/>
    <w:link w:val="Pt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F4675B3FDF34BB4C2014C66CACC6C" ma:contentTypeVersion="1" ma:contentTypeDescription="Create a new document." ma:contentTypeScope="" ma:versionID="4e8b44a434769692a56447343f23e6f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63C8-F247-4C4F-B7DC-035AE2CB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0CB81-7869-472B-9F07-9F09E620470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E5F6E24-1048-41C1-82DF-34B64AB5B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42766-88AF-4587-AA71-82C7E642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2220</Words>
  <Characters>12657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Faslodex, INN-fulvestrant</vt:lpstr>
      <vt:lpstr>Faslodex, INN-fulvestrant</vt:lpstr>
    </vt:vector>
  </TitlesOfParts>
  <Company>Watson Pharmaceuticals, Inc</Company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Faslodex, INN-fulvestrant</dc:title>
  <dc:subject>EPAR</dc:subject>
  <dc:creator>CHMP</dc:creator>
  <cp:keywords>Faslodex, INN-fulvestrant</cp:keywords>
  <cp:lastModifiedBy>Medvecká, Patrícia</cp:lastModifiedBy>
  <cp:revision>2</cp:revision>
  <cp:lastPrinted>2019-08-16T10:24:00Z</cp:lastPrinted>
  <dcterms:created xsi:type="dcterms:W3CDTF">2019-08-20T11:16:00Z</dcterms:created>
  <dcterms:modified xsi:type="dcterms:W3CDTF">2019-08-20T11:16:00Z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0x01010079AF4675B3FDF34BB4C2014C66CACC6C</vt:lpwstr>
  </property>
</Properties>
</file>