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3CD13" w14:textId="1B8F1282" w:rsidR="001E7F13" w:rsidRPr="00C254A4" w:rsidRDefault="001E7F13">
      <w:pPr>
        <w:jc w:val="center"/>
        <w:rPr>
          <w:b/>
          <w:bCs/>
        </w:rPr>
      </w:pPr>
      <w:r w:rsidRPr="00C254A4">
        <w:rPr>
          <w:b/>
          <w:bCs/>
        </w:rPr>
        <w:t>Písomná informácia pre používateľa</w:t>
      </w:r>
    </w:p>
    <w:p w14:paraId="213F19C3" w14:textId="77777777" w:rsidR="001E7F13" w:rsidRPr="00681BB4" w:rsidRDefault="001E7F13">
      <w:pPr>
        <w:jc w:val="center"/>
        <w:rPr>
          <w:b/>
          <w:bCs/>
          <w:lang w:val="es-ES"/>
        </w:rPr>
      </w:pPr>
    </w:p>
    <w:p w14:paraId="5797DD2E" w14:textId="77777777" w:rsidR="008862CD" w:rsidRDefault="00C254A4" w:rsidP="00AC1F2D">
      <w:pPr>
        <w:jc w:val="center"/>
      </w:pPr>
      <w:proofErr w:type="spellStart"/>
      <w:r w:rsidRPr="00C254A4">
        <w:t>Fomicyt</w:t>
      </w:r>
      <w:proofErr w:type="spellEnd"/>
      <w:r w:rsidR="005D267D" w:rsidRPr="00C254A4">
        <w:t xml:space="preserve"> </w:t>
      </w:r>
    </w:p>
    <w:p w14:paraId="0A77E54C" w14:textId="730E6C3A" w:rsidR="00AC1F2D" w:rsidRDefault="005D267D" w:rsidP="00AC1F2D">
      <w:pPr>
        <w:jc w:val="center"/>
      </w:pPr>
      <w:r w:rsidRPr="00C254A4">
        <w:t xml:space="preserve">40 mg/ml </w:t>
      </w:r>
      <w:r w:rsidR="008862CD">
        <w:t>p</w:t>
      </w:r>
      <w:r w:rsidR="00AC1F2D" w:rsidRPr="00C254A4">
        <w:t>rášok na infúzny roztok</w:t>
      </w:r>
    </w:p>
    <w:p w14:paraId="217123FD" w14:textId="77777777" w:rsidR="008862CD" w:rsidRPr="00C254A4" w:rsidRDefault="008862CD" w:rsidP="00AC1F2D">
      <w:pPr>
        <w:jc w:val="center"/>
      </w:pPr>
    </w:p>
    <w:p w14:paraId="34A455A6" w14:textId="0B5AD7D9" w:rsidR="00AC1F2D" w:rsidRPr="00C254A4" w:rsidRDefault="008862CD" w:rsidP="00AC1F2D">
      <w:pPr>
        <w:jc w:val="center"/>
      </w:pPr>
      <w:proofErr w:type="spellStart"/>
      <w:r>
        <w:t>f</w:t>
      </w:r>
      <w:r w:rsidR="00AC1F2D" w:rsidRPr="00C254A4">
        <w:t>osfomycín</w:t>
      </w:r>
      <w:proofErr w:type="spellEnd"/>
    </w:p>
    <w:p w14:paraId="1F768E42" w14:textId="77777777" w:rsidR="001E7F13" w:rsidRPr="00C254A4" w:rsidRDefault="001E7F13">
      <w:pPr>
        <w:jc w:val="center"/>
        <w:rPr>
          <w:i/>
          <w:iCs/>
        </w:rPr>
      </w:pPr>
    </w:p>
    <w:p w14:paraId="223C425C" w14:textId="77777777" w:rsidR="00E8448A" w:rsidRPr="00C254A4" w:rsidRDefault="00E8448A" w:rsidP="00E8448A">
      <w:pPr>
        <w:suppressAutoHyphens/>
      </w:pPr>
      <w:r w:rsidRPr="00C254A4">
        <w:rPr>
          <w:b/>
        </w:rPr>
        <w:t>Pozorne si prečítajte celú písomnú informáciu predtým, ako začnete užívať tento liek, pretože obsahuje pre vás dôležité informácie.</w:t>
      </w:r>
    </w:p>
    <w:p w14:paraId="7CCA88BA" w14:textId="77777777" w:rsidR="001E7F13" w:rsidRPr="00C254A4" w:rsidRDefault="001E7F13">
      <w:pPr>
        <w:ind w:right="-2"/>
      </w:pPr>
    </w:p>
    <w:p w14:paraId="00EC4873" w14:textId="77777777" w:rsidR="00E8448A" w:rsidRPr="00C254A4" w:rsidRDefault="00E8448A" w:rsidP="00354E70">
      <w:pPr>
        <w:numPr>
          <w:ilvl w:val="0"/>
          <w:numId w:val="11"/>
        </w:numPr>
        <w:tabs>
          <w:tab w:val="clear" w:pos="720"/>
        </w:tabs>
        <w:ind w:left="360" w:right="-2"/>
      </w:pPr>
      <w:r w:rsidRPr="00C254A4">
        <w:t xml:space="preserve">Túto písomnú informáciu si uschovajte. Možno bude potrebné, aby ste si ju znovu prečítali. </w:t>
      </w:r>
    </w:p>
    <w:p w14:paraId="03A42771" w14:textId="77777777" w:rsidR="00E8448A" w:rsidRPr="00C254A4" w:rsidRDefault="00E8448A" w:rsidP="00354E70">
      <w:pPr>
        <w:numPr>
          <w:ilvl w:val="0"/>
          <w:numId w:val="11"/>
        </w:numPr>
        <w:tabs>
          <w:tab w:val="clear" w:pos="720"/>
        </w:tabs>
        <w:ind w:left="360" w:right="-2"/>
      </w:pPr>
      <w:r w:rsidRPr="00C254A4">
        <w:t>Ak máte akékoľvek ďalšie otázky, obráťte sa na svojho lekára, lekárnika alebo zdravotnú sestru.</w:t>
      </w:r>
    </w:p>
    <w:p w14:paraId="4B89CE5A" w14:textId="77777777" w:rsidR="00E8448A" w:rsidRPr="00C254A4" w:rsidRDefault="00E8448A" w:rsidP="00354E70">
      <w:pPr>
        <w:numPr>
          <w:ilvl w:val="0"/>
          <w:numId w:val="11"/>
        </w:numPr>
        <w:tabs>
          <w:tab w:val="clear" w:pos="720"/>
        </w:tabs>
        <w:ind w:left="360" w:right="-2"/>
      </w:pPr>
      <w:r w:rsidRPr="00C254A4">
        <w:t>Tento liek bol predpísaný iba vám. Nedávajte ho nikomu inému. Môže mu uškodiť, dokonca aj vtedy, ak má rovnaké prejavy ochorenia ako vy.</w:t>
      </w:r>
      <w:r w:rsidRPr="00C254A4">
        <w:rPr>
          <w:color w:val="008000"/>
        </w:rPr>
        <w:t xml:space="preserve"> </w:t>
      </w:r>
    </w:p>
    <w:p w14:paraId="00BE2FCB" w14:textId="77777777" w:rsidR="00E8448A" w:rsidRPr="00C254A4" w:rsidRDefault="00E8448A" w:rsidP="00354E70">
      <w:pPr>
        <w:numPr>
          <w:ilvl w:val="0"/>
          <w:numId w:val="11"/>
        </w:numPr>
        <w:tabs>
          <w:tab w:val="clear" w:pos="720"/>
        </w:tabs>
        <w:ind w:left="360" w:right="-2"/>
      </w:pPr>
      <w:r w:rsidRPr="00C254A4">
        <w:t>Ak sa u vás vyskytne akýkoľvek vedľajší účinok, obráťte sa na svojho lekára, lekárnika alebo zdravotnú sestru. To sa týka aj akýchkoľvek vedľajších účinkov, ktoré nie sú uvedené v tejto písomnej informácii. Pozri časť 4.</w:t>
      </w:r>
    </w:p>
    <w:p w14:paraId="1B3C31DA" w14:textId="77777777" w:rsidR="001E7F13" w:rsidRPr="00C254A4" w:rsidRDefault="001E7F13">
      <w:pPr>
        <w:numPr>
          <w:ilvl w:val="12"/>
          <w:numId w:val="0"/>
        </w:numPr>
        <w:ind w:right="-2"/>
        <w:rPr>
          <w:lang w:val="en-GB"/>
        </w:rPr>
      </w:pPr>
    </w:p>
    <w:p w14:paraId="6F512706" w14:textId="77777777" w:rsidR="001E7F13" w:rsidRPr="00C254A4" w:rsidRDefault="00E8448A">
      <w:pPr>
        <w:numPr>
          <w:ilvl w:val="12"/>
          <w:numId w:val="0"/>
        </w:numPr>
        <w:ind w:right="-2"/>
      </w:pPr>
      <w:r w:rsidRPr="00C254A4">
        <w:rPr>
          <w:b/>
          <w:bCs/>
        </w:rPr>
        <w:t>V tejto písomnej informácii sa dozviete</w:t>
      </w:r>
      <w:r w:rsidRPr="00C254A4">
        <w:t>:</w:t>
      </w:r>
    </w:p>
    <w:p w14:paraId="17530AAE" w14:textId="77777777" w:rsidR="001E7F13" w:rsidRPr="00C254A4" w:rsidRDefault="001E7F13">
      <w:pPr>
        <w:numPr>
          <w:ilvl w:val="12"/>
          <w:numId w:val="0"/>
        </w:numPr>
        <w:ind w:right="-2"/>
        <w:rPr>
          <w:lang w:val="en-GB"/>
        </w:rPr>
      </w:pPr>
    </w:p>
    <w:p w14:paraId="67CD69E2" w14:textId="4D49CBBF" w:rsidR="001E7F13" w:rsidRPr="00C254A4" w:rsidRDefault="001E7F13" w:rsidP="00354E70">
      <w:pPr>
        <w:pStyle w:val="Odsekzoznamu"/>
        <w:numPr>
          <w:ilvl w:val="0"/>
          <w:numId w:val="12"/>
        </w:numPr>
        <w:ind w:left="567" w:right="-29" w:hanging="567"/>
      </w:pPr>
      <w:r w:rsidRPr="00C254A4">
        <w:t xml:space="preserve">Čo je </w:t>
      </w:r>
      <w:proofErr w:type="spellStart"/>
      <w:r w:rsidR="00C254A4" w:rsidRPr="00C254A4">
        <w:t>Fomicyt</w:t>
      </w:r>
      <w:proofErr w:type="spellEnd"/>
      <w:r w:rsidRPr="00C254A4">
        <w:t xml:space="preserve"> a na čo sa používa</w:t>
      </w:r>
    </w:p>
    <w:p w14:paraId="4E63F78A" w14:textId="40CEF087" w:rsidR="001E7F13" w:rsidRPr="00C254A4" w:rsidRDefault="00E8448A" w:rsidP="00354E70">
      <w:pPr>
        <w:pStyle w:val="Odsekzoznamu"/>
        <w:numPr>
          <w:ilvl w:val="0"/>
          <w:numId w:val="12"/>
        </w:numPr>
        <w:ind w:left="567" w:right="-29" w:hanging="567"/>
      </w:pPr>
      <w:r w:rsidRPr="00C254A4">
        <w:t xml:space="preserve">Čo potrebujete vedieť predtým, ako dostanete </w:t>
      </w:r>
      <w:proofErr w:type="spellStart"/>
      <w:r w:rsidR="00C254A4" w:rsidRPr="00C254A4">
        <w:t>Fomicyt</w:t>
      </w:r>
      <w:proofErr w:type="spellEnd"/>
    </w:p>
    <w:p w14:paraId="6C1C4D4F" w14:textId="15F864C1" w:rsidR="001E7F13" w:rsidRPr="00C254A4" w:rsidRDefault="001E7F13" w:rsidP="00354E70">
      <w:pPr>
        <w:pStyle w:val="Odsekzoznamu"/>
        <w:numPr>
          <w:ilvl w:val="0"/>
          <w:numId w:val="12"/>
        </w:numPr>
        <w:ind w:left="567" w:right="-29" w:hanging="567"/>
      </w:pPr>
      <w:r w:rsidRPr="00C254A4">
        <w:t xml:space="preserve">Ako sa </w:t>
      </w:r>
      <w:proofErr w:type="spellStart"/>
      <w:r w:rsidR="00C254A4" w:rsidRPr="00C254A4">
        <w:t>Fomicyt</w:t>
      </w:r>
      <w:proofErr w:type="spellEnd"/>
      <w:r w:rsidRPr="00C254A4">
        <w:t xml:space="preserve"> podáva</w:t>
      </w:r>
    </w:p>
    <w:p w14:paraId="14CECA49" w14:textId="2D372059" w:rsidR="001E7F13" w:rsidRPr="00C254A4" w:rsidRDefault="001E7F13" w:rsidP="00354E70">
      <w:pPr>
        <w:pStyle w:val="Odsekzoznamu"/>
        <w:numPr>
          <w:ilvl w:val="0"/>
          <w:numId w:val="12"/>
        </w:numPr>
        <w:ind w:left="567" w:right="-29" w:hanging="567"/>
      </w:pPr>
      <w:r w:rsidRPr="00C254A4">
        <w:t>Možné vedľajšie účinky</w:t>
      </w:r>
    </w:p>
    <w:p w14:paraId="5C330C4A" w14:textId="66E7404F" w:rsidR="001E7F13" w:rsidRPr="00C254A4" w:rsidRDefault="001E7F13" w:rsidP="00354E70">
      <w:pPr>
        <w:pStyle w:val="Odsekzoznamu"/>
        <w:numPr>
          <w:ilvl w:val="0"/>
          <w:numId w:val="12"/>
        </w:numPr>
        <w:ind w:left="567" w:right="-29" w:hanging="567"/>
      </w:pPr>
      <w:r w:rsidRPr="00C254A4">
        <w:t xml:space="preserve">Ako uchovávať </w:t>
      </w:r>
      <w:proofErr w:type="spellStart"/>
      <w:r w:rsidR="00C254A4" w:rsidRPr="00C254A4">
        <w:t>Fomicyt</w:t>
      </w:r>
      <w:proofErr w:type="spellEnd"/>
    </w:p>
    <w:p w14:paraId="2D6B4E72" w14:textId="4002A008" w:rsidR="001E7F13" w:rsidRPr="00C254A4" w:rsidRDefault="007A09D6" w:rsidP="00354E70">
      <w:pPr>
        <w:pStyle w:val="Odsekzoznamu"/>
        <w:numPr>
          <w:ilvl w:val="0"/>
          <w:numId w:val="12"/>
        </w:numPr>
        <w:ind w:left="567" w:right="-29" w:hanging="567"/>
      </w:pPr>
      <w:r w:rsidRPr="00C254A4">
        <w:t>Obsah balenia a ďalšie informácie</w:t>
      </w:r>
    </w:p>
    <w:p w14:paraId="08AD43E8" w14:textId="77777777" w:rsidR="001E7F13" w:rsidRPr="00C254A4" w:rsidRDefault="001E7F13">
      <w:pPr>
        <w:numPr>
          <w:ilvl w:val="12"/>
          <w:numId w:val="0"/>
        </w:numPr>
        <w:rPr>
          <w:lang w:val="en-GB"/>
        </w:rPr>
      </w:pPr>
    </w:p>
    <w:p w14:paraId="7A12E29C" w14:textId="77777777" w:rsidR="00BA7D85" w:rsidRPr="00C254A4" w:rsidRDefault="00BA7D85">
      <w:pPr>
        <w:numPr>
          <w:ilvl w:val="12"/>
          <w:numId w:val="0"/>
        </w:numPr>
        <w:rPr>
          <w:lang w:val="en-GB"/>
        </w:rPr>
      </w:pPr>
    </w:p>
    <w:p w14:paraId="418C77E1" w14:textId="6349ECF5" w:rsidR="001E7F13" w:rsidRPr="00C254A4" w:rsidRDefault="000F2071" w:rsidP="00354E70">
      <w:pPr>
        <w:pStyle w:val="Nadpis1"/>
      </w:pPr>
      <w:r w:rsidRPr="00C254A4">
        <w:t xml:space="preserve">Čo je </w:t>
      </w:r>
      <w:proofErr w:type="spellStart"/>
      <w:r w:rsidR="00C254A4" w:rsidRPr="00C254A4">
        <w:t>Fomicyt</w:t>
      </w:r>
      <w:proofErr w:type="spellEnd"/>
      <w:r w:rsidRPr="00C254A4">
        <w:t xml:space="preserve"> a na čo sa používa</w:t>
      </w:r>
    </w:p>
    <w:p w14:paraId="44DFBA4B" w14:textId="77777777" w:rsidR="001E7F13" w:rsidRPr="00C254A4" w:rsidRDefault="001E7F13">
      <w:pPr>
        <w:numPr>
          <w:ilvl w:val="12"/>
          <w:numId w:val="0"/>
        </w:numPr>
        <w:rPr>
          <w:lang w:val="pl-PL"/>
        </w:rPr>
      </w:pPr>
    </w:p>
    <w:p w14:paraId="55FABAFE" w14:textId="7D12AAE2" w:rsidR="0028312F" w:rsidRPr="00C254A4" w:rsidRDefault="00C254A4" w:rsidP="001914A1">
      <w:proofErr w:type="spellStart"/>
      <w:r w:rsidRPr="00C254A4">
        <w:t>Fomicyt</w:t>
      </w:r>
      <w:proofErr w:type="spellEnd"/>
      <w:r w:rsidR="005D267D" w:rsidRPr="00C254A4">
        <w:t xml:space="preserve"> patrí do skupiny liekov nazývaných antibiotiká. Účinkuje zabíjaním určitých </w:t>
      </w:r>
      <w:r w:rsidR="00B97AE7">
        <w:t xml:space="preserve">typov </w:t>
      </w:r>
      <w:r w:rsidR="005D267D" w:rsidRPr="00C254A4">
        <w:t>mikróbov (baktérií), ktoré spôsobujú ťažké infekčné ochorenia. Váš lekár rozhodol</w:t>
      </w:r>
      <w:r w:rsidR="00B97AE7">
        <w:t>, že budete</w:t>
      </w:r>
      <w:r w:rsidR="005D267D" w:rsidRPr="00C254A4">
        <w:t xml:space="preserve"> lieč</w:t>
      </w:r>
      <w:r w:rsidR="00B97AE7">
        <w:t>ený</w:t>
      </w:r>
      <w:r w:rsidR="005D267D" w:rsidRPr="00C254A4">
        <w:t xml:space="preserve"> </w:t>
      </w:r>
      <w:proofErr w:type="spellStart"/>
      <w:r w:rsidRPr="00C254A4">
        <w:t>Fomicyt</w:t>
      </w:r>
      <w:r w:rsidR="00B97AE7">
        <w:t>om</w:t>
      </w:r>
      <w:proofErr w:type="spellEnd"/>
      <w:r w:rsidR="00B97AE7">
        <w:t>, ktorý pomôže</w:t>
      </w:r>
      <w:r w:rsidR="005D267D" w:rsidRPr="00C254A4">
        <w:t xml:space="preserve"> váš</w:t>
      </w:r>
      <w:r w:rsidR="00B97AE7">
        <w:t>mu</w:t>
      </w:r>
      <w:r w:rsidR="005D267D" w:rsidRPr="00C254A4">
        <w:t xml:space="preserve"> tel</w:t>
      </w:r>
      <w:r w:rsidR="008448BB">
        <w:t>u</w:t>
      </w:r>
      <w:r w:rsidR="005D267D" w:rsidRPr="00C254A4">
        <w:t xml:space="preserve"> v boji proti infekcii. Je dôležité, aby ste dostali účinnú liečbu tohto ochorenia.</w:t>
      </w:r>
    </w:p>
    <w:p w14:paraId="0EE483C2" w14:textId="77777777" w:rsidR="00420A6B" w:rsidRPr="00C254A4" w:rsidRDefault="00F03282" w:rsidP="005362AB">
      <w:r w:rsidRPr="00C254A4">
        <w:t>Tento liek vám podá lekár alebo zdravotná sestra ako infúziu do žily.</w:t>
      </w:r>
    </w:p>
    <w:p w14:paraId="6F9F6903" w14:textId="77777777" w:rsidR="007D5872" w:rsidRPr="00C254A4" w:rsidRDefault="007D5872" w:rsidP="005362AB"/>
    <w:p w14:paraId="518C997E" w14:textId="077FC4EE" w:rsidR="00152896" w:rsidRPr="00C254A4" w:rsidRDefault="00C254A4" w:rsidP="00BC35BD">
      <w:proofErr w:type="spellStart"/>
      <w:r w:rsidRPr="00C254A4">
        <w:t>Fomicyt</w:t>
      </w:r>
      <w:proofErr w:type="spellEnd"/>
      <w:r w:rsidR="005D267D" w:rsidRPr="00C254A4">
        <w:t xml:space="preserve"> sa používa u dospelých a detí na liečbu nasledujúcich infekcií spôsobených baktériami. </w:t>
      </w:r>
    </w:p>
    <w:p w14:paraId="19E944ED" w14:textId="77777777" w:rsidR="00152896" w:rsidRPr="00C254A4" w:rsidRDefault="00152896" w:rsidP="00354E70">
      <w:pPr>
        <w:numPr>
          <w:ilvl w:val="0"/>
          <w:numId w:val="11"/>
        </w:numPr>
        <w:tabs>
          <w:tab w:val="clear" w:pos="720"/>
        </w:tabs>
        <w:ind w:left="360" w:right="-2"/>
      </w:pPr>
      <w:r w:rsidRPr="00C254A4">
        <w:t>infekcie pľúc,</w:t>
      </w:r>
    </w:p>
    <w:p w14:paraId="2505FCE2" w14:textId="77777777" w:rsidR="00152896" w:rsidRPr="00C254A4" w:rsidRDefault="00152896" w:rsidP="00354E70">
      <w:pPr>
        <w:numPr>
          <w:ilvl w:val="0"/>
          <w:numId w:val="11"/>
        </w:numPr>
        <w:tabs>
          <w:tab w:val="clear" w:pos="720"/>
        </w:tabs>
        <w:ind w:left="360" w:right="-2"/>
      </w:pPr>
      <w:r w:rsidRPr="00C254A4">
        <w:t>infekcie kostí,</w:t>
      </w:r>
    </w:p>
    <w:p w14:paraId="71C33A32" w14:textId="77777777" w:rsidR="00152896" w:rsidRPr="00C254A4" w:rsidRDefault="00152896" w:rsidP="00354E70">
      <w:pPr>
        <w:numPr>
          <w:ilvl w:val="0"/>
          <w:numId w:val="11"/>
        </w:numPr>
        <w:tabs>
          <w:tab w:val="clear" w:pos="720"/>
        </w:tabs>
        <w:ind w:left="360" w:right="-2"/>
      </w:pPr>
      <w:r w:rsidRPr="00C254A4">
        <w:t>infekcie obličiek a močového mechúra,</w:t>
      </w:r>
    </w:p>
    <w:p w14:paraId="699C9708" w14:textId="77777777" w:rsidR="00152896" w:rsidRPr="00C254A4" w:rsidRDefault="00152896" w:rsidP="00354E70">
      <w:pPr>
        <w:numPr>
          <w:ilvl w:val="0"/>
          <w:numId w:val="11"/>
        </w:numPr>
        <w:tabs>
          <w:tab w:val="clear" w:pos="720"/>
        </w:tabs>
        <w:ind w:left="360" w:right="-2"/>
      </w:pPr>
      <w:r w:rsidRPr="00C254A4">
        <w:t>infekcie mozgu (</w:t>
      </w:r>
      <w:proofErr w:type="spellStart"/>
      <w:r w:rsidRPr="00C254A4">
        <w:t>meningitída</w:t>
      </w:r>
      <w:proofErr w:type="spellEnd"/>
      <w:r w:rsidRPr="00C254A4">
        <w:t>).</w:t>
      </w:r>
    </w:p>
    <w:p w14:paraId="375B0C50" w14:textId="77777777" w:rsidR="00152896" w:rsidRPr="00C254A4" w:rsidRDefault="00152896" w:rsidP="00BC35BD">
      <w:pPr>
        <w:rPr>
          <w:lang w:val="en-GB"/>
        </w:rPr>
      </w:pPr>
    </w:p>
    <w:p w14:paraId="3AF41CF3" w14:textId="77777777" w:rsidR="00BC35BD" w:rsidRPr="00C254A4" w:rsidRDefault="00F03282" w:rsidP="00BC35BD">
      <w:r w:rsidRPr="00C254A4">
        <w:t xml:space="preserve">Tento liek sa používa ak nie je možné použiť iné antibiotiká alebo ak iné antibiotiká neúčinkovali. </w:t>
      </w:r>
    </w:p>
    <w:p w14:paraId="42075F7C" w14:textId="5032AE2A" w:rsidR="00B12543" w:rsidRPr="00C254A4" w:rsidRDefault="00F03282" w:rsidP="00B12543">
      <w:r w:rsidRPr="00C254A4">
        <w:t xml:space="preserve">Tento liek sa môže podať samotný alebo v kombinácii </w:t>
      </w:r>
      <w:r w:rsidR="00B97AE7">
        <w:t>s</w:t>
      </w:r>
      <w:r w:rsidRPr="00C254A4">
        <w:t xml:space="preserve"> inými antibiotikami. </w:t>
      </w:r>
    </w:p>
    <w:p w14:paraId="2FE6DD48" w14:textId="77777777" w:rsidR="001E7F13" w:rsidRPr="00C254A4" w:rsidRDefault="001E7F13" w:rsidP="001914A1"/>
    <w:p w14:paraId="46C3E6B4" w14:textId="77777777" w:rsidR="000009E2" w:rsidRPr="00C254A4" w:rsidRDefault="000009E2" w:rsidP="001914A1"/>
    <w:p w14:paraId="64764F2C" w14:textId="1B8D01C3" w:rsidR="001E7F13" w:rsidRPr="00C254A4" w:rsidRDefault="001E7F13">
      <w:pPr>
        <w:numPr>
          <w:ilvl w:val="12"/>
          <w:numId w:val="0"/>
        </w:numPr>
        <w:ind w:left="567" w:right="-2" w:hanging="567"/>
      </w:pPr>
      <w:r w:rsidRPr="00C254A4">
        <w:rPr>
          <w:b/>
          <w:bCs/>
        </w:rPr>
        <w:t>2.</w:t>
      </w:r>
      <w:r w:rsidRPr="00C254A4">
        <w:rPr>
          <w:b/>
          <w:bCs/>
        </w:rPr>
        <w:tab/>
        <w:t xml:space="preserve">Čo potrebujete vedieť predtým, ako dostanete </w:t>
      </w:r>
      <w:proofErr w:type="spellStart"/>
      <w:r w:rsidR="00C254A4" w:rsidRPr="00C254A4">
        <w:rPr>
          <w:b/>
          <w:bCs/>
        </w:rPr>
        <w:t>Fomicyt</w:t>
      </w:r>
      <w:proofErr w:type="spellEnd"/>
    </w:p>
    <w:p w14:paraId="29C82546" w14:textId="77777777" w:rsidR="001E7F13" w:rsidRPr="00C254A4" w:rsidRDefault="001E7F13">
      <w:pPr>
        <w:numPr>
          <w:ilvl w:val="12"/>
          <w:numId w:val="0"/>
        </w:numPr>
      </w:pPr>
    </w:p>
    <w:p w14:paraId="7E4AC38B" w14:textId="77777777" w:rsidR="002069FD" w:rsidRPr="00C254A4" w:rsidRDefault="002069FD">
      <w:pPr>
        <w:numPr>
          <w:ilvl w:val="12"/>
          <w:numId w:val="0"/>
        </w:numPr>
      </w:pPr>
      <w:r w:rsidRPr="00C254A4">
        <w:t>Za určitých okolností môže váš lekár rozhodnúť, že vám tento liek nepodá.</w:t>
      </w:r>
    </w:p>
    <w:p w14:paraId="153CB8E4" w14:textId="77777777" w:rsidR="002069FD" w:rsidRPr="00C254A4" w:rsidRDefault="002069FD">
      <w:pPr>
        <w:numPr>
          <w:ilvl w:val="12"/>
          <w:numId w:val="0"/>
        </w:numPr>
      </w:pPr>
    </w:p>
    <w:p w14:paraId="558DAD03" w14:textId="2C10C2A2" w:rsidR="001E7F13" w:rsidRPr="00C254A4" w:rsidRDefault="001E7F13">
      <w:pPr>
        <w:numPr>
          <w:ilvl w:val="12"/>
          <w:numId w:val="0"/>
        </w:numPr>
        <w:ind w:right="-2"/>
      </w:pPr>
      <w:r w:rsidRPr="00C254A4">
        <w:rPr>
          <w:b/>
          <w:bCs/>
          <w:u w:val="single"/>
        </w:rPr>
        <w:t>Nenechajte</w:t>
      </w:r>
      <w:r w:rsidRPr="00C254A4">
        <w:rPr>
          <w:b/>
          <w:bCs/>
        </w:rPr>
        <w:t xml:space="preserve"> si podať </w:t>
      </w:r>
      <w:proofErr w:type="spellStart"/>
      <w:r w:rsidR="00C254A4" w:rsidRPr="00C254A4">
        <w:rPr>
          <w:b/>
          <w:bCs/>
        </w:rPr>
        <w:t>Fomicyt</w:t>
      </w:r>
      <w:proofErr w:type="spellEnd"/>
      <w:r w:rsidRPr="00C254A4">
        <w:rPr>
          <w:b/>
          <w:bCs/>
        </w:rPr>
        <w:t xml:space="preserve"> a povedzte svojmu lekárovi:</w:t>
      </w:r>
    </w:p>
    <w:p w14:paraId="3733300C" w14:textId="00D875D8" w:rsidR="00771C0A" w:rsidRPr="00C254A4" w:rsidRDefault="002069FD" w:rsidP="00354E70">
      <w:pPr>
        <w:numPr>
          <w:ilvl w:val="0"/>
          <w:numId w:val="2"/>
        </w:numPr>
        <w:rPr>
          <w:spacing w:val="-3"/>
        </w:rPr>
      </w:pPr>
      <w:r w:rsidRPr="00C254A4">
        <w:t xml:space="preserve">ak ste alergický (precitlivený) na </w:t>
      </w:r>
      <w:proofErr w:type="spellStart"/>
      <w:r w:rsidRPr="00C254A4">
        <w:t>fosfomycín</w:t>
      </w:r>
      <w:proofErr w:type="spellEnd"/>
      <w:r w:rsidRPr="00C254A4">
        <w:t xml:space="preserve"> alebo na ktorúkoľvek z ďalších zložiek tohto lieku</w:t>
      </w:r>
      <w:r w:rsidRPr="00C254A4">
        <w:rPr>
          <w:caps/>
        </w:rPr>
        <w:t xml:space="preserve"> (</w:t>
      </w:r>
      <w:r w:rsidRPr="00C254A4">
        <w:t>uvedených v časti 6).</w:t>
      </w:r>
    </w:p>
    <w:p w14:paraId="41C6FBAD" w14:textId="313944CD" w:rsidR="00152896" w:rsidRPr="00C254A4" w:rsidRDefault="00152896" w:rsidP="000F2071">
      <w:pPr>
        <w:ind w:left="350"/>
      </w:pPr>
      <w:r w:rsidRPr="00C254A4">
        <w:t xml:space="preserve">Ak si nie ste istý, obráťte sa na svojho lekára, lekárnika alebo zdravotnú sestru predtým ako dostanete </w:t>
      </w:r>
      <w:proofErr w:type="spellStart"/>
      <w:r w:rsidR="00C254A4" w:rsidRPr="00C254A4">
        <w:t>Fomicyt</w:t>
      </w:r>
      <w:proofErr w:type="spellEnd"/>
      <w:r w:rsidRPr="00C254A4">
        <w:t>.</w:t>
      </w:r>
    </w:p>
    <w:p w14:paraId="09B1E1FC" w14:textId="77777777" w:rsidR="001E7F13" w:rsidRPr="00C254A4" w:rsidRDefault="001E7F13">
      <w:pPr>
        <w:numPr>
          <w:ilvl w:val="12"/>
          <w:numId w:val="0"/>
        </w:numPr>
        <w:ind w:right="-2"/>
        <w:rPr>
          <w:b/>
          <w:bCs/>
        </w:rPr>
      </w:pPr>
    </w:p>
    <w:p w14:paraId="083734A0" w14:textId="0B2D82FD" w:rsidR="001E7F13" w:rsidRPr="00C254A4" w:rsidRDefault="00A971F7">
      <w:pPr>
        <w:numPr>
          <w:ilvl w:val="12"/>
          <w:numId w:val="0"/>
        </w:numPr>
        <w:ind w:right="-2"/>
      </w:pPr>
      <w:r w:rsidRPr="00C254A4">
        <w:rPr>
          <w:b/>
          <w:bCs/>
        </w:rPr>
        <w:t>Upozornenia a opatrenia:</w:t>
      </w:r>
    </w:p>
    <w:p w14:paraId="48EA9AD1" w14:textId="77777777" w:rsidR="00771C0A" w:rsidRPr="00C254A4" w:rsidRDefault="00152896" w:rsidP="00A971F7">
      <w:pPr>
        <w:ind w:left="28"/>
        <w:rPr>
          <w:spacing w:val="-3"/>
        </w:rPr>
      </w:pPr>
      <w:r w:rsidRPr="00C254A4">
        <w:t>Predtým, ako začnete užívať tento liek, obráťte sa na svojho lekára, lekárnika alebo zdravotnú sestru, ak trpíte niektorou z nasledujúcich porúch:</w:t>
      </w:r>
    </w:p>
    <w:p w14:paraId="6B4222B5" w14:textId="76C40855" w:rsidR="00C668ED" w:rsidRPr="00C254A4" w:rsidRDefault="00C668ED" w:rsidP="00354E70">
      <w:pPr>
        <w:numPr>
          <w:ilvl w:val="0"/>
          <w:numId w:val="9"/>
        </w:numPr>
        <w:tabs>
          <w:tab w:val="clear" w:pos="720"/>
        </w:tabs>
        <w:ind w:left="900" w:hanging="180"/>
        <w:rPr>
          <w:spacing w:val="-3"/>
        </w:rPr>
      </w:pPr>
      <w:r w:rsidRPr="00C254A4">
        <w:t xml:space="preserve">problémy so srdcom (srdcová nedostatočnosť), hlave ak užívate </w:t>
      </w:r>
      <w:proofErr w:type="spellStart"/>
      <w:r w:rsidRPr="00C254A4">
        <w:t>digitalisový</w:t>
      </w:r>
      <w:proofErr w:type="spellEnd"/>
      <w:r w:rsidRPr="00C254A4">
        <w:t xml:space="preserve"> liek (možný výskyt </w:t>
      </w:r>
      <w:proofErr w:type="spellStart"/>
      <w:r w:rsidRPr="00C254A4">
        <w:t>hypokaliémie</w:t>
      </w:r>
      <w:proofErr w:type="spellEnd"/>
      <w:r w:rsidRPr="00C254A4">
        <w:t>),</w:t>
      </w:r>
    </w:p>
    <w:p w14:paraId="633A7156" w14:textId="77777777" w:rsidR="00C668ED" w:rsidRPr="00C254A4" w:rsidRDefault="00C668ED" w:rsidP="00354E70">
      <w:pPr>
        <w:numPr>
          <w:ilvl w:val="0"/>
          <w:numId w:val="9"/>
        </w:numPr>
        <w:tabs>
          <w:tab w:val="clear" w:pos="720"/>
        </w:tabs>
        <w:ind w:left="900" w:hanging="180"/>
        <w:rPr>
          <w:spacing w:val="-3"/>
        </w:rPr>
      </w:pPr>
      <w:r w:rsidRPr="00C254A4">
        <w:t>vysoký krvný tlak (hypertenzia),</w:t>
      </w:r>
    </w:p>
    <w:p w14:paraId="541AEC8C" w14:textId="77777777" w:rsidR="00C668ED" w:rsidRPr="00C254A4" w:rsidRDefault="00C668ED" w:rsidP="00354E70">
      <w:pPr>
        <w:numPr>
          <w:ilvl w:val="0"/>
          <w:numId w:val="9"/>
        </w:numPr>
        <w:tabs>
          <w:tab w:val="clear" w:pos="720"/>
        </w:tabs>
        <w:ind w:left="900" w:hanging="180"/>
        <w:rPr>
          <w:spacing w:val="-3"/>
        </w:rPr>
      </w:pPr>
      <w:r w:rsidRPr="00C254A4">
        <w:t>určitá porucha hormonálneho systému (</w:t>
      </w:r>
      <w:proofErr w:type="spellStart"/>
      <w:r w:rsidRPr="00C254A4">
        <w:t>hyperaldosteronizmus</w:t>
      </w:r>
      <w:proofErr w:type="spellEnd"/>
      <w:r w:rsidRPr="00C254A4">
        <w:t>),</w:t>
      </w:r>
    </w:p>
    <w:p w14:paraId="27F19DD0" w14:textId="77777777" w:rsidR="008E63B6" w:rsidRPr="00C254A4" w:rsidRDefault="008E63B6" w:rsidP="00354E70">
      <w:pPr>
        <w:numPr>
          <w:ilvl w:val="0"/>
          <w:numId w:val="9"/>
        </w:numPr>
        <w:tabs>
          <w:tab w:val="clear" w:pos="720"/>
        </w:tabs>
        <w:ind w:left="900" w:hanging="180"/>
        <w:rPr>
          <w:spacing w:val="-3"/>
        </w:rPr>
      </w:pPr>
      <w:r w:rsidRPr="00C254A4">
        <w:t>vysoké hladiny sodíka v krvi (</w:t>
      </w:r>
      <w:proofErr w:type="spellStart"/>
      <w:r w:rsidRPr="00C254A4">
        <w:t>hypernatriémia</w:t>
      </w:r>
      <w:proofErr w:type="spellEnd"/>
      <w:r w:rsidRPr="00C254A4">
        <w:t>),</w:t>
      </w:r>
    </w:p>
    <w:p w14:paraId="7B3FFE10" w14:textId="77777777" w:rsidR="00BA7D85" w:rsidRPr="00C254A4" w:rsidRDefault="00F43939" w:rsidP="00354E70">
      <w:pPr>
        <w:numPr>
          <w:ilvl w:val="0"/>
          <w:numId w:val="9"/>
        </w:numPr>
        <w:tabs>
          <w:tab w:val="clear" w:pos="720"/>
        </w:tabs>
        <w:ind w:left="900" w:hanging="180"/>
        <w:rPr>
          <w:spacing w:val="-3"/>
        </w:rPr>
      </w:pPr>
      <w:r w:rsidRPr="00C254A4">
        <w:t>nahromadenie tekutín v pľúcach (pľúcny edém),</w:t>
      </w:r>
    </w:p>
    <w:p w14:paraId="6102B348" w14:textId="77777777" w:rsidR="00F46AF9" w:rsidRPr="00C254A4" w:rsidRDefault="00F46AF9" w:rsidP="00354E70">
      <w:pPr>
        <w:numPr>
          <w:ilvl w:val="0"/>
          <w:numId w:val="9"/>
        </w:numPr>
        <w:tabs>
          <w:tab w:val="clear" w:pos="720"/>
        </w:tabs>
        <w:ind w:left="900" w:hanging="180"/>
        <w:rPr>
          <w:spacing w:val="-3"/>
        </w:rPr>
      </w:pPr>
      <w:r w:rsidRPr="00C254A4">
        <w:t>problémy s obličkami. Váš lekár bude možno musieť zmeniť dávku vášho lieku (pozri časť 3 tejto písomnej informácie).</w:t>
      </w:r>
    </w:p>
    <w:p w14:paraId="3FA4BA95" w14:textId="77777777" w:rsidR="00A971F7" w:rsidRPr="00C254A4" w:rsidRDefault="00A971F7" w:rsidP="00A971F7">
      <w:pPr>
        <w:rPr>
          <w:b/>
        </w:rPr>
      </w:pPr>
    </w:p>
    <w:p w14:paraId="2D96AF69" w14:textId="77777777" w:rsidR="00A971F7" w:rsidRPr="00C254A4" w:rsidRDefault="00A971F7" w:rsidP="00A971F7">
      <w:pPr>
        <w:rPr>
          <w:b/>
        </w:rPr>
      </w:pPr>
      <w:r w:rsidRPr="00C254A4">
        <w:rPr>
          <w:b/>
        </w:rPr>
        <w:t>Príznaky, ktoré budete musieť pozorovať</w:t>
      </w:r>
    </w:p>
    <w:p w14:paraId="08D41B5A" w14:textId="18FD112C" w:rsidR="00A971F7" w:rsidRPr="00C254A4" w:rsidRDefault="00C254A4" w:rsidP="00A971F7">
      <w:proofErr w:type="spellStart"/>
      <w:r w:rsidRPr="00C254A4">
        <w:t>Fomicyt</w:t>
      </w:r>
      <w:proofErr w:type="spellEnd"/>
      <w:r w:rsidR="005D267D" w:rsidRPr="00C254A4">
        <w:t xml:space="preserve"> môže spôsobiť závažné vedľajšie účinky. Tie zahŕňajú alergické reakcie a zápal hrubého čreva. Na zníženie rizika vzniku akýchkoľvek problémov budete musieť používania tohto lieku pozorovať niektoré príznaky. Pozri „Príznaky, ktoré budete musieť pozorovať“ v </w:t>
      </w:r>
      <w:r w:rsidR="005D267D" w:rsidRPr="00C254A4">
        <w:rPr>
          <w:b/>
        </w:rPr>
        <w:t>časti 4</w:t>
      </w:r>
      <w:r w:rsidR="005D267D" w:rsidRPr="00C254A4">
        <w:t>.</w:t>
      </w:r>
    </w:p>
    <w:p w14:paraId="4C29F4C1" w14:textId="77777777" w:rsidR="001E7F13" w:rsidRPr="00C254A4" w:rsidRDefault="001E7F13"/>
    <w:p w14:paraId="009F7EA3" w14:textId="71489B1F" w:rsidR="001E7F13" w:rsidRPr="00C254A4" w:rsidRDefault="00A971F7">
      <w:pPr>
        <w:pStyle w:val="Nadpis2"/>
        <w:tabs>
          <w:tab w:val="clear" w:pos="567"/>
        </w:tabs>
      </w:pPr>
      <w:r w:rsidRPr="00C254A4">
        <w:t>Iné lieky a </w:t>
      </w:r>
      <w:proofErr w:type="spellStart"/>
      <w:r w:rsidR="00C254A4" w:rsidRPr="00C254A4">
        <w:t>Fomicyt</w:t>
      </w:r>
      <w:proofErr w:type="spellEnd"/>
    </w:p>
    <w:p w14:paraId="01C9E39F" w14:textId="77777777" w:rsidR="001E7F13" w:rsidRPr="00C254A4" w:rsidRDefault="001E7F13">
      <w:pPr>
        <w:ind w:right="-2"/>
      </w:pPr>
      <w:r w:rsidRPr="00C254A4">
        <w:t xml:space="preserve">Ak teraz užívate alebo ste v poslednom čase užívali, či práve budete užívať ďalšie lieky, povedzte to svojmu lekárovi alebo lekárnikovi. </w:t>
      </w:r>
    </w:p>
    <w:p w14:paraId="392E0B47" w14:textId="05A835D5" w:rsidR="004D62B1" w:rsidRPr="00C254A4" w:rsidRDefault="004D62B1">
      <w:pPr>
        <w:ind w:right="-2"/>
      </w:pPr>
      <w:r w:rsidRPr="00C254A4">
        <w:t xml:space="preserve">Doteraz sa nezistilo žiadne </w:t>
      </w:r>
      <w:r w:rsidR="00054378">
        <w:t xml:space="preserve">škodlivé </w:t>
      </w:r>
      <w:r w:rsidRPr="00C254A4">
        <w:t>vzájomné pôsobenie pri podávaní tohto lieku spolu s inými liekmi.</w:t>
      </w:r>
    </w:p>
    <w:p w14:paraId="367370D4" w14:textId="77777777" w:rsidR="001E7F13" w:rsidRPr="00C254A4" w:rsidRDefault="001E7F13">
      <w:pPr>
        <w:ind w:right="-2"/>
      </w:pPr>
    </w:p>
    <w:p w14:paraId="05BC51EE" w14:textId="77777777" w:rsidR="001E7F13" w:rsidRPr="00C254A4" w:rsidRDefault="001E7F13">
      <w:pPr>
        <w:ind w:right="-2"/>
        <w:rPr>
          <w:b/>
          <w:bCs/>
        </w:rPr>
      </w:pPr>
      <w:r w:rsidRPr="00C254A4">
        <w:rPr>
          <w:b/>
          <w:bCs/>
        </w:rPr>
        <w:t>Tehotenstvo a dojčenie</w:t>
      </w:r>
    </w:p>
    <w:p w14:paraId="249FD3EE" w14:textId="5E5BA915" w:rsidR="001E7F13" w:rsidRPr="00C254A4" w:rsidRDefault="00653DDC">
      <w:r w:rsidRPr="00C254A4">
        <w:t>Ak ste tehotná alebo dojčíte, ak si myslíte, že ste tehotná alebo ak plánujete otehotnieť, poraďte sa so svojím lekárom alebo lekárnikom predtým, ako začnete užívať tento liek.</w:t>
      </w:r>
    </w:p>
    <w:p w14:paraId="22921B58" w14:textId="77777777" w:rsidR="00A24EA3" w:rsidRPr="00C254A4" w:rsidRDefault="00A24EA3"/>
    <w:p w14:paraId="5A2FB631" w14:textId="2125CE8C" w:rsidR="00A24EA3" w:rsidRPr="00C254A4" w:rsidRDefault="00A24EA3">
      <w:proofErr w:type="spellStart"/>
      <w:r w:rsidRPr="00C254A4">
        <w:t>Fosfomycín</w:t>
      </w:r>
      <w:proofErr w:type="spellEnd"/>
      <w:r w:rsidRPr="00C254A4">
        <w:t xml:space="preserve"> môže prechádzať do dieťaťa v maternici alebo cez materské mlieko. Ak ste tehotná alebo dojčíte, váš lekár vám podá tento liek, len ak je to </w:t>
      </w:r>
      <w:r w:rsidR="00054378">
        <w:t xml:space="preserve">jednoznačne </w:t>
      </w:r>
      <w:r w:rsidRPr="00C254A4">
        <w:t>nevyhnutné.</w:t>
      </w:r>
    </w:p>
    <w:p w14:paraId="736D4A9E" w14:textId="77777777" w:rsidR="004D62B1" w:rsidRPr="00C254A4" w:rsidRDefault="004D62B1"/>
    <w:p w14:paraId="42D480EA" w14:textId="77777777" w:rsidR="001E7F13" w:rsidRPr="00C254A4" w:rsidRDefault="001E7F13">
      <w:pPr>
        <w:ind w:right="-2"/>
      </w:pPr>
      <w:r w:rsidRPr="00C254A4">
        <w:rPr>
          <w:b/>
          <w:bCs/>
        </w:rPr>
        <w:t>Vedenie vozidiel a obsluha strojov</w:t>
      </w:r>
    </w:p>
    <w:p w14:paraId="6D62720A" w14:textId="4271A41B" w:rsidR="001914A1" w:rsidRPr="00C254A4" w:rsidRDefault="007F75E2" w:rsidP="001914A1">
      <w:r w:rsidRPr="00C254A4">
        <w:t xml:space="preserve">Pri podávaní </w:t>
      </w:r>
      <w:proofErr w:type="spellStart"/>
      <w:r w:rsidR="00C254A4" w:rsidRPr="00C254A4">
        <w:t>Fomicyt</w:t>
      </w:r>
      <w:r w:rsidR="00054378">
        <w:t>u</w:t>
      </w:r>
      <w:proofErr w:type="spellEnd"/>
      <w:r w:rsidRPr="00C254A4">
        <w:t xml:space="preserve"> sa môžu vyskytnúť vedľajšie účinky ako je závrat, zmätenosť alebo problémy so zrakom (pozri tiež časť 4 „Možné vedľajšie účinky“). Ak sa u vás vyskytnú tieto príznaky, neveďte vozidlá ani neobsluhujte stroje.</w:t>
      </w:r>
    </w:p>
    <w:p w14:paraId="74BDCC16" w14:textId="77777777" w:rsidR="001E7F13" w:rsidRPr="00C254A4" w:rsidRDefault="001E7F13"/>
    <w:p w14:paraId="304B5BE8" w14:textId="1CB17215" w:rsidR="001E7F13" w:rsidRPr="00C254A4" w:rsidRDefault="001E7F13">
      <w:pPr>
        <w:ind w:right="-2"/>
        <w:rPr>
          <w:b/>
          <w:bCs/>
          <w:caps/>
        </w:rPr>
      </w:pPr>
      <w:r w:rsidRPr="00C254A4">
        <w:rPr>
          <w:b/>
          <w:bCs/>
        </w:rPr>
        <w:t xml:space="preserve">Dôležité informácie o niektorých zložkách </w:t>
      </w:r>
      <w:proofErr w:type="spellStart"/>
      <w:r w:rsidR="00C254A4" w:rsidRPr="00C254A4">
        <w:rPr>
          <w:b/>
          <w:bCs/>
        </w:rPr>
        <w:t>Fomicyt</w:t>
      </w:r>
      <w:r w:rsidR="00054378">
        <w:rPr>
          <w:b/>
          <w:bCs/>
        </w:rPr>
        <w:t>u</w:t>
      </w:r>
      <w:proofErr w:type="spellEnd"/>
      <w:r w:rsidRPr="00C254A4">
        <w:rPr>
          <w:b/>
          <w:bCs/>
        </w:rPr>
        <w:t xml:space="preserve"> </w:t>
      </w:r>
    </w:p>
    <w:p w14:paraId="5611AD1F" w14:textId="30FA01C8" w:rsidR="00BA7D85" w:rsidRPr="00C254A4" w:rsidRDefault="00F03282" w:rsidP="001914A1">
      <w:pPr>
        <w:rPr>
          <w:spacing w:val="-3"/>
        </w:rPr>
      </w:pPr>
      <w:r w:rsidRPr="00C254A4">
        <w:t xml:space="preserve">Tento liek obsahuje 14 mmol (320 mg) sodíka na 1 mg </w:t>
      </w:r>
      <w:proofErr w:type="spellStart"/>
      <w:r w:rsidRPr="00C254A4">
        <w:t>fosfomycínu</w:t>
      </w:r>
      <w:proofErr w:type="spellEnd"/>
      <w:r w:rsidRPr="00C254A4">
        <w:t xml:space="preserve">. To sa rovná 16 % odporúčaného maximálneho denného príjmu sodíka v potrave pre dospelých. Jedna fľaša obsahujúca 2 g </w:t>
      </w:r>
      <w:proofErr w:type="spellStart"/>
      <w:r w:rsidRPr="00C254A4">
        <w:t>fosfomycínu</w:t>
      </w:r>
      <w:proofErr w:type="spellEnd"/>
      <w:r w:rsidRPr="00C254A4">
        <w:t xml:space="preserve"> obsahuje 28 mmol (640 mg) sodíka, jedna fľaša obsahujúca 4 g </w:t>
      </w:r>
      <w:proofErr w:type="spellStart"/>
      <w:r w:rsidRPr="00C254A4">
        <w:t>fosfomycínu</w:t>
      </w:r>
      <w:proofErr w:type="spellEnd"/>
      <w:r w:rsidRPr="00C254A4">
        <w:t xml:space="preserve"> obsahuje 56 mmol (1 280 mg) sodíka a jedna fľaša obsahujúca 8 g </w:t>
      </w:r>
      <w:proofErr w:type="spellStart"/>
      <w:r w:rsidRPr="00C254A4">
        <w:t>fosfomycínu</w:t>
      </w:r>
      <w:proofErr w:type="spellEnd"/>
      <w:r w:rsidRPr="00C254A4">
        <w:t xml:space="preserve"> obsahuje 111 mmol (2 560 mg) sodíka.</w:t>
      </w:r>
    </w:p>
    <w:p w14:paraId="7F2B4FEE" w14:textId="77777777" w:rsidR="001914A1" w:rsidRPr="00C254A4" w:rsidRDefault="001D6C9B" w:rsidP="001914A1">
      <w:pPr>
        <w:rPr>
          <w:spacing w:val="-3"/>
        </w:rPr>
      </w:pPr>
      <w:r w:rsidRPr="00C254A4">
        <w:t>Musí sa to vziať do úvahy, ak ste na diéte s kontrolovaným obsahom sodíka.</w:t>
      </w:r>
    </w:p>
    <w:p w14:paraId="3BA65D37" w14:textId="77777777" w:rsidR="00C46E2B" w:rsidRPr="00C254A4" w:rsidRDefault="00C46E2B" w:rsidP="001914A1">
      <w:pPr>
        <w:rPr>
          <w:spacing w:val="-3"/>
        </w:rPr>
      </w:pPr>
      <w:r w:rsidRPr="00C254A4">
        <w:t>Počas liečby týmto liekom dodržiavajte diétu s nízkym obsahom soli na zníženie príjmu sodíka.</w:t>
      </w:r>
    </w:p>
    <w:p w14:paraId="2468D688" w14:textId="77777777" w:rsidR="00C3455B" w:rsidRPr="00C254A4" w:rsidRDefault="00C3455B" w:rsidP="001914A1">
      <w:pPr>
        <w:rPr>
          <w:spacing w:val="-3"/>
        </w:rPr>
      </w:pPr>
    </w:p>
    <w:p w14:paraId="5A23F203" w14:textId="77777777" w:rsidR="00AF68EC" w:rsidRPr="00C254A4" w:rsidRDefault="00AF68EC" w:rsidP="001914A1">
      <w:pPr>
        <w:rPr>
          <w:spacing w:val="-3"/>
        </w:rPr>
      </w:pPr>
    </w:p>
    <w:p w14:paraId="1CCCFDE1" w14:textId="77B5CDFD" w:rsidR="001E7F13" w:rsidRPr="00C254A4" w:rsidRDefault="001E7F13">
      <w:pPr>
        <w:ind w:left="567" w:right="-2" w:hanging="567"/>
      </w:pPr>
      <w:r w:rsidRPr="00C254A4">
        <w:rPr>
          <w:b/>
          <w:bCs/>
        </w:rPr>
        <w:t>3.</w:t>
      </w:r>
      <w:r w:rsidRPr="00C254A4">
        <w:rPr>
          <w:b/>
          <w:bCs/>
        </w:rPr>
        <w:tab/>
        <w:t xml:space="preserve">Ako sa </w:t>
      </w:r>
      <w:proofErr w:type="spellStart"/>
      <w:r w:rsidR="00C254A4" w:rsidRPr="00C254A4">
        <w:rPr>
          <w:b/>
          <w:bCs/>
        </w:rPr>
        <w:t>Fomicyt</w:t>
      </w:r>
      <w:proofErr w:type="spellEnd"/>
      <w:r w:rsidRPr="00C254A4">
        <w:rPr>
          <w:b/>
          <w:bCs/>
        </w:rPr>
        <w:t xml:space="preserve"> podáva</w:t>
      </w:r>
    </w:p>
    <w:p w14:paraId="7F346897" w14:textId="77777777" w:rsidR="001E7F13" w:rsidRPr="00C254A4" w:rsidRDefault="001E7F13"/>
    <w:p w14:paraId="189D707A" w14:textId="77777777" w:rsidR="009C1642" w:rsidRPr="00C254A4" w:rsidRDefault="009C1642" w:rsidP="0087503C">
      <w:pPr>
        <w:rPr>
          <w:b/>
        </w:rPr>
      </w:pPr>
      <w:r w:rsidRPr="00C254A4">
        <w:rPr>
          <w:b/>
        </w:rPr>
        <w:t>Podávanie</w:t>
      </w:r>
    </w:p>
    <w:p w14:paraId="6AF0C977" w14:textId="7F0285E3" w:rsidR="0087503C" w:rsidRPr="00C254A4" w:rsidRDefault="00C254A4" w:rsidP="0087503C">
      <w:proofErr w:type="spellStart"/>
      <w:r w:rsidRPr="00C254A4">
        <w:t>Fomicyt</w:t>
      </w:r>
      <w:proofErr w:type="spellEnd"/>
      <w:r w:rsidR="005D267D" w:rsidRPr="00C254A4">
        <w:t xml:space="preserve"> vám podá lekár alebo zdravotná sestra ako infúziu do žily. Infúzia zvyčajne trv</w:t>
      </w:r>
      <w:r w:rsidR="00D42B43">
        <w:t>á</w:t>
      </w:r>
      <w:r w:rsidR="005D267D" w:rsidRPr="00C254A4">
        <w:t xml:space="preserve"> 15 až 60 minút, v závislosti od vašej dávky. Tento liek sa zvyčajne podáva 2, 3 alebo 4 krát denne.</w:t>
      </w:r>
    </w:p>
    <w:p w14:paraId="326DCF92" w14:textId="77777777" w:rsidR="001E7F13" w:rsidRPr="00C254A4" w:rsidRDefault="001E7F13">
      <w:pPr>
        <w:widowControl w:val="0"/>
      </w:pPr>
    </w:p>
    <w:p w14:paraId="39C0D8E6" w14:textId="77777777" w:rsidR="009C1642" w:rsidRPr="00C254A4" w:rsidRDefault="009C1642" w:rsidP="009C1642">
      <w:pPr>
        <w:rPr>
          <w:b/>
        </w:rPr>
      </w:pPr>
      <w:r w:rsidRPr="00C254A4">
        <w:rPr>
          <w:b/>
        </w:rPr>
        <w:t>Dávkovanie</w:t>
      </w:r>
    </w:p>
    <w:p w14:paraId="364DC69F" w14:textId="77777777" w:rsidR="00460AD5" w:rsidRPr="00C254A4" w:rsidRDefault="00460AD5" w:rsidP="00771C0A">
      <w:pPr>
        <w:rPr>
          <w:spacing w:val="-3"/>
        </w:rPr>
      </w:pPr>
      <w:r w:rsidRPr="00C254A4">
        <w:t>Dávka, ktorú dostanete, a frekvencia podávania budú závisieť od:</w:t>
      </w:r>
    </w:p>
    <w:p w14:paraId="60C99E26" w14:textId="77777777" w:rsidR="00460AD5" w:rsidRPr="00C254A4" w:rsidRDefault="00460AD5" w:rsidP="00354E70">
      <w:pPr>
        <w:numPr>
          <w:ilvl w:val="0"/>
          <w:numId w:val="7"/>
        </w:numPr>
        <w:rPr>
          <w:spacing w:val="-3"/>
        </w:rPr>
      </w:pPr>
      <w:r w:rsidRPr="00C254A4">
        <w:t>závažnosti infekcie, ktorú máte,</w:t>
      </w:r>
    </w:p>
    <w:p w14:paraId="31C4F039" w14:textId="77777777" w:rsidR="00865FAF" w:rsidRPr="00C254A4" w:rsidRDefault="00865FAF" w:rsidP="00354E70">
      <w:pPr>
        <w:numPr>
          <w:ilvl w:val="0"/>
          <w:numId w:val="7"/>
        </w:numPr>
        <w:rPr>
          <w:spacing w:val="-3"/>
        </w:rPr>
      </w:pPr>
      <w:r w:rsidRPr="00C254A4">
        <w:t xml:space="preserve">funkcie vašich obličiek. </w:t>
      </w:r>
    </w:p>
    <w:p w14:paraId="6B407B11" w14:textId="77777777" w:rsidR="00865FAF" w:rsidRPr="00C254A4" w:rsidRDefault="00865FAF" w:rsidP="00865FAF">
      <w:pPr>
        <w:ind w:left="420"/>
        <w:rPr>
          <w:spacing w:val="-3"/>
          <w:lang w:val="en-GB"/>
        </w:rPr>
      </w:pPr>
    </w:p>
    <w:p w14:paraId="23BE3C81" w14:textId="5FBF711A" w:rsidR="00865FAF" w:rsidRPr="00C254A4" w:rsidRDefault="00865FAF" w:rsidP="00865FAF">
      <w:pPr>
        <w:ind w:left="420"/>
        <w:rPr>
          <w:spacing w:val="-3"/>
        </w:rPr>
      </w:pPr>
      <w:r w:rsidRPr="00C254A4">
        <w:t xml:space="preserve">U detí bude dávka </w:t>
      </w:r>
      <w:r w:rsidR="00D42B43">
        <w:t xml:space="preserve">a frekvencia </w:t>
      </w:r>
      <w:r w:rsidRPr="00C254A4">
        <w:t>tiež závisieť od:</w:t>
      </w:r>
    </w:p>
    <w:p w14:paraId="5423E81F" w14:textId="77777777" w:rsidR="00460AD5" w:rsidRPr="00C254A4" w:rsidRDefault="00EC046D" w:rsidP="00354E70">
      <w:pPr>
        <w:numPr>
          <w:ilvl w:val="0"/>
          <w:numId w:val="7"/>
        </w:numPr>
        <w:rPr>
          <w:spacing w:val="-3"/>
        </w:rPr>
      </w:pPr>
      <w:r w:rsidRPr="00C254A4">
        <w:t>telesnej hmotnosti dieťaťa,</w:t>
      </w:r>
    </w:p>
    <w:p w14:paraId="008CBD24" w14:textId="77777777" w:rsidR="00460AD5" w:rsidRPr="00C254A4" w:rsidRDefault="00EC046D" w:rsidP="00354E70">
      <w:pPr>
        <w:numPr>
          <w:ilvl w:val="0"/>
          <w:numId w:val="7"/>
        </w:numPr>
        <w:rPr>
          <w:spacing w:val="-3"/>
        </w:rPr>
      </w:pPr>
      <w:r w:rsidRPr="00C254A4">
        <w:t>veku dieťaťa.</w:t>
      </w:r>
    </w:p>
    <w:p w14:paraId="772C0ED4" w14:textId="77777777" w:rsidR="00BE42C6" w:rsidRPr="00C254A4" w:rsidRDefault="00BE42C6" w:rsidP="00771C0A">
      <w:pPr>
        <w:rPr>
          <w:spacing w:val="-3"/>
          <w:lang w:val="en-GB"/>
        </w:rPr>
      </w:pPr>
    </w:p>
    <w:p w14:paraId="7041CFA4" w14:textId="77777777" w:rsidR="00771C0A" w:rsidRPr="00C254A4" w:rsidRDefault="00771C0A" w:rsidP="00771C0A">
      <w:pPr>
        <w:rPr>
          <w:spacing w:val="-3"/>
        </w:rPr>
      </w:pPr>
      <w:r w:rsidRPr="00C254A4">
        <w:t>Všeobecné pokyny na dávkovanie u pacientov s normálnou funkciou obličiek sú nasledovné:</w:t>
      </w:r>
    </w:p>
    <w:p w14:paraId="27C7A91C" w14:textId="77777777" w:rsidR="00AC2703" w:rsidRPr="00C254A4" w:rsidRDefault="00AC2703" w:rsidP="00F877A0">
      <w:pPr>
        <w:pStyle w:val="Formatvorlageberschrift3NichtKursivUnterstrichenLinks125cm"/>
        <w:ind w:left="0"/>
        <w:rPr>
          <w:szCs w:val="22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3402"/>
      </w:tblGrid>
      <w:tr w:rsidR="00AC2703" w:rsidRPr="00C254A4" w14:paraId="3B72B71A" w14:textId="77777777" w:rsidTr="00C91217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6B9E" w14:textId="77777777" w:rsidR="00AC2703" w:rsidRPr="00C254A4" w:rsidRDefault="00AC2703" w:rsidP="00C91217">
            <w:pPr>
              <w:spacing w:line="276" w:lineRule="auto"/>
              <w:ind w:left="72"/>
              <w:rPr>
                <w:b/>
                <w:bCs/>
                <w:snapToGrid w:val="0"/>
                <w:color w:val="000000"/>
              </w:rPr>
            </w:pPr>
            <w:r w:rsidRPr="00C254A4">
              <w:rPr>
                <w:b/>
                <w:bCs/>
                <w:snapToGrid w:val="0"/>
                <w:color w:val="000000"/>
              </w:rPr>
              <w:t>Vek/telesná hmotnosť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5B13" w14:textId="77777777" w:rsidR="00AC2703" w:rsidRPr="00C254A4" w:rsidRDefault="00AC2703" w:rsidP="00C91217">
            <w:pPr>
              <w:spacing w:line="276" w:lineRule="auto"/>
              <w:ind w:left="189"/>
              <w:rPr>
                <w:b/>
                <w:bCs/>
                <w:snapToGrid w:val="0"/>
                <w:color w:val="000000"/>
              </w:rPr>
            </w:pPr>
            <w:r w:rsidRPr="00C254A4">
              <w:rPr>
                <w:b/>
                <w:bCs/>
                <w:snapToGrid w:val="0"/>
                <w:color w:val="000000"/>
              </w:rPr>
              <w:t>Denná dávka</w:t>
            </w:r>
          </w:p>
        </w:tc>
      </w:tr>
      <w:tr w:rsidR="00AC2703" w:rsidRPr="00C254A4" w14:paraId="0E80766C" w14:textId="77777777" w:rsidTr="00C91217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3A0F" w14:textId="77777777" w:rsidR="00AC2703" w:rsidRPr="00C254A4" w:rsidRDefault="00AC2703" w:rsidP="00C91217">
            <w:pPr>
              <w:spacing w:line="276" w:lineRule="auto"/>
              <w:ind w:left="72"/>
              <w:rPr>
                <w:snapToGrid w:val="0"/>
                <w:color w:val="000000"/>
              </w:rPr>
            </w:pPr>
            <w:r w:rsidRPr="00C254A4">
              <w:rPr>
                <w:snapToGrid w:val="0"/>
                <w:color w:val="000000"/>
              </w:rPr>
              <w:t xml:space="preserve">Predčasne narodení novorodenci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3494" w14:textId="77777777" w:rsidR="00AC2703" w:rsidRPr="00C254A4" w:rsidRDefault="00AC2703" w:rsidP="00C91217">
            <w:pPr>
              <w:spacing w:line="276" w:lineRule="auto"/>
              <w:ind w:left="189"/>
              <w:rPr>
                <w:snapToGrid w:val="0"/>
                <w:color w:val="000000"/>
              </w:rPr>
            </w:pPr>
            <w:r w:rsidRPr="00C254A4">
              <w:rPr>
                <w:snapToGrid w:val="0"/>
                <w:color w:val="000000"/>
              </w:rPr>
              <w:t xml:space="preserve">100 mg/kg telesnej hmotnosti </w:t>
            </w:r>
          </w:p>
          <w:p w14:paraId="6A0CF784" w14:textId="77777777" w:rsidR="00AC2703" w:rsidRPr="00C254A4" w:rsidRDefault="00AC2703" w:rsidP="00C91217">
            <w:pPr>
              <w:spacing w:line="276" w:lineRule="auto"/>
              <w:ind w:left="189"/>
              <w:rPr>
                <w:snapToGrid w:val="0"/>
                <w:color w:val="000000"/>
              </w:rPr>
            </w:pPr>
            <w:r w:rsidRPr="00C254A4">
              <w:rPr>
                <w:snapToGrid w:val="0"/>
                <w:color w:val="000000"/>
              </w:rPr>
              <w:t xml:space="preserve">v 2 rozdelených dávkach </w:t>
            </w:r>
          </w:p>
        </w:tc>
      </w:tr>
      <w:tr w:rsidR="00AC2703" w:rsidRPr="00C254A4" w14:paraId="7E38557E" w14:textId="77777777" w:rsidTr="00C91217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BD30" w14:textId="77777777" w:rsidR="00AC2703" w:rsidRPr="00C254A4" w:rsidRDefault="00AC2703" w:rsidP="00C91217">
            <w:pPr>
              <w:spacing w:line="276" w:lineRule="auto"/>
              <w:ind w:left="72"/>
              <w:rPr>
                <w:snapToGrid w:val="0"/>
                <w:color w:val="000000"/>
              </w:rPr>
            </w:pPr>
            <w:r w:rsidRPr="00C254A4">
              <w:rPr>
                <w:snapToGrid w:val="0"/>
                <w:color w:val="000000"/>
              </w:rPr>
              <w:t>Novorodenci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BDDF" w14:textId="77777777" w:rsidR="00AC2703" w:rsidRPr="00C254A4" w:rsidRDefault="00AC2703" w:rsidP="00C91217">
            <w:pPr>
              <w:spacing w:line="276" w:lineRule="auto"/>
              <w:ind w:left="189"/>
              <w:rPr>
                <w:snapToGrid w:val="0"/>
                <w:color w:val="000000"/>
              </w:rPr>
            </w:pPr>
            <w:r w:rsidRPr="00C254A4">
              <w:rPr>
                <w:snapToGrid w:val="0"/>
                <w:color w:val="000000"/>
              </w:rPr>
              <w:t xml:space="preserve">200 mg/kg telesnej hmotnosti </w:t>
            </w:r>
          </w:p>
          <w:p w14:paraId="4E71C8FC" w14:textId="77777777" w:rsidR="00AC2703" w:rsidRPr="00C254A4" w:rsidRDefault="00AC2703" w:rsidP="00C91217">
            <w:pPr>
              <w:spacing w:line="276" w:lineRule="auto"/>
              <w:ind w:left="189"/>
              <w:rPr>
                <w:snapToGrid w:val="0"/>
                <w:color w:val="000000"/>
              </w:rPr>
            </w:pPr>
            <w:r w:rsidRPr="00C254A4">
              <w:rPr>
                <w:snapToGrid w:val="0"/>
                <w:color w:val="000000"/>
              </w:rPr>
              <w:t>v 3 rozdelených dávkach</w:t>
            </w:r>
          </w:p>
        </w:tc>
      </w:tr>
      <w:tr w:rsidR="00AC2703" w:rsidRPr="00C254A4" w14:paraId="5C4D6CA9" w14:textId="77777777" w:rsidTr="00C91217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C84B" w14:textId="77777777" w:rsidR="00AC2703" w:rsidRPr="00C254A4" w:rsidRDefault="00AC2703" w:rsidP="00C91217">
            <w:pPr>
              <w:spacing w:line="276" w:lineRule="auto"/>
              <w:ind w:left="72"/>
              <w:rPr>
                <w:snapToGrid w:val="0"/>
                <w:color w:val="000000"/>
              </w:rPr>
            </w:pPr>
            <w:r w:rsidRPr="00C254A4">
              <w:rPr>
                <w:snapToGrid w:val="0"/>
                <w:color w:val="000000"/>
              </w:rPr>
              <w:t>Dojčatá vo veku 1–12 mesiacov</w:t>
            </w:r>
            <w:r w:rsidRPr="00C254A4">
              <w:rPr>
                <w:snapToGrid w:val="0"/>
                <w:color w:val="000000"/>
              </w:rPr>
              <w:br/>
              <w:t>(telesná hmotnosť do 10 kg)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D976" w14:textId="77777777" w:rsidR="00AC2703" w:rsidRPr="00C254A4" w:rsidRDefault="00AC2703" w:rsidP="00C91217">
            <w:pPr>
              <w:spacing w:line="276" w:lineRule="auto"/>
              <w:ind w:left="189"/>
              <w:rPr>
                <w:snapToGrid w:val="0"/>
                <w:color w:val="000000"/>
              </w:rPr>
            </w:pPr>
            <w:r w:rsidRPr="00C254A4">
              <w:rPr>
                <w:snapToGrid w:val="0"/>
                <w:color w:val="000000"/>
              </w:rPr>
              <w:t>200–300 mg/kg telesnej hmotnosti</w:t>
            </w:r>
          </w:p>
          <w:p w14:paraId="45475324" w14:textId="77777777" w:rsidR="00AC2703" w:rsidRPr="00C254A4" w:rsidRDefault="00AC2703" w:rsidP="00C91217">
            <w:pPr>
              <w:spacing w:line="276" w:lineRule="auto"/>
              <w:ind w:left="189"/>
              <w:rPr>
                <w:snapToGrid w:val="0"/>
                <w:color w:val="000000"/>
              </w:rPr>
            </w:pPr>
            <w:r w:rsidRPr="00C254A4">
              <w:rPr>
                <w:snapToGrid w:val="0"/>
                <w:color w:val="000000"/>
              </w:rPr>
              <w:t>v 3 rozdelených dávkach</w:t>
            </w:r>
          </w:p>
        </w:tc>
      </w:tr>
      <w:tr w:rsidR="00AC2703" w:rsidRPr="00C254A4" w14:paraId="2EF1C7C4" w14:textId="77777777" w:rsidTr="00C91217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6E68" w14:textId="77777777" w:rsidR="00AC2703" w:rsidRPr="00C254A4" w:rsidRDefault="00AC2703" w:rsidP="00C91217">
            <w:pPr>
              <w:spacing w:line="276" w:lineRule="auto"/>
              <w:ind w:left="72"/>
              <w:rPr>
                <w:snapToGrid w:val="0"/>
                <w:color w:val="000000"/>
              </w:rPr>
            </w:pPr>
            <w:r w:rsidRPr="00C254A4">
              <w:rPr>
                <w:snapToGrid w:val="0"/>
                <w:color w:val="000000"/>
              </w:rPr>
              <w:t>Dojčatá a deti vo veku 1–12 rokov</w:t>
            </w:r>
            <w:r w:rsidRPr="00C254A4">
              <w:rPr>
                <w:snapToGrid w:val="0"/>
                <w:color w:val="000000"/>
              </w:rPr>
              <w:br/>
              <w:t>(telesná hmotnosť 10–40 kg)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4B8B" w14:textId="77777777" w:rsidR="00AC2703" w:rsidRPr="00C254A4" w:rsidRDefault="00CF1F91" w:rsidP="00C91217">
            <w:pPr>
              <w:spacing w:line="276" w:lineRule="auto"/>
              <w:ind w:left="189"/>
              <w:rPr>
                <w:snapToGrid w:val="0"/>
                <w:color w:val="000000"/>
              </w:rPr>
            </w:pPr>
            <w:r w:rsidRPr="00C254A4">
              <w:rPr>
                <w:snapToGrid w:val="0"/>
                <w:color w:val="000000"/>
              </w:rPr>
              <w:t>200–400 mg/kg telesnej hmotnosti</w:t>
            </w:r>
          </w:p>
          <w:p w14:paraId="48D50370" w14:textId="77777777" w:rsidR="00AC2703" w:rsidRPr="00C254A4" w:rsidRDefault="00AC2703" w:rsidP="00C91217">
            <w:pPr>
              <w:spacing w:line="276" w:lineRule="auto"/>
              <w:ind w:left="189"/>
              <w:rPr>
                <w:snapToGrid w:val="0"/>
                <w:color w:val="000000"/>
              </w:rPr>
            </w:pPr>
            <w:r w:rsidRPr="00C254A4">
              <w:rPr>
                <w:snapToGrid w:val="0"/>
                <w:color w:val="000000"/>
              </w:rPr>
              <w:t xml:space="preserve">v 3– 4 rozdelených dávkach </w:t>
            </w:r>
          </w:p>
        </w:tc>
      </w:tr>
      <w:tr w:rsidR="00AC2703" w:rsidRPr="00C254A4" w14:paraId="3D11EF06" w14:textId="77777777" w:rsidTr="00C91217">
        <w:trPr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6925" w14:textId="77777777" w:rsidR="00AC2703" w:rsidRPr="00C254A4" w:rsidRDefault="00AC2703" w:rsidP="00C91217">
            <w:pPr>
              <w:spacing w:line="276" w:lineRule="auto"/>
              <w:ind w:left="72"/>
              <w:rPr>
                <w:snapToGrid w:val="0"/>
                <w:color w:val="000000"/>
              </w:rPr>
            </w:pPr>
            <w:r w:rsidRPr="00C254A4">
              <w:rPr>
                <w:snapToGrid w:val="0"/>
                <w:color w:val="000000"/>
              </w:rPr>
              <w:t xml:space="preserve">Dospievajúci vo veku 12–18 rokov a dospelí </w:t>
            </w:r>
          </w:p>
          <w:p w14:paraId="0E937A19" w14:textId="77777777" w:rsidR="00AC2703" w:rsidRPr="00C254A4" w:rsidRDefault="00AC2703" w:rsidP="00C91217">
            <w:pPr>
              <w:spacing w:line="276" w:lineRule="auto"/>
              <w:ind w:left="72"/>
              <w:rPr>
                <w:snapToGrid w:val="0"/>
                <w:color w:val="000000"/>
              </w:rPr>
            </w:pPr>
            <w:r w:rsidRPr="00C254A4">
              <w:rPr>
                <w:snapToGrid w:val="0"/>
                <w:color w:val="000000"/>
              </w:rPr>
              <w:t>(&gt; 40 kg telesnej hmotnosti)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D9C3" w14:textId="77777777" w:rsidR="00AC2703" w:rsidRPr="00C254A4" w:rsidRDefault="00CF1F91" w:rsidP="00C91217">
            <w:pPr>
              <w:spacing w:line="276" w:lineRule="auto"/>
              <w:ind w:left="189"/>
              <w:rPr>
                <w:snapToGrid w:val="0"/>
                <w:color w:val="000000"/>
              </w:rPr>
            </w:pPr>
            <w:r w:rsidRPr="00C254A4">
              <w:rPr>
                <w:snapToGrid w:val="0"/>
                <w:color w:val="000000"/>
              </w:rPr>
              <w:t>12–24 g rozdelených na 2–4 dávky</w:t>
            </w:r>
          </w:p>
        </w:tc>
      </w:tr>
    </w:tbl>
    <w:p w14:paraId="740B8335" w14:textId="77777777" w:rsidR="008E63B6" w:rsidRPr="00C254A4" w:rsidRDefault="008E63B6" w:rsidP="009C1642">
      <w:pPr>
        <w:rPr>
          <w:lang w:val="en-GB"/>
        </w:rPr>
      </w:pPr>
    </w:p>
    <w:p w14:paraId="78B573C6" w14:textId="77777777" w:rsidR="00CF1F91" w:rsidRPr="00C254A4" w:rsidRDefault="00CF1F91" w:rsidP="009C1642">
      <w:r w:rsidRPr="00C254A4">
        <w:t>Jednotlivé dávky nesmú prekročiť 8 g.</w:t>
      </w:r>
    </w:p>
    <w:p w14:paraId="642765F1" w14:textId="77777777" w:rsidR="008E63B6" w:rsidRPr="00C254A4" w:rsidRDefault="008E63B6" w:rsidP="009C1642">
      <w:r w:rsidRPr="00C254A4">
        <w:t>Ak máte problémy s obličkami alebo potrebujete dialýzu, váš lekár vám môže znížiť dávku tohto lieku.</w:t>
      </w:r>
    </w:p>
    <w:p w14:paraId="567EC7DC" w14:textId="77777777" w:rsidR="008E63B6" w:rsidRPr="00C254A4" w:rsidRDefault="008E63B6" w:rsidP="009C1642"/>
    <w:p w14:paraId="58C61FAF" w14:textId="77777777" w:rsidR="009C1642" w:rsidRPr="00C254A4" w:rsidRDefault="009C1642" w:rsidP="009C1642">
      <w:pPr>
        <w:rPr>
          <w:b/>
        </w:rPr>
      </w:pPr>
      <w:r w:rsidRPr="00C254A4">
        <w:rPr>
          <w:b/>
        </w:rPr>
        <w:t>Trvanie liečby</w:t>
      </w:r>
    </w:p>
    <w:p w14:paraId="43BA5178" w14:textId="1ED742A3" w:rsidR="00771C0A" w:rsidRPr="00C254A4" w:rsidRDefault="005366BD" w:rsidP="00771C0A">
      <w:pPr>
        <w:rPr>
          <w:spacing w:val="-3"/>
        </w:rPr>
      </w:pPr>
      <w:r w:rsidRPr="00C254A4">
        <w:t>Váš lekár rozhodne ako dlho má trvať vaša liečba v závislosti od toho, ako rýchlo sa bude váš stav zlepšovať. Pri liečbe bakteriálnych infekcií je dôležité dokončiť celý cyklus liečby. Aj po ustúpení horúčky a </w:t>
      </w:r>
      <w:r w:rsidR="00D42B43">
        <w:t>zmiernení</w:t>
      </w:r>
      <w:r w:rsidRPr="00C254A4">
        <w:t xml:space="preserve"> príznakov sa má v liečbe pokračovať ešte niekoľko dní.</w:t>
      </w:r>
    </w:p>
    <w:p w14:paraId="5DD43AB7" w14:textId="408287F5" w:rsidR="009B556D" w:rsidRPr="00C254A4" w:rsidRDefault="00B12543">
      <w:r w:rsidRPr="00C254A4">
        <w:t xml:space="preserve">Pri určitých infekciách, ako sú napríklad infekcie kostí, sa môže po ustúpení príznakov vyžadovať </w:t>
      </w:r>
      <w:r w:rsidR="00D42B43">
        <w:t xml:space="preserve">ešte </w:t>
      </w:r>
      <w:r w:rsidRPr="00C254A4">
        <w:t>dlhšie liečebné obdobie.</w:t>
      </w:r>
    </w:p>
    <w:p w14:paraId="31DD5B51" w14:textId="77777777" w:rsidR="001E7F13" w:rsidRPr="00C254A4" w:rsidRDefault="001E7F13"/>
    <w:p w14:paraId="14050E4A" w14:textId="441DA653" w:rsidR="001E7F13" w:rsidRPr="00C254A4" w:rsidRDefault="002F0F64">
      <w:pPr>
        <w:ind w:right="-2"/>
      </w:pPr>
      <w:r w:rsidRPr="00C254A4">
        <w:rPr>
          <w:b/>
          <w:bCs/>
        </w:rPr>
        <w:t xml:space="preserve">Ak dostanete viac </w:t>
      </w:r>
      <w:proofErr w:type="spellStart"/>
      <w:r w:rsidR="00C254A4" w:rsidRPr="00C254A4">
        <w:rPr>
          <w:b/>
          <w:bCs/>
        </w:rPr>
        <w:t>Fomicyt</w:t>
      </w:r>
      <w:r w:rsidR="00D42B43">
        <w:rPr>
          <w:b/>
          <w:bCs/>
        </w:rPr>
        <w:t>u</w:t>
      </w:r>
      <w:proofErr w:type="spellEnd"/>
      <w:r w:rsidRPr="00C254A4">
        <w:rPr>
          <w:b/>
          <w:bCs/>
        </w:rPr>
        <w:t>, ako máte</w:t>
      </w:r>
    </w:p>
    <w:p w14:paraId="2101FAE3" w14:textId="77777777" w:rsidR="00533B7B" w:rsidRPr="00C254A4" w:rsidRDefault="00164DC3" w:rsidP="00533B7B">
      <w:r w:rsidRPr="00C254A4">
        <w:t xml:space="preserve">Je nepravdepodobné, že vám váš lekár alebo zdravotná sestra podajú príliš veľa lieku. Ak si myslíte, že ste dostali príliš veľa tohto lieku, okamžite sa ich na to opýtajte. </w:t>
      </w:r>
    </w:p>
    <w:p w14:paraId="64028D4F" w14:textId="77777777" w:rsidR="00533B7B" w:rsidRPr="00C254A4" w:rsidRDefault="00533B7B">
      <w:pPr>
        <w:ind w:right="-2"/>
        <w:rPr>
          <w:b/>
          <w:bCs/>
        </w:rPr>
      </w:pPr>
    </w:p>
    <w:p w14:paraId="50F40E67" w14:textId="77777777" w:rsidR="001E7F13" w:rsidRPr="00C254A4" w:rsidRDefault="001E7F13">
      <w:r w:rsidRPr="00C254A4">
        <w:t>Ak máte akékoľvek ďalšie otázky týkajúce sa použitia tohto lieku, opýtajte sa svojho lekára alebo lekárnika.</w:t>
      </w:r>
    </w:p>
    <w:p w14:paraId="3DD9652D" w14:textId="77777777" w:rsidR="001E7F13" w:rsidRPr="00C254A4" w:rsidRDefault="001E7F13"/>
    <w:p w14:paraId="580B4E6E" w14:textId="77777777" w:rsidR="00BA7D85" w:rsidRPr="00C254A4" w:rsidRDefault="00BA7D85"/>
    <w:p w14:paraId="44CCBF0E" w14:textId="77777777" w:rsidR="001E7F13" w:rsidRPr="00C254A4" w:rsidRDefault="001E7F13">
      <w:pPr>
        <w:ind w:left="567" w:right="-2" w:hanging="567"/>
      </w:pPr>
      <w:r w:rsidRPr="00C254A4">
        <w:rPr>
          <w:b/>
          <w:bCs/>
        </w:rPr>
        <w:t>4.</w:t>
      </w:r>
      <w:r w:rsidRPr="00C254A4">
        <w:rPr>
          <w:b/>
          <w:bCs/>
        </w:rPr>
        <w:tab/>
        <w:t>Možné vedľajšie účinky</w:t>
      </w:r>
    </w:p>
    <w:p w14:paraId="7DCA67E8" w14:textId="77777777" w:rsidR="001E7F13" w:rsidRPr="00C254A4" w:rsidRDefault="001E7F13">
      <w:pPr>
        <w:ind w:right="-29"/>
      </w:pPr>
    </w:p>
    <w:p w14:paraId="590117BB" w14:textId="77777777" w:rsidR="001E7F13" w:rsidRPr="00C254A4" w:rsidRDefault="001E7F13">
      <w:pPr>
        <w:ind w:right="-29"/>
      </w:pPr>
      <w:r w:rsidRPr="00C254A4">
        <w:t xml:space="preserve">Tak ako všetky lieky, aj tento liek môže spôsobovať vedľajšie účinky, hoci sa neprejavia u každého. </w:t>
      </w:r>
    </w:p>
    <w:p w14:paraId="19F842DE" w14:textId="77777777" w:rsidR="001E7F13" w:rsidRPr="00C254A4" w:rsidRDefault="001E7F13">
      <w:pPr>
        <w:ind w:right="-29"/>
      </w:pPr>
    </w:p>
    <w:p w14:paraId="642A01A2" w14:textId="77777777" w:rsidR="00F877A0" w:rsidRPr="00C254A4" w:rsidRDefault="00F877A0">
      <w:pPr>
        <w:ind w:right="-29"/>
        <w:rPr>
          <w:b/>
        </w:rPr>
      </w:pPr>
      <w:r w:rsidRPr="00C254A4">
        <w:rPr>
          <w:b/>
        </w:rPr>
        <w:t>Príznaky, ktoré budete musieť pozorovať</w:t>
      </w:r>
    </w:p>
    <w:p w14:paraId="3A8D8C87" w14:textId="77777777" w:rsidR="00533B7B" w:rsidRPr="00C254A4" w:rsidRDefault="007C1CC9" w:rsidP="00533B7B">
      <w:pPr>
        <w:rPr>
          <w:b/>
          <w:spacing w:val="-3"/>
        </w:rPr>
      </w:pPr>
      <w:r w:rsidRPr="00C254A4">
        <w:rPr>
          <w:b/>
        </w:rPr>
        <w:t xml:space="preserve">Okamžite oznámte svojmu lekárovi, ak spozorujete ktorýkoľvek z nasledujúcich závažných vedľajších účinkov – môžete potrebovať </w:t>
      </w:r>
      <w:r w:rsidRPr="006E5BB3">
        <w:rPr>
          <w:b/>
        </w:rPr>
        <w:t>súrne</w:t>
      </w:r>
      <w:r w:rsidRPr="00C254A4">
        <w:rPr>
          <w:b/>
        </w:rPr>
        <w:t xml:space="preserve"> lekárske ošetrenie:</w:t>
      </w:r>
    </w:p>
    <w:p w14:paraId="6354E75D" w14:textId="73CF5653" w:rsidR="007C1CC9" w:rsidRPr="00C254A4" w:rsidRDefault="00CA1D6A" w:rsidP="00354E70">
      <w:pPr>
        <w:numPr>
          <w:ilvl w:val="0"/>
          <w:numId w:val="4"/>
        </w:numPr>
        <w:rPr>
          <w:spacing w:val="-3"/>
        </w:rPr>
      </w:pPr>
      <w:r w:rsidRPr="00C254A4">
        <w:t xml:space="preserve">prejavy ťažkej alergickej reakcie (veľmi zriedkavé, môžu </w:t>
      </w:r>
      <w:r w:rsidR="009A6FA2">
        <w:t>postihovať</w:t>
      </w:r>
      <w:r w:rsidRPr="00C254A4">
        <w:t xml:space="preserve"> menej ako 1  z 10</w:t>
      </w:r>
      <w:r w:rsidR="009A6FA2">
        <w:t> </w:t>
      </w:r>
      <w:r w:rsidRPr="00C254A4">
        <w:t>000</w:t>
      </w:r>
      <w:r w:rsidR="009A6FA2">
        <w:t xml:space="preserve"> osôb</w:t>
      </w:r>
      <w:r w:rsidRPr="00C254A4">
        <w:t xml:space="preserve">). Tie môžu zahŕňať: problémy s dýchaním alebo prehĺtaním, </w:t>
      </w:r>
      <w:r w:rsidR="009A6FA2">
        <w:t xml:space="preserve">náhly sipot, </w:t>
      </w:r>
      <w:r w:rsidRPr="00C254A4">
        <w:t>závrat, opuch očných viečok, tváre, pier alebo jazyka, vyrážka alebo svrbenie.</w:t>
      </w:r>
    </w:p>
    <w:p w14:paraId="4B3CD033" w14:textId="77777777" w:rsidR="007C1CC9" w:rsidRPr="00C254A4" w:rsidRDefault="007C1CC9" w:rsidP="00354E70">
      <w:pPr>
        <w:numPr>
          <w:ilvl w:val="0"/>
          <w:numId w:val="4"/>
        </w:numPr>
        <w:rPr>
          <w:spacing w:val="-3"/>
        </w:rPr>
      </w:pPr>
      <w:r w:rsidRPr="00C254A4">
        <w:t>závažná a pretrvávajúca hnačka (ktorá sa môže spájať s bolesťou brucha alebo horúčkou). Môže to byť prejav ťažkého zápalu čriev. Neužívajte lieky proti hnačke ktoré utlmujú pohyb čriev (</w:t>
      </w:r>
      <w:proofErr w:type="spellStart"/>
      <w:r w:rsidRPr="00C254A4">
        <w:t>antiperistaltiká</w:t>
      </w:r>
      <w:proofErr w:type="spellEnd"/>
      <w:r w:rsidRPr="00C254A4">
        <w:t>)!</w:t>
      </w:r>
    </w:p>
    <w:p w14:paraId="770C0034" w14:textId="77777777" w:rsidR="00BA0890" w:rsidRPr="00C254A4" w:rsidRDefault="00BA0890" w:rsidP="00354E70">
      <w:pPr>
        <w:numPr>
          <w:ilvl w:val="0"/>
          <w:numId w:val="4"/>
        </w:numPr>
        <w:rPr>
          <w:spacing w:val="-3"/>
        </w:rPr>
      </w:pPr>
      <w:r w:rsidRPr="00C254A4">
        <w:t>zožltnutie kože alebo očných bielok (žltačka). Môžu to byť skoré prejavy problémov s pečeňou.</w:t>
      </w:r>
    </w:p>
    <w:p w14:paraId="2270B644" w14:textId="1421B170" w:rsidR="00B12222" w:rsidRPr="00C254A4" w:rsidRDefault="00B12222" w:rsidP="00354E70">
      <w:pPr>
        <w:numPr>
          <w:ilvl w:val="0"/>
          <w:numId w:val="4"/>
        </w:numPr>
        <w:rPr>
          <w:spacing w:val="-3"/>
        </w:rPr>
      </w:pPr>
      <w:r w:rsidRPr="00C254A4">
        <w:lastRenderedPageBreak/>
        <w:t xml:space="preserve">zmätenosť, svalové </w:t>
      </w:r>
      <w:proofErr w:type="spellStart"/>
      <w:r w:rsidRPr="00C254A4">
        <w:t>zášklby</w:t>
      </w:r>
      <w:proofErr w:type="spellEnd"/>
      <w:r w:rsidRPr="00C254A4">
        <w:t xml:space="preserve"> alebo neobvyklý srdcový rytmus. Môže to byť spôsobené vysokými hladinami sodíka v krvi alebo nízkymi hladinami draslíka v krvi (časté, môžu </w:t>
      </w:r>
      <w:r w:rsidR="009A6FA2">
        <w:t>postihovať</w:t>
      </w:r>
      <w:r w:rsidRPr="00C254A4">
        <w:t xml:space="preserve"> menej ako 1 z</w:t>
      </w:r>
      <w:r w:rsidR="00E01F33">
        <w:t> </w:t>
      </w:r>
      <w:r w:rsidRPr="00C254A4">
        <w:t>10</w:t>
      </w:r>
      <w:r w:rsidR="00E01F33">
        <w:t xml:space="preserve"> osôb</w:t>
      </w:r>
      <w:r w:rsidRPr="00C254A4">
        <w:t>).</w:t>
      </w:r>
    </w:p>
    <w:p w14:paraId="590D0D6B" w14:textId="77777777" w:rsidR="007C1CC9" w:rsidRPr="00C254A4" w:rsidRDefault="007C1CC9" w:rsidP="00533B7B"/>
    <w:p w14:paraId="64C89CFB" w14:textId="77777777" w:rsidR="003D6973" w:rsidRPr="00C254A4" w:rsidRDefault="003D6973" w:rsidP="003D6973">
      <w:r w:rsidRPr="00C254A4">
        <w:t xml:space="preserve">Ak zaznamenáte akékoľvek z nasledujúcich vedľajších účinkov, </w:t>
      </w:r>
      <w:r w:rsidRPr="00C254A4">
        <w:rPr>
          <w:b/>
        </w:rPr>
        <w:t>povedzte to svojmu lekárovi alebo zdravotnej sestre hneď, ako je to možné:</w:t>
      </w:r>
    </w:p>
    <w:p w14:paraId="7F3B4496" w14:textId="5A2878F1" w:rsidR="00537D44" w:rsidRPr="00C254A4" w:rsidRDefault="00537D44" w:rsidP="00354E70">
      <w:pPr>
        <w:numPr>
          <w:ilvl w:val="0"/>
          <w:numId w:val="6"/>
        </w:numPr>
      </w:pPr>
      <w:r w:rsidRPr="00C254A4">
        <w:t xml:space="preserve">bolesť, pocit pálenia, sčervenanie alebo opuch pozdĺž </w:t>
      </w:r>
      <w:r w:rsidR="00E01F33">
        <w:t>žily</w:t>
      </w:r>
      <w:r w:rsidRPr="00C254A4">
        <w:t xml:space="preserve">, do ktorej sa podáva infúzia tohto lieku (časté, môžu </w:t>
      </w:r>
      <w:r w:rsidR="00E01F33">
        <w:t>postihovať</w:t>
      </w:r>
      <w:r w:rsidRPr="00C254A4">
        <w:t xml:space="preserve"> menej ako 1 z</w:t>
      </w:r>
      <w:r w:rsidR="00E01F33">
        <w:t> </w:t>
      </w:r>
      <w:r w:rsidRPr="00C254A4">
        <w:t>10</w:t>
      </w:r>
      <w:r w:rsidR="00E01F33">
        <w:t xml:space="preserve"> osôb</w:t>
      </w:r>
      <w:r w:rsidRPr="00C254A4">
        <w:t>),</w:t>
      </w:r>
    </w:p>
    <w:p w14:paraId="1FC334EA" w14:textId="5DB48D97" w:rsidR="00773538" w:rsidRPr="00C254A4" w:rsidRDefault="00773538" w:rsidP="00354E70">
      <w:pPr>
        <w:numPr>
          <w:ilvl w:val="0"/>
          <w:numId w:val="6"/>
        </w:numPr>
      </w:pPr>
      <w:r w:rsidRPr="00C254A4">
        <w:t xml:space="preserve">ak </w:t>
      </w:r>
      <w:r w:rsidR="00E01F33">
        <w:t>častejšie</w:t>
      </w:r>
      <w:r w:rsidRPr="00C254A4">
        <w:t xml:space="preserve"> krvácate alebo sa u vás ľahšie tvoria podliatiny a ak máte viac infekcií, ako je obvyklé. Môže to byť kvôli tomu, že máte nízky počet bielych krviniek alebo krvných doštičiek.</w:t>
      </w:r>
    </w:p>
    <w:p w14:paraId="1ED1C9C1" w14:textId="77777777" w:rsidR="003D6973" w:rsidRPr="00C254A4" w:rsidRDefault="003D6973" w:rsidP="00533B7B">
      <w:pPr>
        <w:rPr>
          <w:b/>
        </w:rPr>
      </w:pPr>
    </w:p>
    <w:p w14:paraId="7135B54C" w14:textId="77777777" w:rsidR="003D6973" w:rsidRPr="00C254A4" w:rsidRDefault="009A685F" w:rsidP="00533B7B">
      <w:pPr>
        <w:rPr>
          <w:b/>
        </w:rPr>
      </w:pPr>
      <w:r w:rsidRPr="00C254A4">
        <w:rPr>
          <w:b/>
        </w:rPr>
        <w:t>Ďalšie vedľajšie účinky môžu zahŕňať:</w:t>
      </w:r>
    </w:p>
    <w:p w14:paraId="347909B0" w14:textId="77777777" w:rsidR="004D402D" w:rsidRPr="00C254A4" w:rsidRDefault="004D402D" w:rsidP="00533B7B"/>
    <w:p w14:paraId="22758021" w14:textId="4AFEA3C3" w:rsidR="009A685F" w:rsidRPr="00C254A4" w:rsidRDefault="009A685F" w:rsidP="004D402D">
      <w:pPr>
        <w:ind w:left="360"/>
        <w:rPr>
          <w:b/>
        </w:rPr>
      </w:pPr>
      <w:r w:rsidRPr="00C254A4">
        <w:rPr>
          <w:b/>
        </w:rPr>
        <w:t xml:space="preserve">Časté vedľajšie účinky (môžu </w:t>
      </w:r>
      <w:r w:rsidR="00E01F33">
        <w:rPr>
          <w:b/>
        </w:rPr>
        <w:t>postihovať</w:t>
      </w:r>
      <w:r w:rsidRPr="00C254A4">
        <w:rPr>
          <w:b/>
        </w:rPr>
        <w:t xml:space="preserve"> menej ako 1 z</w:t>
      </w:r>
      <w:r w:rsidR="00E01F33">
        <w:rPr>
          <w:b/>
        </w:rPr>
        <w:t> </w:t>
      </w:r>
      <w:r w:rsidRPr="00C254A4">
        <w:rPr>
          <w:b/>
        </w:rPr>
        <w:t>10</w:t>
      </w:r>
      <w:r w:rsidR="00E01F33">
        <w:rPr>
          <w:b/>
        </w:rPr>
        <w:t xml:space="preserve"> osôb</w:t>
      </w:r>
      <w:r w:rsidRPr="00C254A4">
        <w:rPr>
          <w:b/>
        </w:rPr>
        <w:t>)</w:t>
      </w:r>
    </w:p>
    <w:p w14:paraId="5BF98940" w14:textId="77777777" w:rsidR="00AA4F43" w:rsidRPr="00C254A4" w:rsidRDefault="009A685F" w:rsidP="00354E70">
      <w:pPr>
        <w:numPr>
          <w:ilvl w:val="0"/>
          <w:numId w:val="5"/>
        </w:numPr>
      </w:pPr>
      <w:r w:rsidRPr="00C254A4">
        <w:t>napínanie, bolesť žalúdka,</w:t>
      </w:r>
    </w:p>
    <w:p w14:paraId="10C127A4" w14:textId="2B28E81E" w:rsidR="00495D22" w:rsidRDefault="00AA4F43" w:rsidP="00E01F33">
      <w:pPr>
        <w:numPr>
          <w:ilvl w:val="0"/>
          <w:numId w:val="5"/>
        </w:numPr>
      </w:pPr>
      <w:r w:rsidRPr="00C254A4">
        <w:t>vyrážka so sčervenaním kože.</w:t>
      </w:r>
    </w:p>
    <w:p w14:paraId="646440B7" w14:textId="77777777" w:rsidR="00E01F33" w:rsidRPr="00C254A4" w:rsidRDefault="00E01F33" w:rsidP="005119CF">
      <w:pPr>
        <w:ind w:left="720"/>
      </w:pPr>
    </w:p>
    <w:p w14:paraId="5AE6D123" w14:textId="357A48B8" w:rsidR="009A685F" w:rsidRPr="00C254A4" w:rsidRDefault="009A685F" w:rsidP="005119CF">
      <w:pPr>
        <w:ind w:left="357"/>
        <w:rPr>
          <w:b/>
        </w:rPr>
      </w:pPr>
      <w:r w:rsidRPr="00C254A4">
        <w:rPr>
          <w:b/>
        </w:rPr>
        <w:t xml:space="preserve">Menej časté vedľajšie účinky (môžu </w:t>
      </w:r>
      <w:r w:rsidR="00E01F33">
        <w:rPr>
          <w:b/>
        </w:rPr>
        <w:t>postihovať</w:t>
      </w:r>
      <w:r w:rsidRPr="00C254A4">
        <w:rPr>
          <w:b/>
        </w:rPr>
        <w:t xml:space="preserve"> menej ako 1 zo 100</w:t>
      </w:r>
      <w:r w:rsidR="00E01F33">
        <w:rPr>
          <w:b/>
        </w:rPr>
        <w:t xml:space="preserve"> osôb</w:t>
      </w:r>
      <w:r w:rsidRPr="00C254A4">
        <w:rPr>
          <w:b/>
        </w:rPr>
        <w:t>)</w:t>
      </w:r>
    </w:p>
    <w:p w14:paraId="63F204CD" w14:textId="77777777" w:rsidR="009A685F" w:rsidRPr="00C254A4" w:rsidRDefault="009A685F" w:rsidP="00354E70">
      <w:pPr>
        <w:numPr>
          <w:ilvl w:val="0"/>
          <w:numId w:val="5"/>
        </w:numPr>
      </w:pPr>
      <w:r w:rsidRPr="00C254A4">
        <w:t xml:space="preserve">nevoľnosť, vracanie alebo mierna hnačka, </w:t>
      </w:r>
    </w:p>
    <w:p w14:paraId="56AF2B8D" w14:textId="2F449582" w:rsidR="009A685F" w:rsidRPr="00C254A4" w:rsidRDefault="00E01F33" w:rsidP="00354E70">
      <w:pPr>
        <w:numPr>
          <w:ilvl w:val="0"/>
          <w:numId w:val="5"/>
        </w:numPr>
      </w:pPr>
      <w:r>
        <w:t>p</w:t>
      </w:r>
      <w:r w:rsidR="009A685F" w:rsidRPr="00C254A4">
        <w:t>oruchy chute,</w:t>
      </w:r>
    </w:p>
    <w:p w14:paraId="19269C76" w14:textId="77777777" w:rsidR="00EC046D" w:rsidRPr="00C254A4" w:rsidRDefault="00EC046D" w:rsidP="00354E70">
      <w:pPr>
        <w:numPr>
          <w:ilvl w:val="0"/>
          <w:numId w:val="5"/>
        </w:numPr>
      </w:pPr>
      <w:r w:rsidRPr="00C254A4">
        <w:t>dýchavičnosť,</w:t>
      </w:r>
    </w:p>
    <w:p w14:paraId="794D2558" w14:textId="77777777" w:rsidR="00EC046D" w:rsidRPr="00C254A4" w:rsidRDefault="00EC046D" w:rsidP="00354E70">
      <w:pPr>
        <w:numPr>
          <w:ilvl w:val="0"/>
          <w:numId w:val="5"/>
        </w:numPr>
      </w:pPr>
      <w:r w:rsidRPr="00C254A4">
        <w:t>vyrážka,</w:t>
      </w:r>
    </w:p>
    <w:p w14:paraId="1F9E8FF1" w14:textId="77777777" w:rsidR="009A685F" w:rsidRPr="00C254A4" w:rsidRDefault="009A685F" w:rsidP="00354E70">
      <w:pPr>
        <w:numPr>
          <w:ilvl w:val="0"/>
          <w:numId w:val="5"/>
        </w:numPr>
      </w:pPr>
      <w:r w:rsidRPr="00C254A4">
        <w:t xml:space="preserve">znížená chuť do jedla, </w:t>
      </w:r>
    </w:p>
    <w:p w14:paraId="2104C47A" w14:textId="77777777" w:rsidR="009A685F" w:rsidRPr="00C254A4" w:rsidRDefault="009A685F" w:rsidP="00354E70">
      <w:pPr>
        <w:numPr>
          <w:ilvl w:val="0"/>
          <w:numId w:val="5"/>
        </w:numPr>
      </w:pPr>
      <w:r w:rsidRPr="00C254A4">
        <w:t>bolesť hlavy,</w:t>
      </w:r>
    </w:p>
    <w:p w14:paraId="4EF25170" w14:textId="77777777" w:rsidR="009A685F" w:rsidRPr="00C254A4" w:rsidRDefault="009A685F" w:rsidP="00354E70">
      <w:pPr>
        <w:numPr>
          <w:ilvl w:val="0"/>
          <w:numId w:val="5"/>
        </w:numPr>
      </w:pPr>
      <w:r w:rsidRPr="00C254A4">
        <w:t>pocit závratu alebo „točenia“,</w:t>
      </w:r>
    </w:p>
    <w:p w14:paraId="412B1CB7" w14:textId="77777777" w:rsidR="009A685F" w:rsidRPr="00C254A4" w:rsidRDefault="009A685F" w:rsidP="00354E70">
      <w:pPr>
        <w:numPr>
          <w:ilvl w:val="0"/>
          <w:numId w:val="5"/>
        </w:numPr>
      </w:pPr>
      <w:r w:rsidRPr="00C254A4">
        <w:t>únava,</w:t>
      </w:r>
    </w:p>
    <w:p w14:paraId="2DF968F4" w14:textId="77777777" w:rsidR="00EC046D" w:rsidRPr="00C254A4" w:rsidRDefault="00EC046D" w:rsidP="00354E70">
      <w:pPr>
        <w:numPr>
          <w:ilvl w:val="0"/>
          <w:numId w:val="5"/>
        </w:numPr>
      </w:pPr>
      <w:r w:rsidRPr="00C254A4">
        <w:t>vysoké hladiny pečeňových enzýmov v krvi, ktoré môžu súvisieť s problémami s pečeňou,</w:t>
      </w:r>
    </w:p>
    <w:p w14:paraId="543C35A0" w14:textId="77777777" w:rsidR="00361A2C" w:rsidRPr="00C254A4" w:rsidRDefault="000C644F" w:rsidP="00E01F33">
      <w:pPr>
        <w:numPr>
          <w:ilvl w:val="0"/>
          <w:numId w:val="5"/>
        </w:numPr>
      </w:pPr>
      <w:r w:rsidRPr="00C254A4">
        <w:t>opuch spôsobený zadržiavaním tekutín (edém).</w:t>
      </w:r>
    </w:p>
    <w:p w14:paraId="67B557DC" w14:textId="77777777" w:rsidR="00E01F33" w:rsidRDefault="00E01F33" w:rsidP="005119CF">
      <w:pPr>
        <w:ind w:left="357"/>
        <w:rPr>
          <w:b/>
        </w:rPr>
      </w:pPr>
    </w:p>
    <w:p w14:paraId="24E224ED" w14:textId="6D6D5BA0" w:rsidR="009A685F" w:rsidRPr="00C254A4" w:rsidRDefault="009A685F" w:rsidP="005119CF">
      <w:pPr>
        <w:ind w:left="357"/>
        <w:rPr>
          <w:b/>
        </w:rPr>
      </w:pPr>
      <w:r w:rsidRPr="00C254A4">
        <w:rPr>
          <w:b/>
        </w:rPr>
        <w:t xml:space="preserve">Zriedkavé vedľajšie účinky (môžu </w:t>
      </w:r>
      <w:r w:rsidR="00CF28EF">
        <w:rPr>
          <w:b/>
        </w:rPr>
        <w:t>postihovať</w:t>
      </w:r>
      <w:r w:rsidRPr="00C254A4">
        <w:rPr>
          <w:b/>
        </w:rPr>
        <w:t xml:space="preserve"> menej ako 1 z 1</w:t>
      </w:r>
      <w:r w:rsidR="00CF28EF">
        <w:rPr>
          <w:b/>
        </w:rPr>
        <w:t> </w:t>
      </w:r>
      <w:r w:rsidRPr="00C254A4">
        <w:rPr>
          <w:b/>
        </w:rPr>
        <w:t>000</w:t>
      </w:r>
      <w:r w:rsidR="00CF28EF">
        <w:rPr>
          <w:b/>
        </w:rPr>
        <w:t xml:space="preserve"> osôb</w:t>
      </w:r>
      <w:r w:rsidRPr="00C254A4">
        <w:rPr>
          <w:b/>
        </w:rPr>
        <w:t>)</w:t>
      </w:r>
    </w:p>
    <w:p w14:paraId="12AF5DDC" w14:textId="1760FEFD" w:rsidR="003D6973" w:rsidRPr="00C254A4" w:rsidRDefault="00A43084" w:rsidP="00354E70">
      <w:pPr>
        <w:numPr>
          <w:ilvl w:val="0"/>
          <w:numId w:val="5"/>
        </w:numPr>
      </w:pPr>
      <w:r w:rsidRPr="00C254A4">
        <w:t>bledá koža, slabosť alebo dýchavičnosť (ktor</w:t>
      </w:r>
      <w:r w:rsidR="00CF28EF">
        <w:t>é</w:t>
      </w:r>
      <w:r w:rsidRPr="00C254A4">
        <w:t xml:space="preserve"> môžu byť spôsobené zníženým počtom krviniek),</w:t>
      </w:r>
    </w:p>
    <w:p w14:paraId="6CB07884" w14:textId="77777777" w:rsidR="009A685F" w:rsidRPr="00C254A4" w:rsidRDefault="009A685F" w:rsidP="00E01F33">
      <w:pPr>
        <w:numPr>
          <w:ilvl w:val="0"/>
          <w:numId w:val="5"/>
        </w:numPr>
      </w:pPr>
      <w:r w:rsidRPr="00C254A4">
        <w:t>vysoké hladiny určitých bielych krviniek (</w:t>
      </w:r>
      <w:proofErr w:type="spellStart"/>
      <w:r w:rsidRPr="00C254A4">
        <w:t>eozinofília</w:t>
      </w:r>
      <w:proofErr w:type="spellEnd"/>
      <w:r w:rsidRPr="00C254A4">
        <w:t>), zvyčajne súvisiace s alergickými ochoreniami.</w:t>
      </w:r>
    </w:p>
    <w:p w14:paraId="182FD7BF" w14:textId="77777777" w:rsidR="00E01F33" w:rsidRDefault="00E01F33" w:rsidP="005119CF">
      <w:pPr>
        <w:ind w:left="357"/>
        <w:rPr>
          <w:b/>
        </w:rPr>
      </w:pPr>
    </w:p>
    <w:p w14:paraId="490C579D" w14:textId="61BB3826" w:rsidR="009A685F" w:rsidRPr="00C254A4" w:rsidRDefault="009A685F" w:rsidP="005119CF">
      <w:pPr>
        <w:ind w:left="357"/>
        <w:rPr>
          <w:b/>
        </w:rPr>
      </w:pPr>
      <w:r w:rsidRPr="00C254A4">
        <w:rPr>
          <w:b/>
        </w:rPr>
        <w:t xml:space="preserve">Veľmi zriedkavé vedľajšie účinky (môžu </w:t>
      </w:r>
      <w:r w:rsidR="00CF28EF">
        <w:rPr>
          <w:b/>
        </w:rPr>
        <w:t>postihovať</w:t>
      </w:r>
      <w:r w:rsidRPr="00C254A4">
        <w:rPr>
          <w:b/>
        </w:rPr>
        <w:t xml:space="preserve"> menej ako 1 z 10</w:t>
      </w:r>
      <w:r w:rsidR="00CF28EF">
        <w:rPr>
          <w:b/>
        </w:rPr>
        <w:t> </w:t>
      </w:r>
      <w:r w:rsidRPr="00C254A4">
        <w:rPr>
          <w:b/>
        </w:rPr>
        <w:t>000</w:t>
      </w:r>
      <w:r w:rsidR="00CF28EF">
        <w:rPr>
          <w:b/>
        </w:rPr>
        <w:t xml:space="preserve"> osôb</w:t>
      </w:r>
      <w:r w:rsidRPr="00C254A4">
        <w:rPr>
          <w:b/>
        </w:rPr>
        <w:t>)</w:t>
      </w:r>
    </w:p>
    <w:p w14:paraId="7989FF05" w14:textId="77777777" w:rsidR="004C3F22" w:rsidRPr="00C254A4" w:rsidRDefault="004C3F22" w:rsidP="00354E70">
      <w:pPr>
        <w:numPr>
          <w:ilvl w:val="0"/>
          <w:numId w:val="5"/>
        </w:numPr>
      </w:pPr>
      <w:proofErr w:type="spellStart"/>
      <w:r w:rsidRPr="00C254A4">
        <w:t>stukovatenie</w:t>
      </w:r>
      <w:proofErr w:type="spellEnd"/>
      <w:r w:rsidRPr="00C254A4">
        <w:t xml:space="preserve"> pečene,</w:t>
      </w:r>
    </w:p>
    <w:p w14:paraId="3E094C9E" w14:textId="77777777" w:rsidR="00920314" w:rsidRPr="00C254A4" w:rsidRDefault="00920314" w:rsidP="00E01F33">
      <w:pPr>
        <w:numPr>
          <w:ilvl w:val="0"/>
          <w:numId w:val="5"/>
        </w:numPr>
      </w:pPr>
      <w:r w:rsidRPr="00C254A4">
        <w:t>poruchy zraku.</w:t>
      </w:r>
    </w:p>
    <w:p w14:paraId="373AE762" w14:textId="77777777" w:rsidR="00E01F33" w:rsidRDefault="00E01F33" w:rsidP="005119CF">
      <w:pPr>
        <w:ind w:left="357"/>
        <w:rPr>
          <w:b/>
        </w:rPr>
      </w:pPr>
    </w:p>
    <w:p w14:paraId="05CD0F29" w14:textId="77777777" w:rsidR="00920314" w:rsidRPr="00C254A4" w:rsidRDefault="00920314" w:rsidP="005119CF">
      <w:pPr>
        <w:ind w:left="357"/>
        <w:rPr>
          <w:b/>
        </w:rPr>
      </w:pPr>
      <w:r w:rsidRPr="00C254A4">
        <w:rPr>
          <w:b/>
        </w:rPr>
        <w:t>Vedľajšie účinky s neznámou frekvenciou</w:t>
      </w:r>
    </w:p>
    <w:p w14:paraId="26CB4F7E" w14:textId="720248EE" w:rsidR="00920314" w:rsidRPr="00C254A4" w:rsidRDefault="00920314" w:rsidP="00354E70">
      <w:pPr>
        <w:numPr>
          <w:ilvl w:val="0"/>
          <w:numId w:val="5"/>
        </w:numPr>
      </w:pPr>
      <w:r w:rsidRPr="00C254A4">
        <w:t>problémy s pečeňou (hepatitída), ktor</w:t>
      </w:r>
      <w:r w:rsidR="00CF28EF">
        <w:t>é</w:t>
      </w:r>
      <w:r w:rsidRPr="00C254A4">
        <w:t xml:space="preserve"> môž</w:t>
      </w:r>
      <w:r w:rsidR="00CF28EF">
        <w:t>u</w:t>
      </w:r>
      <w:r w:rsidRPr="00C254A4">
        <w:t xml:space="preserve"> byť sprevádzan</w:t>
      </w:r>
      <w:r w:rsidR="00CF28EF">
        <w:t>é</w:t>
      </w:r>
      <w:r w:rsidRPr="00C254A4">
        <w:t xml:space="preserve"> vysokými hladinami pečeňových enzýmov v krvi (</w:t>
      </w:r>
      <w:proofErr w:type="spellStart"/>
      <w:r w:rsidRPr="00C254A4">
        <w:t>gamaglutamyltransferáza</w:t>
      </w:r>
      <w:proofErr w:type="spellEnd"/>
      <w:r w:rsidRPr="00C254A4">
        <w:t>),</w:t>
      </w:r>
    </w:p>
    <w:p w14:paraId="60B56612" w14:textId="1BC40664" w:rsidR="00996C1F" w:rsidRPr="00C254A4" w:rsidRDefault="00996C1F" w:rsidP="00354E70">
      <w:pPr>
        <w:numPr>
          <w:ilvl w:val="0"/>
          <w:numId w:val="5"/>
        </w:numPr>
      </w:pPr>
      <w:r w:rsidRPr="00C254A4">
        <w:t xml:space="preserve">dýchavičnosť, </w:t>
      </w:r>
      <w:r w:rsidR="00CF28EF">
        <w:t>sipot</w:t>
      </w:r>
      <w:r w:rsidRPr="00C254A4">
        <w:t xml:space="preserve"> alebo </w:t>
      </w:r>
      <w:r w:rsidR="00CF28EF">
        <w:t xml:space="preserve">zvieravý </w:t>
      </w:r>
      <w:r w:rsidRPr="00C254A4">
        <w:t>pocit v hrudi. Môžu to byť prejavy astmatického záchvatu.</w:t>
      </w:r>
    </w:p>
    <w:p w14:paraId="2A199D74" w14:textId="77777777" w:rsidR="00537D44" w:rsidRPr="00C254A4" w:rsidRDefault="00537D44" w:rsidP="00354E70">
      <w:pPr>
        <w:numPr>
          <w:ilvl w:val="0"/>
          <w:numId w:val="5"/>
        </w:numPr>
      </w:pPr>
      <w:r w:rsidRPr="00C254A4">
        <w:t>rýchlejší tlkot srdca,</w:t>
      </w:r>
    </w:p>
    <w:p w14:paraId="33BA279C" w14:textId="77777777" w:rsidR="00361A2C" w:rsidRPr="00C254A4" w:rsidRDefault="00BD0A0E" w:rsidP="00354E70">
      <w:pPr>
        <w:numPr>
          <w:ilvl w:val="0"/>
          <w:numId w:val="5"/>
        </w:numPr>
      </w:pPr>
      <w:r w:rsidRPr="00C254A4">
        <w:t>nízky počet určitých bielych krviniek (</w:t>
      </w:r>
      <w:proofErr w:type="spellStart"/>
      <w:r w:rsidRPr="00C254A4">
        <w:t>neutropénia</w:t>
      </w:r>
      <w:proofErr w:type="spellEnd"/>
      <w:r w:rsidRPr="00C254A4">
        <w:t>).</w:t>
      </w:r>
    </w:p>
    <w:p w14:paraId="078E558E" w14:textId="77777777" w:rsidR="00BF4F7A" w:rsidRPr="00C254A4" w:rsidRDefault="00BF4F7A" w:rsidP="00BF4F7A">
      <w:pPr>
        <w:autoSpaceDE w:val="0"/>
        <w:autoSpaceDN w:val="0"/>
        <w:adjustRightInd w:val="0"/>
        <w:rPr>
          <w:b/>
          <w:bCs/>
          <w:lang w:eastAsia="de-DE"/>
        </w:rPr>
      </w:pPr>
    </w:p>
    <w:p w14:paraId="09528B8E" w14:textId="77777777" w:rsidR="008862CD" w:rsidRPr="008862CD" w:rsidRDefault="008862CD" w:rsidP="008862CD">
      <w:pPr>
        <w:numPr>
          <w:ilvl w:val="12"/>
          <w:numId w:val="0"/>
        </w:numPr>
        <w:tabs>
          <w:tab w:val="left" w:pos="720"/>
        </w:tabs>
        <w:rPr>
          <w:b/>
          <w:lang w:eastAsia="sk-SK"/>
        </w:rPr>
      </w:pPr>
      <w:r w:rsidRPr="008862CD">
        <w:rPr>
          <w:b/>
          <w:noProof/>
          <w:lang w:eastAsia="sk-SK"/>
        </w:rPr>
        <w:t>Hlásenie vedľajších účinkov</w:t>
      </w:r>
    </w:p>
    <w:p w14:paraId="76FE01AA" w14:textId="77777777" w:rsidR="008862CD" w:rsidRDefault="008862CD">
      <w:pPr>
        <w:rPr>
          <w:lang w:eastAsia="sk-SK"/>
        </w:rPr>
      </w:pPr>
      <w:r w:rsidRPr="008862CD">
        <w:rPr>
          <w:noProof/>
          <w:lang w:eastAsia="sk-SK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na </w:t>
      </w:r>
      <w:r w:rsidRPr="008862CD">
        <w:rPr>
          <w:noProof/>
          <w:highlight w:val="lightGray"/>
          <w:lang w:eastAsia="sk-SK"/>
        </w:rPr>
        <w:t>národné centrum hlásenia uvedené v </w:t>
      </w:r>
      <w:hyperlink r:id="rId8" w:history="1">
        <w:r w:rsidRPr="008862CD">
          <w:rPr>
            <w:noProof/>
            <w:color w:val="0000FF"/>
            <w:highlight w:val="lightGray"/>
            <w:u w:val="single"/>
            <w:lang w:eastAsia="sk-SK"/>
          </w:rPr>
          <w:t>Prílohe V</w:t>
        </w:r>
      </w:hyperlink>
      <w:r w:rsidRPr="008862CD">
        <w:rPr>
          <w:noProof/>
          <w:highlight w:val="lightGray"/>
          <w:lang w:eastAsia="sk-SK"/>
        </w:rPr>
        <w:t>.</w:t>
      </w:r>
      <w:r w:rsidRPr="008862CD">
        <w:rPr>
          <w:lang w:eastAsia="sk-SK"/>
        </w:rPr>
        <w:t xml:space="preserve"> </w:t>
      </w:r>
      <w:r w:rsidRPr="008862CD">
        <w:rPr>
          <w:noProof/>
          <w:lang w:eastAsia="sk-SK"/>
        </w:rPr>
        <w:t>Hlásením vedľajších účinkov môžete prispieť k získaniu ďalších informácií o bezpečnosti tohto lieku</w:t>
      </w:r>
      <w:r w:rsidRPr="008862CD">
        <w:rPr>
          <w:lang w:eastAsia="sk-SK"/>
        </w:rPr>
        <w:t>.</w:t>
      </w:r>
    </w:p>
    <w:p w14:paraId="61BD8825" w14:textId="77777777" w:rsidR="008862CD" w:rsidRDefault="008862CD">
      <w:pPr>
        <w:rPr>
          <w:lang w:eastAsia="sk-SK"/>
        </w:rPr>
      </w:pPr>
    </w:p>
    <w:p w14:paraId="4C79B220" w14:textId="77777777" w:rsidR="0028372A" w:rsidRPr="00C254A4" w:rsidRDefault="0028372A"/>
    <w:p w14:paraId="73B35814" w14:textId="29A1A2C4" w:rsidR="001E7F13" w:rsidRPr="00C254A4" w:rsidRDefault="001E7F13">
      <w:pPr>
        <w:ind w:left="567" w:right="-2" w:hanging="567"/>
      </w:pPr>
      <w:r w:rsidRPr="00C254A4">
        <w:rPr>
          <w:b/>
          <w:bCs/>
        </w:rPr>
        <w:t>5.</w:t>
      </w:r>
      <w:r w:rsidRPr="00C254A4">
        <w:rPr>
          <w:b/>
          <w:bCs/>
        </w:rPr>
        <w:tab/>
        <w:t xml:space="preserve">Ako uchovávať </w:t>
      </w:r>
      <w:proofErr w:type="spellStart"/>
      <w:r w:rsidR="00C254A4" w:rsidRPr="00C254A4">
        <w:rPr>
          <w:b/>
          <w:bCs/>
        </w:rPr>
        <w:t>Fomicyt</w:t>
      </w:r>
      <w:proofErr w:type="spellEnd"/>
    </w:p>
    <w:p w14:paraId="4246EB08" w14:textId="77777777" w:rsidR="001E7F13" w:rsidRPr="00C254A4" w:rsidRDefault="001E7F13">
      <w:pPr>
        <w:ind w:right="-2"/>
        <w:rPr>
          <w:lang w:val="en-GB"/>
        </w:rPr>
      </w:pPr>
    </w:p>
    <w:p w14:paraId="35B35DCF" w14:textId="77777777" w:rsidR="001E7F13" w:rsidRPr="00C254A4" w:rsidRDefault="001E7F13" w:rsidP="00354E70">
      <w:pPr>
        <w:numPr>
          <w:ilvl w:val="0"/>
          <w:numId w:val="8"/>
        </w:numPr>
        <w:ind w:right="-2"/>
      </w:pPr>
      <w:r w:rsidRPr="00C254A4">
        <w:t>Tento liek uchovávajte mimo dohľadu a dosahu detí.</w:t>
      </w:r>
    </w:p>
    <w:p w14:paraId="3D22A81D" w14:textId="77777777" w:rsidR="00102595" w:rsidRPr="00C254A4" w:rsidRDefault="00573D8C" w:rsidP="00354E70">
      <w:pPr>
        <w:numPr>
          <w:ilvl w:val="0"/>
          <w:numId w:val="8"/>
        </w:numPr>
        <w:rPr>
          <w:spacing w:val="-3"/>
        </w:rPr>
      </w:pPr>
      <w:r w:rsidRPr="00C254A4">
        <w:t>Tento liek nevyžaduje žiadne zvláštne podmienky na uchovávanie.</w:t>
      </w:r>
    </w:p>
    <w:p w14:paraId="7598392C" w14:textId="77777777" w:rsidR="001E7F13" w:rsidRPr="00C254A4" w:rsidRDefault="001E7F13" w:rsidP="00354E70">
      <w:pPr>
        <w:numPr>
          <w:ilvl w:val="0"/>
          <w:numId w:val="8"/>
        </w:numPr>
        <w:ind w:right="-2"/>
      </w:pPr>
      <w:r w:rsidRPr="00C254A4">
        <w:t>Nepoužívajte tento liek po dátume exspirácie, ktorý je uvedený na škatuli a na označení obalu po „EXP“. Dátum exspirácie sa vzťahuje na posledný deň v danom mesiaci.</w:t>
      </w:r>
    </w:p>
    <w:p w14:paraId="6BD6489D" w14:textId="370DB542" w:rsidR="00771C0A" w:rsidRPr="00C254A4" w:rsidRDefault="00C243E9" w:rsidP="00354E70">
      <w:pPr>
        <w:numPr>
          <w:ilvl w:val="0"/>
          <w:numId w:val="8"/>
        </w:numPr>
        <w:rPr>
          <w:spacing w:val="-3"/>
        </w:rPr>
      </w:pPr>
      <w:r w:rsidRPr="00C254A4">
        <w:t>Po zmiešaní s rozpúšťadlom sa má tento liek použiť ihneď alebo uchovávať v chladničke (pri teplote 2</w:t>
      </w:r>
      <w:r w:rsidRPr="00C254A4">
        <w:sym w:font="Symbol" w:char="F02D"/>
      </w:r>
      <w:r w:rsidRPr="00C254A4">
        <w:t>8</w:t>
      </w:r>
      <w:r w:rsidR="004E32F6">
        <w:t> </w:t>
      </w:r>
      <w:r w:rsidRPr="00C254A4">
        <w:t>°C) chránený pred svetlom maximálne 24 hodín.</w:t>
      </w:r>
    </w:p>
    <w:p w14:paraId="16ACA427" w14:textId="77777777" w:rsidR="0043739A" w:rsidRPr="00C254A4" w:rsidRDefault="0043739A" w:rsidP="00771C0A">
      <w:pPr>
        <w:ind w:right="-2"/>
      </w:pPr>
    </w:p>
    <w:p w14:paraId="78221C0B" w14:textId="77777777" w:rsidR="001E7F13" w:rsidRPr="00C254A4" w:rsidRDefault="00731659">
      <w:pPr>
        <w:ind w:right="-2"/>
      </w:pPr>
      <w:r w:rsidRPr="00C254A4">
        <w:t>Nelikvidujte lieky odpadovou vodou alebo domovým odpadom. Nepoužitý liek vráťte do lekárne. Tieto opatrenia pomôžu chrániť životné prostredie.</w:t>
      </w:r>
    </w:p>
    <w:p w14:paraId="4F9AD4D2" w14:textId="77777777" w:rsidR="00B806DE" w:rsidRDefault="00B806DE" w:rsidP="0028372A">
      <w:pPr>
        <w:ind w:right="-2"/>
        <w:rPr>
          <w:bCs/>
        </w:rPr>
      </w:pPr>
    </w:p>
    <w:p w14:paraId="7351FA11" w14:textId="77777777" w:rsidR="005A72F8" w:rsidRPr="00C254A4" w:rsidRDefault="005A72F8" w:rsidP="0028372A">
      <w:pPr>
        <w:ind w:right="-2"/>
        <w:rPr>
          <w:bCs/>
        </w:rPr>
      </w:pPr>
    </w:p>
    <w:p w14:paraId="01E35BD4" w14:textId="77777777" w:rsidR="001E7F13" w:rsidRPr="00C254A4" w:rsidRDefault="001E7F13" w:rsidP="005A72F8">
      <w:pPr>
        <w:tabs>
          <w:tab w:val="left" w:pos="567"/>
        </w:tabs>
        <w:ind w:right="-2"/>
      </w:pPr>
      <w:r w:rsidRPr="00C254A4">
        <w:rPr>
          <w:b/>
          <w:bCs/>
        </w:rPr>
        <w:t>6.</w:t>
      </w:r>
      <w:r w:rsidRPr="00C254A4">
        <w:rPr>
          <w:b/>
          <w:bCs/>
        </w:rPr>
        <w:tab/>
        <w:t>Obsah balenia a ďalšie informácie</w:t>
      </w:r>
    </w:p>
    <w:p w14:paraId="0A4677D6" w14:textId="77777777" w:rsidR="001E7F13" w:rsidRPr="00C254A4" w:rsidRDefault="001E7F13">
      <w:pPr>
        <w:ind w:right="-2"/>
      </w:pPr>
    </w:p>
    <w:p w14:paraId="4C6FF97A" w14:textId="1F2F8C40" w:rsidR="001E7F13" w:rsidRPr="00C254A4" w:rsidRDefault="001E7F13">
      <w:pPr>
        <w:ind w:right="-2"/>
        <w:rPr>
          <w:b/>
          <w:bCs/>
        </w:rPr>
      </w:pPr>
      <w:r w:rsidRPr="00C254A4">
        <w:rPr>
          <w:b/>
          <w:bCs/>
        </w:rPr>
        <w:t xml:space="preserve">Čo </w:t>
      </w:r>
      <w:proofErr w:type="spellStart"/>
      <w:r w:rsidR="00C254A4" w:rsidRPr="00C254A4">
        <w:rPr>
          <w:b/>
          <w:bCs/>
        </w:rPr>
        <w:t>Fomicyt</w:t>
      </w:r>
      <w:proofErr w:type="spellEnd"/>
      <w:r w:rsidRPr="00C254A4">
        <w:rPr>
          <w:b/>
          <w:bCs/>
        </w:rPr>
        <w:t xml:space="preserve"> obsahuje</w:t>
      </w:r>
    </w:p>
    <w:p w14:paraId="7EC298A5" w14:textId="77777777" w:rsidR="00771C0A" w:rsidRPr="00C254A4" w:rsidRDefault="00771C0A" w:rsidP="00771C0A"/>
    <w:p w14:paraId="0A66F2F9" w14:textId="614AACCA" w:rsidR="00771C0A" w:rsidRPr="00C254A4" w:rsidRDefault="002A3497" w:rsidP="00771C0A">
      <w:r w:rsidRPr="00C254A4">
        <w:t xml:space="preserve">Liečivo je </w:t>
      </w:r>
      <w:proofErr w:type="spellStart"/>
      <w:r w:rsidRPr="00C254A4">
        <w:t>fosfomycín</w:t>
      </w:r>
      <w:proofErr w:type="spellEnd"/>
      <w:r w:rsidRPr="00C254A4">
        <w:t xml:space="preserve">. Jeden ml infúzneho roztoku obsahuje 40 mg </w:t>
      </w:r>
      <w:proofErr w:type="spellStart"/>
      <w:r w:rsidRPr="00C254A4">
        <w:t>fosfomycínu</w:t>
      </w:r>
      <w:proofErr w:type="spellEnd"/>
      <w:r w:rsidRPr="00C254A4">
        <w:t>.</w:t>
      </w:r>
    </w:p>
    <w:p w14:paraId="2A83E5D8" w14:textId="77777777" w:rsidR="00771C0A" w:rsidRPr="00C254A4" w:rsidRDefault="00771C0A" w:rsidP="00771C0A"/>
    <w:p w14:paraId="21154977" w14:textId="2AF35B62" w:rsidR="000F0B20" w:rsidRPr="00C254A4" w:rsidRDefault="00A357B4" w:rsidP="00354E70">
      <w:pPr>
        <w:numPr>
          <w:ilvl w:val="0"/>
          <w:numId w:val="10"/>
        </w:numPr>
        <w:tabs>
          <w:tab w:val="clear" w:pos="720"/>
        </w:tabs>
        <w:ind w:left="360"/>
      </w:pPr>
      <w:r w:rsidRPr="00C254A4">
        <w:t xml:space="preserve">Jedna fľaša </w:t>
      </w:r>
      <w:proofErr w:type="spellStart"/>
      <w:r w:rsidR="00C254A4" w:rsidRPr="00C254A4">
        <w:t>Fomicyt</w:t>
      </w:r>
      <w:r w:rsidR="005A72F8">
        <w:t>u</w:t>
      </w:r>
      <w:proofErr w:type="spellEnd"/>
      <w:r w:rsidRPr="00C254A4">
        <w:t xml:space="preserve"> 2 g s 2,69 g prášku na prípravu roztoku v 50 ml rozpúšťadla obsahuje 2,64 g </w:t>
      </w:r>
      <w:proofErr w:type="spellStart"/>
      <w:r w:rsidRPr="00C254A4">
        <w:t>fosfomycínu</w:t>
      </w:r>
      <w:proofErr w:type="spellEnd"/>
      <w:r w:rsidRPr="00C254A4">
        <w:t xml:space="preserve"> </w:t>
      </w:r>
      <w:proofErr w:type="spellStart"/>
      <w:r w:rsidRPr="00C254A4">
        <w:t>disodného</w:t>
      </w:r>
      <w:proofErr w:type="spellEnd"/>
      <w:r w:rsidRPr="00C254A4">
        <w:t xml:space="preserve">, čo zodpovedá 2 g </w:t>
      </w:r>
      <w:proofErr w:type="spellStart"/>
      <w:r w:rsidRPr="00C254A4">
        <w:t>fosfomycínu</w:t>
      </w:r>
      <w:proofErr w:type="spellEnd"/>
      <w:r w:rsidRPr="00C254A4">
        <w:t xml:space="preserve"> a 0,64 g sodíka.</w:t>
      </w:r>
    </w:p>
    <w:p w14:paraId="48B02456" w14:textId="23EF7EE4" w:rsidR="000E3AB3" w:rsidRPr="00C254A4" w:rsidRDefault="00A357B4" w:rsidP="00354E70">
      <w:pPr>
        <w:numPr>
          <w:ilvl w:val="0"/>
          <w:numId w:val="10"/>
        </w:numPr>
        <w:tabs>
          <w:tab w:val="clear" w:pos="720"/>
        </w:tabs>
        <w:ind w:left="360"/>
      </w:pPr>
      <w:r w:rsidRPr="00C254A4">
        <w:t xml:space="preserve">Jedna fľaša </w:t>
      </w:r>
      <w:proofErr w:type="spellStart"/>
      <w:r w:rsidR="00C254A4" w:rsidRPr="00C254A4">
        <w:t>Fomicyt</w:t>
      </w:r>
      <w:r w:rsidR="005A72F8">
        <w:t>u</w:t>
      </w:r>
      <w:proofErr w:type="spellEnd"/>
      <w:r w:rsidRPr="00C254A4">
        <w:t xml:space="preserve"> 4 g s 5,38 g prášku na prípravu roztoku v 100 ml rozpúšťadla obsahuje 5,28</w:t>
      </w:r>
      <w:r w:rsidR="005A72F8">
        <w:t> </w:t>
      </w:r>
      <w:r w:rsidRPr="00C254A4">
        <w:t xml:space="preserve">g </w:t>
      </w:r>
      <w:proofErr w:type="spellStart"/>
      <w:r w:rsidRPr="00C254A4">
        <w:t>fosfomycínu</w:t>
      </w:r>
      <w:proofErr w:type="spellEnd"/>
      <w:r w:rsidRPr="00C254A4">
        <w:t xml:space="preserve"> </w:t>
      </w:r>
      <w:proofErr w:type="spellStart"/>
      <w:r w:rsidRPr="00C254A4">
        <w:t>disodného</w:t>
      </w:r>
      <w:proofErr w:type="spellEnd"/>
      <w:r w:rsidRPr="00C254A4">
        <w:t xml:space="preserve">, čo zodpovedá 4 g </w:t>
      </w:r>
      <w:proofErr w:type="spellStart"/>
      <w:r w:rsidRPr="00C254A4">
        <w:t>fosfomycínu</w:t>
      </w:r>
      <w:proofErr w:type="spellEnd"/>
      <w:r w:rsidRPr="00C254A4">
        <w:t xml:space="preserve"> a 1,28 g sodíka.</w:t>
      </w:r>
    </w:p>
    <w:p w14:paraId="286EC35F" w14:textId="0EF6BD47" w:rsidR="000F0B20" w:rsidRPr="00C254A4" w:rsidRDefault="00A357B4" w:rsidP="00354E70">
      <w:pPr>
        <w:numPr>
          <w:ilvl w:val="0"/>
          <w:numId w:val="10"/>
        </w:numPr>
        <w:tabs>
          <w:tab w:val="clear" w:pos="720"/>
        </w:tabs>
        <w:ind w:left="360"/>
      </w:pPr>
      <w:r w:rsidRPr="00C254A4">
        <w:t xml:space="preserve">Jedna fľaša </w:t>
      </w:r>
      <w:proofErr w:type="spellStart"/>
      <w:r w:rsidR="00C254A4" w:rsidRPr="00C254A4">
        <w:t>Fomicyt</w:t>
      </w:r>
      <w:r w:rsidR="005A72F8">
        <w:t>u</w:t>
      </w:r>
      <w:proofErr w:type="spellEnd"/>
      <w:r w:rsidRPr="00C254A4">
        <w:t xml:space="preserve"> 8 g s 10,76 g prášku na prípravu roztoku v 200 ml rozpúšťadla obsahuje 10,56 g </w:t>
      </w:r>
      <w:proofErr w:type="spellStart"/>
      <w:r w:rsidRPr="00C254A4">
        <w:t>fosfomycínu</w:t>
      </w:r>
      <w:proofErr w:type="spellEnd"/>
      <w:r w:rsidRPr="00C254A4">
        <w:t xml:space="preserve"> </w:t>
      </w:r>
      <w:proofErr w:type="spellStart"/>
      <w:r w:rsidRPr="00C254A4">
        <w:t>disodného</w:t>
      </w:r>
      <w:proofErr w:type="spellEnd"/>
      <w:r w:rsidRPr="00C254A4">
        <w:t xml:space="preserve">, čo zodpovedá 8 g </w:t>
      </w:r>
      <w:proofErr w:type="spellStart"/>
      <w:r w:rsidRPr="00C254A4">
        <w:t>fosfomycínu</w:t>
      </w:r>
      <w:proofErr w:type="spellEnd"/>
      <w:r w:rsidRPr="00C254A4">
        <w:t xml:space="preserve"> a 2,56 g sodíka.</w:t>
      </w:r>
    </w:p>
    <w:p w14:paraId="3C49DBF8" w14:textId="77777777" w:rsidR="001E7F13" w:rsidRPr="00C254A4" w:rsidRDefault="001E7F13">
      <w:pPr>
        <w:ind w:right="-2"/>
      </w:pPr>
    </w:p>
    <w:p w14:paraId="7888855E" w14:textId="77777777" w:rsidR="00BA7D85" w:rsidRPr="00C254A4" w:rsidRDefault="00BA7D85">
      <w:pPr>
        <w:ind w:right="-2"/>
      </w:pPr>
      <w:r w:rsidRPr="00C254A4">
        <w:t>Ďalšia zložka je kyselina jantárová.</w:t>
      </w:r>
    </w:p>
    <w:p w14:paraId="287163E8" w14:textId="77777777" w:rsidR="00BA7D85" w:rsidRPr="00C254A4" w:rsidRDefault="00BA7D85">
      <w:pPr>
        <w:ind w:right="-2"/>
      </w:pPr>
    </w:p>
    <w:p w14:paraId="21127F65" w14:textId="63EAF7ED" w:rsidR="001E7F13" w:rsidRPr="00C254A4" w:rsidRDefault="001E7F13">
      <w:pPr>
        <w:ind w:right="-2"/>
        <w:rPr>
          <w:b/>
          <w:bCs/>
        </w:rPr>
      </w:pPr>
      <w:r w:rsidRPr="00C254A4">
        <w:rPr>
          <w:b/>
          <w:bCs/>
        </w:rPr>
        <w:t xml:space="preserve">Ako vyzerá </w:t>
      </w:r>
      <w:proofErr w:type="spellStart"/>
      <w:r w:rsidR="00C254A4" w:rsidRPr="00C254A4">
        <w:rPr>
          <w:b/>
          <w:bCs/>
        </w:rPr>
        <w:t>Fomicyt</w:t>
      </w:r>
      <w:proofErr w:type="spellEnd"/>
      <w:r w:rsidRPr="00C254A4">
        <w:rPr>
          <w:b/>
          <w:bCs/>
        </w:rPr>
        <w:t xml:space="preserve"> a obsah balenia</w:t>
      </w:r>
    </w:p>
    <w:p w14:paraId="5DADFD70" w14:textId="77777777" w:rsidR="00771C0A" w:rsidRPr="00C254A4" w:rsidRDefault="00771C0A" w:rsidP="00533B7B">
      <w:pPr>
        <w:rPr>
          <w:spacing w:val="-3"/>
          <w:lang w:val="pl-PL"/>
        </w:rPr>
      </w:pPr>
    </w:p>
    <w:p w14:paraId="76E090EB" w14:textId="35E3C978" w:rsidR="00533B7B" w:rsidRPr="00C254A4" w:rsidRDefault="00F03282" w:rsidP="00533B7B">
      <w:pPr>
        <w:rPr>
          <w:spacing w:val="-3"/>
        </w:rPr>
      </w:pPr>
      <w:r w:rsidRPr="00C254A4">
        <w:t>Tento liek je biely až krémov</w:t>
      </w:r>
      <w:r w:rsidR="005A72F8">
        <w:t>o sfarbený</w:t>
      </w:r>
      <w:r w:rsidRPr="00C254A4">
        <w:t xml:space="preserve"> prášok na infúzny roztok. Infúzny roztok je číry a bezfarebný až jemne žltý.</w:t>
      </w:r>
    </w:p>
    <w:p w14:paraId="20248268" w14:textId="77777777" w:rsidR="00771C0A" w:rsidRPr="00C254A4" w:rsidRDefault="00771C0A" w:rsidP="00533B7B"/>
    <w:p w14:paraId="33AB8D26" w14:textId="53B9B5E4" w:rsidR="002A3497" w:rsidRPr="00C254A4" w:rsidRDefault="002A3497" w:rsidP="00533B7B">
      <w:r w:rsidRPr="00C254A4">
        <w:t>Liek je balený v čírych sklenených fľašiach (typu I) s gumovou zátkou (</w:t>
      </w:r>
      <w:proofErr w:type="spellStart"/>
      <w:r w:rsidRPr="00C254A4">
        <w:t>brómbutylová</w:t>
      </w:r>
      <w:proofErr w:type="spellEnd"/>
      <w:r w:rsidRPr="00C254A4">
        <w:t xml:space="preserve"> guma) a </w:t>
      </w:r>
      <w:r w:rsidRPr="001C7FDC">
        <w:t>sťahovacím viečkom.</w:t>
      </w:r>
    </w:p>
    <w:p w14:paraId="5752BB94" w14:textId="77777777" w:rsidR="0087503C" w:rsidRPr="00C254A4" w:rsidRDefault="0087503C" w:rsidP="00533B7B"/>
    <w:p w14:paraId="1BF2EF44" w14:textId="77777777" w:rsidR="002A3497" w:rsidRPr="00C254A4" w:rsidRDefault="00A357B4" w:rsidP="00533B7B">
      <w:r w:rsidRPr="00C254A4">
        <w:t>Dostupné sú injekčné liekovky v troch veľkostiach:</w:t>
      </w:r>
    </w:p>
    <w:p w14:paraId="51D1B6A7" w14:textId="77777777" w:rsidR="002A3497" w:rsidRPr="00C254A4" w:rsidRDefault="00B12543" w:rsidP="00354E70">
      <w:pPr>
        <w:numPr>
          <w:ilvl w:val="0"/>
          <w:numId w:val="3"/>
        </w:numPr>
      </w:pPr>
      <w:r w:rsidRPr="00C254A4">
        <w:t xml:space="preserve">fľaše obsahujúce 2 g </w:t>
      </w:r>
      <w:proofErr w:type="spellStart"/>
      <w:r w:rsidRPr="00C254A4">
        <w:t>fosfomycínu</w:t>
      </w:r>
      <w:proofErr w:type="spellEnd"/>
      <w:r w:rsidRPr="00C254A4">
        <w:t>,</w:t>
      </w:r>
    </w:p>
    <w:p w14:paraId="75591249" w14:textId="77777777" w:rsidR="000E3AB3" w:rsidRPr="00C254A4" w:rsidRDefault="00B12543" w:rsidP="00354E70">
      <w:pPr>
        <w:numPr>
          <w:ilvl w:val="0"/>
          <w:numId w:val="3"/>
        </w:numPr>
      </w:pPr>
      <w:r w:rsidRPr="00C254A4">
        <w:t xml:space="preserve">fľaše obsahujúce 4 g </w:t>
      </w:r>
      <w:proofErr w:type="spellStart"/>
      <w:r w:rsidRPr="00C254A4">
        <w:t>fosfomycínu</w:t>
      </w:r>
      <w:proofErr w:type="spellEnd"/>
      <w:r w:rsidRPr="00C254A4">
        <w:t>,</w:t>
      </w:r>
    </w:p>
    <w:p w14:paraId="751F70C1" w14:textId="77777777" w:rsidR="002A3497" w:rsidRPr="00C254A4" w:rsidRDefault="00B12543" w:rsidP="00354E70">
      <w:pPr>
        <w:numPr>
          <w:ilvl w:val="0"/>
          <w:numId w:val="3"/>
        </w:numPr>
      </w:pPr>
      <w:r w:rsidRPr="00C254A4">
        <w:t xml:space="preserve">fľaše obsahujúce 8 g </w:t>
      </w:r>
      <w:proofErr w:type="spellStart"/>
      <w:r w:rsidRPr="00C254A4">
        <w:t>fosfomycínu</w:t>
      </w:r>
      <w:proofErr w:type="spellEnd"/>
      <w:r w:rsidRPr="00C254A4">
        <w:t>.</w:t>
      </w:r>
    </w:p>
    <w:p w14:paraId="52358E3A" w14:textId="77777777" w:rsidR="00BF0A42" w:rsidRPr="00C254A4" w:rsidRDefault="00BF0A42">
      <w:pPr>
        <w:ind w:left="567" w:hanging="567"/>
        <w:rPr>
          <w:bCs/>
          <w:lang w:val="en-GB"/>
        </w:rPr>
      </w:pPr>
    </w:p>
    <w:p w14:paraId="6B9E397C" w14:textId="77777777" w:rsidR="002A3497" w:rsidRPr="00C254A4" w:rsidRDefault="00BA7D85">
      <w:pPr>
        <w:ind w:left="567" w:hanging="567"/>
        <w:rPr>
          <w:bCs/>
        </w:rPr>
      </w:pPr>
      <w:r w:rsidRPr="00C254A4">
        <w:t>Každé balenie obsahuje 10 fliaš.</w:t>
      </w:r>
    </w:p>
    <w:p w14:paraId="301031E6" w14:textId="77777777" w:rsidR="00BA7D85" w:rsidRPr="00C254A4" w:rsidRDefault="00BA7D85">
      <w:pPr>
        <w:ind w:left="567" w:hanging="567"/>
        <w:rPr>
          <w:b/>
          <w:bCs/>
          <w:lang w:val="en-GB"/>
        </w:rPr>
      </w:pPr>
    </w:p>
    <w:p w14:paraId="78571519" w14:textId="77777777" w:rsidR="001E7F13" w:rsidRPr="00C254A4" w:rsidRDefault="001E7F13">
      <w:pPr>
        <w:ind w:left="567" w:hanging="567"/>
        <w:rPr>
          <w:b/>
          <w:bCs/>
        </w:rPr>
      </w:pPr>
      <w:r w:rsidRPr="00C254A4">
        <w:rPr>
          <w:b/>
          <w:bCs/>
        </w:rPr>
        <w:t>Držiteľ rozhodnutia o registrácii a výrobca</w:t>
      </w:r>
    </w:p>
    <w:p w14:paraId="1610AE6D" w14:textId="45B49D40" w:rsidR="00C254A4" w:rsidRPr="00C254A4" w:rsidRDefault="00C254A4" w:rsidP="00C254A4">
      <w:r w:rsidRPr="00C254A4">
        <w:rPr>
          <w:color w:val="000000"/>
        </w:rPr>
        <w:t>I</w:t>
      </w:r>
      <w:r w:rsidR="00D94852">
        <w:rPr>
          <w:color w:val="000000"/>
        </w:rPr>
        <w:t>nfectopharm</w:t>
      </w:r>
      <w:bookmarkStart w:id="0" w:name="_GoBack"/>
      <w:bookmarkEnd w:id="0"/>
      <w:r w:rsidRPr="00C254A4">
        <w:rPr>
          <w:color w:val="000000"/>
        </w:rPr>
        <w:t xml:space="preserve"> </w:t>
      </w:r>
      <w:proofErr w:type="spellStart"/>
      <w:r w:rsidRPr="00C254A4">
        <w:rPr>
          <w:color w:val="000000"/>
        </w:rPr>
        <w:t>Arzneimittel</w:t>
      </w:r>
      <w:proofErr w:type="spellEnd"/>
      <w:r w:rsidRPr="00C254A4">
        <w:rPr>
          <w:color w:val="000000"/>
        </w:rPr>
        <w:t xml:space="preserve"> </w:t>
      </w:r>
      <w:proofErr w:type="spellStart"/>
      <w:r w:rsidRPr="00C254A4">
        <w:rPr>
          <w:color w:val="000000"/>
        </w:rPr>
        <w:t>und</w:t>
      </w:r>
      <w:proofErr w:type="spellEnd"/>
      <w:r w:rsidRPr="00C254A4">
        <w:rPr>
          <w:color w:val="000000"/>
        </w:rPr>
        <w:t xml:space="preserve"> </w:t>
      </w:r>
      <w:proofErr w:type="spellStart"/>
      <w:r w:rsidRPr="00C254A4">
        <w:rPr>
          <w:color w:val="000000"/>
        </w:rPr>
        <w:t>Consilium</w:t>
      </w:r>
      <w:proofErr w:type="spellEnd"/>
      <w:r w:rsidRPr="00C254A4">
        <w:rPr>
          <w:color w:val="000000"/>
        </w:rPr>
        <w:t xml:space="preserve"> </w:t>
      </w:r>
      <w:proofErr w:type="spellStart"/>
      <w:r w:rsidRPr="00C254A4">
        <w:rPr>
          <w:color w:val="000000"/>
        </w:rPr>
        <w:t>GmbH</w:t>
      </w:r>
      <w:proofErr w:type="spellEnd"/>
      <w:r w:rsidRPr="00C254A4">
        <w:rPr>
          <w:color w:val="000000"/>
        </w:rPr>
        <w:t>, Von-</w:t>
      </w:r>
      <w:proofErr w:type="spellStart"/>
      <w:r w:rsidRPr="00C254A4">
        <w:rPr>
          <w:color w:val="000000"/>
        </w:rPr>
        <w:t>Humboldt</w:t>
      </w:r>
      <w:proofErr w:type="spellEnd"/>
      <w:r w:rsidRPr="00C254A4">
        <w:rPr>
          <w:color w:val="000000"/>
        </w:rPr>
        <w:t xml:space="preserve">-Str. 1, 64646 </w:t>
      </w:r>
      <w:proofErr w:type="spellStart"/>
      <w:r w:rsidRPr="00C254A4">
        <w:rPr>
          <w:color w:val="000000"/>
        </w:rPr>
        <w:t>Heppenheim</w:t>
      </w:r>
      <w:proofErr w:type="spellEnd"/>
      <w:r w:rsidRPr="00C254A4">
        <w:rPr>
          <w:color w:val="000000"/>
        </w:rPr>
        <w:t>, Nemecko</w:t>
      </w:r>
    </w:p>
    <w:p w14:paraId="5FEBB0E1" w14:textId="77777777" w:rsidR="00D74B46" w:rsidRPr="0095663B" w:rsidRDefault="00D74B46">
      <w:pPr>
        <w:ind w:left="567" w:hanging="567"/>
      </w:pPr>
    </w:p>
    <w:p w14:paraId="6FEDA22B" w14:textId="77777777" w:rsidR="00D93049" w:rsidRPr="00C254A4" w:rsidRDefault="00D93049" w:rsidP="00D93049">
      <w:pPr>
        <w:rPr>
          <w:b/>
        </w:rPr>
      </w:pPr>
      <w:r w:rsidRPr="00C254A4">
        <w:rPr>
          <w:b/>
        </w:rPr>
        <w:t>Liek je schválený v členských štátoch Európskeho hospodárskeho priestoru (EHP) pod nasledovnými názvami:</w:t>
      </w:r>
    </w:p>
    <w:p w14:paraId="0A73442F" w14:textId="77777777" w:rsidR="00D93049" w:rsidRPr="00C254A4" w:rsidRDefault="00A357B4" w:rsidP="00C254A4">
      <w:pPr>
        <w:ind w:left="3402" w:hanging="3402"/>
      </w:pPr>
      <w:r w:rsidRPr="00C254A4">
        <w:t>Veľká Británia:</w:t>
      </w:r>
      <w:r w:rsidRPr="00C254A4">
        <w:tab/>
      </w:r>
      <w:proofErr w:type="spellStart"/>
      <w:r w:rsidRPr="00C254A4">
        <w:t>Fomicyt</w:t>
      </w:r>
      <w:proofErr w:type="spellEnd"/>
      <w:r w:rsidRPr="00C254A4">
        <w:t xml:space="preserve"> 40 mg/ml </w:t>
      </w:r>
      <w:proofErr w:type="spellStart"/>
      <w:r w:rsidRPr="00C254A4">
        <w:t>Powder</w:t>
      </w:r>
      <w:proofErr w:type="spellEnd"/>
      <w:r w:rsidRPr="00C254A4">
        <w:t xml:space="preserve"> </w:t>
      </w:r>
      <w:proofErr w:type="spellStart"/>
      <w:r w:rsidRPr="00C254A4">
        <w:t>for</w:t>
      </w:r>
      <w:proofErr w:type="spellEnd"/>
      <w:r w:rsidRPr="00C254A4">
        <w:t xml:space="preserve"> </w:t>
      </w:r>
      <w:proofErr w:type="spellStart"/>
      <w:r w:rsidRPr="00C254A4">
        <w:t>solution</w:t>
      </w:r>
      <w:proofErr w:type="spellEnd"/>
      <w:r w:rsidRPr="00C254A4">
        <w:t xml:space="preserve"> </w:t>
      </w:r>
      <w:proofErr w:type="spellStart"/>
      <w:r w:rsidRPr="00C254A4">
        <w:t>for</w:t>
      </w:r>
      <w:proofErr w:type="spellEnd"/>
      <w:r w:rsidRPr="00C254A4">
        <w:t xml:space="preserve"> </w:t>
      </w:r>
      <w:proofErr w:type="spellStart"/>
      <w:r w:rsidRPr="00C254A4">
        <w:t>infusion</w:t>
      </w:r>
      <w:proofErr w:type="spellEnd"/>
    </w:p>
    <w:p w14:paraId="030B7C98" w14:textId="77777777" w:rsidR="00A357B4" w:rsidRPr="00C254A4" w:rsidRDefault="00A357B4" w:rsidP="00C254A4">
      <w:pPr>
        <w:ind w:left="3402" w:hanging="3402"/>
      </w:pPr>
      <w:r w:rsidRPr="00C254A4">
        <w:t>Taliansko:</w:t>
      </w:r>
      <w:r w:rsidRPr="00C254A4">
        <w:tab/>
      </w:r>
      <w:proofErr w:type="spellStart"/>
      <w:r w:rsidRPr="00C254A4">
        <w:t>InfectoFos</w:t>
      </w:r>
      <w:proofErr w:type="spellEnd"/>
    </w:p>
    <w:p w14:paraId="6AB78B90" w14:textId="77777777" w:rsidR="00A357B4" w:rsidRPr="00C254A4" w:rsidRDefault="00A357B4" w:rsidP="00C254A4">
      <w:pPr>
        <w:ind w:left="3402" w:hanging="3402"/>
      </w:pPr>
      <w:r w:rsidRPr="00C254A4">
        <w:t>Poľsko:</w:t>
      </w:r>
      <w:r w:rsidRPr="00C254A4">
        <w:tab/>
      </w:r>
      <w:proofErr w:type="spellStart"/>
      <w:r w:rsidRPr="00C254A4">
        <w:t>InfectoFos</w:t>
      </w:r>
      <w:proofErr w:type="spellEnd"/>
      <w:r w:rsidRPr="00C254A4">
        <w:t xml:space="preserve">, 40 mg/ml, </w:t>
      </w:r>
      <w:proofErr w:type="spellStart"/>
      <w:r w:rsidRPr="00C254A4">
        <w:t>proszek</w:t>
      </w:r>
      <w:proofErr w:type="spellEnd"/>
      <w:r w:rsidRPr="00C254A4">
        <w:t xml:space="preserve"> do </w:t>
      </w:r>
      <w:proofErr w:type="spellStart"/>
      <w:r w:rsidRPr="00C254A4">
        <w:t>sporządzania</w:t>
      </w:r>
      <w:proofErr w:type="spellEnd"/>
      <w:r w:rsidRPr="00C254A4">
        <w:t xml:space="preserve"> </w:t>
      </w:r>
      <w:proofErr w:type="spellStart"/>
      <w:r w:rsidRPr="00C254A4">
        <w:t>roztworu</w:t>
      </w:r>
      <w:proofErr w:type="spellEnd"/>
      <w:r w:rsidRPr="00C254A4">
        <w:t xml:space="preserve"> do </w:t>
      </w:r>
      <w:proofErr w:type="spellStart"/>
      <w:r w:rsidRPr="00C254A4">
        <w:t>infuzji</w:t>
      </w:r>
      <w:proofErr w:type="spellEnd"/>
    </w:p>
    <w:p w14:paraId="1E7203EF" w14:textId="77777777" w:rsidR="00A357B4" w:rsidRPr="00C254A4" w:rsidRDefault="00A357B4" w:rsidP="00C254A4">
      <w:pPr>
        <w:ind w:left="3402" w:hanging="3402"/>
      </w:pPr>
      <w:r w:rsidRPr="00C254A4">
        <w:t>Írsko:</w:t>
      </w:r>
      <w:r w:rsidRPr="00C254A4">
        <w:tab/>
      </w:r>
      <w:proofErr w:type="spellStart"/>
      <w:r w:rsidRPr="00C254A4">
        <w:t>Fomicyt</w:t>
      </w:r>
      <w:proofErr w:type="spellEnd"/>
      <w:r w:rsidRPr="00C254A4">
        <w:t xml:space="preserve"> 40 mg/ml </w:t>
      </w:r>
      <w:proofErr w:type="spellStart"/>
      <w:r w:rsidRPr="00C254A4">
        <w:t>Powder</w:t>
      </w:r>
      <w:proofErr w:type="spellEnd"/>
      <w:r w:rsidRPr="00C254A4">
        <w:t xml:space="preserve"> </w:t>
      </w:r>
      <w:proofErr w:type="spellStart"/>
      <w:r w:rsidRPr="00C254A4">
        <w:t>for</w:t>
      </w:r>
      <w:proofErr w:type="spellEnd"/>
      <w:r w:rsidRPr="00C254A4">
        <w:t xml:space="preserve"> </w:t>
      </w:r>
      <w:proofErr w:type="spellStart"/>
      <w:r w:rsidRPr="00C254A4">
        <w:t>solution</w:t>
      </w:r>
      <w:proofErr w:type="spellEnd"/>
      <w:r w:rsidRPr="00C254A4">
        <w:t xml:space="preserve"> </w:t>
      </w:r>
      <w:proofErr w:type="spellStart"/>
      <w:r w:rsidRPr="00C254A4">
        <w:t>for</w:t>
      </w:r>
      <w:proofErr w:type="spellEnd"/>
      <w:r w:rsidRPr="00C254A4">
        <w:t xml:space="preserve"> </w:t>
      </w:r>
      <w:proofErr w:type="spellStart"/>
      <w:r w:rsidRPr="00C254A4">
        <w:t>infusion</w:t>
      </w:r>
      <w:proofErr w:type="spellEnd"/>
    </w:p>
    <w:p w14:paraId="170DB288" w14:textId="77777777" w:rsidR="00A357B4" w:rsidRPr="00C254A4" w:rsidRDefault="00082223" w:rsidP="00C254A4">
      <w:pPr>
        <w:ind w:left="3402" w:hanging="3402"/>
      </w:pPr>
      <w:r w:rsidRPr="00C254A4">
        <w:lastRenderedPageBreak/>
        <w:t>Holandsko:</w:t>
      </w:r>
      <w:r w:rsidRPr="00C254A4">
        <w:tab/>
      </w:r>
      <w:proofErr w:type="spellStart"/>
      <w:r w:rsidRPr="00C254A4">
        <w:t>Fomicyt</w:t>
      </w:r>
      <w:proofErr w:type="spellEnd"/>
      <w:r w:rsidRPr="00C254A4">
        <w:t xml:space="preserve"> 40 mg/ml </w:t>
      </w:r>
      <w:proofErr w:type="spellStart"/>
      <w:r w:rsidRPr="00C254A4">
        <w:t>Poeder</w:t>
      </w:r>
      <w:proofErr w:type="spellEnd"/>
      <w:r w:rsidRPr="00C254A4">
        <w:t xml:space="preserve"> </w:t>
      </w:r>
      <w:proofErr w:type="spellStart"/>
      <w:r w:rsidRPr="00C254A4">
        <w:t>voor</w:t>
      </w:r>
      <w:proofErr w:type="spellEnd"/>
      <w:r w:rsidRPr="00C254A4">
        <w:t xml:space="preserve"> </w:t>
      </w:r>
      <w:proofErr w:type="spellStart"/>
      <w:r w:rsidRPr="00C254A4">
        <w:t>oplossing</w:t>
      </w:r>
      <w:proofErr w:type="spellEnd"/>
      <w:r w:rsidRPr="00C254A4">
        <w:t xml:space="preserve"> </w:t>
      </w:r>
      <w:proofErr w:type="spellStart"/>
      <w:r w:rsidRPr="00C254A4">
        <w:t>voor</w:t>
      </w:r>
      <w:proofErr w:type="spellEnd"/>
      <w:r w:rsidRPr="00C254A4">
        <w:t xml:space="preserve"> </w:t>
      </w:r>
      <w:proofErr w:type="spellStart"/>
      <w:r w:rsidRPr="00C254A4">
        <w:t>infusie</w:t>
      </w:r>
      <w:proofErr w:type="spellEnd"/>
    </w:p>
    <w:p w14:paraId="0386C28F" w14:textId="77777777" w:rsidR="00D93049" w:rsidRPr="00C254A4" w:rsidRDefault="009F410A" w:rsidP="00C254A4">
      <w:pPr>
        <w:ind w:left="3402" w:hanging="3402"/>
      </w:pPr>
      <w:r w:rsidRPr="00C254A4">
        <w:t>Grécko:</w:t>
      </w:r>
      <w:r w:rsidRPr="00C254A4">
        <w:tab/>
      </w:r>
      <w:proofErr w:type="spellStart"/>
      <w:r w:rsidRPr="00C254A4">
        <w:t>Fomicyt</w:t>
      </w:r>
      <w:proofErr w:type="spellEnd"/>
      <w:r w:rsidRPr="00C254A4">
        <w:t xml:space="preserve"> 40 mg/ml </w:t>
      </w:r>
      <w:proofErr w:type="spellStart"/>
      <w:r w:rsidRPr="00C254A4">
        <w:t>Κόνις</w:t>
      </w:r>
      <w:proofErr w:type="spellEnd"/>
      <w:r w:rsidRPr="00C254A4">
        <w:t xml:space="preserve"> </w:t>
      </w:r>
      <w:proofErr w:type="spellStart"/>
      <w:r w:rsidRPr="00C254A4">
        <w:t>γι</w:t>
      </w:r>
      <w:proofErr w:type="spellEnd"/>
      <w:r w:rsidRPr="00C254A4">
        <w:t xml:space="preserve">α </w:t>
      </w:r>
      <w:proofErr w:type="spellStart"/>
      <w:r w:rsidRPr="00C254A4">
        <w:t>διάλυμ</w:t>
      </w:r>
      <w:proofErr w:type="spellEnd"/>
      <w:r w:rsidRPr="00C254A4">
        <w:t>α π</w:t>
      </w:r>
      <w:proofErr w:type="spellStart"/>
      <w:r w:rsidRPr="00C254A4">
        <w:t>ρος</w:t>
      </w:r>
      <w:proofErr w:type="spellEnd"/>
      <w:r w:rsidRPr="00C254A4">
        <w:t xml:space="preserve"> </w:t>
      </w:r>
      <w:proofErr w:type="spellStart"/>
      <w:r w:rsidRPr="00C254A4">
        <w:t>έγχυση</w:t>
      </w:r>
      <w:proofErr w:type="spellEnd"/>
      <w:r w:rsidRPr="00C254A4">
        <w:t xml:space="preserve"> </w:t>
      </w:r>
    </w:p>
    <w:p w14:paraId="63E28F6F" w14:textId="77777777" w:rsidR="00244271" w:rsidRPr="00C254A4" w:rsidRDefault="00244271" w:rsidP="00C254A4">
      <w:pPr>
        <w:ind w:left="3402" w:hanging="3402"/>
      </w:pPr>
      <w:r w:rsidRPr="00C254A4">
        <w:t>Dánsko, Fínsko, Nórsko, Švédsko:</w:t>
      </w:r>
      <w:r w:rsidRPr="00C254A4">
        <w:tab/>
      </w:r>
      <w:proofErr w:type="spellStart"/>
      <w:r w:rsidRPr="00C254A4">
        <w:t>Fosfomycin</w:t>
      </w:r>
      <w:proofErr w:type="spellEnd"/>
      <w:r w:rsidRPr="00C254A4">
        <w:t xml:space="preserve"> </w:t>
      </w:r>
      <w:proofErr w:type="spellStart"/>
      <w:r w:rsidRPr="00C254A4">
        <w:t>Infectopharm</w:t>
      </w:r>
      <w:proofErr w:type="spellEnd"/>
    </w:p>
    <w:p w14:paraId="05A58AF7" w14:textId="77777777" w:rsidR="00244271" w:rsidRPr="00C254A4" w:rsidRDefault="00244271" w:rsidP="00C254A4">
      <w:pPr>
        <w:ind w:left="3402" w:hanging="3402"/>
      </w:pPr>
      <w:r w:rsidRPr="00C254A4">
        <w:t>Chorvátsko:</w:t>
      </w:r>
      <w:r w:rsidRPr="00C254A4">
        <w:tab/>
      </w:r>
      <w:proofErr w:type="spellStart"/>
      <w:r w:rsidRPr="00C254A4">
        <w:t>Fomicyt</w:t>
      </w:r>
      <w:proofErr w:type="spellEnd"/>
      <w:r w:rsidRPr="00C254A4">
        <w:t xml:space="preserve"> 40 mg/ml </w:t>
      </w:r>
      <w:proofErr w:type="spellStart"/>
      <w:r w:rsidRPr="00C254A4">
        <w:t>prašak</w:t>
      </w:r>
      <w:proofErr w:type="spellEnd"/>
      <w:r w:rsidRPr="00C254A4">
        <w:t xml:space="preserve"> za </w:t>
      </w:r>
      <w:proofErr w:type="spellStart"/>
      <w:r w:rsidRPr="00C254A4">
        <w:t>otopinu</w:t>
      </w:r>
      <w:proofErr w:type="spellEnd"/>
      <w:r w:rsidRPr="00C254A4">
        <w:t xml:space="preserve"> za </w:t>
      </w:r>
      <w:proofErr w:type="spellStart"/>
      <w:r w:rsidRPr="00C254A4">
        <w:t>infuziju</w:t>
      </w:r>
      <w:proofErr w:type="spellEnd"/>
    </w:p>
    <w:p w14:paraId="0D3AD9F0" w14:textId="7CF831C8" w:rsidR="00C254A4" w:rsidRPr="00C254A4" w:rsidRDefault="00C254A4" w:rsidP="00C254A4">
      <w:pPr>
        <w:autoSpaceDE w:val="0"/>
        <w:autoSpaceDN w:val="0"/>
        <w:adjustRightInd w:val="0"/>
        <w:ind w:left="3402" w:hanging="3402"/>
      </w:pPr>
      <w:r w:rsidRPr="00C254A4">
        <w:rPr>
          <w:lang w:eastAsia="de-DE"/>
        </w:rPr>
        <w:t>Rumunsko</w:t>
      </w:r>
      <w:r w:rsidRPr="00C254A4">
        <w:t>:</w:t>
      </w:r>
      <w:r w:rsidRPr="00C254A4">
        <w:tab/>
      </w:r>
      <w:proofErr w:type="spellStart"/>
      <w:r w:rsidRPr="00C254A4">
        <w:t>Fomicyt</w:t>
      </w:r>
      <w:proofErr w:type="spellEnd"/>
      <w:r w:rsidRPr="00C254A4">
        <w:t xml:space="preserve"> 40 mg/ml </w:t>
      </w:r>
      <w:proofErr w:type="spellStart"/>
      <w:r w:rsidRPr="00C254A4">
        <w:t>Pulbere</w:t>
      </w:r>
      <w:proofErr w:type="spellEnd"/>
      <w:r w:rsidRPr="00C254A4">
        <w:t xml:space="preserve"> </w:t>
      </w:r>
      <w:proofErr w:type="spellStart"/>
      <w:r w:rsidRPr="00C254A4">
        <w:t>pentru</w:t>
      </w:r>
      <w:proofErr w:type="spellEnd"/>
      <w:r w:rsidRPr="00C254A4">
        <w:t xml:space="preserve"> </w:t>
      </w:r>
      <w:proofErr w:type="spellStart"/>
      <w:r w:rsidRPr="00C254A4">
        <w:t>soluţie</w:t>
      </w:r>
      <w:proofErr w:type="spellEnd"/>
      <w:r w:rsidRPr="00C254A4">
        <w:t xml:space="preserve"> </w:t>
      </w:r>
      <w:proofErr w:type="spellStart"/>
      <w:r w:rsidRPr="00C254A4">
        <w:t>perfuzabilă</w:t>
      </w:r>
      <w:proofErr w:type="spellEnd"/>
    </w:p>
    <w:p w14:paraId="47FD75B0" w14:textId="7A7D4DE2" w:rsidR="00C254A4" w:rsidRPr="00C254A4" w:rsidRDefault="00C254A4" w:rsidP="00A95A4C">
      <w:pPr>
        <w:autoSpaceDE w:val="0"/>
        <w:autoSpaceDN w:val="0"/>
        <w:adjustRightInd w:val="0"/>
        <w:ind w:left="3402" w:hanging="3402"/>
        <w:rPr>
          <w:lang w:eastAsia="de-DE"/>
        </w:rPr>
      </w:pPr>
      <w:r w:rsidRPr="00C254A4">
        <w:rPr>
          <w:lang w:eastAsia="de-DE"/>
        </w:rPr>
        <w:t>Česká republika, Maďarsko</w:t>
      </w:r>
      <w:r w:rsidR="00A95A4C">
        <w:rPr>
          <w:lang w:eastAsia="de-DE"/>
        </w:rPr>
        <w:t>,</w:t>
      </w:r>
      <w:r w:rsidRPr="00C254A4">
        <w:rPr>
          <w:lang w:eastAsia="de-DE"/>
        </w:rPr>
        <w:tab/>
      </w:r>
    </w:p>
    <w:p w14:paraId="1D8B8DCD" w14:textId="73B70AA7" w:rsidR="00A95A4C" w:rsidRDefault="00A95A4C" w:rsidP="00C254A4">
      <w:pPr>
        <w:autoSpaceDE w:val="0"/>
        <w:autoSpaceDN w:val="0"/>
        <w:adjustRightInd w:val="0"/>
        <w:ind w:left="3402" w:hanging="3402"/>
        <w:rPr>
          <w:lang w:eastAsia="de-DE"/>
        </w:rPr>
      </w:pPr>
      <w:r>
        <w:rPr>
          <w:lang w:eastAsia="de-DE"/>
        </w:rPr>
        <w:t>Slovensko:</w:t>
      </w:r>
      <w:r w:rsidR="00681BB4">
        <w:rPr>
          <w:lang w:eastAsia="de-DE"/>
        </w:rPr>
        <w:tab/>
      </w:r>
      <w:proofErr w:type="spellStart"/>
      <w:r w:rsidR="00681BB4" w:rsidRPr="00C254A4">
        <w:rPr>
          <w:lang w:eastAsia="de-DE"/>
        </w:rPr>
        <w:t>Fomicyt</w:t>
      </w:r>
      <w:proofErr w:type="spellEnd"/>
    </w:p>
    <w:p w14:paraId="25C77E9E" w14:textId="0DCBBB81" w:rsidR="00C254A4" w:rsidRPr="00C254A4" w:rsidRDefault="00C254A4" w:rsidP="00C254A4">
      <w:pPr>
        <w:autoSpaceDE w:val="0"/>
        <w:autoSpaceDN w:val="0"/>
        <w:adjustRightInd w:val="0"/>
        <w:ind w:left="3402" w:hanging="3402"/>
      </w:pPr>
      <w:r w:rsidRPr="00C254A4">
        <w:rPr>
          <w:lang w:eastAsia="de-DE"/>
        </w:rPr>
        <w:t>Belgicko</w:t>
      </w:r>
      <w:r w:rsidRPr="00C254A4">
        <w:t>:</w:t>
      </w:r>
      <w:r w:rsidRPr="00C254A4">
        <w:tab/>
      </w:r>
      <w:proofErr w:type="spellStart"/>
      <w:r w:rsidRPr="00C254A4">
        <w:t>Fomicyt</w:t>
      </w:r>
      <w:proofErr w:type="spellEnd"/>
      <w:r w:rsidRPr="00C254A4">
        <w:t xml:space="preserve"> 40 mg/ml </w:t>
      </w:r>
      <w:proofErr w:type="spellStart"/>
      <w:r w:rsidRPr="00C254A4">
        <w:t>Poudre</w:t>
      </w:r>
      <w:proofErr w:type="spellEnd"/>
      <w:r w:rsidRPr="00C254A4">
        <w:t xml:space="preserve"> </w:t>
      </w:r>
      <w:proofErr w:type="spellStart"/>
      <w:r w:rsidRPr="00C254A4">
        <w:t>pour</w:t>
      </w:r>
      <w:proofErr w:type="spellEnd"/>
      <w:r w:rsidRPr="00C254A4">
        <w:t xml:space="preserve"> </w:t>
      </w:r>
      <w:proofErr w:type="spellStart"/>
      <w:r w:rsidRPr="00C254A4">
        <w:t>solution</w:t>
      </w:r>
      <w:proofErr w:type="spellEnd"/>
      <w:r w:rsidRPr="00C254A4">
        <w:t xml:space="preserve"> </w:t>
      </w:r>
      <w:proofErr w:type="spellStart"/>
      <w:r w:rsidRPr="00C254A4">
        <w:t>pour</w:t>
      </w:r>
      <w:proofErr w:type="spellEnd"/>
      <w:r w:rsidRPr="00C254A4">
        <w:t xml:space="preserve"> </w:t>
      </w:r>
      <w:proofErr w:type="spellStart"/>
      <w:r w:rsidRPr="00C254A4">
        <w:t>perfusion</w:t>
      </w:r>
      <w:proofErr w:type="spellEnd"/>
      <w:r w:rsidRPr="00C254A4">
        <w:t xml:space="preserve">, </w:t>
      </w:r>
      <w:proofErr w:type="spellStart"/>
      <w:r w:rsidRPr="00C254A4">
        <w:t>Fomicyt</w:t>
      </w:r>
      <w:proofErr w:type="spellEnd"/>
      <w:r w:rsidRPr="00C254A4">
        <w:t xml:space="preserve"> 40 mg/ml </w:t>
      </w:r>
      <w:proofErr w:type="spellStart"/>
      <w:r w:rsidRPr="00C254A4">
        <w:t>Poeder</w:t>
      </w:r>
      <w:proofErr w:type="spellEnd"/>
      <w:r w:rsidRPr="00C254A4">
        <w:t xml:space="preserve"> </w:t>
      </w:r>
      <w:proofErr w:type="spellStart"/>
      <w:r w:rsidRPr="00C254A4">
        <w:t>voor</w:t>
      </w:r>
      <w:proofErr w:type="spellEnd"/>
      <w:r w:rsidRPr="00C254A4">
        <w:t xml:space="preserve"> </w:t>
      </w:r>
      <w:proofErr w:type="spellStart"/>
      <w:r w:rsidRPr="00C254A4">
        <w:t>oplossing</w:t>
      </w:r>
      <w:proofErr w:type="spellEnd"/>
      <w:r w:rsidRPr="00C254A4">
        <w:t xml:space="preserve"> </w:t>
      </w:r>
      <w:proofErr w:type="spellStart"/>
      <w:r w:rsidRPr="00C254A4">
        <w:t>voor</w:t>
      </w:r>
      <w:proofErr w:type="spellEnd"/>
      <w:r w:rsidRPr="00C254A4">
        <w:t xml:space="preserve"> </w:t>
      </w:r>
      <w:proofErr w:type="spellStart"/>
      <w:r w:rsidRPr="00C254A4">
        <w:t>infusie</w:t>
      </w:r>
      <w:proofErr w:type="spellEnd"/>
      <w:r w:rsidRPr="00C254A4">
        <w:t xml:space="preserve">, </w:t>
      </w:r>
      <w:proofErr w:type="spellStart"/>
      <w:r w:rsidRPr="00C254A4">
        <w:t>Fomicyt</w:t>
      </w:r>
      <w:proofErr w:type="spellEnd"/>
      <w:r w:rsidRPr="00C254A4">
        <w:t xml:space="preserve"> 40 mg/ml </w:t>
      </w:r>
      <w:proofErr w:type="spellStart"/>
      <w:r w:rsidRPr="00C254A4">
        <w:t>Pulver</w:t>
      </w:r>
      <w:proofErr w:type="spellEnd"/>
      <w:r w:rsidRPr="00C254A4">
        <w:t xml:space="preserve"> </w:t>
      </w:r>
      <w:proofErr w:type="spellStart"/>
      <w:r w:rsidRPr="00C254A4">
        <w:t>zur</w:t>
      </w:r>
      <w:proofErr w:type="spellEnd"/>
      <w:r w:rsidRPr="00C254A4">
        <w:t xml:space="preserve"> </w:t>
      </w:r>
      <w:proofErr w:type="spellStart"/>
      <w:r w:rsidRPr="00C254A4">
        <w:t>Herstellung</w:t>
      </w:r>
      <w:proofErr w:type="spellEnd"/>
      <w:r w:rsidRPr="00C254A4">
        <w:t xml:space="preserve"> </w:t>
      </w:r>
      <w:proofErr w:type="spellStart"/>
      <w:r w:rsidRPr="00C254A4">
        <w:t>einer</w:t>
      </w:r>
      <w:proofErr w:type="spellEnd"/>
      <w:r w:rsidRPr="00C254A4">
        <w:t xml:space="preserve"> </w:t>
      </w:r>
      <w:proofErr w:type="spellStart"/>
      <w:r w:rsidRPr="00C254A4">
        <w:t>Infusionslösung</w:t>
      </w:r>
      <w:proofErr w:type="spellEnd"/>
    </w:p>
    <w:p w14:paraId="3C73DAEC" w14:textId="6F7E4832" w:rsidR="00C254A4" w:rsidRPr="00C254A4" w:rsidRDefault="00C254A4" w:rsidP="00C254A4">
      <w:pPr>
        <w:ind w:left="3402" w:hanging="3402"/>
        <w:jc w:val="center"/>
        <w:rPr>
          <w:noProof/>
        </w:rPr>
      </w:pPr>
      <w:r w:rsidRPr="00C254A4">
        <w:t>Rakúsko</w:t>
      </w:r>
      <w:r>
        <w:t>:</w:t>
      </w:r>
      <w:r w:rsidRPr="00C254A4">
        <w:tab/>
      </w:r>
      <w:proofErr w:type="spellStart"/>
      <w:r w:rsidRPr="00C254A4">
        <w:t>Fomicyt</w:t>
      </w:r>
      <w:proofErr w:type="spellEnd"/>
      <w:r w:rsidRPr="00C254A4">
        <w:t xml:space="preserve"> 40 mg/ml </w:t>
      </w:r>
      <w:proofErr w:type="spellStart"/>
      <w:r w:rsidRPr="00C254A4">
        <w:t>Pulver</w:t>
      </w:r>
      <w:proofErr w:type="spellEnd"/>
      <w:r w:rsidRPr="00C254A4">
        <w:t xml:space="preserve"> </w:t>
      </w:r>
      <w:proofErr w:type="spellStart"/>
      <w:r w:rsidRPr="00C254A4">
        <w:t>zur</w:t>
      </w:r>
      <w:proofErr w:type="spellEnd"/>
      <w:r w:rsidRPr="00C254A4">
        <w:t xml:space="preserve"> </w:t>
      </w:r>
      <w:proofErr w:type="spellStart"/>
      <w:r w:rsidRPr="00C254A4">
        <w:t>Herstellung</w:t>
      </w:r>
      <w:proofErr w:type="spellEnd"/>
      <w:r w:rsidRPr="00C254A4">
        <w:t xml:space="preserve"> </w:t>
      </w:r>
      <w:proofErr w:type="spellStart"/>
      <w:r w:rsidRPr="00C254A4">
        <w:t>einer</w:t>
      </w:r>
      <w:proofErr w:type="spellEnd"/>
      <w:r w:rsidRPr="00C254A4">
        <w:t xml:space="preserve"> </w:t>
      </w:r>
      <w:proofErr w:type="spellStart"/>
      <w:r w:rsidRPr="00C254A4">
        <w:t>Infusionslösung</w:t>
      </w:r>
      <w:proofErr w:type="spellEnd"/>
    </w:p>
    <w:p w14:paraId="3AD0DFF3" w14:textId="77777777" w:rsidR="00D56686" w:rsidRPr="00C254A4" w:rsidRDefault="00D56686">
      <w:pPr>
        <w:numPr>
          <w:ilvl w:val="12"/>
          <w:numId w:val="0"/>
        </w:numPr>
        <w:ind w:right="-2"/>
        <w:rPr>
          <w:bCs/>
        </w:rPr>
      </w:pPr>
    </w:p>
    <w:p w14:paraId="7A2C4C48" w14:textId="7DFDA45F" w:rsidR="001E7F13" w:rsidRPr="00C254A4" w:rsidRDefault="001E7F13">
      <w:pPr>
        <w:numPr>
          <w:ilvl w:val="12"/>
          <w:numId w:val="0"/>
        </w:numPr>
        <w:ind w:right="-2"/>
        <w:rPr>
          <w:b/>
          <w:bCs/>
        </w:rPr>
      </w:pPr>
      <w:r w:rsidRPr="00C254A4">
        <w:rPr>
          <w:b/>
          <w:bCs/>
        </w:rPr>
        <w:t>Táto písomná informácia bola naposledy aktualizovaná v </w:t>
      </w:r>
      <w:r w:rsidR="00C254A4" w:rsidRPr="00C254A4">
        <w:rPr>
          <w:b/>
          <w:bCs/>
        </w:rPr>
        <w:t>0</w:t>
      </w:r>
      <w:r w:rsidR="005119CF">
        <w:rPr>
          <w:b/>
          <w:bCs/>
        </w:rPr>
        <w:t>9</w:t>
      </w:r>
      <w:r w:rsidRPr="00C254A4">
        <w:rPr>
          <w:b/>
          <w:bCs/>
        </w:rPr>
        <w:t>/201</w:t>
      </w:r>
      <w:r w:rsidR="00C254A4" w:rsidRPr="00C254A4">
        <w:rPr>
          <w:b/>
          <w:bCs/>
        </w:rPr>
        <w:t>9</w:t>
      </w:r>
      <w:r w:rsidRPr="00C254A4">
        <w:rPr>
          <w:b/>
          <w:bCs/>
        </w:rPr>
        <w:t>.</w:t>
      </w:r>
    </w:p>
    <w:p w14:paraId="107772A6" w14:textId="77777777" w:rsidR="00F46AF9" w:rsidRPr="00C254A4" w:rsidRDefault="00F46AF9">
      <w:pPr>
        <w:numPr>
          <w:ilvl w:val="12"/>
          <w:numId w:val="0"/>
        </w:numPr>
        <w:ind w:right="-2"/>
      </w:pPr>
      <w:r w:rsidRPr="00C254A4">
        <w:t>_____________________________________________________________________________</w:t>
      </w:r>
    </w:p>
    <w:p w14:paraId="517613F5" w14:textId="77777777" w:rsidR="00F46AF9" w:rsidRPr="00C254A4" w:rsidRDefault="00F46AF9" w:rsidP="00F46AF9">
      <w:pPr>
        <w:rPr>
          <w:b/>
        </w:rPr>
      </w:pPr>
      <w:r w:rsidRPr="00C254A4">
        <w:rPr>
          <w:b/>
        </w:rPr>
        <w:t xml:space="preserve">Nasledujúca informácia je určená len pre zdravotníckych pracovníkov: </w:t>
      </w:r>
    </w:p>
    <w:p w14:paraId="39E88D0C" w14:textId="77777777" w:rsidR="00F46AF9" w:rsidRPr="0095663B" w:rsidRDefault="00F46AF9" w:rsidP="00F46AF9"/>
    <w:p w14:paraId="2977E68B" w14:textId="5E929EEB" w:rsidR="00F46AF9" w:rsidRPr="00C254A4" w:rsidRDefault="00C254A4" w:rsidP="00F46AF9">
      <w:proofErr w:type="spellStart"/>
      <w:r w:rsidRPr="00C254A4">
        <w:t>Fomicyt</w:t>
      </w:r>
      <w:proofErr w:type="spellEnd"/>
      <w:r w:rsidR="005D267D" w:rsidRPr="00C254A4">
        <w:t xml:space="preserve"> 40 mg/ml prášok na infúzny roztok je určený len na jednorazové použitie a všetok nepoužitý roztok sa má zlikvidovať.</w:t>
      </w:r>
    </w:p>
    <w:p w14:paraId="77D42C86" w14:textId="77777777" w:rsidR="00F46AF9" w:rsidRPr="0095663B" w:rsidRDefault="00F46AF9" w:rsidP="00F46AF9"/>
    <w:p w14:paraId="07745E5F" w14:textId="77777777" w:rsidR="00F46AF9" w:rsidRPr="00C254A4" w:rsidRDefault="00F46AF9" w:rsidP="00F46AF9">
      <w:pPr>
        <w:pStyle w:val="Nadpis3"/>
        <w:rPr>
          <w:u w:val="single"/>
        </w:rPr>
      </w:pPr>
      <w:r w:rsidRPr="00C254A4">
        <w:rPr>
          <w:u w:val="single"/>
        </w:rPr>
        <w:t xml:space="preserve">Príprava infúzneho roztoku </w:t>
      </w:r>
    </w:p>
    <w:p w14:paraId="0088BE19" w14:textId="77777777" w:rsidR="001C4E38" w:rsidRPr="0095663B" w:rsidRDefault="001C4E38" w:rsidP="00F46AF9">
      <w:pPr>
        <w:rPr>
          <w:snapToGrid w:val="0"/>
          <w:lang w:bidi="ar-QA"/>
        </w:rPr>
      </w:pPr>
    </w:p>
    <w:p w14:paraId="41905D4D" w14:textId="01FFEB55" w:rsidR="001C4E38" w:rsidRPr="00C254A4" w:rsidRDefault="00C254A4" w:rsidP="00F46AF9">
      <w:pPr>
        <w:rPr>
          <w:b/>
          <w:snapToGrid w:val="0"/>
        </w:rPr>
      </w:pPr>
      <w:proofErr w:type="spellStart"/>
      <w:r w:rsidRPr="00C254A4">
        <w:rPr>
          <w:b/>
          <w:snapToGrid w:val="0"/>
        </w:rPr>
        <w:t>Fomicyt</w:t>
      </w:r>
      <w:proofErr w:type="spellEnd"/>
      <w:r w:rsidR="005D267D" w:rsidRPr="00C254A4">
        <w:rPr>
          <w:b/>
          <w:snapToGrid w:val="0"/>
        </w:rPr>
        <w:t xml:space="preserve"> sa musí pred podaním rekonštituovať a zriediť.</w:t>
      </w:r>
    </w:p>
    <w:p w14:paraId="09AD4187" w14:textId="0EACFB59" w:rsidR="001C4E38" w:rsidRPr="00C254A4" w:rsidRDefault="001C4E38" w:rsidP="001C4E38">
      <w:pPr>
        <w:autoSpaceDE w:val="0"/>
        <w:autoSpaceDN w:val="0"/>
        <w:adjustRightInd w:val="0"/>
      </w:pPr>
      <w:r w:rsidRPr="00C254A4">
        <w:t>Ako rozpúšťadlo na rekonštitúciu a zriedenie sa môžu použiť voda na injekci</w:t>
      </w:r>
      <w:r w:rsidR="00A95A4C">
        <w:t>e</w:t>
      </w:r>
      <w:r w:rsidRPr="00C254A4">
        <w:t xml:space="preserve"> a infúzia glukózy 50 mg/ml (5 %) alebo infúzia glukózy 100 mg/ml (10 %). Nesmú sa použiť rozpúšťadlá obsahujúce chlorid sodný.</w:t>
      </w:r>
    </w:p>
    <w:p w14:paraId="56B7994E" w14:textId="77777777" w:rsidR="001C4E38" w:rsidRPr="00C254A4" w:rsidRDefault="001C4E38" w:rsidP="001C4E38">
      <w:pPr>
        <w:autoSpaceDE w:val="0"/>
        <w:autoSpaceDN w:val="0"/>
        <w:adjustRightInd w:val="0"/>
      </w:pPr>
    </w:p>
    <w:p w14:paraId="5C812731" w14:textId="77777777" w:rsidR="001C4E38" w:rsidRPr="00C254A4" w:rsidRDefault="001C4E38" w:rsidP="001C4E38">
      <w:pPr>
        <w:autoSpaceDE w:val="0"/>
        <w:autoSpaceDN w:val="0"/>
        <w:adjustRightInd w:val="0"/>
      </w:pPr>
      <w:r w:rsidRPr="00C254A4">
        <w:t>Rekonštitúcia</w:t>
      </w:r>
    </w:p>
    <w:p w14:paraId="61C9652E" w14:textId="77777777" w:rsidR="001C4E38" w:rsidRPr="00C254A4" w:rsidRDefault="001C4E38" w:rsidP="001C7FDC">
      <w:pPr>
        <w:autoSpaceDE w:val="0"/>
        <w:autoSpaceDN w:val="0"/>
        <w:adjustRightInd w:val="0"/>
      </w:pPr>
      <w:r w:rsidRPr="00C254A4">
        <w:t>Pred rekonštitúciou injekčnú liekovku pretrepte, aby sa uvoľnil prášok. Rekonštituujte 2 g alebo 4 g injekčné liekovky s 20 ml a 8 g injekčnú liekovku so 40 ml rozpúšťadla. Dobre pretrepte, aby sa prášok rozpustil. Pri rozpúšťaní prášku dochádza k miernemu otepleniu roztoku.</w:t>
      </w:r>
    </w:p>
    <w:p w14:paraId="063B8283" w14:textId="52DA7A91" w:rsidR="001C4E38" w:rsidRPr="00C254A4" w:rsidRDefault="001C4E38" w:rsidP="001C7FDC">
      <w:pPr>
        <w:autoSpaceDE w:val="0"/>
        <w:autoSpaceDN w:val="0"/>
        <w:adjustRightInd w:val="0"/>
      </w:pPr>
      <w:r w:rsidRPr="00C254A4">
        <w:rPr>
          <w:b/>
        </w:rPr>
        <w:t xml:space="preserve">Upozornenie: </w:t>
      </w:r>
      <w:r w:rsidRPr="00C254A4">
        <w:t xml:space="preserve">Tento prechodný roztok nie je určený na priamu infúziu. Roztok </w:t>
      </w:r>
      <w:r w:rsidR="00B64DF6">
        <w:t>odoberte celý</w:t>
      </w:r>
      <w:r w:rsidRPr="00C254A4">
        <w:t xml:space="preserve"> z pôvodnej injekčnej liekovky. Preneste </w:t>
      </w:r>
      <w:r w:rsidR="00B64DF6">
        <w:t>odobratý</w:t>
      </w:r>
      <w:r w:rsidRPr="00C254A4">
        <w:t xml:space="preserve"> roztok do infúzneho vaku alebo inej vhodnej infúznej nádoby na ďalšie zriedenie, ako je uvedené nasledovne:</w:t>
      </w:r>
    </w:p>
    <w:p w14:paraId="340A852D" w14:textId="77777777" w:rsidR="001C4E38" w:rsidRPr="00C254A4" w:rsidRDefault="001C4E38">
      <w:pPr>
        <w:autoSpaceDE w:val="0"/>
        <w:autoSpaceDN w:val="0"/>
        <w:adjustRightInd w:val="0"/>
      </w:pPr>
    </w:p>
    <w:p w14:paraId="12A3E1EC" w14:textId="77777777" w:rsidR="001C4E38" w:rsidRPr="00C254A4" w:rsidRDefault="001C4E38">
      <w:pPr>
        <w:autoSpaceDE w:val="0"/>
        <w:autoSpaceDN w:val="0"/>
        <w:adjustRightInd w:val="0"/>
      </w:pPr>
      <w:r w:rsidRPr="00C254A4">
        <w:t>Zriedenie</w:t>
      </w:r>
    </w:p>
    <w:p w14:paraId="341ED4A8" w14:textId="77777777" w:rsidR="001C4E38" w:rsidRPr="00C254A4" w:rsidRDefault="001C4E38">
      <w:pPr>
        <w:autoSpaceDE w:val="0"/>
        <w:autoSpaceDN w:val="0"/>
        <w:adjustRightInd w:val="0"/>
      </w:pPr>
      <w:r w:rsidRPr="00C254A4">
        <w:t xml:space="preserve">Preneste rekonštituovaný obsah </w:t>
      </w:r>
      <w:r w:rsidRPr="00C254A4">
        <w:rPr>
          <w:b/>
        </w:rPr>
        <w:t>2 g injekčných liekoviek</w:t>
      </w:r>
      <w:r w:rsidRPr="00C254A4">
        <w:t xml:space="preserve"> do infúznej nádoby s ďalšími </w:t>
      </w:r>
      <w:r w:rsidRPr="00C254A4">
        <w:rPr>
          <w:b/>
        </w:rPr>
        <w:t>30 ml</w:t>
      </w:r>
      <w:r w:rsidRPr="00C254A4">
        <w:t xml:space="preserve"> rozpúšťadla. </w:t>
      </w:r>
    </w:p>
    <w:p w14:paraId="1DD0F42B" w14:textId="77777777" w:rsidR="001C4E38" w:rsidRPr="00C254A4" w:rsidRDefault="001C4E38">
      <w:pPr>
        <w:autoSpaceDE w:val="0"/>
        <w:autoSpaceDN w:val="0"/>
        <w:adjustRightInd w:val="0"/>
      </w:pPr>
      <w:r w:rsidRPr="00C254A4">
        <w:t xml:space="preserve">Preneste rekonštituovaný obsah </w:t>
      </w:r>
      <w:r w:rsidRPr="00C254A4">
        <w:rPr>
          <w:b/>
        </w:rPr>
        <w:t>4 g injekčných liekoviek</w:t>
      </w:r>
      <w:r w:rsidRPr="00C254A4">
        <w:t xml:space="preserve"> do infúznej nádoby s ďalšími </w:t>
      </w:r>
      <w:r w:rsidRPr="00C254A4">
        <w:rPr>
          <w:b/>
        </w:rPr>
        <w:t>80 ml</w:t>
      </w:r>
      <w:r w:rsidRPr="00C254A4">
        <w:t xml:space="preserve"> rozpúšťadla. </w:t>
      </w:r>
    </w:p>
    <w:p w14:paraId="7433E5DE" w14:textId="77777777" w:rsidR="001C4E38" w:rsidRPr="00C254A4" w:rsidRDefault="001C4E38">
      <w:pPr>
        <w:autoSpaceDE w:val="0"/>
        <w:autoSpaceDN w:val="0"/>
        <w:adjustRightInd w:val="0"/>
      </w:pPr>
      <w:r w:rsidRPr="00C254A4">
        <w:t xml:space="preserve">Preneste rekonštituovaný obsah </w:t>
      </w:r>
      <w:r w:rsidRPr="00C254A4">
        <w:rPr>
          <w:b/>
        </w:rPr>
        <w:t>8 g injekčných liekoviek</w:t>
      </w:r>
      <w:r w:rsidRPr="00C254A4">
        <w:t xml:space="preserve"> do infúznej nádoby s ďalšími </w:t>
      </w:r>
      <w:r w:rsidRPr="00C254A4">
        <w:rPr>
          <w:b/>
        </w:rPr>
        <w:t>160 ml</w:t>
      </w:r>
      <w:r w:rsidRPr="00C254A4">
        <w:t xml:space="preserve"> rozpúšťadla. </w:t>
      </w:r>
    </w:p>
    <w:p w14:paraId="6FAAFF47" w14:textId="77777777" w:rsidR="00F46AF9" w:rsidRPr="00C254A4" w:rsidRDefault="00F46AF9">
      <w:pPr>
        <w:jc w:val="both"/>
      </w:pPr>
    </w:p>
    <w:p w14:paraId="0E10359E" w14:textId="229CEB3D" w:rsidR="008E63B6" w:rsidRPr="00C254A4" w:rsidRDefault="001C7FDC" w:rsidP="001C7FDC">
      <w:pPr>
        <w:rPr>
          <w:snapToGrid w:val="0"/>
          <w:color w:val="000000"/>
          <w:u w:val="single"/>
        </w:rPr>
      </w:pPr>
      <w:r>
        <w:rPr>
          <w:snapToGrid w:val="0"/>
          <w:color w:val="000000"/>
          <w:u w:val="single"/>
        </w:rPr>
        <w:t>H</w:t>
      </w:r>
      <w:r w:rsidR="008E63B6" w:rsidRPr="00C254A4">
        <w:rPr>
          <w:snapToGrid w:val="0"/>
          <w:color w:val="000000"/>
          <w:u w:val="single"/>
        </w:rPr>
        <w:t>odnoty</w:t>
      </w:r>
      <w:r w:rsidRPr="001C7FDC">
        <w:t xml:space="preserve"> </w:t>
      </w:r>
      <w:r w:rsidRPr="001C7FDC">
        <w:rPr>
          <w:snapToGrid w:val="0"/>
          <w:color w:val="000000"/>
          <w:u w:val="single"/>
        </w:rPr>
        <w:t>navýšenia objemu</w:t>
      </w:r>
    </w:p>
    <w:p w14:paraId="1EE59464" w14:textId="78F93F79" w:rsidR="008E63B6" w:rsidRPr="00C254A4" w:rsidRDefault="001C7FDC" w:rsidP="005119CF">
      <w:pPr>
        <w:rPr>
          <w:snapToGrid w:val="0"/>
          <w:color w:val="000000"/>
        </w:rPr>
      </w:pPr>
      <w:r>
        <w:rPr>
          <w:snapToGrid w:val="0"/>
          <w:color w:val="000000"/>
        </w:rPr>
        <w:t>H</w:t>
      </w:r>
      <w:r w:rsidR="008E63B6" w:rsidRPr="00C254A4">
        <w:rPr>
          <w:snapToGrid w:val="0"/>
          <w:color w:val="000000"/>
        </w:rPr>
        <w:t xml:space="preserve">odnoty </w:t>
      </w:r>
      <w:r w:rsidRPr="001C7FDC">
        <w:rPr>
          <w:snapToGrid w:val="0"/>
          <w:color w:val="000000"/>
        </w:rPr>
        <w:t xml:space="preserve">navýšenia objemu </w:t>
      </w:r>
      <w:r w:rsidR="008E63B6" w:rsidRPr="00C254A4">
        <w:rPr>
          <w:snapToGrid w:val="0"/>
          <w:color w:val="000000"/>
        </w:rPr>
        <w:t>pre roztoky sú 1 ml pre 2 g veľkosť balenia, 2 ml pre 4 g veľkosť balenia a 4 ml pre 8 g veľkosť balenia.</w:t>
      </w:r>
    </w:p>
    <w:p w14:paraId="687A7753" w14:textId="1F3704F9" w:rsidR="008E63B6" w:rsidRPr="00C254A4" w:rsidRDefault="008E63B6" w:rsidP="005119CF">
      <w:pPr>
        <w:rPr>
          <w:snapToGrid w:val="0"/>
          <w:color w:val="000000"/>
        </w:rPr>
      </w:pPr>
      <w:r w:rsidRPr="00C254A4">
        <w:rPr>
          <w:snapToGrid w:val="0"/>
          <w:color w:val="000000"/>
        </w:rPr>
        <w:t xml:space="preserve">Tieto objemy zodpovedajú zvýšeniu objemu o 2 %. Má sa to vziať do úvahy, keď sa </w:t>
      </w:r>
      <w:r w:rsidR="00B64DF6">
        <w:rPr>
          <w:snapToGrid w:val="0"/>
          <w:color w:val="000000"/>
        </w:rPr>
        <w:t>ne</w:t>
      </w:r>
      <w:r w:rsidRPr="00C254A4">
        <w:rPr>
          <w:snapToGrid w:val="0"/>
          <w:color w:val="000000"/>
        </w:rPr>
        <w:t>použije celý objem konečného zriedeného roztoku.</w:t>
      </w:r>
    </w:p>
    <w:p w14:paraId="3D40916E" w14:textId="77777777" w:rsidR="008E63B6" w:rsidRPr="00C254A4" w:rsidRDefault="008E63B6" w:rsidP="008E63B6">
      <w:pPr>
        <w:spacing w:line="276" w:lineRule="auto"/>
        <w:rPr>
          <w:snapToGrid w:val="0"/>
          <w:color w:val="000000"/>
          <w:lang w:bidi="ar-QA"/>
        </w:rPr>
      </w:pPr>
    </w:p>
    <w:p w14:paraId="71180079" w14:textId="77777777" w:rsidR="00F46AF9" w:rsidRPr="00C254A4" w:rsidRDefault="00F46AF9" w:rsidP="00F46AF9">
      <w:pPr>
        <w:jc w:val="both"/>
        <w:rPr>
          <w:i/>
          <w:u w:val="single"/>
        </w:rPr>
      </w:pPr>
      <w:r w:rsidRPr="00C254A4">
        <w:rPr>
          <w:i/>
          <w:u w:val="single"/>
        </w:rPr>
        <w:t>Spôsob podávania</w:t>
      </w:r>
    </w:p>
    <w:p w14:paraId="40D72827" w14:textId="77777777" w:rsidR="00F46AF9" w:rsidRPr="00C254A4" w:rsidRDefault="00EC5470" w:rsidP="00F46AF9">
      <w:pPr>
        <w:rPr>
          <w:snapToGrid w:val="0"/>
          <w:color w:val="000000"/>
        </w:rPr>
      </w:pPr>
      <w:proofErr w:type="spellStart"/>
      <w:r w:rsidRPr="00C254A4">
        <w:rPr>
          <w:snapToGrid w:val="0"/>
          <w:color w:val="000000"/>
        </w:rPr>
        <w:t>Fosfomycín</w:t>
      </w:r>
      <w:proofErr w:type="spellEnd"/>
      <w:r w:rsidRPr="00C254A4">
        <w:rPr>
          <w:snapToGrid w:val="0"/>
          <w:color w:val="000000"/>
        </w:rPr>
        <w:t xml:space="preserve"> </w:t>
      </w:r>
      <w:proofErr w:type="spellStart"/>
      <w:r w:rsidRPr="00C254A4">
        <w:rPr>
          <w:snapToGrid w:val="0"/>
          <w:color w:val="000000"/>
        </w:rPr>
        <w:t>disodný</w:t>
      </w:r>
      <w:proofErr w:type="spellEnd"/>
      <w:r w:rsidRPr="00C254A4">
        <w:rPr>
          <w:snapToGrid w:val="0"/>
          <w:color w:val="000000"/>
        </w:rPr>
        <w:t xml:space="preserve"> je určený na intravenózne podanie. Každá infúzia má trvať aspoň 15 minút pri veľkosti balenia 2 g, aspoň 30 minút pri veľkosti balenia 4 g a aspoň 60 minút pri veľkosti balenia 8 g.</w:t>
      </w:r>
    </w:p>
    <w:p w14:paraId="192C464C" w14:textId="77777777" w:rsidR="00F46AF9" w:rsidRPr="00C254A4" w:rsidRDefault="00F46AF9" w:rsidP="00F46AF9">
      <w:pPr>
        <w:rPr>
          <w:snapToGrid w:val="0"/>
          <w:color w:val="000000"/>
          <w:lang w:bidi="ar-QA"/>
        </w:rPr>
      </w:pPr>
    </w:p>
    <w:p w14:paraId="52919B30" w14:textId="77777777" w:rsidR="00F46AF9" w:rsidRPr="00C254A4" w:rsidRDefault="00F46AF9" w:rsidP="00F46AF9">
      <w:pPr>
        <w:rPr>
          <w:snapToGrid w:val="0"/>
          <w:color w:val="000000"/>
        </w:rPr>
      </w:pPr>
      <w:r w:rsidRPr="00C254A4">
        <w:rPr>
          <w:snapToGrid w:val="0"/>
          <w:color w:val="000000"/>
        </w:rPr>
        <w:t xml:space="preserve">Keďže neúmyselné </w:t>
      </w:r>
      <w:proofErr w:type="spellStart"/>
      <w:r w:rsidRPr="00C254A4">
        <w:rPr>
          <w:snapToGrid w:val="0"/>
          <w:color w:val="000000"/>
        </w:rPr>
        <w:t>intraarteriálne</w:t>
      </w:r>
      <w:proofErr w:type="spellEnd"/>
      <w:r w:rsidRPr="00C254A4">
        <w:rPr>
          <w:snapToGrid w:val="0"/>
          <w:color w:val="000000"/>
        </w:rPr>
        <w:t xml:space="preserve"> podanie lieku špecificky neodporúčaného na </w:t>
      </w:r>
      <w:proofErr w:type="spellStart"/>
      <w:r w:rsidRPr="00C254A4">
        <w:rPr>
          <w:snapToGrid w:val="0"/>
          <w:color w:val="000000"/>
        </w:rPr>
        <w:t>intraarteriálnu</w:t>
      </w:r>
      <w:proofErr w:type="spellEnd"/>
      <w:r w:rsidRPr="00C254A4">
        <w:rPr>
          <w:snapToGrid w:val="0"/>
          <w:color w:val="000000"/>
        </w:rPr>
        <w:t xml:space="preserve"> liečbu môže mať škodlivé účinky, je nevyhnutné aby sa </w:t>
      </w:r>
      <w:proofErr w:type="spellStart"/>
      <w:r w:rsidRPr="00C254A4">
        <w:rPr>
          <w:snapToGrid w:val="0"/>
          <w:color w:val="000000"/>
        </w:rPr>
        <w:t>fosfomycín</w:t>
      </w:r>
      <w:proofErr w:type="spellEnd"/>
      <w:r w:rsidRPr="00C254A4">
        <w:rPr>
          <w:snapToGrid w:val="0"/>
          <w:color w:val="000000"/>
        </w:rPr>
        <w:t xml:space="preserve"> podával len do žíl.</w:t>
      </w:r>
    </w:p>
    <w:p w14:paraId="36FB6884" w14:textId="77777777" w:rsidR="00F46AF9" w:rsidRPr="00C254A4" w:rsidRDefault="00F46AF9" w:rsidP="00F46AF9">
      <w:pPr>
        <w:rPr>
          <w:snapToGrid w:val="0"/>
          <w:color w:val="000000"/>
          <w:lang w:bidi="ar-QA"/>
        </w:rPr>
      </w:pPr>
    </w:p>
    <w:p w14:paraId="65E54EE4" w14:textId="77777777" w:rsidR="00F46AF9" w:rsidRPr="00C254A4" w:rsidRDefault="00F46AF9" w:rsidP="00F46AF9">
      <w:pPr>
        <w:rPr>
          <w:snapToGrid w:val="0"/>
          <w:color w:val="000000"/>
        </w:rPr>
      </w:pPr>
      <w:r w:rsidRPr="00C254A4">
        <w:rPr>
          <w:snapToGrid w:val="0"/>
          <w:color w:val="000000"/>
        </w:rPr>
        <w:t>Pred podaním sa má rekonštituovaný roztok vizuálne skontrolovať. Majú sa použiť len číre roztoky.</w:t>
      </w:r>
    </w:p>
    <w:p w14:paraId="291070D9" w14:textId="77777777" w:rsidR="00F46AF9" w:rsidRPr="00C254A4" w:rsidRDefault="00F46AF9" w:rsidP="00F46AF9">
      <w:pPr>
        <w:jc w:val="both"/>
      </w:pPr>
    </w:p>
    <w:p w14:paraId="76C5FD82" w14:textId="0206F708" w:rsidR="00F46AF9" w:rsidRPr="00C254A4" w:rsidRDefault="00F46AF9" w:rsidP="005119CF">
      <w:pPr>
        <w:rPr>
          <w:i/>
          <w:u w:val="single"/>
        </w:rPr>
      </w:pPr>
      <w:r w:rsidRPr="00C254A4">
        <w:rPr>
          <w:i/>
          <w:u w:val="single"/>
        </w:rPr>
        <w:t xml:space="preserve">Doba použiteľnosti </w:t>
      </w:r>
      <w:r w:rsidRPr="00C254A4">
        <w:rPr>
          <w:i/>
          <w:snapToGrid w:val="0"/>
          <w:color w:val="000000"/>
          <w:u w:val="single"/>
        </w:rPr>
        <w:t>infúzneho roztoku</w:t>
      </w:r>
    </w:p>
    <w:p w14:paraId="249B6BC6" w14:textId="0D050DA1" w:rsidR="00B12543" w:rsidRPr="00C254A4" w:rsidRDefault="00B12543" w:rsidP="00B12543">
      <w:pPr>
        <w:rPr>
          <w:spacing w:val="-3"/>
        </w:rPr>
      </w:pPr>
      <w:r w:rsidRPr="00C254A4">
        <w:t xml:space="preserve">Chemická a fyzikálna stabilita pri používaní konečného zriedeného roztoku, ktorý bol pripravený pri sterilných podmienkach, sa preukázala </w:t>
      </w:r>
      <w:r w:rsidR="00B64DF6">
        <w:t>počas</w:t>
      </w:r>
      <w:r w:rsidRPr="00C254A4">
        <w:t xml:space="preserve"> 24 hodín pri teplote 25 °C, keď je roztok chránený pred svetlom.</w:t>
      </w:r>
    </w:p>
    <w:p w14:paraId="79825508" w14:textId="7ACD6063" w:rsidR="00F46AF9" w:rsidRPr="00C254A4" w:rsidRDefault="00F46AF9" w:rsidP="005119CF">
      <w:pPr>
        <w:rPr>
          <w:snapToGrid w:val="0"/>
          <w:color w:val="000000"/>
        </w:rPr>
      </w:pPr>
      <w:r w:rsidRPr="00C254A4">
        <w:rPr>
          <w:snapToGrid w:val="0"/>
          <w:color w:val="000000"/>
        </w:rPr>
        <w:t xml:space="preserve">Z mikrobiologického hľadiska sa má liek použiť okamžite. Ak sa liek nepoužije okamžite, za čas a podmienky </w:t>
      </w:r>
      <w:r w:rsidR="00F607A2">
        <w:rPr>
          <w:snapToGrid w:val="0"/>
          <w:color w:val="000000"/>
        </w:rPr>
        <w:t xml:space="preserve">uchovávania pred </w:t>
      </w:r>
      <w:r w:rsidRPr="00C254A4">
        <w:rPr>
          <w:snapToGrid w:val="0"/>
          <w:color w:val="000000"/>
        </w:rPr>
        <w:t>použití</w:t>
      </w:r>
      <w:r w:rsidR="00F607A2">
        <w:rPr>
          <w:snapToGrid w:val="0"/>
          <w:color w:val="000000"/>
        </w:rPr>
        <w:t>m</w:t>
      </w:r>
      <w:r w:rsidRPr="00C254A4">
        <w:rPr>
          <w:snapToGrid w:val="0"/>
          <w:color w:val="000000"/>
        </w:rPr>
        <w:t xml:space="preserve"> zodpovedá používateľ a</w:t>
      </w:r>
      <w:r w:rsidR="00864998">
        <w:rPr>
          <w:snapToGrid w:val="0"/>
          <w:color w:val="000000"/>
        </w:rPr>
        <w:t> obvykle</w:t>
      </w:r>
      <w:r w:rsidR="00420948">
        <w:rPr>
          <w:snapToGrid w:val="0"/>
          <w:color w:val="000000"/>
        </w:rPr>
        <w:t xml:space="preserve"> </w:t>
      </w:r>
      <w:r w:rsidRPr="00C254A4">
        <w:rPr>
          <w:snapToGrid w:val="0"/>
          <w:color w:val="000000"/>
        </w:rPr>
        <w:t>nem</w:t>
      </w:r>
      <w:r w:rsidR="00420948">
        <w:rPr>
          <w:snapToGrid w:val="0"/>
          <w:color w:val="000000"/>
        </w:rPr>
        <w:t>a</w:t>
      </w:r>
      <w:r w:rsidR="001C7FDC">
        <w:rPr>
          <w:snapToGrid w:val="0"/>
          <w:color w:val="000000"/>
        </w:rPr>
        <w:t>jú</w:t>
      </w:r>
      <w:r w:rsidRPr="00C254A4">
        <w:rPr>
          <w:snapToGrid w:val="0"/>
          <w:color w:val="000000"/>
        </w:rPr>
        <w:t xml:space="preserve"> byť dlhšie ako 24 hodín pri teplote 2 až 8</w:t>
      </w:r>
      <w:r w:rsidRPr="00C254A4">
        <w:t> °C</w:t>
      </w:r>
      <w:r w:rsidRPr="00C254A4">
        <w:rPr>
          <w:snapToGrid w:val="0"/>
          <w:color w:val="000000"/>
        </w:rPr>
        <w:t xml:space="preserve">, </w:t>
      </w:r>
      <w:r w:rsidR="00F607A2">
        <w:rPr>
          <w:snapToGrid w:val="0"/>
          <w:color w:val="000000"/>
        </w:rPr>
        <w:t>pokiaľ</w:t>
      </w:r>
      <w:r w:rsidRPr="00C254A4">
        <w:rPr>
          <w:snapToGrid w:val="0"/>
          <w:color w:val="000000"/>
        </w:rPr>
        <w:t xml:space="preserve"> sa príprava neuskutočnila pri kontrolovaných a validovaných sterilných podmienkach.</w:t>
      </w:r>
    </w:p>
    <w:p w14:paraId="18050666" w14:textId="77777777" w:rsidR="00F46AF9" w:rsidRPr="00C254A4" w:rsidRDefault="00F46AF9" w:rsidP="00F46AF9">
      <w:pPr>
        <w:jc w:val="both"/>
        <w:rPr>
          <w:snapToGrid w:val="0"/>
          <w:color w:val="000000"/>
          <w:lang w:bidi="ar-QA"/>
        </w:rPr>
      </w:pPr>
    </w:p>
    <w:p w14:paraId="13D33F83" w14:textId="77777777" w:rsidR="00F46AF9" w:rsidRPr="00C254A4" w:rsidRDefault="00F46AF9">
      <w:pPr>
        <w:numPr>
          <w:ilvl w:val="12"/>
          <w:numId w:val="0"/>
        </w:numPr>
        <w:ind w:right="-2"/>
      </w:pPr>
    </w:p>
    <w:sectPr w:rsidR="00F46AF9" w:rsidRPr="00C254A4" w:rsidSect="00B326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40" w:code="9"/>
      <w:pgMar w:top="1134" w:right="1418" w:bottom="1134" w:left="1418" w:header="737" w:footer="73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377C7" w14:textId="77777777" w:rsidR="001200C9" w:rsidRDefault="001200C9">
      <w:r>
        <w:separator/>
      </w:r>
    </w:p>
  </w:endnote>
  <w:endnote w:type="continuationSeparator" w:id="0">
    <w:p w14:paraId="257798E8" w14:textId="77777777" w:rsidR="001200C9" w:rsidRDefault="00120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51FCA" w14:textId="77777777" w:rsidR="005119CF" w:rsidRDefault="005119C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B0724" w14:textId="6DB74732" w:rsidR="004C61FE" w:rsidRPr="005119CF" w:rsidRDefault="00766CE3" w:rsidP="005119CF">
    <w:pPr>
      <w:pStyle w:val="Pta"/>
      <w:jc w:val="center"/>
      <w:rPr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5119CF">
      <w:rPr>
        <w:rStyle w:val="slostrany"/>
        <w:sz w:val="18"/>
        <w:szCs w:val="18"/>
      </w:rPr>
      <w:fldChar w:fldCharType="begin"/>
    </w:r>
    <w:r w:rsidRPr="005119CF">
      <w:rPr>
        <w:rStyle w:val="slostrany"/>
        <w:sz w:val="18"/>
        <w:szCs w:val="18"/>
      </w:rPr>
      <w:instrText xml:space="preserve">PAGE  </w:instrText>
    </w:r>
    <w:r w:rsidRPr="005119CF">
      <w:rPr>
        <w:rStyle w:val="slostrany"/>
        <w:sz w:val="18"/>
        <w:szCs w:val="18"/>
      </w:rPr>
      <w:fldChar w:fldCharType="separate"/>
    </w:r>
    <w:r w:rsidR="00D94852">
      <w:rPr>
        <w:rStyle w:val="slostrany"/>
        <w:noProof/>
        <w:sz w:val="18"/>
        <w:szCs w:val="18"/>
      </w:rPr>
      <w:t>6</w:t>
    </w:r>
    <w:r w:rsidRPr="005119CF">
      <w:rPr>
        <w:rStyle w:val="slostra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AD1650" w14:textId="77777777" w:rsidR="00766CE3" w:rsidRDefault="00766CE3">
    <w:pPr>
      <w:pStyle w:val="Pta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>
      <w:rPr>
        <w:rStyle w:val="slostrany"/>
        <w:rFonts w:ascii="Arial" w:hAnsi="Arial" w:cs="Arial"/>
      </w:rPr>
      <w:t>6</w:t>
    </w:r>
    <w:r>
      <w:rPr>
        <w:rStyle w:val="slostrany"/>
        <w:rFonts w:ascii="Arial" w:hAnsi="Arial" w:cs="Arial"/>
      </w:rPr>
      <w:fldChar w:fldCharType="end"/>
    </w:r>
  </w:p>
  <w:p w14:paraId="5A360AC0" w14:textId="77777777" w:rsidR="004C61FE" w:rsidRDefault="004C61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B314" w14:textId="77777777" w:rsidR="001200C9" w:rsidRDefault="001200C9">
      <w:r>
        <w:separator/>
      </w:r>
    </w:p>
  </w:footnote>
  <w:footnote w:type="continuationSeparator" w:id="0">
    <w:p w14:paraId="67EC0DEA" w14:textId="77777777" w:rsidR="001200C9" w:rsidRDefault="001200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B9D7E" w14:textId="77777777" w:rsidR="005119CF" w:rsidRDefault="005119C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46AC2" w14:textId="77777777" w:rsidR="00B40C5E" w:rsidRDefault="008862CD" w:rsidP="005119CF">
    <w:pPr>
      <w:ind w:left="567" w:hanging="567"/>
      <w:rPr>
        <w:sz w:val="18"/>
        <w:szCs w:val="18"/>
        <w:lang w:eastAsia="sk-SK"/>
      </w:rPr>
    </w:pPr>
    <w:r w:rsidRPr="008862CD">
      <w:rPr>
        <w:sz w:val="18"/>
        <w:szCs w:val="18"/>
        <w:lang w:eastAsia="sk-SK"/>
      </w:rPr>
      <w:t>Schválený text k rozhodnutiu o registrácii, ev. č.: 2019/01238-REG</w:t>
    </w:r>
  </w:p>
  <w:p w14:paraId="4D3CB19F" w14:textId="5DD5CA1B" w:rsidR="00766CE3" w:rsidRDefault="00766CE3" w:rsidP="005119CF">
    <w:pPr>
      <w:ind w:left="567" w:hanging="567"/>
    </w:pPr>
  </w:p>
  <w:p w14:paraId="2C76F62E" w14:textId="77777777" w:rsidR="00766CE3" w:rsidRDefault="00766CE3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EF965" w14:textId="77777777" w:rsidR="00766CE3" w:rsidRDefault="00766CE3">
    <w:pPr>
      <w:pStyle w:val="Hlavika"/>
    </w:pPr>
    <w:r>
      <w:t>palen-fosfomycin-uk-1-0</w:t>
    </w:r>
  </w:p>
  <w:p w14:paraId="033275E1" w14:textId="77777777" w:rsidR="00766CE3" w:rsidRDefault="00766CE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061"/>
        </w:tabs>
      </w:pPr>
    </w:lvl>
  </w:abstractNum>
  <w:abstractNum w:abstractNumId="1" w15:restartNumberingAfterBreak="0">
    <w:nsid w:val="07E75B8D"/>
    <w:multiLevelType w:val="hybridMultilevel"/>
    <w:tmpl w:val="D6980E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36038"/>
    <w:multiLevelType w:val="hybridMultilevel"/>
    <w:tmpl w:val="08C8555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83968"/>
    <w:multiLevelType w:val="hybridMultilevel"/>
    <w:tmpl w:val="44C22A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5" w15:restartNumberingAfterBreak="0">
    <w:nsid w:val="314A2A43"/>
    <w:multiLevelType w:val="hybridMultilevel"/>
    <w:tmpl w:val="118EDA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67A19A0"/>
    <w:multiLevelType w:val="hybridMultilevel"/>
    <w:tmpl w:val="9C8C1918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B4459BF"/>
    <w:multiLevelType w:val="hybridMultilevel"/>
    <w:tmpl w:val="66F2BD4E"/>
    <w:lvl w:ilvl="0" w:tplc="00000001">
      <w:start w:val="1"/>
      <w:numFmt w:val="bullet"/>
      <w:lvlText w:val="-"/>
      <w:lvlJc w:val="left"/>
      <w:pPr>
        <w:tabs>
          <w:tab w:val="num" w:pos="720"/>
        </w:tabs>
      </w:pPr>
      <w:rPr>
        <w:rFonts w:ascii="Thorndale" w:hAnsi="Thorndale" w:cs="Thorndale" w:hint="default"/>
        <w:sz w:val="16"/>
        <w:szCs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8D13310"/>
    <w:multiLevelType w:val="multilevel"/>
    <w:tmpl w:val="F07AFCE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D84318"/>
    <w:multiLevelType w:val="hybridMultilevel"/>
    <w:tmpl w:val="2A964198"/>
    <w:lvl w:ilvl="0" w:tplc="42F062F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0768D"/>
    <w:multiLevelType w:val="hybridMultilevel"/>
    <w:tmpl w:val="966C5B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B271C"/>
    <w:multiLevelType w:val="hybridMultilevel"/>
    <w:tmpl w:val="2F1C99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41FDC"/>
    <w:multiLevelType w:val="hybridMultilevel"/>
    <w:tmpl w:val="0358C16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E972BFD"/>
    <w:multiLevelType w:val="hybridMultilevel"/>
    <w:tmpl w:val="801A015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1"/>
  </w:num>
  <w:num w:numId="5">
    <w:abstractNumId w:val="3"/>
  </w:num>
  <w:num w:numId="6">
    <w:abstractNumId w:val="13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2E2B12"/>
    <w:rsid w:val="000009E2"/>
    <w:rsid w:val="00002FE4"/>
    <w:rsid w:val="0004259F"/>
    <w:rsid w:val="00054378"/>
    <w:rsid w:val="000712F8"/>
    <w:rsid w:val="00075043"/>
    <w:rsid w:val="00077920"/>
    <w:rsid w:val="00082223"/>
    <w:rsid w:val="000A5A6B"/>
    <w:rsid w:val="000B0AAF"/>
    <w:rsid w:val="000B73D9"/>
    <w:rsid w:val="000C644F"/>
    <w:rsid w:val="000D0053"/>
    <w:rsid w:val="000E0AE2"/>
    <w:rsid w:val="000E3AB3"/>
    <w:rsid w:val="000F0B20"/>
    <w:rsid w:val="000F2071"/>
    <w:rsid w:val="000F77D3"/>
    <w:rsid w:val="00102595"/>
    <w:rsid w:val="001200C9"/>
    <w:rsid w:val="001208FE"/>
    <w:rsid w:val="00127371"/>
    <w:rsid w:val="00134884"/>
    <w:rsid w:val="00145F9C"/>
    <w:rsid w:val="001500D2"/>
    <w:rsid w:val="0015100C"/>
    <w:rsid w:val="00152896"/>
    <w:rsid w:val="00162B99"/>
    <w:rsid w:val="00164DC3"/>
    <w:rsid w:val="001774F2"/>
    <w:rsid w:val="001914A1"/>
    <w:rsid w:val="00197561"/>
    <w:rsid w:val="00197A1A"/>
    <w:rsid w:val="001A732B"/>
    <w:rsid w:val="001C2719"/>
    <w:rsid w:val="001C4E38"/>
    <w:rsid w:val="001C7FDC"/>
    <w:rsid w:val="001D6C9B"/>
    <w:rsid w:val="001E7F13"/>
    <w:rsid w:val="002022A3"/>
    <w:rsid w:val="002069FD"/>
    <w:rsid w:val="002163AA"/>
    <w:rsid w:val="00222994"/>
    <w:rsid w:val="00224970"/>
    <w:rsid w:val="002336C0"/>
    <w:rsid w:val="002374CD"/>
    <w:rsid w:val="00240BE8"/>
    <w:rsid w:val="00241F0C"/>
    <w:rsid w:val="00244011"/>
    <w:rsid w:val="00244271"/>
    <w:rsid w:val="0024721F"/>
    <w:rsid w:val="0025217E"/>
    <w:rsid w:val="00254C53"/>
    <w:rsid w:val="00274813"/>
    <w:rsid w:val="0027539F"/>
    <w:rsid w:val="0028312F"/>
    <w:rsid w:val="0028372A"/>
    <w:rsid w:val="0028583F"/>
    <w:rsid w:val="002863FC"/>
    <w:rsid w:val="00292C72"/>
    <w:rsid w:val="002A3497"/>
    <w:rsid w:val="002A490E"/>
    <w:rsid w:val="002A5EF7"/>
    <w:rsid w:val="002C4D6D"/>
    <w:rsid w:val="002D062D"/>
    <w:rsid w:val="002D33AA"/>
    <w:rsid w:val="002E2B12"/>
    <w:rsid w:val="002F0F64"/>
    <w:rsid w:val="002F52E6"/>
    <w:rsid w:val="002F7EF3"/>
    <w:rsid w:val="00312184"/>
    <w:rsid w:val="00323A26"/>
    <w:rsid w:val="003303E3"/>
    <w:rsid w:val="00335E2B"/>
    <w:rsid w:val="00354BA4"/>
    <w:rsid w:val="00354E70"/>
    <w:rsid w:val="00361A2C"/>
    <w:rsid w:val="003677C9"/>
    <w:rsid w:val="00385C61"/>
    <w:rsid w:val="00392BA9"/>
    <w:rsid w:val="003A3C3F"/>
    <w:rsid w:val="003A7416"/>
    <w:rsid w:val="003B4597"/>
    <w:rsid w:val="003B6392"/>
    <w:rsid w:val="003D1405"/>
    <w:rsid w:val="003D6973"/>
    <w:rsid w:val="003E57C6"/>
    <w:rsid w:val="003F3FF3"/>
    <w:rsid w:val="00415755"/>
    <w:rsid w:val="00417694"/>
    <w:rsid w:val="00420948"/>
    <w:rsid w:val="00420A6B"/>
    <w:rsid w:val="00421C5E"/>
    <w:rsid w:val="00423D14"/>
    <w:rsid w:val="004250D6"/>
    <w:rsid w:val="004336D5"/>
    <w:rsid w:val="0043739A"/>
    <w:rsid w:val="00442BFA"/>
    <w:rsid w:val="004466DE"/>
    <w:rsid w:val="004542C3"/>
    <w:rsid w:val="004608B5"/>
    <w:rsid w:val="00460AD5"/>
    <w:rsid w:val="004629DE"/>
    <w:rsid w:val="00476A75"/>
    <w:rsid w:val="00480EF5"/>
    <w:rsid w:val="00484430"/>
    <w:rsid w:val="00485B00"/>
    <w:rsid w:val="00495D22"/>
    <w:rsid w:val="004A2B42"/>
    <w:rsid w:val="004B67DC"/>
    <w:rsid w:val="004C3F22"/>
    <w:rsid w:val="004C61FE"/>
    <w:rsid w:val="004D402D"/>
    <w:rsid w:val="004D62B1"/>
    <w:rsid w:val="004E32F6"/>
    <w:rsid w:val="004F42FC"/>
    <w:rsid w:val="00510CBC"/>
    <w:rsid w:val="005119CF"/>
    <w:rsid w:val="00516BD2"/>
    <w:rsid w:val="00517B03"/>
    <w:rsid w:val="00533B7B"/>
    <w:rsid w:val="005362AB"/>
    <w:rsid w:val="005366BD"/>
    <w:rsid w:val="00537D44"/>
    <w:rsid w:val="00537D49"/>
    <w:rsid w:val="0054284B"/>
    <w:rsid w:val="005534E3"/>
    <w:rsid w:val="00554E2A"/>
    <w:rsid w:val="005624D5"/>
    <w:rsid w:val="00573D8C"/>
    <w:rsid w:val="00580A94"/>
    <w:rsid w:val="00581ECB"/>
    <w:rsid w:val="0058654D"/>
    <w:rsid w:val="00593676"/>
    <w:rsid w:val="00597C6D"/>
    <w:rsid w:val="005A0BDF"/>
    <w:rsid w:val="005A72F8"/>
    <w:rsid w:val="005C31FA"/>
    <w:rsid w:val="005D267D"/>
    <w:rsid w:val="005D296C"/>
    <w:rsid w:val="005D3411"/>
    <w:rsid w:val="005D38DF"/>
    <w:rsid w:val="005D3DD5"/>
    <w:rsid w:val="005D5C1B"/>
    <w:rsid w:val="005F72D6"/>
    <w:rsid w:val="006003FC"/>
    <w:rsid w:val="00605AF8"/>
    <w:rsid w:val="006070BB"/>
    <w:rsid w:val="0061615F"/>
    <w:rsid w:val="00620380"/>
    <w:rsid w:val="00634EC9"/>
    <w:rsid w:val="00642A2C"/>
    <w:rsid w:val="00643843"/>
    <w:rsid w:val="00653DDC"/>
    <w:rsid w:val="00665D98"/>
    <w:rsid w:val="00671566"/>
    <w:rsid w:val="00671C66"/>
    <w:rsid w:val="00672BFD"/>
    <w:rsid w:val="00681BB4"/>
    <w:rsid w:val="00685E04"/>
    <w:rsid w:val="006A451A"/>
    <w:rsid w:val="006C16CB"/>
    <w:rsid w:val="006D5229"/>
    <w:rsid w:val="006E0195"/>
    <w:rsid w:val="006E4988"/>
    <w:rsid w:val="006E5BB3"/>
    <w:rsid w:val="006F796A"/>
    <w:rsid w:val="007069D2"/>
    <w:rsid w:val="00706A22"/>
    <w:rsid w:val="007262AB"/>
    <w:rsid w:val="00727AB7"/>
    <w:rsid w:val="007315DB"/>
    <w:rsid w:val="00731659"/>
    <w:rsid w:val="007400C9"/>
    <w:rsid w:val="00756457"/>
    <w:rsid w:val="007569B0"/>
    <w:rsid w:val="007631BB"/>
    <w:rsid w:val="00766CE3"/>
    <w:rsid w:val="00771C0A"/>
    <w:rsid w:val="00773538"/>
    <w:rsid w:val="0078632F"/>
    <w:rsid w:val="00787BCF"/>
    <w:rsid w:val="00790080"/>
    <w:rsid w:val="00794680"/>
    <w:rsid w:val="007A09D6"/>
    <w:rsid w:val="007A32CE"/>
    <w:rsid w:val="007A68AA"/>
    <w:rsid w:val="007C0A75"/>
    <w:rsid w:val="007C1CC9"/>
    <w:rsid w:val="007C4F27"/>
    <w:rsid w:val="007D5872"/>
    <w:rsid w:val="007E0655"/>
    <w:rsid w:val="007E7232"/>
    <w:rsid w:val="007F75E2"/>
    <w:rsid w:val="0080007B"/>
    <w:rsid w:val="00800AA7"/>
    <w:rsid w:val="00801BDA"/>
    <w:rsid w:val="00805C48"/>
    <w:rsid w:val="008448BB"/>
    <w:rsid w:val="00864998"/>
    <w:rsid w:val="00865FAF"/>
    <w:rsid w:val="0087503C"/>
    <w:rsid w:val="00882227"/>
    <w:rsid w:val="0088594A"/>
    <w:rsid w:val="00885B4F"/>
    <w:rsid w:val="008862CD"/>
    <w:rsid w:val="008870B1"/>
    <w:rsid w:val="008A28C7"/>
    <w:rsid w:val="008B27C7"/>
    <w:rsid w:val="008B2F3D"/>
    <w:rsid w:val="008C036B"/>
    <w:rsid w:val="008D775C"/>
    <w:rsid w:val="008E2A44"/>
    <w:rsid w:val="008E63B6"/>
    <w:rsid w:val="008F3B23"/>
    <w:rsid w:val="0090406B"/>
    <w:rsid w:val="00904AAE"/>
    <w:rsid w:val="00904F54"/>
    <w:rsid w:val="00911974"/>
    <w:rsid w:val="00920314"/>
    <w:rsid w:val="00922730"/>
    <w:rsid w:val="00946523"/>
    <w:rsid w:val="0095663B"/>
    <w:rsid w:val="00985DFA"/>
    <w:rsid w:val="00996C1F"/>
    <w:rsid w:val="009A35BF"/>
    <w:rsid w:val="009A685F"/>
    <w:rsid w:val="009A6FA2"/>
    <w:rsid w:val="009B29EF"/>
    <w:rsid w:val="009B556D"/>
    <w:rsid w:val="009B6C95"/>
    <w:rsid w:val="009C1642"/>
    <w:rsid w:val="009C777F"/>
    <w:rsid w:val="009D085E"/>
    <w:rsid w:val="009D195E"/>
    <w:rsid w:val="009E5497"/>
    <w:rsid w:val="009F410A"/>
    <w:rsid w:val="00A00731"/>
    <w:rsid w:val="00A01EF0"/>
    <w:rsid w:val="00A24EA3"/>
    <w:rsid w:val="00A357B4"/>
    <w:rsid w:val="00A35E53"/>
    <w:rsid w:val="00A363AC"/>
    <w:rsid w:val="00A40260"/>
    <w:rsid w:val="00A43084"/>
    <w:rsid w:val="00A57B6A"/>
    <w:rsid w:val="00A753C7"/>
    <w:rsid w:val="00A75B8D"/>
    <w:rsid w:val="00A819F3"/>
    <w:rsid w:val="00A95A4C"/>
    <w:rsid w:val="00A971F7"/>
    <w:rsid w:val="00AA4F43"/>
    <w:rsid w:val="00AC1F2D"/>
    <w:rsid w:val="00AC2703"/>
    <w:rsid w:val="00AC70B5"/>
    <w:rsid w:val="00AE160B"/>
    <w:rsid w:val="00AF68EC"/>
    <w:rsid w:val="00B02303"/>
    <w:rsid w:val="00B12222"/>
    <w:rsid w:val="00B12543"/>
    <w:rsid w:val="00B229AE"/>
    <w:rsid w:val="00B26A83"/>
    <w:rsid w:val="00B32668"/>
    <w:rsid w:val="00B334A4"/>
    <w:rsid w:val="00B34AF1"/>
    <w:rsid w:val="00B40C5E"/>
    <w:rsid w:val="00B42464"/>
    <w:rsid w:val="00B64DF6"/>
    <w:rsid w:val="00B72483"/>
    <w:rsid w:val="00B74FAB"/>
    <w:rsid w:val="00B77380"/>
    <w:rsid w:val="00B806DE"/>
    <w:rsid w:val="00B814EC"/>
    <w:rsid w:val="00B8297A"/>
    <w:rsid w:val="00B86004"/>
    <w:rsid w:val="00B97AE7"/>
    <w:rsid w:val="00BA0890"/>
    <w:rsid w:val="00BA7D85"/>
    <w:rsid w:val="00BB5A52"/>
    <w:rsid w:val="00BC0676"/>
    <w:rsid w:val="00BC35BD"/>
    <w:rsid w:val="00BC4DCC"/>
    <w:rsid w:val="00BC53D5"/>
    <w:rsid w:val="00BD0A0E"/>
    <w:rsid w:val="00BD58BB"/>
    <w:rsid w:val="00BD79EA"/>
    <w:rsid w:val="00BE221E"/>
    <w:rsid w:val="00BE36DD"/>
    <w:rsid w:val="00BE42C6"/>
    <w:rsid w:val="00BF0A42"/>
    <w:rsid w:val="00BF4F7A"/>
    <w:rsid w:val="00BF6B98"/>
    <w:rsid w:val="00C01899"/>
    <w:rsid w:val="00C02EBC"/>
    <w:rsid w:val="00C03F8F"/>
    <w:rsid w:val="00C05197"/>
    <w:rsid w:val="00C05458"/>
    <w:rsid w:val="00C12D50"/>
    <w:rsid w:val="00C23458"/>
    <w:rsid w:val="00C23AA4"/>
    <w:rsid w:val="00C243E9"/>
    <w:rsid w:val="00C254A4"/>
    <w:rsid w:val="00C309C6"/>
    <w:rsid w:val="00C324F0"/>
    <w:rsid w:val="00C3455B"/>
    <w:rsid w:val="00C46E2B"/>
    <w:rsid w:val="00C64BB3"/>
    <w:rsid w:val="00C668ED"/>
    <w:rsid w:val="00C707C4"/>
    <w:rsid w:val="00C70FA4"/>
    <w:rsid w:val="00C87114"/>
    <w:rsid w:val="00C91217"/>
    <w:rsid w:val="00C92226"/>
    <w:rsid w:val="00CA1D6A"/>
    <w:rsid w:val="00CA566B"/>
    <w:rsid w:val="00CC69D3"/>
    <w:rsid w:val="00CD7394"/>
    <w:rsid w:val="00CE26AA"/>
    <w:rsid w:val="00CF1F91"/>
    <w:rsid w:val="00CF28EF"/>
    <w:rsid w:val="00CF28FE"/>
    <w:rsid w:val="00CF356E"/>
    <w:rsid w:val="00D13C39"/>
    <w:rsid w:val="00D24D3D"/>
    <w:rsid w:val="00D33F7B"/>
    <w:rsid w:val="00D42B43"/>
    <w:rsid w:val="00D43A19"/>
    <w:rsid w:val="00D46816"/>
    <w:rsid w:val="00D46E54"/>
    <w:rsid w:val="00D47DE8"/>
    <w:rsid w:val="00D50D84"/>
    <w:rsid w:val="00D56686"/>
    <w:rsid w:val="00D62C4C"/>
    <w:rsid w:val="00D7163D"/>
    <w:rsid w:val="00D74B46"/>
    <w:rsid w:val="00D81BA5"/>
    <w:rsid w:val="00D93049"/>
    <w:rsid w:val="00D94852"/>
    <w:rsid w:val="00DA351D"/>
    <w:rsid w:val="00DB18D9"/>
    <w:rsid w:val="00DB3EFA"/>
    <w:rsid w:val="00DB4C42"/>
    <w:rsid w:val="00DC4DDF"/>
    <w:rsid w:val="00E00D60"/>
    <w:rsid w:val="00E01F33"/>
    <w:rsid w:val="00E04B5E"/>
    <w:rsid w:val="00E127CC"/>
    <w:rsid w:val="00E15FA9"/>
    <w:rsid w:val="00E356D4"/>
    <w:rsid w:val="00E40B92"/>
    <w:rsid w:val="00E43F6E"/>
    <w:rsid w:val="00E47033"/>
    <w:rsid w:val="00E806B5"/>
    <w:rsid w:val="00E83372"/>
    <w:rsid w:val="00E8448A"/>
    <w:rsid w:val="00E959F1"/>
    <w:rsid w:val="00EA4DA2"/>
    <w:rsid w:val="00EB0646"/>
    <w:rsid w:val="00EC046D"/>
    <w:rsid w:val="00EC1D8B"/>
    <w:rsid w:val="00EC5470"/>
    <w:rsid w:val="00F02623"/>
    <w:rsid w:val="00F03282"/>
    <w:rsid w:val="00F050A9"/>
    <w:rsid w:val="00F1223E"/>
    <w:rsid w:val="00F27CAE"/>
    <w:rsid w:val="00F30DCC"/>
    <w:rsid w:val="00F43939"/>
    <w:rsid w:val="00F44D75"/>
    <w:rsid w:val="00F46AF9"/>
    <w:rsid w:val="00F53A55"/>
    <w:rsid w:val="00F607A2"/>
    <w:rsid w:val="00F73BEA"/>
    <w:rsid w:val="00F74D70"/>
    <w:rsid w:val="00F877A0"/>
    <w:rsid w:val="00F9123C"/>
    <w:rsid w:val="00FB0ADF"/>
    <w:rsid w:val="00FC1B9D"/>
    <w:rsid w:val="00FC1FE0"/>
    <w:rsid w:val="00FD4E43"/>
    <w:rsid w:val="00FE48A7"/>
    <w:rsid w:val="00FE5C98"/>
    <w:rsid w:val="00FE60B2"/>
    <w:rsid w:val="00FE7C8B"/>
    <w:rsid w:val="00FF1A0C"/>
    <w:rsid w:val="00FF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1924CB18"/>
  <w15:chartTrackingRefBased/>
  <w15:docId w15:val="{587E867F-09E4-43D5-9EBF-FB645C39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qFormat/>
    <w:rsid w:val="00354E70"/>
    <w:pPr>
      <w:keepNext/>
      <w:numPr>
        <w:numId w:val="13"/>
      </w:numPr>
      <w:spacing w:line="260" w:lineRule="exact"/>
      <w:jc w:val="both"/>
      <w:outlineLvl w:val="0"/>
    </w:pPr>
    <w:rPr>
      <w:b/>
      <w:bCs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outlineLvl w:val="1"/>
    </w:pPr>
    <w:rPr>
      <w:b/>
      <w:bCs/>
    </w:rPr>
  </w:style>
  <w:style w:type="paragraph" w:styleId="Nadpis3">
    <w:name w:val="heading 3"/>
    <w:basedOn w:val="Normlny"/>
    <w:next w:val="Normlny"/>
    <w:qFormat/>
    <w:pPr>
      <w:keepNext/>
      <w:spacing w:line="260" w:lineRule="exact"/>
      <w:jc w:val="both"/>
      <w:outlineLvl w:val="2"/>
    </w:p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bCs/>
      <w:noProof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iCs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iCs/>
    </w:rPr>
  </w:style>
  <w:style w:type="paragraph" w:styleId="Nadpis8">
    <w:name w:val="heading 8"/>
    <w:basedOn w:val="Normlny"/>
    <w:next w:val="Normlny"/>
    <w:qFormat/>
    <w:pPr>
      <w:keepNext/>
      <w:ind w:left="1494" w:hanging="360"/>
      <w:outlineLvl w:val="7"/>
    </w:pPr>
    <w:rPr>
      <w:b/>
      <w:bCs/>
    </w:rPr>
  </w:style>
  <w:style w:type="paragraph" w:styleId="Nadpis9">
    <w:name w:val="heading 9"/>
    <w:basedOn w:val="Normlny"/>
    <w:next w:val="Normlny"/>
    <w:qFormat/>
    <w:pPr>
      <w:keepNext/>
      <w:shd w:val="pct25" w:color="000000" w:fill="FFFFFF"/>
      <w:outlineLvl w:val="8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pPr>
      <w:tabs>
        <w:tab w:val="center" w:pos="4320"/>
        <w:tab w:val="right" w:pos="8640"/>
      </w:tabs>
    </w:pPr>
  </w:style>
  <w:style w:type="paragraph" w:styleId="Pta">
    <w:name w:val="footer"/>
    <w:basedOn w:val="Normlny"/>
    <w:pPr>
      <w:tabs>
        <w:tab w:val="center" w:pos="4536"/>
        <w:tab w:val="center" w:pos="8930"/>
      </w:tabs>
    </w:pPr>
    <w:rPr>
      <w:rFonts w:ascii="Helvetica" w:hAnsi="Helvetica" w:cs="Helvetica"/>
      <w:sz w:val="16"/>
      <w:szCs w:val="16"/>
    </w:rPr>
  </w:style>
  <w:style w:type="paragraph" w:styleId="Zkladntext2">
    <w:name w:val="Body Text 2"/>
    <w:basedOn w:val="Normlny"/>
    <w:pPr>
      <w:shd w:val="pct25" w:color="000000" w:fill="FFFFFF"/>
      <w:ind w:left="567" w:hanging="567"/>
    </w:pPr>
    <w:rPr>
      <w:b/>
      <w:bCs/>
    </w:rPr>
  </w:style>
  <w:style w:type="character" w:styleId="Hypertextovprepojenie">
    <w:name w:val="Hyperlink"/>
    <w:basedOn w:val="Predvolenpsmoodseku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customStyle="1" w:styleId="knZulassung02">
    <w:name w:val="knZulassung02"/>
    <w:basedOn w:val="Normlny"/>
    <w:pPr>
      <w:suppressAutoHyphens/>
      <w:autoSpaceDE w:val="0"/>
      <w:autoSpaceDN w:val="0"/>
      <w:spacing w:after="120"/>
      <w:ind w:left="1843" w:right="284"/>
    </w:pPr>
    <w:rPr>
      <w:rFonts w:ascii="Courier" w:hAnsi="Courier" w:cs="Courier"/>
      <w:sz w:val="24"/>
      <w:szCs w:val="24"/>
      <w:lang w:eastAsia="de-DE"/>
    </w:rPr>
  </w:style>
  <w:style w:type="paragraph" w:customStyle="1" w:styleId="Aufzhlung1-2-3-4-5-6">
    <w:name w:val="Aufzâhlung_1-2-3-4-5-6..."/>
    <w:basedOn w:val="Normlny"/>
    <w:pPr>
      <w:tabs>
        <w:tab w:val="num" w:pos="2421"/>
      </w:tabs>
      <w:suppressAutoHyphens/>
      <w:autoSpaceDE w:val="0"/>
      <w:autoSpaceDN w:val="0"/>
      <w:spacing w:after="120"/>
      <w:ind w:left="-4482"/>
    </w:pPr>
    <w:rPr>
      <w:rFonts w:ascii="Arial" w:hAnsi="Arial" w:cs="Arial"/>
      <w:lang w:eastAsia="de-DE"/>
    </w:rPr>
  </w:style>
  <w:style w:type="paragraph" w:customStyle="1" w:styleId="MusterHinweiskastenpal">
    <w:name w:val="Muster_Hinweiskasten_pal"/>
    <w:basedOn w:val="Normlny"/>
    <w:pPr>
      <w:pBdr>
        <w:top w:val="single" w:sz="2" w:space="1" w:color="000000"/>
        <w:left w:val="single" w:sz="2" w:space="4" w:color="000000"/>
        <w:bottom w:val="single" w:sz="2" w:space="1" w:color="000000"/>
        <w:right w:val="single" w:sz="2" w:space="4" w:color="000000"/>
      </w:pBdr>
      <w:suppressAutoHyphens/>
      <w:autoSpaceDE w:val="0"/>
      <w:autoSpaceDN w:val="0"/>
      <w:spacing w:before="120" w:after="120"/>
      <w:ind w:left="1418"/>
    </w:pPr>
    <w:rPr>
      <w:rFonts w:ascii="Arial" w:hAnsi="Arial" w:cs="Arial"/>
      <w:b/>
      <w:bCs/>
      <w:lang w:eastAsia="de-DE"/>
    </w:rPr>
  </w:style>
  <w:style w:type="table" w:styleId="Mriekatabuky">
    <w:name w:val="Table Grid"/>
    <w:basedOn w:val="Normlnatabuka"/>
    <w:rsid w:val="00485B00"/>
    <w:pPr>
      <w:tabs>
        <w:tab w:val="left" w:pos="567"/>
      </w:tabs>
      <w:spacing w:line="260" w:lineRule="exac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Header1">
    <w:name w:val="AHeader 1"/>
    <w:basedOn w:val="Normlny"/>
    <w:rsid w:val="00B77380"/>
    <w:pPr>
      <w:numPr>
        <w:numId w:val="1"/>
      </w:numPr>
      <w:spacing w:after="120"/>
    </w:pPr>
    <w:rPr>
      <w:rFonts w:ascii="Arial" w:hAnsi="Arial" w:cs="Arial"/>
      <w:b/>
      <w:bCs/>
      <w:sz w:val="24"/>
      <w:szCs w:val="24"/>
    </w:rPr>
  </w:style>
  <w:style w:type="paragraph" w:customStyle="1" w:styleId="AHeader2">
    <w:name w:val="AHeader 2"/>
    <w:basedOn w:val="AHeader1"/>
    <w:rsid w:val="00B77380"/>
    <w:pPr>
      <w:numPr>
        <w:ilvl w:val="1"/>
      </w:numPr>
    </w:pPr>
    <w:rPr>
      <w:sz w:val="22"/>
      <w:szCs w:val="22"/>
    </w:rPr>
  </w:style>
  <w:style w:type="paragraph" w:customStyle="1" w:styleId="AHeader3">
    <w:name w:val="AHeader 3"/>
    <w:basedOn w:val="AHeader2"/>
    <w:rsid w:val="00B77380"/>
    <w:pPr>
      <w:numPr>
        <w:ilvl w:val="2"/>
      </w:numPr>
    </w:pPr>
  </w:style>
  <w:style w:type="paragraph" w:customStyle="1" w:styleId="AHeader2abc">
    <w:name w:val="AHeader 2 abc"/>
    <w:basedOn w:val="AHeader3"/>
    <w:rsid w:val="00B77380"/>
    <w:pPr>
      <w:numPr>
        <w:ilvl w:val="3"/>
      </w:num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B77380"/>
    <w:pPr>
      <w:numPr>
        <w:ilvl w:val="4"/>
      </w:numPr>
    </w:pPr>
  </w:style>
  <w:style w:type="paragraph" w:customStyle="1" w:styleId="Dashed">
    <w:name w:val="_ Dashed"/>
    <w:basedOn w:val="Normlny"/>
    <w:rsid w:val="001914A1"/>
    <w:pPr>
      <w:suppressAutoHyphens/>
      <w:ind w:left="284" w:hanging="284"/>
      <w:jc w:val="both"/>
    </w:pPr>
    <w:rPr>
      <w:rFonts w:ascii="Arial" w:hAnsi="Arial" w:cs="Arial"/>
      <w:spacing w:val="-3"/>
    </w:rPr>
  </w:style>
  <w:style w:type="paragraph" w:customStyle="1" w:styleId="Formatvorlageberschrift3NichtKursivUnterstrichenLinks125cm">
    <w:name w:val="Formatvorlage Überschrift 3 + Nicht Kursiv Unterstrichen Links:  125 cm..."/>
    <w:basedOn w:val="Nadpis3"/>
    <w:rsid w:val="00AC2703"/>
    <w:pPr>
      <w:spacing w:before="240" w:line="276" w:lineRule="auto"/>
      <w:ind w:left="709"/>
      <w:jc w:val="left"/>
    </w:pPr>
    <w:rPr>
      <w:szCs w:val="20"/>
      <w:u w:val="single"/>
      <w:lang w:eastAsia="en-GB"/>
    </w:rPr>
  </w:style>
  <w:style w:type="character" w:customStyle="1" w:styleId="TextkomentraChar">
    <w:name w:val="Text komentára Char"/>
    <w:basedOn w:val="Predvolenpsmoodseku"/>
    <w:link w:val="Textkomentra"/>
    <w:rsid w:val="00C01899"/>
    <w:rPr>
      <w:lang w:eastAsia="en-US"/>
    </w:rPr>
  </w:style>
  <w:style w:type="paragraph" w:styleId="Odsekzoznamu">
    <w:name w:val="List Paragraph"/>
    <w:basedOn w:val="Normlny"/>
    <w:uiPriority w:val="34"/>
    <w:qFormat/>
    <w:rsid w:val="00354E70"/>
    <w:pPr>
      <w:ind w:left="720"/>
      <w:contextualSpacing/>
    </w:pPr>
  </w:style>
  <w:style w:type="character" w:customStyle="1" w:styleId="TextChar1">
    <w:name w:val="Text Char1"/>
    <w:link w:val="Text"/>
    <w:locked/>
    <w:rsid w:val="00C254A4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C254A4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9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B72B4-E57F-48F8-9CF0-24AAC9E3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2293</Words>
  <Characters>13239</Characters>
  <Application>Microsoft Office Word</Application>
  <DocSecurity>0</DocSecurity>
  <Lines>110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PACKAGE LEAFLET: INFORMATION FOR THE USER</vt:lpstr>
      <vt:lpstr>PACKAGE LEAFLET: INFORMATION FOR THE USER</vt:lpstr>
    </vt:vector>
  </TitlesOfParts>
  <Company>PAT 108024-02/08 D-GB Elgin</Company>
  <LinksUpToDate>false</LinksUpToDate>
  <CharactersWithSpaces>15501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PACKAGE LEAFLET: INFORMATION FOR THE USER</dc:title>
  <dc:subject/>
  <dc:creator>Author</dc:creator>
  <cp:keywords/>
  <dc:description/>
  <cp:lastModifiedBy>Lacková, Beáta</cp:lastModifiedBy>
  <cp:revision>18</cp:revision>
  <cp:lastPrinted>2019-08-26T12:33:00Z</cp:lastPrinted>
  <dcterms:created xsi:type="dcterms:W3CDTF">2019-07-17T13:23:00Z</dcterms:created>
  <dcterms:modified xsi:type="dcterms:W3CDTF">2019-09-04T06:30:00Z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ubject">
    <vt:lpwstr>General-EMEA/279388/2007</vt:lpwstr>
  </property>
  <property fmtid="{D5CDD505-2E9C-101B-9397-08002B2CF9AE}" pid="3" name="DM_Name">
    <vt:lpwstr>Hreferralspcde</vt:lpwstr>
  </property>
  <property fmtid="{D5CDD505-2E9C-101B-9397-08002B2CF9AE}" pid="4" name="DM_Owner">
    <vt:lpwstr>Le Visage Genevieve</vt:lpwstr>
  </property>
  <property fmtid="{D5CDD505-2E9C-101B-9397-08002B2CF9AE}" pid="5" name="DM_Creation_Date">
    <vt:lpwstr>21/06/2007 14:03:21</vt:lpwstr>
  </property>
  <property fmtid="{D5CDD505-2E9C-101B-9397-08002B2CF9AE}" pid="6" name="DM_Creator_Name">
    <vt:lpwstr>Le Visage Genevieve</vt:lpwstr>
  </property>
  <property fmtid="{D5CDD505-2E9C-101B-9397-08002B2CF9AE}" pid="7" name="DM_Modifer_Name">
    <vt:lpwstr>Le Visage Genevieve</vt:lpwstr>
  </property>
  <property fmtid="{D5CDD505-2E9C-101B-9397-08002B2CF9AE}" pid="8" name="DM_Modified_Date">
    <vt:lpwstr>21/06/2007 14:03:40</vt:lpwstr>
  </property>
  <property fmtid="{D5CDD505-2E9C-101B-9397-08002B2CF9AE}" pid="9" name="DM_Type">
    <vt:lpwstr>emea_document</vt:lpwstr>
  </property>
  <property fmtid="{D5CDD505-2E9C-101B-9397-08002B2CF9AE}" pid="10" name="DM_Version">
    <vt:lpwstr>0.1, CURRENT</vt:lpwstr>
  </property>
  <property fmtid="{D5CDD505-2E9C-101B-9397-08002B2CF9AE}" pid="11" name="DM_emea_doc_ref_id">
    <vt:lpwstr>EMEA/279388/2007</vt:lpwstr>
  </property>
  <property fmtid="{D5CDD505-2E9C-101B-9397-08002B2CF9AE}" pid="12" name="DM_emea_doc_number">
    <vt:lpwstr>279388</vt:lpwstr>
  </property>
  <property fmtid="{D5CDD505-2E9C-101B-9397-08002B2CF9AE}" pid="13" name="DM_emea_received_date">
    <vt:lpwstr>nulldate</vt:lpwstr>
  </property>
  <property fmtid="{D5CDD505-2E9C-101B-9397-08002B2CF9AE}" pid="14" name="DM_emea_doc_category">
    <vt:lpwstr>General</vt:lpwstr>
  </property>
  <property fmtid="{D5CDD505-2E9C-101B-9397-08002B2CF9AE}" pid="15" name="DM_emea_internal_label">
    <vt:lpwstr>EMEA</vt:lpwstr>
  </property>
  <property fmtid="{D5CDD505-2E9C-101B-9397-08002B2CF9AE}" pid="16" name="DM_emea_legal_date">
    <vt:lpwstr>nulldate</vt:lpwstr>
  </property>
  <property fmtid="{D5CDD505-2E9C-101B-9397-08002B2CF9AE}" pid="17" name="DM_emea_year">
    <vt:lpwstr>2007</vt:lpwstr>
  </property>
  <property fmtid="{D5CDD505-2E9C-101B-9397-08002B2CF9AE}" pid="18" name="DM_emea_sent_date">
    <vt:lpwstr>nulldate</vt:lpwstr>
  </property>
</Properties>
</file>