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4C92F" w14:textId="77777777" w:rsidR="00C93EFB" w:rsidRPr="00EF6AAE" w:rsidRDefault="00C93EFB" w:rsidP="00EF6AAE">
      <w:pPr>
        <w:rPr>
          <w:sz w:val="22"/>
          <w:szCs w:val="22"/>
        </w:rPr>
      </w:pPr>
    </w:p>
    <w:p w14:paraId="4616D981" w14:textId="77777777" w:rsidR="00F96E18" w:rsidRPr="00EF6AAE" w:rsidRDefault="00F96E18" w:rsidP="00EF6AAE">
      <w:pPr>
        <w:jc w:val="center"/>
        <w:rPr>
          <w:b/>
          <w:bCs/>
          <w:sz w:val="22"/>
          <w:szCs w:val="22"/>
        </w:rPr>
      </w:pPr>
      <w:r w:rsidRPr="00EF6AAE">
        <w:rPr>
          <w:b/>
          <w:bCs/>
          <w:sz w:val="22"/>
          <w:szCs w:val="22"/>
        </w:rPr>
        <w:t>Písomná informácia pre používateľ</w:t>
      </w:r>
      <w:r w:rsidR="00B83DE1" w:rsidRPr="00EF6AAE">
        <w:rPr>
          <w:b/>
          <w:bCs/>
          <w:sz w:val="22"/>
          <w:szCs w:val="22"/>
        </w:rPr>
        <w:t>a</w:t>
      </w:r>
    </w:p>
    <w:p w14:paraId="75A30400" w14:textId="77777777" w:rsidR="00F96E18" w:rsidRPr="00EF6AAE" w:rsidRDefault="00F96E18" w:rsidP="00EF6AAE">
      <w:pPr>
        <w:jc w:val="center"/>
        <w:rPr>
          <w:b/>
          <w:bCs/>
          <w:sz w:val="22"/>
          <w:szCs w:val="22"/>
        </w:rPr>
      </w:pPr>
    </w:p>
    <w:p w14:paraId="09DD618C" w14:textId="77777777" w:rsidR="00B83DE1" w:rsidRPr="00EF6AAE" w:rsidRDefault="00F96E18" w:rsidP="00EF6AAE">
      <w:pPr>
        <w:jc w:val="center"/>
        <w:rPr>
          <w:b/>
          <w:bCs/>
          <w:sz w:val="22"/>
          <w:szCs w:val="22"/>
        </w:rPr>
      </w:pPr>
      <w:r w:rsidRPr="00EF6AAE">
        <w:rPr>
          <w:b/>
          <w:bCs/>
          <w:sz w:val="22"/>
          <w:szCs w:val="22"/>
        </w:rPr>
        <w:t>Phenaemal</w:t>
      </w:r>
      <w:r w:rsidR="000B4A9D" w:rsidRPr="00EF6AAE">
        <w:rPr>
          <w:b/>
          <w:bCs/>
          <w:sz w:val="22"/>
          <w:szCs w:val="22"/>
        </w:rPr>
        <w:t xml:space="preserve"> </w:t>
      </w:r>
      <w:r w:rsidRPr="00EF6AAE">
        <w:rPr>
          <w:b/>
          <w:bCs/>
          <w:sz w:val="22"/>
          <w:szCs w:val="22"/>
        </w:rPr>
        <w:t>0,1</w:t>
      </w:r>
    </w:p>
    <w:p w14:paraId="0CF400EB" w14:textId="77777777" w:rsidR="00F96E18" w:rsidRPr="00EF6AAE" w:rsidRDefault="00C93EFB" w:rsidP="00EF6AAE">
      <w:pPr>
        <w:jc w:val="center"/>
        <w:rPr>
          <w:b/>
          <w:bCs/>
          <w:sz w:val="22"/>
          <w:szCs w:val="22"/>
        </w:rPr>
      </w:pPr>
      <w:r w:rsidRPr="00EF6AAE">
        <w:rPr>
          <w:b/>
          <w:bCs/>
          <w:sz w:val="22"/>
          <w:szCs w:val="22"/>
        </w:rPr>
        <w:t>100 mg tablety</w:t>
      </w:r>
    </w:p>
    <w:p w14:paraId="07D3EEAC" w14:textId="77777777" w:rsidR="00092986" w:rsidRPr="00EF6AAE" w:rsidRDefault="00092986" w:rsidP="00EF6AAE">
      <w:pPr>
        <w:jc w:val="center"/>
        <w:rPr>
          <w:sz w:val="22"/>
          <w:szCs w:val="22"/>
        </w:rPr>
      </w:pPr>
    </w:p>
    <w:p w14:paraId="6877F1E8" w14:textId="77777777" w:rsidR="00F96E18" w:rsidRPr="00EF6AAE" w:rsidRDefault="00BE3CBD" w:rsidP="00EF6AAE">
      <w:pPr>
        <w:jc w:val="center"/>
        <w:rPr>
          <w:sz w:val="22"/>
          <w:szCs w:val="22"/>
        </w:rPr>
      </w:pPr>
      <w:r w:rsidRPr="00EF6AAE">
        <w:rPr>
          <w:sz w:val="22"/>
          <w:szCs w:val="22"/>
        </w:rPr>
        <w:t>f</w:t>
      </w:r>
      <w:r w:rsidR="00F96E18" w:rsidRPr="00EF6AAE">
        <w:rPr>
          <w:sz w:val="22"/>
          <w:szCs w:val="22"/>
        </w:rPr>
        <w:t>enobarbital</w:t>
      </w:r>
    </w:p>
    <w:p w14:paraId="5C883EAD" w14:textId="77777777" w:rsidR="00F96E18" w:rsidRPr="00EF6AAE" w:rsidRDefault="00F96E18" w:rsidP="00EF6AAE">
      <w:pPr>
        <w:spacing w:line="240" w:lineRule="atLeast"/>
        <w:jc w:val="center"/>
        <w:rPr>
          <w:bCs/>
          <w:sz w:val="22"/>
          <w:szCs w:val="22"/>
        </w:rPr>
      </w:pPr>
    </w:p>
    <w:p w14:paraId="71D9542D" w14:textId="77777777" w:rsidR="00664B82" w:rsidRPr="00EF6AAE" w:rsidRDefault="00664B82" w:rsidP="00EF6AAE">
      <w:pPr>
        <w:ind w:right="-2"/>
        <w:rPr>
          <w:sz w:val="22"/>
          <w:szCs w:val="22"/>
        </w:rPr>
      </w:pPr>
      <w:r w:rsidRPr="00EF6AAE">
        <w:rPr>
          <w:b/>
          <w:sz w:val="22"/>
          <w:szCs w:val="22"/>
        </w:rPr>
        <w:t>Pozorne si prečítajte celú písomnú informáciu predtým, ako začnete užívať tento liek, pretože obsahuje pre vás dôležité informácie.</w:t>
      </w:r>
    </w:p>
    <w:p w14:paraId="397F40AD" w14:textId="77777777" w:rsidR="00664B82" w:rsidRPr="00EF6AAE" w:rsidRDefault="00664B82" w:rsidP="00EF6AAE">
      <w:pPr>
        <w:numPr>
          <w:ilvl w:val="0"/>
          <w:numId w:val="1"/>
        </w:numPr>
        <w:ind w:right="-2"/>
        <w:rPr>
          <w:sz w:val="22"/>
          <w:szCs w:val="22"/>
        </w:rPr>
      </w:pPr>
      <w:r w:rsidRPr="00EF6AAE">
        <w:rPr>
          <w:sz w:val="22"/>
          <w:szCs w:val="22"/>
        </w:rPr>
        <w:t>Túto písomnú informáciu si uschovajte. Možno bude potrebné, aby ste si ju znovu prečítali.</w:t>
      </w:r>
    </w:p>
    <w:p w14:paraId="61E11047" w14:textId="77777777" w:rsidR="00664B82" w:rsidRPr="00EF6AAE" w:rsidRDefault="00664B82" w:rsidP="00EF6AAE">
      <w:pPr>
        <w:numPr>
          <w:ilvl w:val="0"/>
          <w:numId w:val="1"/>
        </w:numPr>
        <w:ind w:right="-2"/>
        <w:rPr>
          <w:sz w:val="22"/>
          <w:szCs w:val="22"/>
        </w:rPr>
      </w:pPr>
      <w:r w:rsidRPr="00EF6AAE">
        <w:rPr>
          <w:sz w:val="22"/>
          <w:szCs w:val="22"/>
        </w:rPr>
        <w:t>Ak máte akékoľvek ďalšie otázky, obráťte sa na svojho lekára, lekárnika alebo zdravotnú sestru.</w:t>
      </w:r>
    </w:p>
    <w:p w14:paraId="123A4F0F" w14:textId="558FDFB2" w:rsidR="00664B82" w:rsidRPr="00EF6AAE" w:rsidRDefault="00664B82" w:rsidP="00EF6AAE">
      <w:pPr>
        <w:numPr>
          <w:ilvl w:val="0"/>
          <w:numId w:val="1"/>
        </w:numPr>
        <w:ind w:right="-2"/>
        <w:rPr>
          <w:sz w:val="22"/>
          <w:szCs w:val="22"/>
        </w:rPr>
      </w:pPr>
      <w:r w:rsidRPr="00EF6AAE">
        <w:rPr>
          <w:sz w:val="22"/>
          <w:szCs w:val="22"/>
        </w:rPr>
        <w:t xml:space="preserve">Tento liek bol predpísaný iba vám. Nedávajte ho nikomu inému. Môže mu uškodiť, dokonca </w:t>
      </w:r>
      <w:r w:rsidR="00FC0FDA" w:rsidRPr="00EF6AAE">
        <w:rPr>
          <w:sz w:val="22"/>
          <w:szCs w:val="22"/>
        </w:rPr>
        <w:t>aj vtedy, ak má rovnaké prejavy</w:t>
      </w:r>
      <w:r w:rsidRPr="00EF6AAE">
        <w:rPr>
          <w:sz w:val="22"/>
          <w:szCs w:val="22"/>
        </w:rPr>
        <w:t xml:space="preserve"> ochorenia ako vy.</w:t>
      </w:r>
    </w:p>
    <w:p w14:paraId="61F7AF11" w14:textId="05A5C7DA" w:rsidR="00664B82" w:rsidRPr="00EF6AAE" w:rsidRDefault="00664B82" w:rsidP="00EF6AAE">
      <w:pPr>
        <w:numPr>
          <w:ilvl w:val="0"/>
          <w:numId w:val="1"/>
        </w:numPr>
        <w:ind w:right="-2"/>
        <w:rPr>
          <w:sz w:val="22"/>
          <w:szCs w:val="22"/>
        </w:rPr>
      </w:pPr>
      <w:r w:rsidRPr="00EF6AAE">
        <w:rPr>
          <w:sz w:val="22"/>
          <w:szCs w:val="22"/>
        </w:rPr>
        <w:t xml:space="preserve">Ak sa u vás vyskytne akýkoľvek vedľajší účinok, obráťte sa na svojho lekára, lekárnika alebo zdravotnú sestru. To sa týka aj akýchkoľvek vedľajších účinkov, ktoré nie sú uvedené </w:t>
      </w:r>
      <w:r w:rsidR="00FC0FDA" w:rsidRPr="00EF6AAE">
        <w:rPr>
          <w:sz w:val="22"/>
          <w:szCs w:val="22"/>
        </w:rPr>
        <w:t>v tejto písomnej informácii</w:t>
      </w:r>
      <w:r w:rsidRPr="00EF6AAE">
        <w:rPr>
          <w:sz w:val="22"/>
          <w:szCs w:val="22"/>
        </w:rPr>
        <w:t>.</w:t>
      </w:r>
      <w:r w:rsidR="003C6E1F" w:rsidRPr="00EF6AAE">
        <w:rPr>
          <w:sz w:val="22"/>
          <w:szCs w:val="22"/>
        </w:rPr>
        <w:t xml:space="preserve"> </w:t>
      </w:r>
      <w:r w:rsidR="003C6E1F" w:rsidRPr="00EF6AAE">
        <w:rPr>
          <w:noProof/>
          <w:sz w:val="22"/>
          <w:szCs w:val="22"/>
        </w:rPr>
        <w:t>Pozri časť 4.</w:t>
      </w:r>
    </w:p>
    <w:p w14:paraId="7603F6FD" w14:textId="77777777" w:rsidR="00664B82" w:rsidRPr="00EF6AAE" w:rsidRDefault="00664B82" w:rsidP="00EF6AAE">
      <w:pPr>
        <w:ind w:right="-2"/>
        <w:rPr>
          <w:sz w:val="22"/>
          <w:szCs w:val="22"/>
        </w:rPr>
      </w:pPr>
    </w:p>
    <w:p w14:paraId="1127439F" w14:textId="1528FC41" w:rsidR="00664B82" w:rsidRPr="00EF6AAE" w:rsidRDefault="00664B82" w:rsidP="00EF6AAE">
      <w:pPr>
        <w:numPr>
          <w:ilvl w:val="12"/>
          <w:numId w:val="0"/>
        </w:numPr>
        <w:ind w:right="-2"/>
        <w:outlineLvl w:val="0"/>
        <w:rPr>
          <w:sz w:val="22"/>
          <w:szCs w:val="22"/>
        </w:rPr>
      </w:pPr>
      <w:r w:rsidRPr="00EF6AAE">
        <w:rPr>
          <w:b/>
          <w:sz w:val="22"/>
          <w:szCs w:val="22"/>
        </w:rPr>
        <w:t>V tejto písomnej informácii sa dozviete</w:t>
      </w:r>
    </w:p>
    <w:p w14:paraId="2A59DA0B" w14:textId="77777777" w:rsidR="00664B82" w:rsidRPr="00EF6AAE" w:rsidRDefault="00664B82" w:rsidP="00EF6AAE">
      <w:pPr>
        <w:ind w:left="567" w:right="-28" w:hanging="567"/>
        <w:rPr>
          <w:sz w:val="22"/>
          <w:szCs w:val="22"/>
        </w:rPr>
      </w:pPr>
      <w:r w:rsidRPr="00EF6AAE">
        <w:rPr>
          <w:sz w:val="22"/>
          <w:szCs w:val="22"/>
        </w:rPr>
        <w:t>1.</w:t>
      </w:r>
      <w:r w:rsidRPr="00EF6AAE">
        <w:rPr>
          <w:sz w:val="22"/>
          <w:szCs w:val="22"/>
        </w:rPr>
        <w:tab/>
        <w:t xml:space="preserve">Čo je </w:t>
      </w:r>
      <w:r w:rsidR="00B800EF" w:rsidRPr="00EF6AAE">
        <w:rPr>
          <w:sz w:val="22"/>
          <w:szCs w:val="22"/>
        </w:rPr>
        <w:t xml:space="preserve">Phenaemal 0,1 </w:t>
      </w:r>
      <w:r w:rsidRPr="00EF6AAE">
        <w:rPr>
          <w:sz w:val="22"/>
          <w:szCs w:val="22"/>
        </w:rPr>
        <w:t>a na čo sa používa</w:t>
      </w:r>
      <w:bookmarkStart w:id="0" w:name="_GoBack"/>
      <w:bookmarkEnd w:id="0"/>
    </w:p>
    <w:p w14:paraId="540EA313" w14:textId="77777777" w:rsidR="00664B82" w:rsidRPr="00EF6AAE" w:rsidRDefault="00664B82" w:rsidP="00EF6AAE">
      <w:pPr>
        <w:ind w:left="567" w:right="-28" w:hanging="567"/>
        <w:rPr>
          <w:sz w:val="22"/>
          <w:szCs w:val="22"/>
        </w:rPr>
      </w:pPr>
      <w:r w:rsidRPr="00EF6AAE">
        <w:rPr>
          <w:sz w:val="22"/>
          <w:szCs w:val="22"/>
        </w:rPr>
        <w:t>2.</w:t>
      </w:r>
      <w:r w:rsidRPr="00EF6AAE">
        <w:rPr>
          <w:sz w:val="22"/>
          <w:szCs w:val="22"/>
        </w:rPr>
        <w:tab/>
        <w:t xml:space="preserve">Čo potrebujete vedieť </w:t>
      </w:r>
      <w:r w:rsidR="003B618A" w:rsidRPr="00EF6AAE">
        <w:rPr>
          <w:sz w:val="22"/>
          <w:szCs w:val="22"/>
        </w:rPr>
        <w:t>predtým</w:t>
      </w:r>
      <w:r w:rsidRPr="00EF6AAE">
        <w:rPr>
          <w:sz w:val="22"/>
          <w:szCs w:val="22"/>
        </w:rPr>
        <w:t>, ako užijete</w:t>
      </w:r>
      <w:r w:rsidR="00B800EF" w:rsidRPr="00EF6AAE">
        <w:rPr>
          <w:sz w:val="22"/>
          <w:szCs w:val="22"/>
        </w:rPr>
        <w:t xml:space="preserve"> </w:t>
      </w:r>
      <w:r w:rsidR="000E0C54" w:rsidRPr="00EF6AAE">
        <w:rPr>
          <w:sz w:val="22"/>
          <w:szCs w:val="22"/>
        </w:rPr>
        <w:t>Phenaemal 0,1</w:t>
      </w:r>
    </w:p>
    <w:p w14:paraId="5092E9E4" w14:textId="77777777" w:rsidR="00664B82" w:rsidRPr="00EF6AAE" w:rsidRDefault="00664B82" w:rsidP="00EF6AAE">
      <w:pPr>
        <w:ind w:left="567" w:right="-28" w:hanging="567"/>
        <w:rPr>
          <w:sz w:val="22"/>
          <w:szCs w:val="22"/>
        </w:rPr>
      </w:pPr>
      <w:r w:rsidRPr="00EF6AAE">
        <w:rPr>
          <w:sz w:val="22"/>
          <w:szCs w:val="22"/>
        </w:rPr>
        <w:t>3.</w:t>
      </w:r>
      <w:r w:rsidRPr="00EF6AAE">
        <w:rPr>
          <w:sz w:val="22"/>
          <w:szCs w:val="22"/>
        </w:rPr>
        <w:tab/>
        <w:t xml:space="preserve">Ako užívať </w:t>
      </w:r>
      <w:r w:rsidR="000E0C54" w:rsidRPr="00EF6AAE">
        <w:rPr>
          <w:sz w:val="22"/>
          <w:szCs w:val="22"/>
        </w:rPr>
        <w:t>liek Phenaemal 0,1</w:t>
      </w:r>
    </w:p>
    <w:p w14:paraId="2F23AF70" w14:textId="77777777" w:rsidR="00664B82" w:rsidRPr="00EF6AAE" w:rsidRDefault="00664B82" w:rsidP="00EF6AAE">
      <w:pPr>
        <w:ind w:left="567" w:right="-28" w:hanging="567"/>
        <w:rPr>
          <w:sz w:val="22"/>
          <w:szCs w:val="22"/>
        </w:rPr>
      </w:pPr>
      <w:r w:rsidRPr="00EF6AAE">
        <w:rPr>
          <w:sz w:val="22"/>
          <w:szCs w:val="22"/>
        </w:rPr>
        <w:t>4.</w:t>
      </w:r>
      <w:r w:rsidRPr="00EF6AAE">
        <w:rPr>
          <w:sz w:val="22"/>
          <w:szCs w:val="22"/>
        </w:rPr>
        <w:tab/>
        <w:t>Možné vedľajšie účinky</w:t>
      </w:r>
    </w:p>
    <w:p w14:paraId="070E2CD7" w14:textId="77777777" w:rsidR="00664B82" w:rsidRPr="00EF6AAE" w:rsidRDefault="00664B82" w:rsidP="00EF6AAE">
      <w:pPr>
        <w:ind w:left="567" w:right="-28" w:hanging="567"/>
        <w:rPr>
          <w:sz w:val="22"/>
          <w:szCs w:val="22"/>
        </w:rPr>
      </w:pPr>
      <w:r w:rsidRPr="00EF6AAE">
        <w:rPr>
          <w:sz w:val="22"/>
          <w:szCs w:val="22"/>
        </w:rPr>
        <w:t>5.</w:t>
      </w:r>
      <w:r w:rsidRPr="00EF6AAE">
        <w:rPr>
          <w:sz w:val="22"/>
          <w:szCs w:val="22"/>
        </w:rPr>
        <w:tab/>
        <w:t xml:space="preserve">Ako uchovávať </w:t>
      </w:r>
      <w:r w:rsidR="000E0C54" w:rsidRPr="00EF6AAE">
        <w:rPr>
          <w:sz w:val="22"/>
          <w:szCs w:val="22"/>
        </w:rPr>
        <w:t>Phenaemal 0,1</w:t>
      </w:r>
    </w:p>
    <w:p w14:paraId="45DADCB7" w14:textId="77777777" w:rsidR="00664B82" w:rsidRPr="00EF6AAE" w:rsidRDefault="00664B82" w:rsidP="00EF6AAE">
      <w:pPr>
        <w:ind w:left="567" w:right="-28" w:hanging="567"/>
        <w:rPr>
          <w:sz w:val="22"/>
          <w:szCs w:val="22"/>
        </w:rPr>
      </w:pPr>
      <w:r w:rsidRPr="00EF6AAE">
        <w:rPr>
          <w:sz w:val="22"/>
          <w:szCs w:val="22"/>
        </w:rPr>
        <w:t>6.</w:t>
      </w:r>
      <w:r w:rsidRPr="00EF6AAE">
        <w:rPr>
          <w:sz w:val="22"/>
          <w:szCs w:val="22"/>
        </w:rPr>
        <w:tab/>
        <w:t>Obsah balenia a ďalšie informácie</w:t>
      </w:r>
    </w:p>
    <w:p w14:paraId="7852438D" w14:textId="77777777" w:rsidR="00664B82" w:rsidRPr="00EF6AAE" w:rsidRDefault="00664B82" w:rsidP="00EF6AAE">
      <w:pPr>
        <w:spacing w:line="240" w:lineRule="atLeast"/>
        <w:rPr>
          <w:bCs/>
          <w:sz w:val="22"/>
          <w:szCs w:val="22"/>
        </w:rPr>
      </w:pPr>
    </w:p>
    <w:p w14:paraId="06F667B8" w14:textId="77777777" w:rsidR="00582C01" w:rsidRPr="00EF6AAE" w:rsidRDefault="00582C01" w:rsidP="00EF6AAE">
      <w:pPr>
        <w:spacing w:line="240" w:lineRule="atLeast"/>
        <w:rPr>
          <w:bCs/>
          <w:sz w:val="22"/>
          <w:szCs w:val="22"/>
        </w:rPr>
      </w:pPr>
    </w:p>
    <w:p w14:paraId="35F5BC1C" w14:textId="77777777" w:rsidR="00F8254A" w:rsidRPr="00EF6AAE" w:rsidRDefault="00F8254A" w:rsidP="00EF6AAE">
      <w:pPr>
        <w:ind w:left="567" w:right="-28" w:hanging="567"/>
        <w:rPr>
          <w:b/>
          <w:bCs/>
          <w:sz w:val="22"/>
          <w:szCs w:val="22"/>
        </w:rPr>
      </w:pPr>
      <w:r w:rsidRPr="00EF6AAE">
        <w:rPr>
          <w:b/>
          <w:bCs/>
          <w:sz w:val="22"/>
          <w:szCs w:val="22"/>
        </w:rPr>
        <w:t>1.</w:t>
      </w:r>
      <w:r w:rsidRPr="00EF6AAE">
        <w:rPr>
          <w:b/>
          <w:bCs/>
          <w:sz w:val="22"/>
          <w:szCs w:val="22"/>
        </w:rPr>
        <w:tab/>
        <w:t>Čo je Phenaemal 0,1 a na čo sa používa</w:t>
      </w:r>
    </w:p>
    <w:p w14:paraId="2F3E55D7" w14:textId="77777777" w:rsidR="00F8254A" w:rsidRPr="00EF6AAE" w:rsidRDefault="00F8254A" w:rsidP="00EF6AAE">
      <w:pPr>
        <w:spacing w:line="240" w:lineRule="atLeast"/>
        <w:rPr>
          <w:b/>
          <w:bCs/>
          <w:sz w:val="22"/>
          <w:szCs w:val="22"/>
        </w:rPr>
      </w:pPr>
    </w:p>
    <w:p w14:paraId="056FE084" w14:textId="77777777" w:rsidR="00F8254A" w:rsidRPr="00EF6AAE" w:rsidRDefault="00F8254A" w:rsidP="00EF6AAE">
      <w:pPr>
        <w:spacing w:line="240" w:lineRule="atLeast"/>
        <w:rPr>
          <w:b/>
          <w:sz w:val="22"/>
          <w:szCs w:val="22"/>
        </w:rPr>
      </w:pPr>
      <w:r w:rsidRPr="00EF6AAE">
        <w:rPr>
          <w:b/>
          <w:sz w:val="22"/>
          <w:szCs w:val="22"/>
        </w:rPr>
        <w:t>Čo je Phenaemal 0,1</w:t>
      </w:r>
    </w:p>
    <w:p w14:paraId="3004DF67" w14:textId="60620854" w:rsidR="00145B09" w:rsidRPr="00EF6AAE" w:rsidRDefault="00145B09" w:rsidP="00EF6AAE">
      <w:pPr>
        <w:rPr>
          <w:sz w:val="22"/>
          <w:szCs w:val="22"/>
        </w:rPr>
      </w:pPr>
      <w:r w:rsidRPr="00EF6AAE">
        <w:rPr>
          <w:sz w:val="22"/>
          <w:szCs w:val="22"/>
        </w:rPr>
        <w:t xml:space="preserve">Fenobarbital </w:t>
      </w:r>
      <w:r w:rsidR="00332899" w:rsidRPr="00EF6AAE">
        <w:rPr>
          <w:sz w:val="22"/>
          <w:szCs w:val="22"/>
        </w:rPr>
        <w:t>(</w:t>
      </w:r>
      <w:r w:rsidR="00FC0FDA" w:rsidRPr="00EF6AAE">
        <w:rPr>
          <w:sz w:val="22"/>
          <w:szCs w:val="22"/>
        </w:rPr>
        <w:t>liečivo</w:t>
      </w:r>
      <w:r w:rsidR="00332899" w:rsidRPr="00EF6AAE">
        <w:rPr>
          <w:sz w:val="22"/>
          <w:szCs w:val="22"/>
        </w:rPr>
        <w:t xml:space="preserve">) </w:t>
      </w:r>
      <w:r w:rsidRPr="00EF6AAE">
        <w:rPr>
          <w:sz w:val="22"/>
          <w:szCs w:val="22"/>
        </w:rPr>
        <w:t>účinkuje na centrálny nervový systém. So zvyšujúcou dávkou sa tlmiaci účinok mení na hypnotický až narkotický. Okrem toho má fenobarbital výrazný antikonvulzívny</w:t>
      </w:r>
      <w:r w:rsidR="003F7682" w:rsidRPr="00EF6AAE">
        <w:rPr>
          <w:sz w:val="22"/>
          <w:szCs w:val="22"/>
        </w:rPr>
        <w:t xml:space="preserve"> (protikŕčový)</w:t>
      </w:r>
      <w:r w:rsidR="006F3FED" w:rsidRPr="00EF6AAE">
        <w:rPr>
          <w:sz w:val="22"/>
          <w:szCs w:val="22"/>
        </w:rPr>
        <w:t xml:space="preserve"> </w:t>
      </w:r>
      <w:r w:rsidRPr="00EF6AAE">
        <w:rPr>
          <w:sz w:val="22"/>
          <w:szCs w:val="22"/>
        </w:rPr>
        <w:t>účinok.</w:t>
      </w:r>
    </w:p>
    <w:p w14:paraId="45FB35C7" w14:textId="77777777" w:rsidR="00F96E18" w:rsidRPr="00EF6AAE" w:rsidRDefault="00F96E18" w:rsidP="00EF6AAE">
      <w:pPr>
        <w:rPr>
          <w:sz w:val="22"/>
          <w:szCs w:val="22"/>
        </w:rPr>
      </w:pPr>
    </w:p>
    <w:p w14:paraId="514AF872" w14:textId="77777777" w:rsidR="00F8254A" w:rsidRPr="00EF6AAE" w:rsidRDefault="00F8254A" w:rsidP="00EF6AAE">
      <w:pPr>
        <w:rPr>
          <w:b/>
          <w:sz w:val="22"/>
          <w:szCs w:val="22"/>
        </w:rPr>
      </w:pPr>
      <w:r w:rsidRPr="00EF6AAE">
        <w:rPr>
          <w:b/>
          <w:sz w:val="22"/>
          <w:szCs w:val="22"/>
        </w:rPr>
        <w:t xml:space="preserve">Liek Phenaemal </w:t>
      </w:r>
      <w:r w:rsidR="00582C01" w:rsidRPr="00EF6AAE">
        <w:rPr>
          <w:b/>
          <w:sz w:val="22"/>
          <w:szCs w:val="22"/>
        </w:rPr>
        <w:t>0,1 sa používa</w:t>
      </w:r>
    </w:p>
    <w:p w14:paraId="442A0F7F" w14:textId="77777777" w:rsidR="00582C01" w:rsidRPr="00EF6AAE" w:rsidRDefault="00582C01" w:rsidP="00EF6AAE">
      <w:pPr>
        <w:numPr>
          <w:ilvl w:val="0"/>
          <w:numId w:val="12"/>
        </w:numPr>
        <w:rPr>
          <w:sz w:val="22"/>
          <w:szCs w:val="22"/>
        </w:rPr>
      </w:pPr>
      <w:r w:rsidRPr="00EF6AAE">
        <w:rPr>
          <w:sz w:val="22"/>
          <w:szCs w:val="22"/>
        </w:rPr>
        <w:t>na liečbu rozličných foriem epilepsie:</w:t>
      </w:r>
    </w:p>
    <w:p w14:paraId="1CA14C10" w14:textId="77777777" w:rsidR="00331FED" w:rsidRPr="00EF6AAE" w:rsidRDefault="00331FED" w:rsidP="00EF6AAE">
      <w:pPr>
        <w:numPr>
          <w:ilvl w:val="0"/>
          <w:numId w:val="6"/>
        </w:numPr>
        <w:rPr>
          <w:sz w:val="22"/>
          <w:szCs w:val="22"/>
        </w:rPr>
      </w:pPr>
      <w:r w:rsidRPr="00EF6AAE">
        <w:rPr>
          <w:sz w:val="22"/>
          <w:szCs w:val="22"/>
        </w:rPr>
        <w:t>grand mal (veľký záchvat)</w:t>
      </w:r>
    </w:p>
    <w:p w14:paraId="72EFBBE1" w14:textId="77777777" w:rsidR="00582C01" w:rsidRPr="00EF6AAE" w:rsidRDefault="00F96E18" w:rsidP="00EF6AAE">
      <w:pPr>
        <w:numPr>
          <w:ilvl w:val="0"/>
          <w:numId w:val="6"/>
        </w:numPr>
        <w:rPr>
          <w:sz w:val="22"/>
          <w:szCs w:val="22"/>
        </w:rPr>
      </w:pPr>
      <w:r w:rsidRPr="00EF6AAE">
        <w:rPr>
          <w:sz w:val="22"/>
          <w:szCs w:val="22"/>
        </w:rPr>
        <w:t>impulzívny petit mal</w:t>
      </w:r>
      <w:r w:rsidR="003F7682" w:rsidRPr="00EF6AAE">
        <w:rPr>
          <w:sz w:val="22"/>
          <w:szCs w:val="22"/>
        </w:rPr>
        <w:t xml:space="preserve"> (malý záchvat)</w:t>
      </w:r>
      <w:r w:rsidRPr="00EF6AAE">
        <w:rPr>
          <w:sz w:val="22"/>
          <w:szCs w:val="22"/>
        </w:rPr>
        <w:t xml:space="preserve"> </w:t>
      </w:r>
    </w:p>
    <w:p w14:paraId="72079E2C" w14:textId="77777777" w:rsidR="00F96E18" w:rsidRPr="00EF6AAE" w:rsidRDefault="00582C01" w:rsidP="00EF6AAE">
      <w:pPr>
        <w:numPr>
          <w:ilvl w:val="0"/>
          <w:numId w:val="14"/>
        </w:numPr>
        <w:rPr>
          <w:sz w:val="22"/>
          <w:szCs w:val="22"/>
        </w:rPr>
      </w:pPr>
      <w:r w:rsidRPr="00EF6AAE">
        <w:rPr>
          <w:sz w:val="22"/>
          <w:szCs w:val="22"/>
        </w:rPr>
        <w:t>n</w:t>
      </w:r>
      <w:r w:rsidR="00F96E18" w:rsidRPr="00EF6AAE">
        <w:rPr>
          <w:sz w:val="22"/>
          <w:szCs w:val="22"/>
        </w:rPr>
        <w:t>a prevenci</w:t>
      </w:r>
      <w:r w:rsidRPr="00EF6AAE">
        <w:rPr>
          <w:sz w:val="22"/>
          <w:szCs w:val="22"/>
        </w:rPr>
        <w:t>u</w:t>
      </w:r>
      <w:r w:rsidR="00F96E18" w:rsidRPr="00EF6AAE">
        <w:rPr>
          <w:sz w:val="22"/>
          <w:szCs w:val="22"/>
        </w:rPr>
        <w:t xml:space="preserve"> záchvatov typu grand mal</w:t>
      </w:r>
      <w:r w:rsidR="00B83DE1" w:rsidRPr="00EF6AAE">
        <w:rPr>
          <w:sz w:val="22"/>
          <w:szCs w:val="22"/>
        </w:rPr>
        <w:t xml:space="preserve"> (veľký záchvat)</w:t>
      </w:r>
      <w:r w:rsidR="00F96E18" w:rsidRPr="00EF6AAE">
        <w:rPr>
          <w:sz w:val="22"/>
          <w:szCs w:val="22"/>
        </w:rPr>
        <w:t xml:space="preserve"> </w:t>
      </w:r>
      <w:r w:rsidR="00B83DE1" w:rsidRPr="00EF6AAE">
        <w:rPr>
          <w:sz w:val="22"/>
          <w:szCs w:val="22"/>
        </w:rPr>
        <w:t xml:space="preserve"> pri </w:t>
      </w:r>
      <w:r w:rsidR="00F96E18" w:rsidRPr="00EF6AAE">
        <w:rPr>
          <w:sz w:val="22"/>
          <w:szCs w:val="22"/>
        </w:rPr>
        <w:t>záchvato</w:t>
      </w:r>
      <w:r w:rsidR="00B83DE1" w:rsidRPr="00EF6AAE">
        <w:rPr>
          <w:sz w:val="22"/>
          <w:szCs w:val="22"/>
        </w:rPr>
        <w:t>ch</w:t>
      </w:r>
      <w:r w:rsidR="00F96E18" w:rsidRPr="00EF6AAE">
        <w:rPr>
          <w:sz w:val="22"/>
          <w:szCs w:val="22"/>
        </w:rPr>
        <w:t xml:space="preserve"> petit mal</w:t>
      </w:r>
      <w:r w:rsidR="00B83DE1" w:rsidRPr="00EF6AAE">
        <w:rPr>
          <w:sz w:val="22"/>
          <w:szCs w:val="22"/>
        </w:rPr>
        <w:t xml:space="preserve"> (malý záchvat)</w:t>
      </w:r>
      <w:r w:rsidR="00F96E18" w:rsidRPr="00EF6AAE">
        <w:rPr>
          <w:sz w:val="22"/>
          <w:szCs w:val="22"/>
        </w:rPr>
        <w:t xml:space="preserve"> v detskom veku.</w:t>
      </w:r>
    </w:p>
    <w:p w14:paraId="294BEC81" w14:textId="77777777" w:rsidR="00582C01" w:rsidRPr="00EF6AAE" w:rsidRDefault="00582C01" w:rsidP="00EF6AAE">
      <w:pPr>
        <w:rPr>
          <w:sz w:val="22"/>
          <w:szCs w:val="22"/>
        </w:rPr>
      </w:pPr>
    </w:p>
    <w:p w14:paraId="60BCE7B4" w14:textId="77777777" w:rsidR="00582C01" w:rsidRPr="00EF6AAE" w:rsidRDefault="00582C01" w:rsidP="00EF6AAE">
      <w:pPr>
        <w:rPr>
          <w:sz w:val="22"/>
          <w:szCs w:val="22"/>
        </w:rPr>
      </w:pPr>
    </w:p>
    <w:p w14:paraId="4A11D23C" w14:textId="77777777" w:rsidR="00582C01" w:rsidRPr="00EF6AAE" w:rsidRDefault="00582C01" w:rsidP="00EF6AAE">
      <w:pPr>
        <w:ind w:left="567" w:right="-28" w:hanging="567"/>
        <w:rPr>
          <w:b/>
          <w:bCs/>
          <w:sz w:val="22"/>
          <w:szCs w:val="22"/>
        </w:rPr>
      </w:pPr>
      <w:r w:rsidRPr="00EF6AAE">
        <w:rPr>
          <w:b/>
          <w:bCs/>
          <w:sz w:val="22"/>
          <w:szCs w:val="22"/>
        </w:rPr>
        <w:t>2.</w:t>
      </w:r>
      <w:r w:rsidRPr="00EF6AAE">
        <w:rPr>
          <w:b/>
          <w:bCs/>
          <w:sz w:val="22"/>
          <w:szCs w:val="22"/>
        </w:rPr>
        <w:tab/>
        <w:t xml:space="preserve">Čo potrebujete vedieť </w:t>
      </w:r>
      <w:r w:rsidR="003B618A" w:rsidRPr="00EF6AAE">
        <w:rPr>
          <w:b/>
          <w:bCs/>
          <w:sz w:val="22"/>
          <w:szCs w:val="22"/>
        </w:rPr>
        <w:t>predtým</w:t>
      </w:r>
      <w:r w:rsidRPr="00EF6AAE">
        <w:rPr>
          <w:b/>
          <w:bCs/>
          <w:sz w:val="22"/>
          <w:szCs w:val="22"/>
        </w:rPr>
        <w:t>, ako užijete Phenaemal 0,1</w:t>
      </w:r>
    </w:p>
    <w:p w14:paraId="28BB2C94" w14:textId="77777777" w:rsidR="00582C01" w:rsidRPr="00EF6AAE" w:rsidRDefault="00582C01" w:rsidP="00EF6AAE">
      <w:pPr>
        <w:rPr>
          <w:sz w:val="22"/>
          <w:szCs w:val="22"/>
        </w:rPr>
      </w:pPr>
    </w:p>
    <w:p w14:paraId="2FA9E902" w14:textId="77777777" w:rsidR="001723D3" w:rsidRPr="00EF6AAE" w:rsidRDefault="001723D3" w:rsidP="00EF6AAE">
      <w:pPr>
        <w:rPr>
          <w:b/>
          <w:sz w:val="22"/>
          <w:szCs w:val="22"/>
        </w:rPr>
      </w:pPr>
      <w:r w:rsidRPr="00EF6AAE">
        <w:rPr>
          <w:b/>
          <w:sz w:val="22"/>
          <w:szCs w:val="22"/>
        </w:rPr>
        <w:t>Neužívajte Phenaemal</w:t>
      </w:r>
      <w:r w:rsidR="00F10C35" w:rsidRPr="00EF6AAE">
        <w:rPr>
          <w:b/>
          <w:sz w:val="22"/>
          <w:szCs w:val="22"/>
        </w:rPr>
        <w:t xml:space="preserve"> 0,1</w:t>
      </w:r>
    </w:p>
    <w:p w14:paraId="245CB0E5" w14:textId="77777777" w:rsidR="001723D3" w:rsidRPr="00EF6AAE" w:rsidRDefault="001723D3" w:rsidP="00EF6AAE">
      <w:pPr>
        <w:numPr>
          <w:ilvl w:val="0"/>
          <w:numId w:val="16"/>
        </w:numPr>
        <w:rPr>
          <w:sz w:val="22"/>
          <w:szCs w:val="22"/>
        </w:rPr>
      </w:pPr>
      <w:r w:rsidRPr="00EF6AAE">
        <w:rPr>
          <w:sz w:val="22"/>
          <w:szCs w:val="22"/>
        </w:rPr>
        <w:t>ak ste alergický na fenobarbital, na iné barbituráty alebo na ktorúkoľvek z ďalších zložiek tohto lieku (uvedených v časti 6)</w:t>
      </w:r>
      <w:r w:rsidR="0065255E" w:rsidRPr="00EF6AAE">
        <w:rPr>
          <w:sz w:val="22"/>
          <w:szCs w:val="22"/>
        </w:rPr>
        <w:t>,</w:t>
      </w:r>
    </w:p>
    <w:p w14:paraId="12FAF964" w14:textId="3F094A88" w:rsidR="001723D3" w:rsidRPr="00EF6AAE" w:rsidRDefault="00331FED" w:rsidP="00EF6AAE">
      <w:pPr>
        <w:numPr>
          <w:ilvl w:val="0"/>
          <w:numId w:val="18"/>
        </w:numPr>
        <w:rPr>
          <w:sz w:val="22"/>
          <w:szCs w:val="22"/>
        </w:rPr>
      </w:pPr>
      <w:r w:rsidRPr="00EF6AAE">
        <w:rPr>
          <w:sz w:val="22"/>
          <w:szCs w:val="22"/>
        </w:rPr>
        <w:t xml:space="preserve">pri akútnej intoxikácii (otrave) alkoholom, hypnotikami (uspávacími prostriedkami) alebo analgetikami (liekmi na tlmenie bolesti) ako aj pri intoxikácii (otrave) liekmi so stimulačnými (povzbudzujúcimi) účinkami alebo sedatívnymi (upokojujúcimi) </w:t>
      </w:r>
      <w:r w:rsidR="00FC0FDA" w:rsidRPr="00EF6AAE">
        <w:rPr>
          <w:sz w:val="22"/>
          <w:szCs w:val="22"/>
        </w:rPr>
        <w:t>látkami</w:t>
      </w:r>
      <w:r w:rsidR="0065255E" w:rsidRPr="00EF6AAE">
        <w:rPr>
          <w:sz w:val="22"/>
          <w:szCs w:val="22"/>
        </w:rPr>
        <w:t>,</w:t>
      </w:r>
    </w:p>
    <w:p w14:paraId="413E2DA5" w14:textId="77777777" w:rsidR="00F123DD" w:rsidRPr="00EF6AAE" w:rsidRDefault="00F123DD" w:rsidP="00EF6AAE">
      <w:pPr>
        <w:numPr>
          <w:ilvl w:val="0"/>
          <w:numId w:val="9"/>
        </w:numPr>
        <w:rPr>
          <w:sz w:val="22"/>
          <w:szCs w:val="22"/>
        </w:rPr>
      </w:pPr>
      <w:r w:rsidRPr="00EF6AAE">
        <w:rPr>
          <w:sz w:val="22"/>
          <w:szCs w:val="22"/>
        </w:rPr>
        <w:t>ak ste v stave, v ktorom máte zvýšenú tvorbu a vylučovanie porfyrínov (červené farbiace látky neobsahujúce železo) do moču a stolice (akútna hepatická porfýria)</w:t>
      </w:r>
      <w:r w:rsidR="0065255E" w:rsidRPr="00EF6AAE">
        <w:rPr>
          <w:sz w:val="22"/>
          <w:szCs w:val="22"/>
        </w:rPr>
        <w:t>,</w:t>
      </w:r>
    </w:p>
    <w:p w14:paraId="0969F540" w14:textId="514D49C2" w:rsidR="00F123DD" w:rsidRPr="00EF6AAE" w:rsidRDefault="00F123DD" w:rsidP="00EF6AAE">
      <w:pPr>
        <w:numPr>
          <w:ilvl w:val="0"/>
          <w:numId w:val="9"/>
        </w:numPr>
        <w:rPr>
          <w:sz w:val="22"/>
          <w:szCs w:val="22"/>
        </w:rPr>
      </w:pPr>
      <w:r w:rsidRPr="00EF6AAE">
        <w:rPr>
          <w:sz w:val="22"/>
          <w:szCs w:val="22"/>
        </w:rPr>
        <w:t xml:space="preserve">ak </w:t>
      </w:r>
      <w:r w:rsidR="00B83DE1" w:rsidRPr="00EF6AAE">
        <w:rPr>
          <w:sz w:val="22"/>
          <w:szCs w:val="22"/>
        </w:rPr>
        <w:t>máte</w:t>
      </w:r>
      <w:r w:rsidRPr="00EF6AAE">
        <w:rPr>
          <w:sz w:val="22"/>
          <w:szCs w:val="22"/>
        </w:rPr>
        <w:t xml:space="preserve"> závažn</w:t>
      </w:r>
      <w:r w:rsidR="00B83DE1" w:rsidRPr="00EF6AAE">
        <w:rPr>
          <w:sz w:val="22"/>
          <w:szCs w:val="22"/>
        </w:rPr>
        <w:t xml:space="preserve">é </w:t>
      </w:r>
      <w:r w:rsidRPr="00EF6AAE">
        <w:rPr>
          <w:sz w:val="22"/>
          <w:szCs w:val="22"/>
        </w:rPr>
        <w:t>pomal</w:t>
      </w:r>
      <w:r w:rsidR="00B83DE1" w:rsidRPr="00EF6AAE">
        <w:rPr>
          <w:sz w:val="22"/>
          <w:szCs w:val="22"/>
        </w:rPr>
        <w:t>é</w:t>
      </w:r>
      <w:r w:rsidRPr="00EF6AAE">
        <w:rPr>
          <w:sz w:val="22"/>
          <w:szCs w:val="22"/>
        </w:rPr>
        <w:t xml:space="preserve"> alebo plytk</w:t>
      </w:r>
      <w:r w:rsidR="00B83DE1" w:rsidRPr="00EF6AAE">
        <w:rPr>
          <w:sz w:val="22"/>
          <w:szCs w:val="22"/>
        </w:rPr>
        <w:t>é</w:t>
      </w:r>
      <w:r w:rsidRPr="00EF6AAE">
        <w:rPr>
          <w:sz w:val="22"/>
          <w:szCs w:val="22"/>
        </w:rPr>
        <w:t xml:space="preserve"> dýchan</w:t>
      </w:r>
      <w:r w:rsidR="00B83DE1" w:rsidRPr="00EF6AAE">
        <w:rPr>
          <w:sz w:val="22"/>
          <w:szCs w:val="22"/>
        </w:rPr>
        <w:t>ie</w:t>
      </w:r>
      <w:r w:rsidRPr="00EF6AAE">
        <w:rPr>
          <w:sz w:val="22"/>
          <w:szCs w:val="22"/>
        </w:rPr>
        <w:t xml:space="preserve"> (respiračná depresia)</w:t>
      </w:r>
      <w:r w:rsidR="0065255E" w:rsidRPr="00EF6AAE">
        <w:rPr>
          <w:sz w:val="22"/>
          <w:szCs w:val="22"/>
        </w:rPr>
        <w:t>,</w:t>
      </w:r>
    </w:p>
    <w:p w14:paraId="40F257B7" w14:textId="77777777" w:rsidR="00F123DD" w:rsidRPr="00EF6AAE" w:rsidRDefault="00F123DD" w:rsidP="00EF6AAE">
      <w:pPr>
        <w:numPr>
          <w:ilvl w:val="0"/>
          <w:numId w:val="9"/>
        </w:numPr>
        <w:rPr>
          <w:sz w:val="22"/>
          <w:szCs w:val="22"/>
        </w:rPr>
      </w:pPr>
      <w:r w:rsidRPr="00EF6AAE">
        <w:rPr>
          <w:sz w:val="22"/>
          <w:szCs w:val="22"/>
        </w:rPr>
        <w:t>ak máte závažnú poruchu pečene.</w:t>
      </w:r>
    </w:p>
    <w:p w14:paraId="2C1BDB8D" w14:textId="77777777" w:rsidR="00331FED" w:rsidRPr="00EF6AAE" w:rsidRDefault="00331FED" w:rsidP="00EF6AAE">
      <w:pPr>
        <w:rPr>
          <w:sz w:val="22"/>
          <w:szCs w:val="22"/>
        </w:rPr>
      </w:pPr>
    </w:p>
    <w:p w14:paraId="43C2826B" w14:textId="77777777" w:rsidR="00710752" w:rsidRPr="00EF6AAE" w:rsidRDefault="00710752" w:rsidP="00EF6AAE">
      <w:pPr>
        <w:numPr>
          <w:ilvl w:val="12"/>
          <w:numId w:val="0"/>
        </w:numPr>
        <w:ind w:right="-2"/>
        <w:outlineLvl w:val="0"/>
        <w:rPr>
          <w:sz w:val="22"/>
          <w:szCs w:val="22"/>
        </w:rPr>
      </w:pPr>
      <w:r w:rsidRPr="00EF6AAE">
        <w:rPr>
          <w:b/>
          <w:sz w:val="22"/>
          <w:szCs w:val="22"/>
        </w:rPr>
        <w:lastRenderedPageBreak/>
        <w:t>Upozornenia a opatrenia</w:t>
      </w:r>
    </w:p>
    <w:p w14:paraId="181226AE" w14:textId="77777777" w:rsidR="00710752" w:rsidRPr="00EF6AAE" w:rsidRDefault="003C6E1F" w:rsidP="00EF6AAE">
      <w:pPr>
        <w:rPr>
          <w:sz w:val="22"/>
          <w:szCs w:val="22"/>
        </w:rPr>
      </w:pPr>
      <w:r w:rsidRPr="00EF6AAE">
        <w:rPr>
          <w:noProof/>
          <w:sz w:val="22"/>
          <w:szCs w:val="22"/>
        </w:rPr>
        <w:t xml:space="preserve">Predtým, ako začnete užívať </w:t>
      </w:r>
      <w:r w:rsidRPr="00EF6AAE">
        <w:rPr>
          <w:sz w:val="22"/>
          <w:szCs w:val="22"/>
        </w:rPr>
        <w:t>Phenaemal 0,1,</w:t>
      </w:r>
      <w:r w:rsidRPr="00EF6AAE">
        <w:rPr>
          <w:noProof/>
          <w:sz w:val="22"/>
          <w:szCs w:val="22"/>
        </w:rPr>
        <w:t xml:space="preserve"> obráťte sa na svojho lekára</w:t>
      </w:r>
    </w:p>
    <w:p w14:paraId="0B629298" w14:textId="77777777" w:rsidR="00710752" w:rsidRPr="00EF6AAE" w:rsidRDefault="00710752" w:rsidP="00EF6AAE">
      <w:pPr>
        <w:numPr>
          <w:ilvl w:val="0"/>
          <w:numId w:val="9"/>
        </w:numPr>
        <w:rPr>
          <w:sz w:val="22"/>
          <w:szCs w:val="22"/>
        </w:rPr>
      </w:pPr>
      <w:r w:rsidRPr="00EF6AAE">
        <w:rPr>
          <w:sz w:val="22"/>
          <w:szCs w:val="22"/>
        </w:rPr>
        <w:t xml:space="preserve">ak máte závažnú poruchu obličiek, </w:t>
      </w:r>
    </w:p>
    <w:p w14:paraId="5F9E793B" w14:textId="627D2376" w:rsidR="00710752" w:rsidRPr="00EF6AAE" w:rsidRDefault="00710752" w:rsidP="00EF6AAE">
      <w:pPr>
        <w:numPr>
          <w:ilvl w:val="0"/>
          <w:numId w:val="9"/>
        </w:numPr>
        <w:rPr>
          <w:sz w:val="22"/>
          <w:szCs w:val="22"/>
        </w:rPr>
      </w:pPr>
      <w:r w:rsidRPr="00EF6AAE">
        <w:rPr>
          <w:sz w:val="22"/>
          <w:szCs w:val="22"/>
        </w:rPr>
        <w:t xml:space="preserve">ak ste vy alebo niektorý člen vašej rodiny </w:t>
      </w:r>
      <w:r w:rsidR="00B83DE1" w:rsidRPr="00EF6AAE">
        <w:rPr>
          <w:sz w:val="22"/>
          <w:szCs w:val="22"/>
        </w:rPr>
        <w:t>mal</w:t>
      </w:r>
      <w:r w:rsidR="00FC0FDA" w:rsidRPr="00EF6AAE">
        <w:rPr>
          <w:sz w:val="22"/>
          <w:szCs w:val="22"/>
        </w:rPr>
        <w:t>i</w:t>
      </w:r>
      <w:r w:rsidRPr="00EF6AAE">
        <w:rPr>
          <w:sz w:val="22"/>
          <w:szCs w:val="22"/>
        </w:rPr>
        <w:t xml:space="preserve"> duševn</w:t>
      </w:r>
      <w:r w:rsidR="00B83DE1" w:rsidRPr="00EF6AAE">
        <w:rPr>
          <w:sz w:val="22"/>
          <w:szCs w:val="22"/>
        </w:rPr>
        <w:t xml:space="preserve">é </w:t>
      </w:r>
      <w:r w:rsidRPr="00EF6AAE">
        <w:rPr>
          <w:sz w:val="22"/>
          <w:szCs w:val="22"/>
        </w:rPr>
        <w:t>poruch</w:t>
      </w:r>
      <w:r w:rsidR="00B83DE1" w:rsidRPr="00EF6AAE">
        <w:rPr>
          <w:sz w:val="22"/>
          <w:szCs w:val="22"/>
        </w:rPr>
        <w:t>y</w:t>
      </w:r>
      <w:r w:rsidRPr="00EF6AAE">
        <w:rPr>
          <w:sz w:val="22"/>
          <w:szCs w:val="22"/>
        </w:rPr>
        <w:t xml:space="preserve">, ktoré sa prejavovali obdobiami depresie niekedy sa striedajúcimi s obdobiami dobrej nálady (afektívne poruchy), </w:t>
      </w:r>
    </w:p>
    <w:p w14:paraId="5D9DA61F" w14:textId="77777777" w:rsidR="00710752" w:rsidRPr="00EF6AAE" w:rsidRDefault="00710752" w:rsidP="00EF6AAE">
      <w:pPr>
        <w:numPr>
          <w:ilvl w:val="0"/>
          <w:numId w:val="9"/>
        </w:numPr>
        <w:rPr>
          <w:sz w:val="22"/>
          <w:szCs w:val="22"/>
        </w:rPr>
      </w:pPr>
      <w:r w:rsidRPr="00EF6AAE">
        <w:rPr>
          <w:sz w:val="22"/>
          <w:szCs w:val="22"/>
        </w:rPr>
        <w:t xml:space="preserve">ak ste užívali drogy, ak ste boli alkoholikom/alkoholičkou alebo ak ste </w:t>
      </w:r>
      <w:r w:rsidR="00B83DE1" w:rsidRPr="00EF6AAE">
        <w:rPr>
          <w:sz w:val="22"/>
          <w:szCs w:val="22"/>
        </w:rPr>
        <w:t>mali iné</w:t>
      </w:r>
      <w:r w:rsidRPr="00EF6AAE">
        <w:rPr>
          <w:sz w:val="22"/>
          <w:szCs w:val="22"/>
        </w:rPr>
        <w:t xml:space="preserve"> závislos</w:t>
      </w:r>
      <w:r w:rsidR="00B83DE1" w:rsidRPr="00EF6AAE">
        <w:rPr>
          <w:sz w:val="22"/>
          <w:szCs w:val="22"/>
        </w:rPr>
        <w:t>ti</w:t>
      </w:r>
      <w:r w:rsidRPr="00EF6AAE">
        <w:rPr>
          <w:sz w:val="22"/>
          <w:szCs w:val="22"/>
        </w:rPr>
        <w:t>,</w:t>
      </w:r>
    </w:p>
    <w:p w14:paraId="03FADD5D" w14:textId="77777777" w:rsidR="00710752" w:rsidRPr="00EF6AAE" w:rsidRDefault="00710752" w:rsidP="00EF6AAE">
      <w:pPr>
        <w:numPr>
          <w:ilvl w:val="0"/>
          <w:numId w:val="9"/>
        </w:numPr>
        <w:rPr>
          <w:sz w:val="22"/>
          <w:szCs w:val="22"/>
        </w:rPr>
      </w:pPr>
      <w:r w:rsidRPr="00EF6AAE">
        <w:rPr>
          <w:sz w:val="22"/>
          <w:szCs w:val="22"/>
        </w:rPr>
        <w:t xml:space="preserve">ak </w:t>
      </w:r>
      <w:r w:rsidR="00B83DE1" w:rsidRPr="00EF6AAE">
        <w:rPr>
          <w:sz w:val="22"/>
          <w:szCs w:val="22"/>
        </w:rPr>
        <w:t>máte</w:t>
      </w:r>
      <w:r w:rsidRPr="00EF6AAE">
        <w:rPr>
          <w:sz w:val="22"/>
          <w:szCs w:val="22"/>
        </w:rPr>
        <w:t xml:space="preserve"> znížen</w:t>
      </w:r>
      <w:r w:rsidR="00B83DE1" w:rsidRPr="00EF6AAE">
        <w:rPr>
          <w:sz w:val="22"/>
          <w:szCs w:val="22"/>
        </w:rPr>
        <w:t>é</w:t>
      </w:r>
      <w:r w:rsidRPr="00EF6AAE">
        <w:rPr>
          <w:sz w:val="22"/>
          <w:szCs w:val="22"/>
        </w:rPr>
        <w:t xml:space="preserve"> vedom</w:t>
      </w:r>
      <w:r w:rsidR="00B83DE1" w:rsidRPr="00EF6AAE">
        <w:rPr>
          <w:sz w:val="22"/>
          <w:szCs w:val="22"/>
        </w:rPr>
        <w:t>ie</w:t>
      </w:r>
      <w:r w:rsidRPr="00EF6AAE">
        <w:rPr>
          <w:sz w:val="22"/>
          <w:szCs w:val="22"/>
        </w:rPr>
        <w:t xml:space="preserve">, </w:t>
      </w:r>
    </w:p>
    <w:p w14:paraId="4A0AF40E" w14:textId="77777777" w:rsidR="00710752" w:rsidRPr="00EF6AAE" w:rsidRDefault="00710752" w:rsidP="00EF6AAE">
      <w:pPr>
        <w:numPr>
          <w:ilvl w:val="0"/>
          <w:numId w:val="9"/>
        </w:numPr>
        <w:rPr>
          <w:sz w:val="22"/>
          <w:szCs w:val="22"/>
        </w:rPr>
      </w:pPr>
      <w:r w:rsidRPr="00EF6AAE">
        <w:rPr>
          <w:sz w:val="22"/>
          <w:szCs w:val="22"/>
        </w:rPr>
        <w:t>ak máte viac ako 65 rokov,</w:t>
      </w:r>
    </w:p>
    <w:p w14:paraId="21418A90" w14:textId="77777777" w:rsidR="00710752" w:rsidRPr="00EF6AAE" w:rsidRDefault="00710752" w:rsidP="00EF6AAE">
      <w:pPr>
        <w:numPr>
          <w:ilvl w:val="0"/>
          <w:numId w:val="9"/>
        </w:numPr>
        <w:rPr>
          <w:sz w:val="22"/>
          <w:szCs w:val="22"/>
        </w:rPr>
      </w:pPr>
      <w:r w:rsidRPr="00EF6AAE">
        <w:rPr>
          <w:sz w:val="22"/>
          <w:szCs w:val="22"/>
        </w:rPr>
        <w:t>ak je vaše dieťa nepokojné (hyperaktivita),</w:t>
      </w:r>
    </w:p>
    <w:p w14:paraId="6A6D891B" w14:textId="77777777" w:rsidR="00710752" w:rsidRPr="00EF6AAE" w:rsidRDefault="00710752" w:rsidP="00EF6AAE">
      <w:pPr>
        <w:numPr>
          <w:ilvl w:val="0"/>
          <w:numId w:val="9"/>
        </w:numPr>
        <w:rPr>
          <w:sz w:val="22"/>
          <w:szCs w:val="22"/>
        </w:rPr>
      </w:pPr>
      <w:r w:rsidRPr="00EF6AAE">
        <w:rPr>
          <w:sz w:val="22"/>
          <w:szCs w:val="22"/>
        </w:rPr>
        <w:t xml:space="preserve">ak </w:t>
      </w:r>
      <w:r w:rsidR="00B83DE1" w:rsidRPr="00EF6AAE">
        <w:rPr>
          <w:sz w:val="22"/>
          <w:szCs w:val="22"/>
        </w:rPr>
        <w:t>máte</w:t>
      </w:r>
      <w:r w:rsidRPr="00EF6AAE">
        <w:rPr>
          <w:sz w:val="22"/>
          <w:szCs w:val="22"/>
        </w:rPr>
        <w:t xml:space="preserve"> závažn</w:t>
      </w:r>
      <w:r w:rsidR="00B83DE1" w:rsidRPr="00EF6AAE">
        <w:rPr>
          <w:sz w:val="22"/>
          <w:szCs w:val="22"/>
        </w:rPr>
        <w:t>é</w:t>
      </w:r>
      <w:r w:rsidRPr="00EF6AAE">
        <w:rPr>
          <w:sz w:val="22"/>
          <w:szCs w:val="22"/>
        </w:rPr>
        <w:t xml:space="preserve"> poškoden</w:t>
      </w:r>
      <w:r w:rsidR="00B83DE1" w:rsidRPr="00EF6AAE">
        <w:rPr>
          <w:sz w:val="22"/>
          <w:szCs w:val="22"/>
        </w:rPr>
        <w:t>ie</w:t>
      </w:r>
      <w:r w:rsidRPr="00EF6AAE">
        <w:rPr>
          <w:sz w:val="22"/>
          <w:szCs w:val="22"/>
        </w:rPr>
        <w:t xml:space="preserve"> srdcového svalu (poškodenie myokardu),</w:t>
      </w:r>
    </w:p>
    <w:p w14:paraId="0731C600" w14:textId="77777777" w:rsidR="00710752" w:rsidRPr="00EF6AAE" w:rsidRDefault="00710752" w:rsidP="00EF6AAE">
      <w:pPr>
        <w:numPr>
          <w:ilvl w:val="0"/>
          <w:numId w:val="9"/>
        </w:numPr>
        <w:rPr>
          <w:sz w:val="22"/>
          <w:szCs w:val="22"/>
        </w:rPr>
      </w:pPr>
      <w:r w:rsidRPr="00EF6AAE">
        <w:rPr>
          <w:sz w:val="22"/>
          <w:szCs w:val="22"/>
        </w:rPr>
        <w:t xml:space="preserve">ak </w:t>
      </w:r>
      <w:r w:rsidR="00B83DE1" w:rsidRPr="00EF6AAE">
        <w:rPr>
          <w:sz w:val="22"/>
          <w:szCs w:val="22"/>
        </w:rPr>
        <w:t>máte</w:t>
      </w:r>
      <w:r w:rsidRPr="00EF6AAE">
        <w:rPr>
          <w:sz w:val="22"/>
          <w:szCs w:val="22"/>
        </w:rPr>
        <w:t xml:space="preserve"> akútnu siln</w:t>
      </w:r>
      <w:r w:rsidR="00B83DE1" w:rsidRPr="00EF6AAE">
        <w:rPr>
          <w:sz w:val="22"/>
          <w:szCs w:val="22"/>
        </w:rPr>
        <w:t>ú</w:t>
      </w:r>
      <w:r w:rsidRPr="00EF6AAE">
        <w:rPr>
          <w:sz w:val="22"/>
          <w:szCs w:val="22"/>
        </w:rPr>
        <w:t xml:space="preserve"> bolesť, pretože môže dôjsť k paradoxnému stavu vzrušenia alebo sa môžu prekrývať dôležité príznaky, </w:t>
      </w:r>
    </w:p>
    <w:p w14:paraId="1B85A4C6" w14:textId="77777777" w:rsidR="00710752" w:rsidRPr="00EF6AAE" w:rsidRDefault="00710752" w:rsidP="00EF6AAE">
      <w:pPr>
        <w:numPr>
          <w:ilvl w:val="0"/>
          <w:numId w:val="9"/>
        </w:numPr>
        <w:rPr>
          <w:sz w:val="22"/>
          <w:szCs w:val="22"/>
        </w:rPr>
      </w:pPr>
      <w:r w:rsidRPr="00EF6AAE">
        <w:rPr>
          <w:sz w:val="22"/>
          <w:szCs w:val="22"/>
        </w:rPr>
        <w:t xml:space="preserve">ak </w:t>
      </w:r>
      <w:r w:rsidR="00B83DE1" w:rsidRPr="00EF6AAE">
        <w:rPr>
          <w:sz w:val="22"/>
          <w:szCs w:val="22"/>
        </w:rPr>
        <w:t>máte</w:t>
      </w:r>
      <w:r w:rsidRPr="00EF6AAE">
        <w:rPr>
          <w:sz w:val="22"/>
          <w:szCs w:val="22"/>
        </w:rPr>
        <w:t xml:space="preserve"> pomal</w:t>
      </w:r>
      <w:r w:rsidR="00B83DE1" w:rsidRPr="00EF6AAE">
        <w:rPr>
          <w:sz w:val="22"/>
          <w:szCs w:val="22"/>
        </w:rPr>
        <w:t>é</w:t>
      </w:r>
      <w:r w:rsidRPr="00EF6AAE">
        <w:rPr>
          <w:sz w:val="22"/>
          <w:szCs w:val="22"/>
        </w:rPr>
        <w:t xml:space="preserve"> alebo plytk</w:t>
      </w:r>
      <w:r w:rsidR="00B83DE1" w:rsidRPr="00EF6AAE">
        <w:rPr>
          <w:sz w:val="22"/>
          <w:szCs w:val="22"/>
        </w:rPr>
        <w:t>é</w:t>
      </w:r>
      <w:r w:rsidRPr="00EF6AAE">
        <w:rPr>
          <w:sz w:val="22"/>
          <w:szCs w:val="22"/>
        </w:rPr>
        <w:t xml:space="preserve"> dýchan</w:t>
      </w:r>
      <w:r w:rsidR="00B83DE1" w:rsidRPr="00EF6AAE">
        <w:rPr>
          <w:sz w:val="22"/>
          <w:szCs w:val="22"/>
        </w:rPr>
        <w:t>ie</w:t>
      </w:r>
      <w:r w:rsidRPr="00EF6AAE">
        <w:rPr>
          <w:sz w:val="22"/>
          <w:szCs w:val="22"/>
        </w:rPr>
        <w:t xml:space="preserve"> (poruchy dýchania) spojen</w:t>
      </w:r>
      <w:r w:rsidR="00B83DE1" w:rsidRPr="00EF6AAE">
        <w:rPr>
          <w:sz w:val="22"/>
          <w:szCs w:val="22"/>
        </w:rPr>
        <w:t xml:space="preserve">é </w:t>
      </w:r>
      <w:r w:rsidRPr="00EF6AAE">
        <w:rPr>
          <w:sz w:val="22"/>
          <w:szCs w:val="22"/>
        </w:rPr>
        <w:t xml:space="preserve">s dýchavičnosťou (dyspnoe) a obštrukciou. Počas </w:t>
      </w:r>
      <w:r w:rsidR="00B83DE1" w:rsidRPr="00EF6AAE">
        <w:rPr>
          <w:sz w:val="22"/>
          <w:szCs w:val="22"/>
        </w:rPr>
        <w:t>užívania</w:t>
      </w:r>
      <w:r w:rsidRPr="00EF6AAE">
        <w:rPr>
          <w:sz w:val="22"/>
          <w:szCs w:val="22"/>
        </w:rPr>
        <w:t xml:space="preserve"> lieku Phenaemal 0,1 </w:t>
      </w:r>
      <w:r w:rsidR="00B83DE1" w:rsidRPr="00EF6AAE">
        <w:rPr>
          <w:sz w:val="22"/>
          <w:szCs w:val="22"/>
        </w:rPr>
        <w:t xml:space="preserve">majte </w:t>
      </w:r>
      <w:r w:rsidRPr="00EF6AAE">
        <w:rPr>
          <w:sz w:val="22"/>
          <w:szCs w:val="22"/>
        </w:rPr>
        <w:t xml:space="preserve">na pamäti možnosť tlmivého účinku na dýchanie. </w:t>
      </w:r>
    </w:p>
    <w:p w14:paraId="710F114D" w14:textId="77777777" w:rsidR="00710752" w:rsidRPr="00EF6AAE" w:rsidRDefault="00710752" w:rsidP="00EF6AAE">
      <w:pPr>
        <w:rPr>
          <w:sz w:val="22"/>
          <w:szCs w:val="22"/>
        </w:rPr>
      </w:pPr>
    </w:p>
    <w:p w14:paraId="6A179ADA" w14:textId="77777777" w:rsidR="00710752" w:rsidRPr="00EF6AAE" w:rsidRDefault="00710752" w:rsidP="00EF6AAE">
      <w:pPr>
        <w:rPr>
          <w:i/>
          <w:sz w:val="22"/>
          <w:szCs w:val="22"/>
        </w:rPr>
      </w:pPr>
      <w:r w:rsidRPr="00EF6AAE">
        <w:rPr>
          <w:i/>
          <w:sz w:val="22"/>
          <w:szCs w:val="22"/>
        </w:rPr>
        <w:t>Kožné reakcie</w:t>
      </w:r>
    </w:p>
    <w:p w14:paraId="269C7BFB" w14:textId="77777777" w:rsidR="00710752" w:rsidRPr="00EF6AAE" w:rsidRDefault="00710752" w:rsidP="00EF6AAE">
      <w:pPr>
        <w:numPr>
          <w:ilvl w:val="0"/>
          <w:numId w:val="21"/>
        </w:numPr>
        <w:rPr>
          <w:sz w:val="22"/>
          <w:szCs w:val="22"/>
        </w:rPr>
      </w:pPr>
      <w:r w:rsidRPr="00EF6AAE">
        <w:rPr>
          <w:sz w:val="22"/>
          <w:szCs w:val="22"/>
        </w:rPr>
        <w:t>Pri užívaní lieku Phenaemal 0,1 boli hlásené potenciálne život ohrozujúce kožné vyrážky (Stevens</w:t>
      </w:r>
      <w:r w:rsidR="00B83DE1" w:rsidRPr="00EF6AAE">
        <w:rPr>
          <w:sz w:val="22"/>
          <w:szCs w:val="22"/>
        </w:rPr>
        <w:t>ov</w:t>
      </w:r>
      <w:r w:rsidRPr="00EF6AAE">
        <w:rPr>
          <w:sz w:val="22"/>
          <w:szCs w:val="22"/>
        </w:rPr>
        <w:t>-Johnsonov syndróm, toxická epidermálna nekrolýza), ktoré na začiatku vyzerajú ako červenkasté fliačiky pripomínajúce malý terč alebo okrúhle škvrny často so stredovými pľuzgiermi na trupe.</w:t>
      </w:r>
    </w:p>
    <w:p w14:paraId="5C4D1D68" w14:textId="77777777" w:rsidR="00710752" w:rsidRPr="00EF6AAE" w:rsidRDefault="00710752" w:rsidP="00EF6AAE">
      <w:pPr>
        <w:numPr>
          <w:ilvl w:val="0"/>
          <w:numId w:val="21"/>
        </w:numPr>
        <w:rPr>
          <w:sz w:val="22"/>
          <w:szCs w:val="22"/>
        </w:rPr>
      </w:pPr>
      <w:r w:rsidRPr="00EF6AAE">
        <w:rPr>
          <w:sz w:val="22"/>
          <w:szCs w:val="22"/>
        </w:rPr>
        <w:t>Ďalšími príznakmi sú vredy v ústach, hrdle, nose, na genitáliách a zápal očnej spojovky (červené a opuchnuté oči).</w:t>
      </w:r>
    </w:p>
    <w:p w14:paraId="156DF4BA" w14:textId="77777777" w:rsidR="00710752" w:rsidRPr="00EF6AAE" w:rsidRDefault="00710752" w:rsidP="00EF6AAE">
      <w:pPr>
        <w:numPr>
          <w:ilvl w:val="0"/>
          <w:numId w:val="21"/>
        </w:numPr>
        <w:rPr>
          <w:sz w:val="22"/>
          <w:szCs w:val="22"/>
        </w:rPr>
      </w:pPr>
      <w:r w:rsidRPr="00EF6AAE">
        <w:rPr>
          <w:sz w:val="22"/>
          <w:szCs w:val="22"/>
        </w:rPr>
        <w:t>Tieto potenciálne život ohrozujúce kožné vyrážky sú často sprevádzané príznakmi podobnými chrípke. Vyrážka sa môže zmeniť na rozšírené pľuzgiere alebo odlupovanie pokožky.</w:t>
      </w:r>
    </w:p>
    <w:p w14:paraId="36524429" w14:textId="77777777" w:rsidR="00710752" w:rsidRPr="00EF6AAE" w:rsidRDefault="00710752" w:rsidP="00EF6AAE">
      <w:pPr>
        <w:numPr>
          <w:ilvl w:val="0"/>
          <w:numId w:val="21"/>
        </w:numPr>
        <w:rPr>
          <w:sz w:val="22"/>
          <w:szCs w:val="22"/>
        </w:rPr>
      </w:pPr>
      <w:r w:rsidRPr="00EF6AAE">
        <w:rPr>
          <w:sz w:val="22"/>
          <w:szCs w:val="22"/>
        </w:rPr>
        <w:t>Najvyššie riziko výskytu závažných kožných reakcií je v prvých týždňoch liečby.</w:t>
      </w:r>
    </w:p>
    <w:p w14:paraId="0D0DA267" w14:textId="77777777" w:rsidR="00710752" w:rsidRPr="00EF6AAE" w:rsidRDefault="00710752" w:rsidP="00EF6AAE">
      <w:pPr>
        <w:numPr>
          <w:ilvl w:val="0"/>
          <w:numId w:val="21"/>
        </w:numPr>
        <w:rPr>
          <w:sz w:val="22"/>
          <w:szCs w:val="22"/>
        </w:rPr>
      </w:pPr>
      <w:r w:rsidRPr="00EF6AAE">
        <w:rPr>
          <w:sz w:val="22"/>
          <w:szCs w:val="22"/>
        </w:rPr>
        <w:t>Ak sa u vás vyvinul Stevens</w:t>
      </w:r>
      <w:r w:rsidR="00EB43FF" w:rsidRPr="00EF6AAE">
        <w:rPr>
          <w:sz w:val="22"/>
          <w:szCs w:val="22"/>
        </w:rPr>
        <w:t>ov</w:t>
      </w:r>
      <w:r w:rsidRPr="00EF6AAE">
        <w:rPr>
          <w:sz w:val="22"/>
          <w:szCs w:val="22"/>
        </w:rPr>
        <w:t>-Johnsonov syndróm alebo toxická epidermálna nekrolýza pri užívaní lieku Phenaemal 0,1, už nikdy nesmiete liek Phenaemal 0,1 znovu používať.</w:t>
      </w:r>
    </w:p>
    <w:p w14:paraId="5F1C0429" w14:textId="77777777" w:rsidR="00710752" w:rsidRPr="00EF6AAE" w:rsidRDefault="00710752" w:rsidP="00EF6AAE">
      <w:pPr>
        <w:numPr>
          <w:ilvl w:val="0"/>
          <w:numId w:val="21"/>
        </w:numPr>
        <w:rPr>
          <w:sz w:val="22"/>
          <w:szCs w:val="22"/>
        </w:rPr>
      </w:pPr>
      <w:r w:rsidRPr="00EF6AAE">
        <w:rPr>
          <w:sz w:val="22"/>
          <w:szCs w:val="22"/>
        </w:rPr>
        <w:t>Ak sa u vás vyvinuli vyrážky alebo tieto kožné príznaky, vyhľadajte okamžit</w:t>
      </w:r>
      <w:r w:rsidR="00EB43FF" w:rsidRPr="00EF6AAE">
        <w:rPr>
          <w:sz w:val="22"/>
          <w:szCs w:val="22"/>
        </w:rPr>
        <w:t>e</w:t>
      </w:r>
      <w:r w:rsidRPr="00EF6AAE">
        <w:rPr>
          <w:sz w:val="22"/>
          <w:szCs w:val="22"/>
        </w:rPr>
        <w:t xml:space="preserve"> lekársku pomoc a lekárovi povedzte, že užívate tento liek.</w:t>
      </w:r>
    </w:p>
    <w:p w14:paraId="50D88251" w14:textId="77777777" w:rsidR="00710752" w:rsidRPr="00EF6AAE" w:rsidRDefault="00710752" w:rsidP="00EF6AAE">
      <w:pPr>
        <w:rPr>
          <w:sz w:val="22"/>
          <w:szCs w:val="22"/>
        </w:rPr>
      </w:pPr>
    </w:p>
    <w:p w14:paraId="1D0C4D12" w14:textId="77777777" w:rsidR="00710752" w:rsidRPr="00EF6AAE" w:rsidRDefault="00710752" w:rsidP="00EF6AAE">
      <w:pPr>
        <w:rPr>
          <w:i/>
          <w:sz w:val="22"/>
          <w:szCs w:val="22"/>
        </w:rPr>
      </w:pPr>
      <w:r w:rsidRPr="00EF6AAE">
        <w:rPr>
          <w:i/>
          <w:sz w:val="22"/>
          <w:szCs w:val="22"/>
        </w:rPr>
        <w:t>Závislosť</w:t>
      </w:r>
    </w:p>
    <w:p w14:paraId="7BF577BD" w14:textId="77777777" w:rsidR="00710752" w:rsidRPr="00EF6AAE" w:rsidRDefault="00710752" w:rsidP="00EF6AAE">
      <w:pPr>
        <w:rPr>
          <w:sz w:val="22"/>
          <w:szCs w:val="22"/>
        </w:rPr>
      </w:pPr>
      <w:r w:rsidRPr="00EF6AAE">
        <w:rPr>
          <w:sz w:val="22"/>
          <w:szCs w:val="22"/>
        </w:rPr>
        <w:t xml:space="preserve">Fenobarbital, liečivo lieku Phenaemal 0,1, môže spôsobiť fyzickú a psychickú závislosť. Riziko vzniku závislosti existuje aj vtedy, keď užívate liek Phenaemal 0,1 len niekoľko týždňov. </w:t>
      </w:r>
    </w:p>
    <w:p w14:paraId="12FF8373" w14:textId="77777777" w:rsidR="00710752" w:rsidRPr="00EF6AAE" w:rsidRDefault="00710752" w:rsidP="00EF6AAE">
      <w:pPr>
        <w:rPr>
          <w:sz w:val="22"/>
          <w:szCs w:val="22"/>
        </w:rPr>
      </w:pPr>
      <w:r w:rsidRPr="00EF6AAE">
        <w:rPr>
          <w:sz w:val="22"/>
          <w:szCs w:val="22"/>
        </w:rPr>
        <w:t xml:space="preserve">Ak užívate liek Phenaemal 0,1 dlhšie ako jeden týždeň, </w:t>
      </w:r>
      <w:r w:rsidR="00EB43FF" w:rsidRPr="00EF6AAE">
        <w:rPr>
          <w:sz w:val="22"/>
          <w:szCs w:val="22"/>
        </w:rPr>
        <w:t xml:space="preserve">dávku znižujte </w:t>
      </w:r>
      <w:r w:rsidRPr="00EF6AAE">
        <w:rPr>
          <w:sz w:val="22"/>
          <w:szCs w:val="22"/>
        </w:rPr>
        <w:t>postupne, pretože môže spôsobovať abstinenčné príznaky.</w:t>
      </w:r>
    </w:p>
    <w:p w14:paraId="6F629AEE" w14:textId="77777777" w:rsidR="00DF3B12" w:rsidRPr="00EF6AAE" w:rsidRDefault="00DF3B12" w:rsidP="00EF6AAE">
      <w:pPr>
        <w:rPr>
          <w:sz w:val="22"/>
          <w:szCs w:val="22"/>
        </w:rPr>
      </w:pPr>
    </w:p>
    <w:p w14:paraId="34DE9998" w14:textId="77777777" w:rsidR="00DF3B12" w:rsidRPr="00EF6AAE" w:rsidRDefault="00DF3B12" w:rsidP="00EF6AAE">
      <w:pPr>
        <w:rPr>
          <w:sz w:val="22"/>
          <w:szCs w:val="22"/>
        </w:rPr>
      </w:pPr>
      <w:r w:rsidRPr="00EF6AAE">
        <w:rPr>
          <w:sz w:val="22"/>
          <w:szCs w:val="22"/>
        </w:rPr>
        <w:t>Podávaním lieku Phenaemal 0,1 sa môžu vyvolať psychomotorické záchvaty a absencie.</w:t>
      </w:r>
    </w:p>
    <w:p w14:paraId="5AB71CE1" w14:textId="77777777" w:rsidR="00710752" w:rsidRPr="00EF6AAE" w:rsidRDefault="00710752" w:rsidP="00EF6AAE">
      <w:pPr>
        <w:rPr>
          <w:sz w:val="22"/>
          <w:szCs w:val="22"/>
        </w:rPr>
      </w:pPr>
    </w:p>
    <w:p w14:paraId="3DDBDA93" w14:textId="77777777" w:rsidR="00710752" w:rsidRPr="00EF6AAE" w:rsidRDefault="00710752" w:rsidP="00EF6AAE">
      <w:pPr>
        <w:rPr>
          <w:sz w:val="22"/>
          <w:szCs w:val="22"/>
        </w:rPr>
      </w:pPr>
      <w:r w:rsidRPr="00EF6AAE">
        <w:rPr>
          <w:sz w:val="22"/>
          <w:szCs w:val="22"/>
        </w:rPr>
        <w:t>Dlhodobá liečba liekom Phenaemal 0,1 si vyžaduje pravidelné kontroly u lekára. Je dôležité, aby ste tieto kontroly nevynechávali.</w:t>
      </w:r>
    </w:p>
    <w:p w14:paraId="365D1664" w14:textId="77777777" w:rsidR="00710752" w:rsidRPr="00EF6AAE" w:rsidRDefault="00710752" w:rsidP="00EF6AAE">
      <w:pPr>
        <w:rPr>
          <w:sz w:val="22"/>
          <w:szCs w:val="22"/>
        </w:rPr>
      </w:pPr>
    </w:p>
    <w:p w14:paraId="2C30BDC4" w14:textId="77777777" w:rsidR="00710752" w:rsidRPr="00EF6AAE" w:rsidRDefault="00710752" w:rsidP="00EF6AAE">
      <w:pPr>
        <w:rPr>
          <w:sz w:val="22"/>
          <w:szCs w:val="22"/>
        </w:rPr>
      </w:pPr>
      <w:r w:rsidRPr="00EF6AAE">
        <w:rPr>
          <w:sz w:val="22"/>
          <w:szCs w:val="22"/>
        </w:rPr>
        <w:t>Váš lekár vám pravidelne skontroluje kosti kvôli možnému vplyvu Phenaemal</w:t>
      </w:r>
      <w:r w:rsidR="00EB43FF" w:rsidRPr="00EF6AAE">
        <w:rPr>
          <w:sz w:val="22"/>
          <w:szCs w:val="22"/>
        </w:rPr>
        <w:t>u</w:t>
      </w:r>
      <w:r w:rsidRPr="00EF6AAE">
        <w:rPr>
          <w:sz w:val="22"/>
          <w:szCs w:val="22"/>
        </w:rPr>
        <w:t xml:space="preserve"> 0,1 na metabolizmus kostí.</w:t>
      </w:r>
    </w:p>
    <w:p w14:paraId="64ECCDF6" w14:textId="77777777" w:rsidR="00710752" w:rsidRPr="00EF6AAE" w:rsidRDefault="00710752" w:rsidP="00EF6AAE">
      <w:pPr>
        <w:rPr>
          <w:sz w:val="22"/>
          <w:szCs w:val="22"/>
          <w:lang w:eastAsia="de-DE"/>
        </w:rPr>
      </w:pPr>
    </w:p>
    <w:p w14:paraId="6BA63453" w14:textId="77777777" w:rsidR="00710752" w:rsidRPr="00EF6AAE" w:rsidRDefault="00710752" w:rsidP="00EF6AAE">
      <w:pPr>
        <w:rPr>
          <w:color w:val="000000"/>
          <w:sz w:val="22"/>
          <w:szCs w:val="22"/>
        </w:rPr>
      </w:pPr>
      <w:r w:rsidRPr="00EF6AAE">
        <w:rPr>
          <w:color w:val="000000"/>
          <w:sz w:val="22"/>
          <w:szCs w:val="22"/>
        </w:rPr>
        <w:t xml:space="preserve">Vyhýbajte sa intenzívnemu vystaveniu slnku, pretože sa u vás môže vyvinúť vyššia citlivosť pokožky na slnečné žiarenie. </w:t>
      </w:r>
    </w:p>
    <w:p w14:paraId="62324BD0" w14:textId="77777777" w:rsidR="00710752" w:rsidRPr="00EF6AAE" w:rsidRDefault="00710752" w:rsidP="00EF6AAE">
      <w:pPr>
        <w:rPr>
          <w:sz w:val="22"/>
          <w:szCs w:val="22"/>
        </w:rPr>
      </w:pPr>
    </w:p>
    <w:p w14:paraId="3E93478D" w14:textId="77777777" w:rsidR="00DF3B12" w:rsidRPr="00EF6AAE" w:rsidRDefault="00DF3B12" w:rsidP="00EF6AAE">
      <w:pPr>
        <w:rPr>
          <w:sz w:val="22"/>
          <w:szCs w:val="22"/>
        </w:rPr>
      </w:pPr>
      <w:r w:rsidRPr="00EF6AAE">
        <w:rPr>
          <w:sz w:val="22"/>
          <w:szCs w:val="22"/>
        </w:rPr>
        <w:t>U malého počtu pacientov liečených antiepileptikami akým je fenobarbital sa vyskytli myšlienky na samopoškodenie alebo samovraždu. Ak sa kedykoľvek u vás vyskytnú takéto myšlienky, okamžite kontaktujte svojho lekára.</w:t>
      </w:r>
    </w:p>
    <w:p w14:paraId="332CAFA9" w14:textId="77777777" w:rsidR="00710752" w:rsidRPr="00EF6AAE" w:rsidRDefault="00710752" w:rsidP="00EF6AAE">
      <w:pPr>
        <w:rPr>
          <w:sz w:val="22"/>
          <w:szCs w:val="22"/>
        </w:rPr>
      </w:pPr>
    </w:p>
    <w:p w14:paraId="545BAC27" w14:textId="77777777" w:rsidR="00DF3B12" w:rsidRPr="00EF6AAE" w:rsidRDefault="00DF3B12" w:rsidP="00EF6AAE">
      <w:pPr>
        <w:numPr>
          <w:ilvl w:val="12"/>
          <w:numId w:val="0"/>
        </w:numPr>
        <w:ind w:right="-2"/>
        <w:rPr>
          <w:sz w:val="22"/>
          <w:szCs w:val="22"/>
        </w:rPr>
      </w:pPr>
      <w:r w:rsidRPr="00EF6AAE">
        <w:rPr>
          <w:b/>
          <w:sz w:val="22"/>
          <w:szCs w:val="22"/>
        </w:rPr>
        <w:t>Iné lieky a Phenaemal 0,1</w:t>
      </w:r>
    </w:p>
    <w:p w14:paraId="5BE83220" w14:textId="75C660D2" w:rsidR="00DF3B12" w:rsidRPr="00EF6AAE" w:rsidRDefault="00DF3B12" w:rsidP="00EF6AAE">
      <w:pPr>
        <w:numPr>
          <w:ilvl w:val="12"/>
          <w:numId w:val="0"/>
        </w:numPr>
        <w:ind w:right="-2"/>
        <w:rPr>
          <w:sz w:val="22"/>
          <w:szCs w:val="22"/>
        </w:rPr>
      </w:pPr>
      <w:r w:rsidRPr="00EF6AAE">
        <w:rPr>
          <w:sz w:val="22"/>
          <w:szCs w:val="22"/>
        </w:rPr>
        <w:t>Ak užívate alebo ste</w:t>
      </w:r>
      <w:r w:rsidR="00FC0FDA" w:rsidRPr="00EF6AAE">
        <w:rPr>
          <w:sz w:val="22"/>
          <w:szCs w:val="22"/>
        </w:rPr>
        <w:t xml:space="preserve"> v poslednom čase užívali, či práve</w:t>
      </w:r>
      <w:r w:rsidRPr="00EF6AAE">
        <w:rPr>
          <w:sz w:val="22"/>
          <w:szCs w:val="22"/>
        </w:rPr>
        <w:t xml:space="preserve"> budete užívať ďalšie lieky, povedzte to svojmu lekárovi alebo lekárnikovi.</w:t>
      </w:r>
    </w:p>
    <w:p w14:paraId="75D7ED48" w14:textId="77777777" w:rsidR="00710752" w:rsidRPr="00EF6AAE" w:rsidRDefault="00710752" w:rsidP="00EF6AAE">
      <w:pPr>
        <w:rPr>
          <w:sz w:val="22"/>
          <w:szCs w:val="22"/>
        </w:rPr>
      </w:pPr>
    </w:p>
    <w:p w14:paraId="77B6E66D" w14:textId="77777777" w:rsidR="001C225B" w:rsidRPr="00EF6AAE" w:rsidRDefault="001C225B" w:rsidP="00EF6AAE">
      <w:pPr>
        <w:pStyle w:val="Textbubliny"/>
        <w:rPr>
          <w:rFonts w:ascii="Times New Roman" w:hAnsi="Times New Roman" w:cs="Times New Roman"/>
          <w:sz w:val="22"/>
          <w:szCs w:val="22"/>
          <w:u w:val="single"/>
        </w:rPr>
      </w:pPr>
      <w:r w:rsidRPr="00EF6AAE">
        <w:rPr>
          <w:rFonts w:ascii="Times New Roman" w:hAnsi="Times New Roman" w:cs="Times New Roman"/>
          <w:sz w:val="22"/>
          <w:szCs w:val="22"/>
          <w:u w:val="single"/>
        </w:rPr>
        <w:lastRenderedPageBreak/>
        <w:t xml:space="preserve">Účinky lieku Phenaemal 0,1 na iné lieky </w:t>
      </w:r>
    </w:p>
    <w:p w14:paraId="3EB2ECCB" w14:textId="77777777" w:rsidR="001C225B" w:rsidRPr="00EF6AAE" w:rsidRDefault="001C225B" w:rsidP="00EF6AAE">
      <w:pPr>
        <w:rPr>
          <w:sz w:val="22"/>
          <w:szCs w:val="22"/>
        </w:rPr>
      </w:pPr>
      <w:r w:rsidRPr="00EF6AAE">
        <w:rPr>
          <w:sz w:val="22"/>
          <w:szCs w:val="22"/>
        </w:rPr>
        <w:t>Pri súčasnom užívaní môže Phenaemal 0,1 umocniť účinok iných liekov ovplyvňujúcich centrálny nervový systém (niektoré lieky na duševné choroby, lieky používané na anestéziu počas operácie, lieky tlmiace bolesť a lieky na spanie) ako aj alkoholu.</w:t>
      </w:r>
    </w:p>
    <w:p w14:paraId="7132F1B3" w14:textId="77777777" w:rsidR="001C225B" w:rsidRPr="00EF6AAE" w:rsidRDefault="001C225B" w:rsidP="00EF6AAE">
      <w:pPr>
        <w:rPr>
          <w:sz w:val="22"/>
          <w:szCs w:val="22"/>
          <w:u w:val="single"/>
        </w:rPr>
      </w:pPr>
    </w:p>
    <w:p w14:paraId="4A6F4495" w14:textId="77777777" w:rsidR="001C225B" w:rsidRPr="00EF6AAE" w:rsidRDefault="001C225B" w:rsidP="00EF6AAE">
      <w:pPr>
        <w:rPr>
          <w:sz w:val="22"/>
          <w:szCs w:val="22"/>
        </w:rPr>
      </w:pPr>
      <w:r w:rsidRPr="00EF6AAE">
        <w:rPr>
          <w:sz w:val="22"/>
          <w:szCs w:val="22"/>
        </w:rPr>
        <w:t>Phenaemal 0,1 môže spôsobiť aj zvýšenú produkciu enzýmov, ktoré môžu urýchliť rozklad niektorých liekov v pečeni, čo spôsobí stratu ich účinku. To sa vzťahuje na lieky ako sú</w:t>
      </w:r>
    </w:p>
    <w:p w14:paraId="29A6D8FA" w14:textId="77777777" w:rsidR="001C225B" w:rsidRPr="00EF6AAE" w:rsidRDefault="001C225B" w:rsidP="00EF6AAE">
      <w:pPr>
        <w:numPr>
          <w:ilvl w:val="0"/>
          <w:numId w:val="9"/>
        </w:numPr>
        <w:rPr>
          <w:sz w:val="22"/>
          <w:szCs w:val="22"/>
        </w:rPr>
      </w:pPr>
      <w:r w:rsidRPr="00EF6AAE">
        <w:rPr>
          <w:sz w:val="22"/>
          <w:szCs w:val="22"/>
        </w:rPr>
        <w:t xml:space="preserve">lieky na liečbu nepravidelného srdcového rytmu, napr. disopyramid, </w:t>
      </w:r>
      <w:r w:rsidR="00EB43FF" w:rsidRPr="00EF6AAE">
        <w:rPr>
          <w:sz w:val="22"/>
          <w:szCs w:val="22"/>
        </w:rPr>
        <w:t>ch</w:t>
      </w:r>
      <w:r w:rsidRPr="00EF6AAE">
        <w:rPr>
          <w:sz w:val="22"/>
          <w:szCs w:val="22"/>
        </w:rPr>
        <w:t>inidín,</w:t>
      </w:r>
    </w:p>
    <w:p w14:paraId="00DEC84A" w14:textId="222306AA" w:rsidR="00FC0FDA" w:rsidRPr="00EF6AAE" w:rsidRDefault="00FC0FDA" w:rsidP="00EF6AAE">
      <w:pPr>
        <w:numPr>
          <w:ilvl w:val="0"/>
          <w:numId w:val="9"/>
        </w:numPr>
        <w:tabs>
          <w:tab w:val="left" w:pos="567"/>
        </w:tabs>
        <w:rPr>
          <w:sz w:val="22"/>
          <w:szCs w:val="22"/>
        </w:rPr>
      </w:pPr>
      <w:r w:rsidRPr="00EF6AAE">
        <w:rPr>
          <w:sz w:val="22"/>
          <w:szCs w:val="22"/>
        </w:rPr>
        <w:t xml:space="preserve">digoxín (hladina v sére </w:t>
      </w:r>
      <w:r w:rsidR="00A62C86" w:rsidRPr="00EF6AAE">
        <w:rPr>
          <w:sz w:val="22"/>
          <w:szCs w:val="22"/>
        </w:rPr>
        <w:t xml:space="preserve">sa </w:t>
      </w:r>
      <w:r w:rsidRPr="00EF6AAE">
        <w:rPr>
          <w:sz w:val="22"/>
          <w:szCs w:val="22"/>
        </w:rPr>
        <w:t>môže zníž</w:t>
      </w:r>
      <w:r w:rsidR="00A62C86" w:rsidRPr="00EF6AAE">
        <w:rPr>
          <w:sz w:val="22"/>
          <w:szCs w:val="22"/>
        </w:rPr>
        <w:t>iť</w:t>
      </w:r>
      <w:r w:rsidRPr="00EF6AAE">
        <w:rPr>
          <w:sz w:val="22"/>
          <w:szCs w:val="22"/>
        </w:rPr>
        <w:t xml:space="preserve"> na polovicu),</w:t>
      </w:r>
    </w:p>
    <w:p w14:paraId="7DB66DB6" w14:textId="77777777" w:rsidR="001C225B" w:rsidRPr="00EF6AAE" w:rsidRDefault="001C225B" w:rsidP="00EF6AAE">
      <w:pPr>
        <w:numPr>
          <w:ilvl w:val="0"/>
          <w:numId w:val="9"/>
        </w:numPr>
        <w:rPr>
          <w:sz w:val="22"/>
          <w:szCs w:val="22"/>
        </w:rPr>
      </w:pPr>
      <w:r w:rsidRPr="00EF6AAE">
        <w:rPr>
          <w:sz w:val="22"/>
          <w:szCs w:val="22"/>
        </w:rPr>
        <w:t>lieky na liečbu epilepsie, napr. karbamazepín, valproát, etosuximid, lamotrigín, tiagabín, felbamát</w:t>
      </w:r>
      <w:r w:rsidR="00E338E5" w:rsidRPr="00EF6AAE">
        <w:rPr>
          <w:sz w:val="22"/>
          <w:szCs w:val="22"/>
        </w:rPr>
        <w:t>, zonisamid, topiramát, fenytoín),</w:t>
      </w:r>
    </w:p>
    <w:p w14:paraId="5A9BCD1D" w14:textId="34C35BC2" w:rsidR="00E338E5" w:rsidRPr="00EF6AAE" w:rsidRDefault="00981ECE" w:rsidP="00EF6AAE">
      <w:pPr>
        <w:numPr>
          <w:ilvl w:val="0"/>
          <w:numId w:val="9"/>
        </w:numPr>
        <w:rPr>
          <w:sz w:val="22"/>
          <w:szCs w:val="22"/>
        </w:rPr>
      </w:pPr>
      <w:r w:rsidRPr="00EF6AAE">
        <w:rPr>
          <w:sz w:val="22"/>
          <w:szCs w:val="22"/>
        </w:rPr>
        <w:t>l</w:t>
      </w:r>
      <w:r w:rsidR="00E338E5" w:rsidRPr="00EF6AAE">
        <w:rPr>
          <w:sz w:val="22"/>
          <w:szCs w:val="22"/>
        </w:rPr>
        <w:t>ieky n</w:t>
      </w:r>
      <w:r w:rsidR="00A62C86" w:rsidRPr="00EF6AAE">
        <w:rPr>
          <w:sz w:val="22"/>
          <w:szCs w:val="22"/>
        </w:rPr>
        <w:t>a</w:t>
      </w:r>
      <w:r w:rsidR="00E338E5" w:rsidRPr="00EF6AAE">
        <w:rPr>
          <w:sz w:val="22"/>
          <w:szCs w:val="22"/>
        </w:rPr>
        <w:t xml:space="preserve"> liečbu depresie (bupropión, mianserín, tricyklické antidepresíva),</w:t>
      </w:r>
    </w:p>
    <w:p w14:paraId="2618A96E" w14:textId="77777777" w:rsidR="001C225B" w:rsidRPr="00EF6AAE" w:rsidRDefault="001C225B" w:rsidP="00EF6AAE">
      <w:pPr>
        <w:numPr>
          <w:ilvl w:val="0"/>
          <w:numId w:val="9"/>
        </w:numPr>
        <w:rPr>
          <w:sz w:val="22"/>
          <w:szCs w:val="22"/>
        </w:rPr>
      </w:pPr>
      <w:r w:rsidRPr="00EF6AAE">
        <w:rPr>
          <w:sz w:val="22"/>
          <w:szCs w:val="22"/>
        </w:rPr>
        <w:t>steroidné hormóny,</w:t>
      </w:r>
    </w:p>
    <w:p w14:paraId="1B2896E9" w14:textId="16CF1532" w:rsidR="001C225B" w:rsidRPr="00EF6AAE" w:rsidRDefault="001C225B" w:rsidP="00EF6AAE">
      <w:pPr>
        <w:numPr>
          <w:ilvl w:val="0"/>
          <w:numId w:val="9"/>
        </w:numPr>
        <w:rPr>
          <w:sz w:val="22"/>
          <w:szCs w:val="22"/>
        </w:rPr>
      </w:pPr>
      <w:r w:rsidRPr="00EF6AAE">
        <w:rPr>
          <w:sz w:val="22"/>
          <w:szCs w:val="22"/>
        </w:rPr>
        <w:t>perorálne antikoncepčné prostriedky</w:t>
      </w:r>
      <w:r w:rsidR="00EB43FF" w:rsidRPr="00EF6AAE">
        <w:rPr>
          <w:sz w:val="22"/>
          <w:szCs w:val="22"/>
        </w:rPr>
        <w:t xml:space="preserve"> (užívané ústami)</w:t>
      </w:r>
      <w:r w:rsidRPr="00EF6AAE">
        <w:rPr>
          <w:sz w:val="22"/>
          <w:szCs w:val="22"/>
        </w:rPr>
        <w:t>,</w:t>
      </w:r>
    </w:p>
    <w:p w14:paraId="7F323A17" w14:textId="77777777" w:rsidR="001C225B" w:rsidRPr="00EF6AAE" w:rsidRDefault="001C225B" w:rsidP="00EF6AAE">
      <w:pPr>
        <w:numPr>
          <w:ilvl w:val="0"/>
          <w:numId w:val="9"/>
        </w:numPr>
        <w:rPr>
          <w:sz w:val="22"/>
          <w:szCs w:val="22"/>
        </w:rPr>
      </w:pPr>
      <w:r w:rsidRPr="00EF6AAE">
        <w:rPr>
          <w:sz w:val="22"/>
          <w:szCs w:val="22"/>
        </w:rPr>
        <w:t xml:space="preserve">hormóny štítnej žľazy, </w:t>
      </w:r>
    </w:p>
    <w:p w14:paraId="44EB6F34" w14:textId="77777777" w:rsidR="001C225B" w:rsidRPr="00EF6AAE" w:rsidRDefault="001C225B" w:rsidP="00EF6AAE">
      <w:pPr>
        <w:numPr>
          <w:ilvl w:val="0"/>
          <w:numId w:val="9"/>
        </w:numPr>
        <w:rPr>
          <w:sz w:val="22"/>
          <w:szCs w:val="22"/>
        </w:rPr>
      </w:pPr>
      <w:r w:rsidRPr="00EF6AAE">
        <w:rPr>
          <w:sz w:val="22"/>
          <w:szCs w:val="22"/>
        </w:rPr>
        <w:t>lieky používané na riedenie krvi (perorálne antikoagulanciá),</w:t>
      </w:r>
      <w:r w:rsidR="00981ECE" w:rsidRPr="00EF6AAE">
        <w:rPr>
          <w:sz w:val="22"/>
          <w:szCs w:val="22"/>
        </w:rPr>
        <w:t xml:space="preserve"> napr. warfarín</w:t>
      </w:r>
      <w:r w:rsidRPr="00EF6AAE">
        <w:rPr>
          <w:sz w:val="22"/>
          <w:szCs w:val="22"/>
        </w:rPr>
        <w:t xml:space="preserve"> </w:t>
      </w:r>
    </w:p>
    <w:p w14:paraId="1715F8A2" w14:textId="77777777" w:rsidR="001C225B" w:rsidRPr="00EF6AAE" w:rsidRDefault="001C225B" w:rsidP="00EF6AAE">
      <w:pPr>
        <w:numPr>
          <w:ilvl w:val="0"/>
          <w:numId w:val="9"/>
        </w:numPr>
        <w:rPr>
          <w:sz w:val="22"/>
          <w:szCs w:val="22"/>
        </w:rPr>
      </w:pPr>
      <w:r w:rsidRPr="00EF6AAE">
        <w:rPr>
          <w:sz w:val="22"/>
          <w:szCs w:val="22"/>
        </w:rPr>
        <w:t>lieky používané na liečbu infekcií spôsobených hubami, napr. griseofulvín, itrakonazol, vorikonazol, posakonazol,</w:t>
      </w:r>
    </w:p>
    <w:p w14:paraId="40F0110E" w14:textId="77777777" w:rsidR="001C225B" w:rsidRPr="00EF6AAE" w:rsidRDefault="001C225B" w:rsidP="00EF6AAE">
      <w:pPr>
        <w:numPr>
          <w:ilvl w:val="0"/>
          <w:numId w:val="9"/>
        </w:numPr>
        <w:rPr>
          <w:sz w:val="22"/>
          <w:szCs w:val="22"/>
        </w:rPr>
      </w:pPr>
      <w:r w:rsidRPr="00EF6AAE">
        <w:rPr>
          <w:sz w:val="22"/>
          <w:szCs w:val="22"/>
        </w:rPr>
        <w:t>lieky používané na liečbu infekcií spôsobených baktériami, napr. chloramfenikol, doxycyklín, metronidazol, rifampicín,</w:t>
      </w:r>
    </w:p>
    <w:p w14:paraId="54CB1463" w14:textId="77777777" w:rsidR="001C225B" w:rsidRPr="00EF6AAE" w:rsidRDefault="001C225B" w:rsidP="00EF6AAE">
      <w:pPr>
        <w:numPr>
          <w:ilvl w:val="0"/>
          <w:numId w:val="9"/>
        </w:numPr>
        <w:rPr>
          <w:sz w:val="22"/>
          <w:szCs w:val="22"/>
        </w:rPr>
      </w:pPr>
      <w:r w:rsidRPr="00EF6AAE">
        <w:rPr>
          <w:sz w:val="22"/>
          <w:szCs w:val="22"/>
        </w:rPr>
        <w:t>lieky používané na liečbu infekcií spôsobených niektorými vírusmi, napr. darunavir, lopinavir, indinavir, nelfinavir,</w:t>
      </w:r>
    </w:p>
    <w:p w14:paraId="0DD9ECB0" w14:textId="77777777" w:rsidR="001C225B" w:rsidRPr="00EF6AAE" w:rsidRDefault="001C225B" w:rsidP="00EF6AAE">
      <w:pPr>
        <w:numPr>
          <w:ilvl w:val="0"/>
          <w:numId w:val="9"/>
        </w:numPr>
        <w:rPr>
          <w:sz w:val="22"/>
          <w:szCs w:val="22"/>
        </w:rPr>
      </w:pPr>
      <w:r w:rsidRPr="00EF6AAE">
        <w:rPr>
          <w:sz w:val="22"/>
          <w:szCs w:val="22"/>
        </w:rPr>
        <w:t>lieky používané na liečbu rakoviny, napr. teniposid,</w:t>
      </w:r>
      <w:r w:rsidR="00981ECE" w:rsidRPr="00EF6AAE">
        <w:rPr>
          <w:sz w:val="22"/>
          <w:szCs w:val="22"/>
        </w:rPr>
        <w:t xml:space="preserve"> etoposid, irinotekan</w:t>
      </w:r>
    </w:p>
    <w:p w14:paraId="7C59E3CA" w14:textId="77777777" w:rsidR="001C225B" w:rsidRPr="00EF6AAE" w:rsidRDefault="001C225B" w:rsidP="00EF6AAE">
      <w:pPr>
        <w:numPr>
          <w:ilvl w:val="0"/>
          <w:numId w:val="9"/>
        </w:numPr>
        <w:rPr>
          <w:sz w:val="22"/>
          <w:szCs w:val="22"/>
        </w:rPr>
      </w:pPr>
      <w:r w:rsidRPr="00EF6AAE">
        <w:rPr>
          <w:sz w:val="22"/>
          <w:szCs w:val="22"/>
        </w:rPr>
        <w:t>lieky používané na liečbu astmy</w:t>
      </w:r>
      <w:r w:rsidR="00981ECE" w:rsidRPr="00EF6AAE">
        <w:rPr>
          <w:sz w:val="22"/>
          <w:szCs w:val="22"/>
        </w:rPr>
        <w:t xml:space="preserve"> a alergie</w:t>
      </w:r>
      <w:r w:rsidRPr="00EF6AAE">
        <w:rPr>
          <w:sz w:val="22"/>
          <w:szCs w:val="22"/>
        </w:rPr>
        <w:t>, napr. teofylín, montelukast,</w:t>
      </w:r>
    </w:p>
    <w:p w14:paraId="1F84C401" w14:textId="77777777" w:rsidR="001C225B" w:rsidRPr="00EF6AAE" w:rsidRDefault="001C225B" w:rsidP="00EF6AAE">
      <w:pPr>
        <w:numPr>
          <w:ilvl w:val="0"/>
          <w:numId w:val="9"/>
        </w:numPr>
        <w:rPr>
          <w:sz w:val="22"/>
          <w:szCs w:val="22"/>
        </w:rPr>
      </w:pPr>
      <w:r w:rsidRPr="00EF6AAE">
        <w:rPr>
          <w:sz w:val="22"/>
          <w:szCs w:val="22"/>
        </w:rPr>
        <w:t xml:space="preserve">lieky používané na liečbu srdcových chorôb a vysokého krvného tlaku, napr. felodipín, nifedipín, nimodipín, verapamil, </w:t>
      </w:r>
      <w:r w:rsidR="00981ECE" w:rsidRPr="00EF6AAE">
        <w:rPr>
          <w:sz w:val="22"/>
          <w:szCs w:val="22"/>
        </w:rPr>
        <w:t xml:space="preserve">diltiazem, </w:t>
      </w:r>
      <w:r w:rsidRPr="00EF6AAE">
        <w:rPr>
          <w:sz w:val="22"/>
          <w:szCs w:val="22"/>
        </w:rPr>
        <w:t>metoprolol, timolol, propanolol,</w:t>
      </w:r>
    </w:p>
    <w:p w14:paraId="43602B83" w14:textId="77777777" w:rsidR="001C225B" w:rsidRPr="00EF6AAE" w:rsidRDefault="001C225B" w:rsidP="00EF6AAE">
      <w:pPr>
        <w:numPr>
          <w:ilvl w:val="0"/>
          <w:numId w:val="9"/>
        </w:numPr>
        <w:rPr>
          <w:sz w:val="22"/>
          <w:szCs w:val="22"/>
        </w:rPr>
      </w:pPr>
      <w:r w:rsidRPr="00EF6AAE">
        <w:rPr>
          <w:sz w:val="22"/>
          <w:szCs w:val="22"/>
        </w:rPr>
        <w:t>lidokaín – používaný ako lokálne anestetikum alebo na liečbu nepravidelného srdcového rytmu,</w:t>
      </w:r>
    </w:p>
    <w:p w14:paraId="5B720F90" w14:textId="77777777" w:rsidR="001C225B" w:rsidRPr="00EF6AAE" w:rsidRDefault="001C225B" w:rsidP="00EF6AAE">
      <w:pPr>
        <w:numPr>
          <w:ilvl w:val="0"/>
          <w:numId w:val="9"/>
        </w:numPr>
        <w:rPr>
          <w:sz w:val="22"/>
          <w:szCs w:val="22"/>
        </w:rPr>
      </w:pPr>
      <w:r w:rsidRPr="00EF6AAE">
        <w:rPr>
          <w:sz w:val="22"/>
          <w:szCs w:val="22"/>
        </w:rPr>
        <w:t>lieky používané na liečbu schizofrénie: klozapín, haloperidol,</w:t>
      </w:r>
      <w:r w:rsidR="00981ECE" w:rsidRPr="00EF6AAE">
        <w:rPr>
          <w:sz w:val="22"/>
          <w:szCs w:val="22"/>
        </w:rPr>
        <w:t xml:space="preserve"> aripiprazol</w:t>
      </w:r>
    </w:p>
    <w:p w14:paraId="41CBF263" w14:textId="77777777" w:rsidR="00981ECE" w:rsidRPr="00EF6AAE" w:rsidRDefault="00981ECE" w:rsidP="00EF6AAE">
      <w:pPr>
        <w:numPr>
          <w:ilvl w:val="0"/>
          <w:numId w:val="9"/>
        </w:numPr>
        <w:rPr>
          <w:sz w:val="22"/>
          <w:szCs w:val="22"/>
        </w:rPr>
      </w:pPr>
      <w:r w:rsidRPr="00EF6AAE">
        <w:rPr>
          <w:sz w:val="22"/>
          <w:szCs w:val="22"/>
        </w:rPr>
        <w:t>paracetamol</w:t>
      </w:r>
    </w:p>
    <w:p w14:paraId="481E8918" w14:textId="77777777" w:rsidR="00981ECE" w:rsidRPr="00EF6AAE" w:rsidRDefault="00981ECE" w:rsidP="00EF6AAE">
      <w:pPr>
        <w:numPr>
          <w:ilvl w:val="0"/>
          <w:numId w:val="9"/>
        </w:numPr>
        <w:tabs>
          <w:tab w:val="left" w:pos="567"/>
        </w:tabs>
        <w:rPr>
          <w:sz w:val="22"/>
          <w:szCs w:val="22"/>
        </w:rPr>
      </w:pPr>
      <w:r w:rsidRPr="00EF6AAE">
        <w:rPr>
          <w:sz w:val="22"/>
          <w:szCs w:val="22"/>
        </w:rPr>
        <w:t>metadón, ktorý sa používa ako náhrada ilegálneho heroínu pri substitučnej liečbe drogovej závislosti</w:t>
      </w:r>
    </w:p>
    <w:p w14:paraId="567E4259" w14:textId="77777777" w:rsidR="001C225B" w:rsidRPr="00EF6AAE" w:rsidRDefault="001C225B" w:rsidP="00EF6AAE">
      <w:pPr>
        <w:numPr>
          <w:ilvl w:val="0"/>
          <w:numId w:val="9"/>
        </w:numPr>
        <w:rPr>
          <w:sz w:val="22"/>
          <w:szCs w:val="22"/>
        </w:rPr>
      </w:pPr>
      <w:r w:rsidRPr="00EF6AAE">
        <w:rPr>
          <w:sz w:val="22"/>
          <w:szCs w:val="22"/>
        </w:rPr>
        <w:t>klonazepam – používaný na liečbu úzkosti a porúch spánku,</w:t>
      </w:r>
    </w:p>
    <w:p w14:paraId="44C42800" w14:textId="77777777" w:rsidR="001C225B" w:rsidRPr="00EF6AAE" w:rsidRDefault="001C225B" w:rsidP="00EF6AAE">
      <w:pPr>
        <w:numPr>
          <w:ilvl w:val="0"/>
          <w:numId w:val="9"/>
        </w:numPr>
        <w:rPr>
          <w:sz w:val="22"/>
          <w:szCs w:val="22"/>
        </w:rPr>
      </w:pPr>
      <w:r w:rsidRPr="00EF6AAE">
        <w:rPr>
          <w:sz w:val="22"/>
          <w:szCs w:val="22"/>
        </w:rPr>
        <w:t>cyklosporín, ta</w:t>
      </w:r>
      <w:r w:rsidR="00EB43FF" w:rsidRPr="00EF6AAE">
        <w:rPr>
          <w:sz w:val="22"/>
          <w:szCs w:val="22"/>
        </w:rPr>
        <w:t>k</w:t>
      </w:r>
      <w:r w:rsidRPr="00EF6AAE">
        <w:rPr>
          <w:sz w:val="22"/>
          <w:szCs w:val="22"/>
        </w:rPr>
        <w:t>rolimus – lieky na prevenciu odmietnutia orgánov u pacientov, ktorí podstúpili transplantáciu.</w:t>
      </w:r>
    </w:p>
    <w:p w14:paraId="343F4F68" w14:textId="77777777" w:rsidR="001C225B" w:rsidRPr="00EF6AAE" w:rsidRDefault="001C225B" w:rsidP="00EF6AAE">
      <w:pPr>
        <w:pStyle w:val="Textbubliny"/>
        <w:rPr>
          <w:rFonts w:ascii="Times New Roman" w:hAnsi="Times New Roman" w:cs="Times New Roman"/>
          <w:sz w:val="22"/>
          <w:szCs w:val="22"/>
          <w:u w:val="single"/>
        </w:rPr>
      </w:pPr>
    </w:p>
    <w:p w14:paraId="7BD62697" w14:textId="77777777" w:rsidR="001C225B" w:rsidRPr="00EF6AAE" w:rsidRDefault="001C225B" w:rsidP="00EF6AAE">
      <w:pPr>
        <w:pStyle w:val="Textbubliny"/>
        <w:rPr>
          <w:rFonts w:ascii="Times New Roman" w:hAnsi="Times New Roman" w:cs="Times New Roman"/>
          <w:sz w:val="22"/>
          <w:szCs w:val="22"/>
          <w:u w:val="single"/>
        </w:rPr>
      </w:pPr>
      <w:r w:rsidRPr="00EF6AAE">
        <w:rPr>
          <w:rFonts w:ascii="Times New Roman" w:hAnsi="Times New Roman" w:cs="Times New Roman"/>
          <w:sz w:val="22"/>
          <w:szCs w:val="22"/>
          <w:u w:val="single"/>
        </w:rPr>
        <w:t>Účinky iných liekov na Phenaemal 0,1</w:t>
      </w:r>
    </w:p>
    <w:p w14:paraId="61935894" w14:textId="18480DBF" w:rsidR="001C225B" w:rsidRPr="00EF6AAE" w:rsidRDefault="00981ECE" w:rsidP="00EF6AAE">
      <w:pPr>
        <w:rPr>
          <w:sz w:val="22"/>
          <w:szCs w:val="22"/>
        </w:rPr>
      </w:pPr>
      <w:r w:rsidRPr="00EF6AAE">
        <w:rPr>
          <w:sz w:val="22"/>
          <w:szCs w:val="22"/>
        </w:rPr>
        <w:t>Pri súbežnom užívaní môže</w:t>
      </w:r>
      <w:r w:rsidR="001C225B" w:rsidRPr="00EF6AAE">
        <w:rPr>
          <w:sz w:val="22"/>
          <w:szCs w:val="22"/>
        </w:rPr>
        <w:t xml:space="preserve"> valproát</w:t>
      </w:r>
      <w:r w:rsidRPr="00EF6AAE">
        <w:rPr>
          <w:sz w:val="22"/>
          <w:szCs w:val="22"/>
        </w:rPr>
        <w:t xml:space="preserve"> (určený na liečbu epilepsie a mánie) </w:t>
      </w:r>
      <w:r w:rsidR="001C225B" w:rsidRPr="00EF6AAE">
        <w:rPr>
          <w:sz w:val="22"/>
          <w:szCs w:val="22"/>
        </w:rPr>
        <w:t>viesť k zvýšeniu účinku lieku Phenaema</w:t>
      </w:r>
      <w:r w:rsidRPr="00EF6AAE">
        <w:rPr>
          <w:sz w:val="22"/>
          <w:szCs w:val="22"/>
        </w:rPr>
        <w:t>l 0,1</w:t>
      </w:r>
      <w:r w:rsidR="00A62C86" w:rsidRPr="00EF6AAE">
        <w:rPr>
          <w:sz w:val="22"/>
          <w:szCs w:val="22"/>
        </w:rPr>
        <w:t>,</w:t>
      </w:r>
      <w:r w:rsidR="001C225B" w:rsidRPr="00EF6AAE">
        <w:rPr>
          <w:sz w:val="22"/>
          <w:szCs w:val="22"/>
        </w:rPr>
        <w:t xml:space="preserve"> </w:t>
      </w:r>
      <w:r w:rsidRPr="00EF6AAE">
        <w:rPr>
          <w:sz w:val="22"/>
          <w:szCs w:val="22"/>
        </w:rPr>
        <w:t>a preto môže viesť k zvýšenej únave, najmä u detí.</w:t>
      </w:r>
    </w:p>
    <w:p w14:paraId="6CBA0AFE" w14:textId="77777777" w:rsidR="00981ECE" w:rsidRPr="00EF6AAE" w:rsidRDefault="00981ECE" w:rsidP="00EF6AAE">
      <w:pPr>
        <w:rPr>
          <w:sz w:val="22"/>
          <w:szCs w:val="22"/>
        </w:rPr>
      </w:pPr>
      <w:r w:rsidRPr="00EF6AAE">
        <w:rPr>
          <w:sz w:val="22"/>
          <w:szCs w:val="22"/>
        </w:rPr>
        <w:t>Oxkarbazepín a felbamát, ktoré sa používajú na liečbu epilepsie, môžu viesť k zvýšeniu účinku Phenaemalettenu.</w:t>
      </w:r>
    </w:p>
    <w:p w14:paraId="38449B53" w14:textId="77777777" w:rsidR="00981ECE" w:rsidRPr="00EF6AAE" w:rsidRDefault="00981ECE" w:rsidP="00EF6AAE">
      <w:pPr>
        <w:rPr>
          <w:sz w:val="22"/>
          <w:szCs w:val="22"/>
        </w:rPr>
      </w:pPr>
    </w:p>
    <w:p w14:paraId="3B078C1B" w14:textId="77777777" w:rsidR="001C225B" w:rsidRPr="00EF6AAE" w:rsidRDefault="001C225B" w:rsidP="00EF6AAE">
      <w:pPr>
        <w:rPr>
          <w:sz w:val="22"/>
          <w:szCs w:val="22"/>
        </w:rPr>
      </w:pPr>
      <w:r w:rsidRPr="00EF6AAE">
        <w:rPr>
          <w:sz w:val="22"/>
          <w:szCs w:val="22"/>
        </w:rPr>
        <w:t>Doplnky s kyselinou listovou môžu viesť k zníženiu účinku lieku Phenaemal 0,1.</w:t>
      </w:r>
    </w:p>
    <w:p w14:paraId="2B96B031" w14:textId="77777777" w:rsidR="001C225B" w:rsidRPr="00EF6AAE" w:rsidRDefault="001C225B" w:rsidP="00EF6AAE">
      <w:pPr>
        <w:pStyle w:val="Zarkazkladnhotextu3"/>
        <w:tabs>
          <w:tab w:val="left" w:pos="709"/>
        </w:tabs>
        <w:spacing w:after="0"/>
        <w:ind w:left="0"/>
        <w:rPr>
          <w:sz w:val="22"/>
          <w:szCs w:val="22"/>
          <w:u w:val="single"/>
        </w:rPr>
      </w:pPr>
    </w:p>
    <w:p w14:paraId="4EF20D1C" w14:textId="77777777" w:rsidR="001C225B" w:rsidRPr="00EF6AAE" w:rsidRDefault="001C225B" w:rsidP="00EF6AAE">
      <w:pPr>
        <w:pStyle w:val="Zarkazkladnhotextu3"/>
        <w:tabs>
          <w:tab w:val="left" w:pos="709"/>
        </w:tabs>
        <w:spacing w:after="0"/>
        <w:ind w:left="0"/>
        <w:rPr>
          <w:sz w:val="22"/>
          <w:szCs w:val="22"/>
          <w:u w:val="single"/>
        </w:rPr>
      </w:pPr>
      <w:r w:rsidRPr="00EF6AAE">
        <w:rPr>
          <w:sz w:val="22"/>
          <w:szCs w:val="22"/>
          <w:u w:val="single"/>
        </w:rPr>
        <w:t>Iné interakcie</w:t>
      </w:r>
    </w:p>
    <w:p w14:paraId="36EDC5B0" w14:textId="77777777" w:rsidR="001C225B" w:rsidRPr="00EF6AAE" w:rsidRDefault="001C225B" w:rsidP="00EF6AAE">
      <w:pPr>
        <w:pStyle w:val="Textbubliny"/>
        <w:rPr>
          <w:rFonts w:ascii="Times New Roman" w:hAnsi="Times New Roman" w:cs="Times New Roman"/>
          <w:sz w:val="22"/>
          <w:szCs w:val="22"/>
        </w:rPr>
      </w:pPr>
      <w:r w:rsidRPr="00EF6AAE">
        <w:rPr>
          <w:rFonts w:ascii="Times New Roman" w:hAnsi="Times New Roman" w:cs="Times New Roman"/>
          <w:sz w:val="22"/>
          <w:szCs w:val="22"/>
        </w:rPr>
        <w:t>Je známe, že Phenaemal 0,1 zvyšuje toxicitu metotrexátu (liek proti rakovine a</w:t>
      </w:r>
      <w:r w:rsidR="00EB43FF" w:rsidRPr="00EF6AAE">
        <w:rPr>
          <w:rFonts w:ascii="Times New Roman" w:hAnsi="Times New Roman" w:cs="Times New Roman"/>
          <w:sz w:val="22"/>
          <w:szCs w:val="22"/>
        </w:rPr>
        <w:t> </w:t>
      </w:r>
      <w:r w:rsidRPr="00EF6AAE">
        <w:rPr>
          <w:rFonts w:ascii="Times New Roman" w:hAnsi="Times New Roman" w:cs="Times New Roman"/>
          <w:sz w:val="22"/>
          <w:szCs w:val="22"/>
        </w:rPr>
        <w:t>autoim</w:t>
      </w:r>
      <w:r w:rsidR="00EB43FF" w:rsidRPr="00EF6AAE">
        <w:rPr>
          <w:rFonts w:ascii="Times New Roman" w:hAnsi="Times New Roman" w:cs="Times New Roman"/>
          <w:sz w:val="22"/>
          <w:szCs w:val="22"/>
        </w:rPr>
        <w:t xml:space="preserve">unitným </w:t>
      </w:r>
      <w:r w:rsidRPr="00EF6AAE">
        <w:rPr>
          <w:rFonts w:ascii="Times New Roman" w:hAnsi="Times New Roman" w:cs="Times New Roman"/>
          <w:sz w:val="22"/>
          <w:szCs w:val="22"/>
        </w:rPr>
        <w:t xml:space="preserve"> chorobám</w:t>
      </w:r>
      <w:r w:rsidR="00EB43FF" w:rsidRPr="00EF6AAE">
        <w:rPr>
          <w:rFonts w:ascii="Times New Roman" w:hAnsi="Times New Roman" w:cs="Times New Roman"/>
          <w:sz w:val="22"/>
          <w:szCs w:val="22"/>
        </w:rPr>
        <w:t xml:space="preserve"> – chorobám imunitného systému</w:t>
      </w:r>
      <w:r w:rsidRPr="00EF6AAE">
        <w:rPr>
          <w:rFonts w:ascii="Times New Roman" w:hAnsi="Times New Roman" w:cs="Times New Roman"/>
          <w:sz w:val="22"/>
          <w:szCs w:val="22"/>
        </w:rPr>
        <w:t>).</w:t>
      </w:r>
    </w:p>
    <w:p w14:paraId="5AC5B499" w14:textId="77777777" w:rsidR="001C225B" w:rsidRPr="00EF6AAE" w:rsidRDefault="001C225B" w:rsidP="00EF6AAE">
      <w:pPr>
        <w:pStyle w:val="Textbubliny"/>
        <w:rPr>
          <w:rFonts w:ascii="Times New Roman" w:hAnsi="Times New Roman" w:cs="Times New Roman"/>
          <w:sz w:val="22"/>
          <w:szCs w:val="22"/>
        </w:rPr>
      </w:pPr>
      <w:r w:rsidRPr="00EF6AAE">
        <w:rPr>
          <w:rFonts w:ascii="Times New Roman" w:hAnsi="Times New Roman" w:cs="Times New Roman"/>
          <w:sz w:val="22"/>
          <w:szCs w:val="22"/>
        </w:rPr>
        <w:t>Pri súčasnom užívaní sa môžu účinky fenobarbitalu a fenytoínu (liek proti epilepsii) buď zvyšovať alebo znižovať.</w:t>
      </w:r>
    </w:p>
    <w:p w14:paraId="6DAE2C3E" w14:textId="77777777" w:rsidR="001C225B" w:rsidRPr="00EF6AAE" w:rsidRDefault="001C225B" w:rsidP="00EF6AAE">
      <w:pPr>
        <w:pStyle w:val="Pta"/>
        <w:tabs>
          <w:tab w:val="clear" w:pos="4536"/>
          <w:tab w:val="clear" w:pos="9072"/>
        </w:tabs>
        <w:rPr>
          <w:sz w:val="22"/>
          <w:szCs w:val="22"/>
          <w:lang w:val="sk-SK"/>
        </w:rPr>
      </w:pPr>
      <w:r w:rsidRPr="00EF6AAE">
        <w:rPr>
          <w:sz w:val="22"/>
          <w:szCs w:val="22"/>
          <w:lang w:val="sk-SK"/>
        </w:rPr>
        <w:t>Phenaemal 0,1 môže zvyšovať potrebu užívania doplnkov výživy s obsahom vitamínu D.</w:t>
      </w:r>
    </w:p>
    <w:p w14:paraId="4DE43E7C" w14:textId="1265197E" w:rsidR="00981ECE" w:rsidRPr="00EF6AAE" w:rsidRDefault="00981ECE" w:rsidP="00EF6AAE">
      <w:pPr>
        <w:rPr>
          <w:sz w:val="22"/>
          <w:szCs w:val="22"/>
        </w:rPr>
      </w:pPr>
      <w:r w:rsidRPr="00EF6AAE">
        <w:rPr>
          <w:sz w:val="22"/>
          <w:szCs w:val="22"/>
        </w:rPr>
        <w:t>Fenobarbital sa nem</w:t>
      </w:r>
      <w:r w:rsidR="00A62C86" w:rsidRPr="00EF6AAE">
        <w:rPr>
          <w:sz w:val="22"/>
          <w:szCs w:val="22"/>
        </w:rPr>
        <w:t>á</w:t>
      </w:r>
      <w:r w:rsidRPr="00EF6AAE">
        <w:rPr>
          <w:sz w:val="22"/>
          <w:szCs w:val="22"/>
        </w:rPr>
        <w:t xml:space="preserve"> užívať v kombinácii so stiripentolom (liek používaný na liečbu Dravetovej syndrómu).</w:t>
      </w:r>
    </w:p>
    <w:p w14:paraId="483DED8B" w14:textId="77777777" w:rsidR="00981ECE" w:rsidRPr="00EF6AAE" w:rsidRDefault="00981ECE" w:rsidP="00EF6AAE">
      <w:pPr>
        <w:rPr>
          <w:sz w:val="22"/>
          <w:szCs w:val="22"/>
        </w:rPr>
      </w:pPr>
      <w:r w:rsidRPr="00EF6AAE">
        <w:rPr>
          <w:sz w:val="22"/>
          <w:szCs w:val="22"/>
        </w:rPr>
        <w:t>Súbežné užívanie chlórpromazínu s fenobarbitalom môže znížiť hladiny niektorého z týchto liekov v krvi.</w:t>
      </w:r>
    </w:p>
    <w:p w14:paraId="0ACEC6D0" w14:textId="77777777" w:rsidR="00981ECE" w:rsidRPr="00EF6AAE" w:rsidRDefault="00981ECE" w:rsidP="00EF6AAE">
      <w:pPr>
        <w:rPr>
          <w:sz w:val="22"/>
          <w:szCs w:val="22"/>
        </w:rPr>
      </w:pPr>
      <w:r w:rsidRPr="00EF6AAE">
        <w:rPr>
          <w:sz w:val="22"/>
          <w:szCs w:val="22"/>
        </w:rPr>
        <w:t>Účinky barbiturátov sa môžu znížiť súbežným podávaním memantínu.</w:t>
      </w:r>
    </w:p>
    <w:p w14:paraId="39ADE0D2" w14:textId="77777777" w:rsidR="00981ECE" w:rsidRPr="00EF6AAE" w:rsidRDefault="00981ECE" w:rsidP="00EF6AAE">
      <w:pPr>
        <w:rPr>
          <w:sz w:val="22"/>
          <w:szCs w:val="22"/>
        </w:rPr>
      </w:pPr>
      <w:r w:rsidRPr="00EF6AAE">
        <w:rPr>
          <w:sz w:val="22"/>
          <w:szCs w:val="22"/>
        </w:rPr>
        <w:t>Antidepresíva môžu znižovať antiepileptický účinok fenobarbitalu</w:t>
      </w:r>
    </w:p>
    <w:p w14:paraId="5E96A829" w14:textId="77777777" w:rsidR="00981ECE" w:rsidRPr="00EF6AAE" w:rsidRDefault="00981ECE" w:rsidP="00EF6AAE">
      <w:pPr>
        <w:rPr>
          <w:sz w:val="22"/>
          <w:szCs w:val="22"/>
        </w:rPr>
      </w:pPr>
      <w:r w:rsidRPr="00EF6AAE">
        <w:rPr>
          <w:sz w:val="22"/>
          <w:szCs w:val="22"/>
        </w:rPr>
        <w:t>Barbituráty môžu zvyšovať pečeňovú toxicitu a znižovať účinok paracetamolu.</w:t>
      </w:r>
    </w:p>
    <w:p w14:paraId="54BE1EDC" w14:textId="77777777" w:rsidR="00981ECE" w:rsidRPr="00EF6AAE" w:rsidRDefault="00981ECE" w:rsidP="00EF6AAE">
      <w:pPr>
        <w:tabs>
          <w:tab w:val="left" w:pos="8190"/>
        </w:tabs>
        <w:rPr>
          <w:sz w:val="22"/>
          <w:szCs w:val="22"/>
        </w:rPr>
      </w:pPr>
      <w:r w:rsidRPr="00EF6AAE">
        <w:rPr>
          <w:sz w:val="22"/>
          <w:szCs w:val="22"/>
        </w:rPr>
        <w:lastRenderedPageBreak/>
        <w:t>Absorpcia fenobarbitalu môže byť ovplyvnená súbežným užívaním aktívneho uhlia.</w:t>
      </w:r>
    </w:p>
    <w:p w14:paraId="1CB2C254" w14:textId="67969F12" w:rsidR="00981ECE" w:rsidRPr="00EF6AAE" w:rsidRDefault="00981ECE" w:rsidP="00EF6AAE">
      <w:pPr>
        <w:rPr>
          <w:sz w:val="22"/>
          <w:szCs w:val="22"/>
        </w:rPr>
      </w:pPr>
      <w:r w:rsidRPr="00EF6AAE">
        <w:rPr>
          <w:sz w:val="22"/>
          <w:szCs w:val="22"/>
        </w:rPr>
        <w:t>Súbežné užívanie fenobarbitalu s liekmi obsahujúcimi ľubovník bodkovaný (</w:t>
      </w:r>
      <w:r w:rsidRPr="00EF6AAE">
        <w:rPr>
          <w:i/>
          <w:sz w:val="22"/>
          <w:szCs w:val="22"/>
        </w:rPr>
        <w:t>Hypericum perforatum</w:t>
      </w:r>
      <w:r w:rsidRPr="00EF6AAE">
        <w:rPr>
          <w:sz w:val="22"/>
          <w:szCs w:val="22"/>
        </w:rPr>
        <w:t xml:space="preserve">) sa neodporúča, pretože </w:t>
      </w:r>
      <w:r w:rsidR="00422DF7" w:rsidRPr="00EF6AAE">
        <w:rPr>
          <w:sz w:val="22"/>
          <w:szCs w:val="22"/>
        </w:rPr>
        <w:t xml:space="preserve">sa môžu znížiť </w:t>
      </w:r>
      <w:r w:rsidRPr="00EF6AAE">
        <w:rPr>
          <w:sz w:val="22"/>
          <w:szCs w:val="22"/>
        </w:rPr>
        <w:t>liečebné účinky fenobarbitalu.</w:t>
      </w:r>
    </w:p>
    <w:p w14:paraId="10D5D348" w14:textId="18615A78" w:rsidR="00981ECE" w:rsidRPr="00EF6AAE" w:rsidRDefault="00981ECE" w:rsidP="00EF6AAE">
      <w:pPr>
        <w:pStyle w:val="Pta"/>
        <w:rPr>
          <w:sz w:val="22"/>
          <w:szCs w:val="22"/>
        </w:rPr>
      </w:pPr>
      <w:r w:rsidRPr="00EF6AAE">
        <w:rPr>
          <w:sz w:val="22"/>
          <w:szCs w:val="22"/>
        </w:rPr>
        <w:t>Súbežné podávanie s inými liekmi s centrálne tlmivým účinkom alebo alkoholom môže viesť k ďalším tlmivým účinkom na centrálnu nervovú sústavu.</w:t>
      </w:r>
    </w:p>
    <w:p w14:paraId="76171E8F" w14:textId="77777777" w:rsidR="00981ECE" w:rsidRPr="00EF6AAE" w:rsidRDefault="00981ECE" w:rsidP="00EF6AAE">
      <w:pPr>
        <w:pStyle w:val="Pta"/>
        <w:rPr>
          <w:sz w:val="22"/>
          <w:szCs w:val="22"/>
        </w:rPr>
      </w:pPr>
    </w:p>
    <w:p w14:paraId="6FFC56FF" w14:textId="77777777" w:rsidR="00981ECE" w:rsidRPr="00EF6AAE" w:rsidRDefault="00981ECE" w:rsidP="00EF6AAE">
      <w:pPr>
        <w:rPr>
          <w:sz w:val="22"/>
          <w:szCs w:val="22"/>
          <w:u w:val="single"/>
        </w:rPr>
      </w:pPr>
      <w:r w:rsidRPr="00EF6AAE">
        <w:rPr>
          <w:sz w:val="22"/>
          <w:szCs w:val="22"/>
          <w:u w:val="single"/>
        </w:rPr>
        <w:t>Skrížená reakcia s inými antiepileptikami</w:t>
      </w:r>
    </w:p>
    <w:p w14:paraId="3EA26900" w14:textId="69D87AC5" w:rsidR="00981ECE" w:rsidRPr="00EF6AAE" w:rsidRDefault="00981ECE" w:rsidP="00EF6AAE">
      <w:pPr>
        <w:rPr>
          <w:sz w:val="22"/>
          <w:szCs w:val="22"/>
        </w:rPr>
      </w:pPr>
      <w:r w:rsidRPr="00EF6AAE">
        <w:rPr>
          <w:sz w:val="22"/>
          <w:szCs w:val="22"/>
        </w:rPr>
        <w:t>Ak ste v minulosti mali reakcie z precitlivenosti na iné antiepileptické lieky, hrozí aj zvýšené riziko precitlivenosti na fenobarbital. Ak sa vyskytnú príznaky reakcie z precitlivenosti, Phenaemal 0,1 sa musí vždy okamžite vysadiť.</w:t>
      </w:r>
    </w:p>
    <w:p w14:paraId="77A30248" w14:textId="77777777" w:rsidR="00981ECE" w:rsidRPr="00EF6AAE" w:rsidRDefault="00981ECE" w:rsidP="00EF6AAE">
      <w:pPr>
        <w:rPr>
          <w:sz w:val="22"/>
          <w:szCs w:val="22"/>
        </w:rPr>
      </w:pPr>
    </w:p>
    <w:p w14:paraId="439B89D4" w14:textId="77777777" w:rsidR="00710752" w:rsidRPr="00EF6AAE" w:rsidRDefault="00710752" w:rsidP="00EF6AAE">
      <w:pPr>
        <w:rPr>
          <w:sz w:val="22"/>
          <w:szCs w:val="22"/>
        </w:rPr>
      </w:pPr>
    </w:p>
    <w:p w14:paraId="410365A7" w14:textId="77777777" w:rsidR="00710752" w:rsidRPr="00EF6AAE" w:rsidRDefault="000E3F16" w:rsidP="00EF6AAE">
      <w:pPr>
        <w:rPr>
          <w:b/>
          <w:bCs/>
          <w:sz w:val="22"/>
          <w:szCs w:val="22"/>
        </w:rPr>
      </w:pPr>
      <w:r w:rsidRPr="00EF6AAE">
        <w:rPr>
          <w:b/>
          <w:bCs/>
          <w:sz w:val="22"/>
          <w:szCs w:val="22"/>
        </w:rPr>
        <w:t xml:space="preserve">Phenaemal </w:t>
      </w:r>
      <w:smartTag w:uri="urn:schemas-microsoft-com:office:smarttags" w:element="metricconverter">
        <w:smartTagPr>
          <w:attr w:name="ProductID" w:val="0,1 a"/>
        </w:smartTagPr>
        <w:r w:rsidRPr="00EF6AAE">
          <w:rPr>
            <w:b/>
            <w:bCs/>
            <w:sz w:val="22"/>
            <w:szCs w:val="22"/>
          </w:rPr>
          <w:t>0,1 a</w:t>
        </w:r>
      </w:smartTag>
      <w:r w:rsidRPr="00EF6AAE">
        <w:rPr>
          <w:b/>
          <w:bCs/>
          <w:sz w:val="22"/>
          <w:szCs w:val="22"/>
        </w:rPr>
        <w:t xml:space="preserve"> alkohol</w:t>
      </w:r>
    </w:p>
    <w:p w14:paraId="3A5F9721" w14:textId="77777777" w:rsidR="000E3F16" w:rsidRPr="00EF6AAE" w:rsidRDefault="0072035D" w:rsidP="00EF6AAE">
      <w:pPr>
        <w:rPr>
          <w:sz w:val="22"/>
          <w:szCs w:val="22"/>
        </w:rPr>
      </w:pPr>
      <w:r w:rsidRPr="00EF6AAE">
        <w:rPr>
          <w:color w:val="000000"/>
          <w:sz w:val="22"/>
          <w:szCs w:val="22"/>
        </w:rPr>
        <w:t>Konzumácia alkoholu je počas liečby fenobarbitalom prísne zakázaná.</w:t>
      </w:r>
    </w:p>
    <w:p w14:paraId="00359034" w14:textId="77777777" w:rsidR="00F96E18" w:rsidRPr="00EF6AAE" w:rsidRDefault="00F96E18" w:rsidP="00EF6AAE">
      <w:pPr>
        <w:rPr>
          <w:b/>
          <w:bCs/>
          <w:sz w:val="22"/>
          <w:szCs w:val="22"/>
        </w:rPr>
      </w:pPr>
    </w:p>
    <w:p w14:paraId="21E9CBBF" w14:textId="77777777" w:rsidR="00E80865" w:rsidRPr="00EF6AAE" w:rsidRDefault="00E80865" w:rsidP="00EF6AAE">
      <w:pPr>
        <w:numPr>
          <w:ilvl w:val="12"/>
          <w:numId w:val="0"/>
        </w:numPr>
        <w:ind w:right="-2"/>
        <w:outlineLvl w:val="0"/>
        <w:rPr>
          <w:b/>
          <w:sz w:val="22"/>
          <w:szCs w:val="22"/>
        </w:rPr>
      </w:pPr>
      <w:r w:rsidRPr="00EF6AAE">
        <w:rPr>
          <w:b/>
          <w:sz w:val="22"/>
          <w:szCs w:val="22"/>
        </w:rPr>
        <w:t>Tehotenstvo a dojčenie</w:t>
      </w:r>
    </w:p>
    <w:p w14:paraId="213A225A" w14:textId="77777777" w:rsidR="00E80865" w:rsidRPr="00EF6AAE" w:rsidRDefault="00E80865" w:rsidP="00EF6AAE">
      <w:pPr>
        <w:numPr>
          <w:ilvl w:val="12"/>
          <w:numId w:val="0"/>
        </w:numPr>
        <w:rPr>
          <w:sz w:val="22"/>
          <w:szCs w:val="22"/>
        </w:rPr>
      </w:pPr>
      <w:r w:rsidRPr="00EF6AAE">
        <w:rPr>
          <w:sz w:val="22"/>
          <w:szCs w:val="22"/>
        </w:rPr>
        <w:t>Ak ste tehotná alebo dojčíte, ak si myslíte, že ste tehotná alebo ak plánujete otehotnieť, poraďte sa so svojím lekárom alebo lekárnikom predtým, ako začnete užívať tento liek.</w:t>
      </w:r>
    </w:p>
    <w:p w14:paraId="4E448EE4" w14:textId="77777777" w:rsidR="00EC67C5" w:rsidRPr="00EF6AAE" w:rsidRDefault="00EC67C5" w:rsidP="00EF6AAE">
      <w:pPr>
        <w:rPr>
          <w:b/>
          <w:bCs/>
          <w:sz w:val="22"/>
          <w:szCs w:val="22"/>
        </w:rPr>
      </w:pPr>
    </w:p>
    <w:p w14:paraId="372AA382" w14:textId="77777777" w:rsidR="00981ECE" w:rsidRPr="00EF6AAE" w:rsidRDefault="00981ECE" w:rsidP="00EF6AAE">
      <w:pPr>
        <w:rPr>
          <w:bCs/>
          <w:sz w:val="22"/>
          <w:szCs w:val="22"/>
          <w:u w:val="single"/>
        </w:rPr>
      </w:pPr>
      <w:r w:rsidRPr="00EF6AAE">
        <w:rPr>
          <w:bCs/>
          <w:sz w:val="22"/>
          <w:szCs w:val="22"/>
          <w:u w:val="single"/>
        </w:rPr>
        <w:t>Tehotenstvo</w:t>
      </w:r>
    </w:p>
    <w:p w14:paraId="79CF9487" w14:textId="77777777" w:rsidR="00E80865" w:rsidRPr="00EF6AAE" w:rsidRDefault="000E67AE" w:rsidP="00EF6AAE">
      <w:pPr>
        <w:rPr>
          <w:sz w:val="22"/>
          <w:szCs w:val="22"/>
        </w:rPr>
      </w:pPr>
      <w:r w:rsidRPr="00EF6AAE">
        <w:rPr>
          <w:bCs/>
          <w:sz w:val="22"/>
          <w:szCs w:val="22"/>
        </w:rPr>
        <w:t xml:space="preserve">Phenaemal 0,1 </w:t>
      </w:r>
      <w:r w:rsidR="000D7315" w:rsidRPr="00EF6AAE">
        <w:rPr>
          <w:bCs/>
          <w:sz w:val="22"/>
          <w:szCs w:val="22"/>
        </w:rPr>
        <w:t>môžu užívať</w:t>
      </w:r>
      <w:r w:rsidRPr="00EF6AAE">
        <w:rPr>
          <w:bCs/>
          <w:sz w:val="22"/>
          <w:szCs w:val="22"/>
        </w:rPr>
        <w:t xml:space="preserve"> tehotn</w:t>
      </w:r>
      <w:r w:rsidR="000D7315" w:rsidRPr="00EF6AAE">
        <w:rPr>
          <w:bCs/>
          <w:sz w:val="22"/>
          <w:szCs w:val="22"/>
        </w:rPr>
        <w:t xml:space="preserve">é </w:t>
      </w:r>
      <w:r w:rsidRPr="00EF6AAE">
        <w:rPr>
          <w:bCs/>
          <w:sz w:val="22"/>
          <w:szCs w:val="22"/>
        </w:rPr>
        <w:t>žen</w:t>
      </w:r>
      <w:r w:rsidR="000D7315" w:rsidRPr="00EF6AAE">
        <w:rPr>
          <w:bCs/>
          <w:sz w:val="22"/>
          <w:szCs w:val="22"/>
        </w:rPr>
        <w:t xml:space="preserve">y </w:t>
      </w:r>
      <w:r w:rsidRPr="00EF6AAE">
        <w:rPr>
          <w:bCs/>
          <w:sz w:val="22"/>
          <w:szCs w:val="22"/>
        </w:rPr>
        <w:t xml:space="preserve">len vtedy, ak lekár zváži, že prínos liečby pre matku prevýši možné riziko pre plod. </w:t>
      </w:r>
      <w:r w:rsidRPr="00EF6AAE">
        <w:rPr>
          <w:sz w:val="22"/>
          <w:szCs w:val="22"/>
        </w:rPr>
        <w:t>Je nevyhnutné dbať na prísne stanovenie indikácie (potreby nasadenia), zvlášť v období prvého trimestra (v začiatočných 3 mesiacoch), pritom je potrebné dávkovanie, predovšetkým medzi 20. až 40. dňom tehotenstva, udržiavať na čo najnižšej úrovni, najlepšie pravidelnými kontrolami hladín lieku v sére.  V tomto období sa treba vyhýbať kombinácii s inými antikonvulzívami (antiepileptikami) alebo inými liečivami. Fenobarbital prestupuje cez placentu. Koncentrácia lieku v sére matky aj plodu býva spravidla rovnaká. V plodovej vode sa obvykle nachádza len 50 % tejto koncentrácie.</w:t>
      </w:r>
    </w:p>
    <w:p w14:paraId="2B820B3C" w14:textId="77777777" w:rsidR="00D41FF2" w:rsidRPr="00EF6AAE" w:rsidRDefault="00D41FF2" w:rsidP="00EF6AAE">
      <w:pPr>
        <w:rPr>
          <w:sz w:val="22"/>
          <w:szCs w:val="22"/>
        </w:rPr>
      </w:pPr>
    </w:p>
    <w:p w14:paraId="36F5D0F1" w14:textId="30EAB4DA" w:rsidR="00D41FF2" w:rsidRPr="00EF6AAE" w:rsidRDefault="00D41FF2" w:rsidP="00EF6AAE">
      <w:pPr>
        <w:rPr>
          <w:sz w:val="22"/>
          <w:szCs w:val="22"/>
        </w:rPr>
      </w:pPr>
      <w:r w:rsidRPr="00EF6AAE">
        <w:rPr>
          <w:sz w:val="22"/>
          <w:szCs w:val="22"/>
        </w:rPr>
        <w:t xml:space="preserve">Ak plánujete otehotnieť a počas tehotenstva </w:t>
      </w:r>
      <w:r w:rsidR="000D7315" w:rsidRPr="00EF6AAE">
        <w:rPr>
          <w:sz w:val="22"/>
          <w:szCs w:val="22"/>
        </w:rPr>
        <w:t>máte</w:t>
      </w:r>
      <w:r w:rsidRPr="00EF6AAE">
        <w:rPr>
          <w:sz w:val="22"/>
          <w:szCs w:val="22"/>
        </w:rPr>
        <w:t xml:space="preserve"> užívať doplnky s obsahom kys</w:t>
      </w:r>
      <w:r w:rsidR="000D7315" w:rsidRPr="00EF6AAE">
        <w:rPr>
          <w:sz w:val="22"/>
          <w:szCs w:val="22"/>
        </w:rPr>
        <w:t>e</w:t>
      </w:r>
      <w:r w:rsidRPr="00EF6AAE">
        <w:rPr>
          <w:sz w:val="22"/>
          <w:szCs w:val="22"/>
        </w:rPr>
        <w:t>liny listovej, aby ste znížili riziko defektov neurálnej trubice</w:t>
      </w:r>
      <w:r w:rsidR="009C75DC" w:rsidRPr="00EF6AAE">
        <w:rPr>
          <w:sz w:val="22"/>
          <w:szCs w:val="22"/>
        </w:rPr>
        <w:t xml:space="preserve"> (embryonálny základ centrálneho nervového systému, z ktorého sa počas vývoja plodu vytvorí mozog a miecha)</w:t>
      </w:r>
      <w:r w:rsidRPr="00EF6AAE">
        <w:rPr>
          <w:sz w:val="22"/>
          <w:szCs w:val="22"/>
        </w:rPr>
        <w:t>.</w:t>
      </w:r>
    </w:p>
    <w:p w14:paraId="0F5D86B8" w14:textId="77777777" w:rsidR="00D41FF2" w:rsidRPr="00EF6AAE" w:rsidRDefault="00D41FF2" w:rsidP="00EF6AAE">
      <w:pPr>
        <w:rPr>
          <w:sz w:val="22"/>
          <w:szCs w:val="22"/>
        </w:rPr>
      </w:pPr>
    </w:p>
    <w:p w14:paraId="1205FA2B" w14:textId="77777777" w:rsidR="00D41FF2" w:rsidRPr="00EF6AAE" w:rsidRDefault="000D7315" w:rsidP="00EF6AAE">
      <w:pPr>
        <w:rPr>
          <w:sz w:val="22"/>
          <w:szCs w:val="22"/>
        </w:rPr>
      </w:pPr>
      <w:r w:rsidRPr="00EF6AAE">
        <w:rPr>
          <w:sz w:val="22"/>
          <w:szCs w:val="22"/>
        </w:rPr>
        <w:t xml:space="preserve">Na </w:t>
      </w:r>
      <w:r w:rsidR="00D41FF2" w:rsidRPr="00EF6AAE">
        <w:rPr>
          <w:sz w:val="22"/>
          <w:szCs w:val="22"/>
        </w:rPr>
        <w:t>predchádzani</w:t>
      </w:r>
      <w:r w:rsidRPr="00EF6AAE">
        <w:rPr>
          <w:sz w:val="22"/>
          <w:szCs w:val="22"/>
        </w:rPr>
        <w:t>e</w:t>
      </w:r>
      <w:r w:rsidR="00D41FF2" w:rsidRPr="00EF6AAE">
        <w:rPr>
          <w:sz w:val="22"/>
          <w:szCs w:val="22"/>
        </w:rPr>
        <w:t xml:space="preserve"> vzniku porúch zrážavosti krvi, závislých </w:t>
      </w:r>
      <w:r w:rsidRPr="00EF6AAE">
        <w:rPr>
          <w:sz w:val="22"/>
          <w:szCs w:val="22"/>
        </w:rPr>
        <w:t xml:space="preserve">od </w:t>
      </w:r>
      <w:r w:rsidR="00D41FF2" w:rsidRPr="00EF6AAE">
        <w:rPr>
          <w:sz w:val="22"/>
          <w:szCs w:val="22"/>
        </w:rPr>
        <w:t>vitamín</w:t>
      </w:r>
      <w:r w:rsidRPr="00EF6AAE">
        <w:rPr>
          <w:sz w:val="22"/>
          <w:szCs w:val="22"/>
        </w:rPr>
        <w:t xml:space="preserve">u </w:t>
      </w:r>
      <w:r w:rsidR="00D41FF2" w:rsidRPr="00EF6AAE">
        <w:rPr>
          <w:sz w:val="22"/>
          <w:szCs w:val="22"/>
        </w:rPr>
        <w:t xml:space="preserve">K1 u novorodencov, sa  odporúča počas posledného mesiaca tehotenstva podávať matke </w:t>
      </w:r>
      <w:r w:rsidRPr="00EF6AAE">
        <w:rPr>
          <w:sz w:val="22"/>
          <w:szCs w:val="22"/>
        </w:rPr>
        <w:t>vitamín K1vo forme pevných liekových foriem (</w:t>
      </w:r>
      <w:r w:rsidR="00D41FF2" w:rsidRPr="00EF6AAE">
        <w:rPr>
          <w:sz w:val="22"/>
          <w:szCs w:val="22"/>
        </w:rPr>
        <w:t>úst</w:t>
      </w:r>
      <w:r w:rsidRPr="00EF6AAE">
        <w:rPr>
          <w:sz w:val="22"/>
          <w:szCs w:val="22"/>
        </w:rPr>
        <w:t>ami)</w:t>
      </w:r>
      <w:r w:rsidR="00D41FF2" w:rsidRPr="00EF6AAE">
        <w:rPr>
          <w:sz w:val="22"/>
          <w:szCs w:val="22"/>
        </w:rPr>
        <w:t>, ako aj podanie vitamínu K1 novorodencovi bezprostredne po pôrode.</w:t>
      </w:r>
    </w:p>
    <w:p w14:paraId="0A5AF561" w14:textId="77777777" w:rsidR="009C75DC" w:rsidRPr="00EF6AAE" w:rsidRDefault="009C75DC" w:rsidP="00EF6AAE">
      <w:pPr>
        <w:rPr>
          <w:sz w:val="22"/>
          <w:szCs w:val="22"/>
        </w:rPr>
      </w:pPr>
    </w:p>
    <w:p w14:paraId="5E842EBA" w14:textId="77777777" w:rsidR="009C75DC" w:rsidRPr="00EF6AAE" w:rsidRDefault="009C75DC" w:rsidP="00EF6AAE">
      <w:pPr>
        <w:rPr>
          <w:sz w:val="22"/>
          <w:szCs w:val="22"/>
          <w:u w:val="single"/>
        </w:rPr>
      </w:pPr>
      <w:r w:rsidRPr="00EF6AAE">
        <w:rPr>
          <w:sz w:val="22"/>
          <w:szCs w:val="22"/>
          <w:u w:val="single"/>
        </w:rPr>
        <w:t>Dojčenie</w:t>
      </w:r>
    </w:p>
    <w:p w14:paraId="10018105" w14:textId="7FFA97FB" w:rsidR="009C75DC" w:rsidRPr="00EF6AAE" w:rsidRDefault="009C75DC" w:rsidP="00EF6AAE">
      <w:pPr>
        <w:rPr>
          <w:sz w:val="22"/>
          <w:szCs w:val="22"/>
        </w:rPr>
      </w:pPr>
      <w:r w:rsidRPr="00EF6AAE">
        <w:rPr>
          <w:sz w:val="22"/>
          <w:szCs w:val="22"/>
        </w:rPr>
        <w:t>Fenobarbital prechádza do materského mlieka. Ženy liečené vysokými dávkami fenobarbitalu nema</w:t>
      </w:r>
      <w:r w:rsidR="00A62C86" w:rsidRPr="00EF6AAE">
        <w:rPr>
          <w:sz w:val="22"/>
          <w:szCs w:val="22"/>
        </w:rPr>
        <w:t>jú</w:t>
      </w:r>
      <w:r w:rsidRPr="00EF6AAE">
        <w:rPr>
          <w:sz w:val="22"/>
          <w:szCs w:val="22"/>
        </w:rPr>
        <w:t xml:space="preserve"> dojčiť. U žien liečených nízkymi dávkami fenobarbitalu zvyčajne nie je potrebné dojčenie ukončiť. Dojčené deti  ma</w:t>
      </w:r>
      <w:r w:rsidR="00A62C86" w:rsidRPr="00EF6AAE">
        <w:rPr>
          <w:sz w:val="22"/>
          <w:szCs w:val="22"/>
        </w:rPr>
        <w:t>jú</w:t>
      </w:r>
      <w:r w:rsidRPr="00EF6AAE">
        <w:rPr>
          <w:sz w:val="22"/>
          <w:szCs w:val="22"/>
        </w:rPr>
        <w:t xml:space="preserve"> byť pozorne sledované, čo sa týka možných </w:t>
      </w:r>
      <w:r w:rsidR="00A62C86" w:rsidRPr="00EF6AAE">
        <w:rPr>
          <w:sz w:val="22"/>
          <w:szCs w:val="22"/>
        </w:rPr>
        <w:t>vedľajších</w:t>
      </w:r>
      <w:r w:rsidRPr="00EF6AAE">
        <w:rPr>
          <w:sz w:val="22"/>
          <w:szCs w:val="22"/>
        </w:rPr>
        <w:t xml:space="preserve"> účinkov (útlm).</w:t>
      </w:r>
    </w:p>
    <w:p w14:paraId="24BF626D" w14:textId="77777777" w:rsidR="00D41FF2" w:rsidRPr="00EF6AAE" w:rsidRDefault="00D41FF2" w:rsidP="00EF6AAE">
      <w:pPr>
        <w:rPr>
          <w:sz w:val="22"/>
          <w:szCs w:val="22"/>
        </w:rPr>
      </w:pPr>
    </w:p>
    <w:p w14:paraId="5D2FBF9F" w14:textId="22C0E57A" w:rsidR="009C75DC" w:rsidRPr="00EF6AAE" w:rsidRDefault="00D41FF2" w:rsidP="00EF6AAE">
      <w:pPr>
        <w:rPr>
          <w:sz w:val="22"/>
          <w:szCs w:val="22"/>
        </w:rPr>
      </w:pPr>
      <w:r w:rsidRPr="00EF6AAE">
        <w:rPr>
          <w:sz w:val="22"/>
          <w:szCs w:val="22"/>
        </w:rPr>
        <w:t>Keďže v materskom mlieku sa vytvorí len 30 – 50 % sérovej koncentrácie fenobarbitalu, spravidla nie je potrebné dojčenie ukončiť. Ak sa však objaví nadmern</w:t>
      </w:r>
      <w:r w:rsidR="00A438E4" w:rsidRPr="00EF6AAE">
        <w:rPr>
          <w:sz w:val="22"/>
          <w:szCs w:val="22"/>
        </w:rPr>
        <w:t>á</w:t>
      </w:r>
      <w:r w:rsidRPr="00EF6AAE">
        <w:rPr>
          <w:sz w:val="22"/>
          <w:szCs w:val="22"/>
        </w:rPr>
        <w:t xml:space="preserve"> </w:t>
      </w:r>
      <w:r w:rsidR="00A438E4" w:rsidRPr="00EF6AAE">
        <w:rPr>
          <w:sz w:val="22"/>
          <w:szCs w:val="22"/>
        </w:rPr>
        <w:t xml:space="preserve">ospalosť </w:t>
      </w:r>
      <w:r w:rsidRPr="00EF6AAE">
        <w:rPr>
          <w:sz w:val="22"/>
          <w:szCs w:val="22"/>
        </w:rPr>
        <w:t>alebo neochota u dojčaťa piť, odstavenie je potrebné.</w:t>
      </w:r>
      <w:r w:rsidR="009C75DC" w:rsidRPr="00EF6AAE">
        <w:rPr>
          <w:sz w:val="22"/>
          <w:szCs w:val="22"/>
        </w:rPr>
        <w:t xml:space="preserve"> </w:t>
      </w:r>
      <w:commentRangeStart w:id="1"/>
      <w:r w:rsidR="009C75DC" w:rsidRPr="00EF6AAE">
        <w:rPr>
          <w:sz w:val="22"/>
          <w:szCs w:val="22"/>
        </w:rPr>
        <w:t>Odstavenie</w:t>
      </w:r>
      <w:commentRangeEnd w:id="1"/>
      <w:r w:rsidR="009C75DC" w:rsidRPr="00EF6AAE">
        <w:rPr>
          <w:sz w:val="22"/>
          <w:szCs w:val="22"/>
        </w:rPr>
        <w:t xml:space="preserve"> dieťaťa od materského mlieka sa má vykonať pomaly, v priebehu niekoľkých týždňov.</w:t>
      </w:r>
    </w:p>
    <w:p w14:paraId="0BD7104E" w14:textId="77777777" w:rsidR="00D41FF2" w:rsidRPr="00EF6AAE" w:rsidRDefault="00D41FF2" w:rsidP="00EF6AAE">
      <w:pPr>
        <w:rPr>
          <w:sz w:val="22"/>
          <w:szCs w:val="22"/>
        </w:rPr>
      </w:pPr>
    </w:p>
    <w:p w14:paraId="54993622" w14:textId="77777777" w:rsidR="00A438E4" w:rsidRPr="00EF6AAE" w:rsidRDefault="00A438E4" w:rsidP="00EF6AAE">
      <w:pPr>
        <w:pStyle w:val="Nadpis1"/>
        <w:rPr>
          <w:rFonts w:ascii="Times New Roman" w:hAnsi="Times New Roman" w:cs="Times New Roman"/>
          <w:sz w:val="22"/>
          <w:szCs w:val="22"/>
        </w:rPr>
      </w:pPr>
      <w:r w:rsidRPr="00EF6AAE">
        <w:rPr>
          <w:rFonts w:ascii="Times New Roman" w:hAnsi="Times New Roman" w:cs="Times New Roman"/>
          <w:sz w:val="22"/>
          <w:szCs w:val="22"/>
        </w:rPr>
        <w:t>Vedenie vozidiel a obsluha strojov</w:t>
      </w:r>
    </w:p>
    <w:p w14:paraId="14BEA03A" w14:textId="77777777" w:rsidR="00A438E4" w:rsidRPr="00EF6AAE" w:rsidRDefault="00A438E4" w:rsidP="00EF6AAE">
      <w:pPr>
        <w:rPr>
          <w:sz w:val="22"/>
          <w:szCs w:val="22"/>
        </w:rPr>
      </w:pPr>
      <w:r w:rsidRPr="00EF6AAE">
        <w:rPr>
          <w:sz w:val="22"/>
          <w:szCs w:val="22"/>
        </w:rPr>
        <w:t>Tento liek môže aj pri odporúčanom spôsobe užívania meniť reakčný čas do tej miery, že to má vplyv na vedenie vozidiel alebo manipuláciu so strojmi. Toto ovplyvnenie je zvlášť výrazné pri kombinácii s alkoholom.</w:t>
      </w:r>
    </w:p>
    <w:p w14:paraId="70159DCB" w14:textId="77777777" w:rsidR="001063F5" w:rsidRPr="00EF6AAE" w:rsidRDefault="001063F5" w:rsidP="00EF6AAE">
      <w:pPr>
        <w:rPr>
          <w:sz w:val="22"/>
          <w:szCs w:val="22"/>
        </w:rPr>
      </w:pPr>
      <w:r w:rsidRPr="00EF6AAE">
        <w:rPr>
          <w:sz w:val="22"/>
          <w:szCs w:val="22"/>
        </w:rPr>
        <w:t>Preto sa v prvých dňoch liečby má upustiť od vedenia vozidiel, obsluhovania strojov alebo iných nebezpečných činností.</w:t>
      </w:r>
    </w:p>
    <w:p w14:paraId="085374F4" w14:textId="77777777" w:rsidR="006E6A2A" w:rsidRPr="00EF6AAE" w:rsidRDefault="006E6A2A" w:rsidP="00EF6AAE">
      <w:pPr>
        <w:rPr>
          <w:sz w:val="22"/>
          <w:szCs w:val="22"/>
        </w:rPr>
      </w:pPr>
      <w:r w:rsidRPr="00EF6AAE">
        <w:rPr>
          <w:sz w:val="22"/>
          <w:szCs w:val="22"/>
        </w:rPr>
        <w:t xml:space="preserve">Poraďte sa s lekárom, či môžete </w:t>
      </w:r>
      <w:r w:rsidR="000D7315" w:rsidRPr="00EF6AAE">
        <w:rPr>
          <w:sz w:val="22"/>
          <w:szCs w:val="22"/>
        </w:rPr>
        <w:t>viesť</w:t>
      </w:r>
      <w:r w:rsidRPr="00EF6AAE">
        <w:rPr>
          <w:sz w:val="22"/>
          <w:szCs w:val="22"/>
        </w:rPr>
        <w:t xml:space="preserve"> vozidlá, obsluhovať stroje a vykonávať iné nebezpečné činnosti.</w:t>
      </w:r>
    </w:p>
    <w:p w14:paraId="04BA6007" w14:textId="77777777" w:rsidR="00B82CB7" w:rsidRPr="00EF6AAE" w:rsidRDefault="00B82CB7" w:rsidP="00EF6AAE">
      <w:pPr>
        <w:rPr>
          <w:sz w:val="22"/>
          <w:szCs w:val="22"/>
        </w:rPr>
      </w:pPr>
    </w:p>
    <w:p w14:paraId="7D02A689" w14:textId="77777777" w:rsidR="00B82CB7" w:rsidRPr="00EF6AAE" w:rsidRDefault="00B82CB7" w:rsidP="00EF6AAE">
      <w:pPr>
        <w:rPr>
          <w:b/>
          <w:bCs/>
          <w:sz w:val="22"/>
          <w:szCs w:val="22"/>
        </w:rPr>
      </w:pPr>
      <w:r w:rsidRPr="00EF6AAE">
        <w:rPr>
          <w:b/>
          <w:bCs/>
          <w:sz w:val="22"/>
          <w:szCs w:val="22"/>
        </w:rPr>
        <w:t>Liek Phenaemal 0,1 obsahuje laktózu</w:t>
      </w:r>
    </w:p>
    <w:p w14:paraId="63B0DE5C" w14:textId="54F64FCB" w:rsidR="00A438E4" w:rsidRPr="00EF6AAE" w:rsidRDefault="00D36B38" w:rsidP="00EF6AAE">
      <w:pPr>
        <w:rPr>
          <w:sz w:val="22"/>
          <w:szCs w:val="22"/>
        </w:rPr>
      </w:pPr>
      <w:r w:rsidRPr="00EF6AAE">
        <w:rPr>
          <w:sz w:val="22"/>
          <w:szCs w:val="22"/>
        </w:rPr>
        <w:lastRenderedPageBreak/>
        <w:t>Ak vám váš lekár povedal, že neznášate niektoré cukry, kontaktujte svojho lekára pred užitím tohto lieku.</w:t>
      </w:r>
    </w:p>
    <w:p w14:paraId="134F6536" w14:textId="77777777" w:rsidR="006B1BB3" w:rsidRPr="00EF6AAE" w:rsidRDefault="006B1BB3" w:rsidP="00EF6AAE">
      <w:pPr>
        <w:rPr>
          <w:sz w:val="22"/>
          <w:szCs w:val="22"/>
        </w:rPr>
      </w:pPr>
    </w:p>
    <w:p w14:paraId="67EA90C5" w14:textId="77777777" w:rsidR="006B1BB3" w:rsidRPr="00EF6AAE" w:rsidRDefault="006B1BB3" w:rsidP="00EF6AAE">
      <w:pPr>
        <w:ind w:left="567" w:right="-28" w:hanging="567"/>
        <w:rPr>
          <w:b/>
          <w:bCs/>
          <w:sz w:val="22"/>
          <w:szCs w:val="22"/>
        </w:rPr>
      </w:pPr>
      <w:r w:rsidRPr="00EF6AAE">
        <w:rPr>
          <w:b/>
          <w:bCs/>
          <w:sz w:val="22"/>
          <w:szCs w:val="22"/>
        </w:rPr>
        <w:t>3.</w:t>
      </w:r>
      <w:r w:rsidRPr="00EF6AAE">
        <w:rPr>
          <w:b/>
          <w:bCs/>
          <w:sz w:val="22"/>
          <w:szCs w:val="22"/>
        </w:rPr>
        <w:tab/>
        <w:t>Ako užívať liek Phenaemal 0,1</w:t>
      </w:r>
    </w:p>
    <w:p w14:paraId="2CC0D2B3" w14:textId="77777777" w:rsidR="003C6E1F" w:rsidRPr="00EF6AAE" w:rsidRDefault="003C6E1F" w:rsidP="00EF6AAE">
      <w:pPr>
        <w:rPr>
          <w:sz w:val="22"/>
          <w:szCs w:val="22"/>
        </w:rPr>
      </w:pPr>
    </w:p>
    <w:p w14:paraId="7C5FDD8A" w14:textId="77777777" w:rsidR="00692BEC" w:rsidRPr="00EF6AAE" w:rsidRDefault="00692BEC" w:rsidP="00EF6AAE">
      <w:pPr>
        <w:rPr>
          <w:sz w:val="22"/>
          <w:szCs w:val="22"/>
        </w:rPr>
      </w:pPr>
      <w:r w:rsidRPr="00EF6AAE">
        <w:rPr>
          <w:sz w:val="22"/>
          <w:szCs w:val="22"/>
        </w:rPr>
        <w:t>Vždy užívajte tento liek presne tak, ako vám povedal váš lekár</w:t>
      </w:r>
      <w:r w:rsidRPr="00EF6AAE">
        <w:rPr>
          <w:b/>
          <w:i/>
          <w:sz w:val="22"/>
          <w:szCs w:val="22"/>
        </w:rPr>
        <w:t xml:space="preserve">. </w:t>
      </w:r>
      <w:r w:rsidRPr="00EF6AAE">
        <w:rPr>
          <w:sz w:val="22"/>
          <w:szCs w:val="22"/>
        </w:rPr>
        <w:t>Ak si nie ste niečím istý, overte si to u svojho lekára alebo lekárnika.</w:t>
      </w:r>
    </w:p>
    <w:p w14:paraId="04C2E009" w14:textId="77777777" w:rsidR="00692BEC" w:rsidRPr="00EF6AAE" w:rsidRDefault="00692BEC" w:rsidP="00EF6AAE">
      <w:pPr>
        <w:rPr>
          <w:sz w:val="22"/>
          <w:szCs w:val="22"/>
        </w:rPr>
      </w:pPr>
    </w:p>
    <w:p w14:paraId="43197822" w14:textId="77777777" w:rsidR="00692BEC" w:rsidRPr="00EF6AAE" w:rsidRDefault="00692BEC" w:rsidP="00EF6AAE">
      <w:pPr>
        <w:rPr>
          <w:sz w:val="22"/>
          <w:szCs w:val="22"/>
        </w:rPr>
      </w:pPr>
      <w:r w:rsidRPr="00EF6AAE">
        <w:rPr>
          <w:sz w:val="22"/>
          <w:szCs w:val="22"/>
        </w:rPr>
        <w:t>Odporúčaná dávka je</w:t>
      </w:r>
      <w:r w:rsidR="0047304A" w:rsidRPr="00EF6AAE">
        <w:rPr>
          <w:sz w:val="22"/>
          <w:szCs w:val="22"/>
        </w:rPr>
        <w:t xml:space="preserve"> nasledovná:</w:t>
      </w:r>
    </w:p>
    <w:p w14:paraId="43229967" w14:textId="77777777" w:rsidR="0047304A" w:rsidRPr="00EF6AAE" w:rsidRDefault="0047304A" w:rsidP="00EF6AAE">
      <w:pPr>
        <w:rPr>
          <w:sz w:val="22"/>
          <w:szCs w:val="22"/>
        </w:rPr>
      </w:pPr>
    </w:p>
    <w:p w14:paraId="2163D139" w14:textId="77777777" w:rsidR="009574B7" w:rsidRPr="00EF6AAE" w:rsidRDefault="009574B7" w:rsidP="00EF6AAE">
      <w:pPr>
        <w:rPr>
          <w:b/>
          <w:sz w:val="22"/>
          <w:szCs w:val="22"/>
        </w:rPr>
      </w:pPr>
      <w:r w:rsidRPr="00EF6AAE">
        <w:rPr>
          <w:b/>
          <w:sz w:val="22"/>
          <w:szCs w:val="22"/>
        </w:rPr>
        <w:t>Dospelí</w:t>
      </w:r>
    </w:p>
    <w:p w14:paraId="0D5E3228" w14:textId="77777777" w:rsidR="009574B7" w:rsidRPr="00EF6AAE" w:rsidRDefault="009574B7" w:rsidP="00EF6AAE">
      <w:pPr>
        <w:rPr>
          <w:sz w:val="22"/>
          <w:szCs w:val="22"/>
        </w:rPr>
      </w:pPr>
      <w:r w:rsidRPr="00EF6AAE">
        <w:rPr>
          <w:sz w:val="22"/>
          <w:szCs w:val="22"/>
        </w:rPr>
        <w:t>Dospelí užívajú podľa potreby 1 – 3 mg fenobarbitalu na kilogram telesnej hmotnosti. Najvyššia jednotlivá dávka pre dospelého pacienta je 400 mg fenobarbitalu, pričom najvyššia celková denná dávka je 800 mg fenobarbitalu.</w:t>
      </w:r>
    </w:p>
    <w:p w14:paraId="71B6CFB7" w14:textId="77777777" w:rsidR="009574B7" w:rsidRPr="00EF6AAE" w:rsidRDefault="009574B7" w:rsidP="00EF6AAE">
      <w:pPr>
        <w:rPr>
          <w:sz w:val="22"/>
          <w:szCs w:val="22"/>
        </w:rPr>
      </w:pPr>
    </w:p>
    <w:p w14:paraId="0D4B9F9C" w14:textId="77777777" w:rsidR="009574B7" w:rsidRPr="00EF6AAE" w:rsidRDefault="009C75DC" w:rsidP="00EF6AAE">
      <w:pPr>
        <w:rPr>
          <w:iCs/>
          <w:sz w:val="22"/>
          <w:szCs w:val="22"/>
        </w:rPr>
      </w:pPr>
      <w:r w:rsidRPr="00EF6AAE">
        <w:rPr>
          <w:b/>
          <w:bCs/>
          <w:iCs/>
          <w:sz w:val="22"/>
          <w:szCs w:val="22"/>
        </w:rPr>
        <w:t>Použitie u detí</w:t>
      </w:r>
      <w:r w:rsidR="009574B7" w:rsidRPr="00EF6AAE">
        <w:rPr>
          <w:b/>
          <w:bCs/>
          <w:iCs/>
          <w:sz w:val="22"/>
          <w:szCs w:val="22"/>
        </w:rPr>
        <w:t xml:space="preserve"> a dospievajúci</w:t>
      </w:r>
      <w:r w:rsidRPr="00EF6AAE">
        <w:rPr>
          <w:b/>
          <w:bCs/>
          <w:iCs/>
          <w:sz w:val="22"/>
          <w:szCs w:val="22"/>
        </w:rPr>
        <w:t>ch</w:t>
      </w:r>
    </w:p>
    <w:p w14:paraId="2936EE87" w14:textId="77777777" w:rsidR="009574B7" w:rsidRPr="00EF6AAE" w:rsidRDefault="009574B7" w:rsidP="00EF6AAE">
      <w:pPr>
        <w:rPr>
          <w:sz w:val="22"/>
          <w:szCs w:val="22"/>
        </w:rPr>
      </w:pPr>
      <w:r w:rsidRPr="00EF6AAE">
        <w:rPr>
          <w:sz w:val="22"/>
          <w:szCs w:val="22"/>
        </w:rPr>
        <w:t>Deti užívajú podľa potreby 3 – 4 mg fenobarbitalu na kilogram telesnej hmotnosti.</w:t>
      </w:r>
    </w:p>
    <w:p w14:paraId="3B697621" w14:textId="13D9E033" w:rsidR="009C75DC" w:rsidRPr="00EF6AAE" w:rsidRDefault="009C75DC" w:rsidP="00EF6AAE">
      <w:pPr>
        <w:rPr>
          <w:sz w:val="22"/>
          <w:szCs w:val="22"/>
        </w:rPr>
      </w:pPr>
      <w:r w:rsidRPr="00EF6AAE">
        <w:rPr>
          <w:sz w:val="22"/>
          <w:szCs w:val="22"/>
        </w:rPr>
        <w:t>Novorodenci a deti do 6 týždňov potrebujú vyššiu úvodnú</w:t>
      </w:r>
      <w:commentRangeStart w:id="2"/>
      <w:r w:rsidRPr="00EF6AAE">
        <w:rPr>
          <w:sz w:val="22"/>
          <w:szCs w:val="22"/>
        </w:rPr>
        <w:t xml:space="preserve"> dávku</w:t>
      </w:r>
      <w:commentRangeEnd w:id="2"/>
      <w:r w:rsidRPr="00EF6AAE">
        <w:rPr>
          <w:sz w:val="22"/>
          <w:szCs w:val="22"/>
        </w:rPr>
        <w:t xml:space="preserve">, ktorá sa zvyčajne podáva </w:t>
      </w:r>
      <w:r w:rsidR="00A62C86" w:rsidRPr="00EF6AAE">
        <w:rPr>
          <w:sz w:val="22"/>
          <w:szCs w:val="22"/>
        </w:rPr>
        <w:t xml:space="preserve">vo </w:t>
      </w:r>
      <w:r w:rsidRPr="00EF6AAE">
        <w:rPr>
          <w:sz w:val="22"/>
          <w:szCs w:val="22"/>
        </w:rPr>
        <w:t>form</w:t>
      </w:r>
      <w:r w:rsidR="00A62C86" w:rsidRPr="00EF6AAE">
        <w:rPr>
          <w:sz w:val="22"/>
          <w:szCs w:val="22"/>
        </w:rPr>
        <w:t>e</w:t>
      </w:r>
      <w:r w:rsidRPr="00EF6AAE">
        <w:rPr>
          <w:sz w:val="22"/>
          <w:szCs w:val="22"/>
        </w:rPr>
        <w:t xml:space="preserve"> pomalej i.v. infúzie.</w:t>
      </w:r>
    </w:p>
    <w:p w14:paraId="57E59598" w14:textId="5448AB5A" w:rsidR="009C75DC" w:rsidRPr="00EF6AAE" w:rsidRDefault="009C75DC" w:rsidP="00EF6AAE">
      <w:pPr>
        <w:rPr>
          <w:sz w:val="22"/>
          <w:szCs w:val="22"/>
        </w:rPr>
      </w:pPr>
      <w:r w:rsidRPr="00EF6AAE">
        <w:rPr>
          <w:sz w:val="22"/>
          <w:szCs w:val="22"/>
        </w:rPr>
        <w:t xml:space="preserve">U detí od 6 týždňov do 1 roka sa môže vzhľadom </w:t>
      </w:r>
      <w:r w:rsidR="00A62C86" w:rsidRPr="00EF6AAE">
        <w:rPr>
          <w:sz w:val="22"/>
          <w:szCs w:val="22"/>
        </w:rPr>
        <w:t>na</w:t>
      </w:r>
      <w:r w:rsidRPr="00EF6AAE">
        <w:rPr>
          <w:sz w:val="22"/>
          <w:szCs w:val="22"/>
        </w:rPr>
        <w:t xml:space="preserve"> ich rýchlejš</w:t>
      </w:r>
      <w:r w:rsidR="00A62C86" w:rsidRPr="00EF6AAE">
        <w:rPr>
          <w:sz w:val="22"/>
          <w:szCs w:val="22"/>
        </w:rPr>
        <w:t>í</w:t>
      </w:r>
      <w:r w:rsidRPr="00EF6AAE">
        <w:rPr>
          <w:sz w:val="22"/>
          <w:szCs w:val="22"/>
        </w:rPr>
        <w:t xml:space="preserve"> metabolizmu</w:t>
      </w:r>
      <w:r w:rsidR="00A62C86" w:rsidRPr="00EF6AAE">
        <w:rPr>
          <w:sz w:val="22"/>
          <w:szCs w:val="22"/>
        </w:rPr>
        <w:t>s</w:t>
      </w:r>
      <w:r w:rsidRPr="00EF6AAE">
        <w:rPr>
          <w:sz w:val="22"/>
          <w:szCs w:val="22"/>
        </w:rPr>
        <w:t xml:space="preserve"> zvýšiť začiatočná dávka 3 </w:t>
      </w:r>
      <w:r w:rsidRPr="00EF6AAE">
        <w:rPr>
          <w:sz w:val="22"/>
          <w:szCs w:val="22"/>
        </w:rPr>
        <w:noBreakHyphen/>
        <w:t xml:space="preserve"> 4 mg/kg telesnej hmotnosti/deň na udržiavaciu dávku do 8 mg/kg telesnej hmotnosti/deň.</w:t>
      </w:r>
    </w:p>
    <w:p w14:paraId="1DA8DE9C" w14:textId="77777777" w:rsidR="009C75DC" w:rsidRPr="00EF6AAE" w:rsidRDefault="009C75DC" w:rsidP="00EF6AAE">
      <w:pPr>
        <w:rPr>
          <w:sz w:val="22"/>
          <w:szCs w:val="22"/>
        </w:rPr>
      </w:pPr>
    </w:p>
    <w:p w14:paraId="7270B9D8" w14:textId="77777777" w:rsidR="009C75DC" w:rsidRPr="00EF6AAE" w:rsidRDefault="009C75DC" w:rsidP="00EF6AAE">
      <w:pPr>
        <w:rPr>
          <w:b/>
          <w:sz w:val="22"/>
          <w:szCs w:val="22"/>
        </w:rPr>
      </w:pPr>
      <w:r w:rsidRPr="00EF6AAE">
        <w:rPr>
          <w:b/>
          <w:sz w:val="22"/>
          <w:szCs w:val="22"/>
        </w:rPr>
        <w:t>Osobitné skupiny pacientov</w:t>
      </w:r>
    </w:p>
    <w:p w14:paraId="699695FE" w14:textId="77777777" w:rsidR="009C75DC" w:rsidRPr="00EF6AAE" w:rsidRDefault="009C75DC" w:rsidP="00EF6AAE">
      <w:pPr>
        <w:rPr>
          <w:sz w:val="22"/>
          <w:szCs w:val="22"/>
        </w:rPr>
      </w:pPr>
      <w:r w:rsidRPr="00EF6AAE">
        <w:rPr>
          <w:sz w:val="22"/>
          <w:szCs w:val="22"/>
        </w:rPr>
        <w:t xml:space="preserve">U starších pacientov je často potrebné znížiť dávku. </w:t>
      </w:r>
    </w:p>
    <w:p w14:paraId="51051B4C" w14:textId="77777777" w:rsidR="009C75DC" w:rsidRPr="00EF6AAE" w:rsidRDefault="009C75DC" w:rsidP="00EF6AAE">
      <w:pPr>
        <w:rPr>
          <w:sz w:val="22"/>
          <w:szCs w:val="22"/>
        </w:rPr>
      </w:pPr>
      <w:r w:rsidRPr="00EF6AAE">
        <w:rPr>
          <w:sz w:val="22"/>
          <w:szCs w:val="22"/>
        </w:rPr>
        <w:t xml:space="preserve">U pacientov s poruchou funkcie pečene alebo obličiek môže byť potrebné zníženie dávky. </w:t>
      </w:r>
    </w:p>
    <w:p w14:paraId="4BF50D46" w14:textId="77777777" w:rsidR="009C75DC" w:rsidRPr="00EF6AAE" w:rsidRDefault="009C75DC" w:rsidP="00EF6AAE">
      <w:pPr>
        <w:rPr>
          <w:sz w:val="22"/>
          <w:szCs w:val="22"/>
        </w:rPr>
      </w:pPr>
      <w:r w:rsidRPr="00EF6AAE">
        <w:rPr>
          <w:sz w:val="22"/>
          <w:szCs w:val="22"/>
        </w:rPr>
        <w:t>U pacientov s peritoneálnou dialýzou je potrebné upravenie dávky.</w:t>
      </w:r>
    </w:p>
    <w:p w14:paraId="130B0808" w14:textId="77777777" w:rsidR="009C75DC" w:rsidRPr="00EF6AAE" w:rsidRDefault="009C75DC" w:rsidP="00EF6AAE">
      <w:pPr>
        <w:rPr>
          <w:sz w:val="22"/>
          <w:szCs w:val="22"/>
        </w:rPr>
      </w:pPr>
    </w:p>
    <w:p w14:paraId="293FC6F7" w14:textId="77777777" w:rsidR="009C75DC" w:rsidRPr="00EF6AAE" w:rsidRDefault="009C75DC" w:rsidP="00EF6AAE">
      <w:pPr>
        <w:rPr>
          <w:b/>
          <w:sz w:val="22"/>
          <w:szCs w:val="22"/>
        </w:rPr>
      </w:pPr>
      <w:r w:rsidRPr="00EF6AAE">
        <w:rPr>
          <w:b/>
          <w:sz w:val="22"/>
          <w:szCs w:val="22"/>
        </w:rPr>
        <w:t xml:space="preserve">Dĺžka </w:t>
      </w:r>
      <w:r w:rsidRPr="00EF6AAE">
        <w:rPr>
          <w:b/>
          <w:sz w:val="22"/>
          <w:szCs w:val="22"/>
        </w:rPr>
        <w:t>podávania</w:t>
      </w:r>
    </w:p>
    <w:p w14:paraId="0EC0C414" w14:textId="77777777" w:rsidR="009C75DC" w:rsidRPr="00EF6AAE" w:rsidRDefault="009C75DC" w:rsidP="00EF6AAE">
      <w:pPr>
        <w:rPr>
          <w:sz w:val="22"/>
          <w:szCs w:val="22"/>
        </w:rPr>
      </w:pPr>
      <w:r w:rsidRPr="00EF6AAE">
        <w:rPr>
          <w:sz w:val="22"/>
          <w:szCs w:val="22"/>
        </w:rPr>
        <w:t>O dĺžke liečby fenobarbitalom rozhoduje ošetrujúci lekár podľa priebehu ochorenia.</w:t>
      </w:r>
    </w:p>
    <w:p w14:paraId="142EFEA6" w14:textId="77777777" w:rsidR="009C75DC" w:rsidRPr="00EF6AAE" w:rsidRDefault="009C75DC" w:rsidP="00EF6AAE">
      <w:pPr>
        <w:rPr>
          <w:sz w:val="22"/>
          <w:szCs w:val="22"/>
        </w:rPr>
      </w:pPr>
      <w:r w:rsidRPr="00EF6AAE">
        <w:rPr>
          <w:sz w:val="22"/>
          <w:szCs w:val="22"/>
        </w:rPr>
        <w:t>Treba mať na pamäti, že ako forma liečby príznakov ochorenia musí byť fenobarbital podávaný nepretržite, a že po jeho vysadení sa záchvaty môžu vrátiť v zhoršenej forme, dokonca sa môže objaviť status epilepticus. Medzi ďalšie príznaky vysadenia fenobarbitalu patrí úzkosť, svalové zášklby, tras, slabosť, závraty, skreslené zrakové vnímanie, pocit na vracanie, vracanie, nespavosť, ortostatická hypotenzia (náhle zníženie tlaku v krvi), halucinácie a delírium. Odporúča sa nikdy nevysadzovať liečbu náhle, ale postupne, pomalým znižovaním dávok.</w:t>
      </w:r>
    </w:p>
    <w:p w14:paraId="69EBCF70" w14:textId="77777777" w:rsidR="009574B7" w:rsidRPr="00EF6AAE" w:rsidRDefault="009574B7" w:rsidP="00EF6AAE">
      <w:pPr>
        <w:rPr>
          <w:sz w:val="22"/>
          <w:szCs w:val="22"/>
        </w:rPr>
      </w:pPr>
    </w:p>
    <w:p w14:paraId="1681F12E" w14:textId="77777777" w:rsidR="009574B7" w:rsidRPr="00EF6AAE" w:rsidRDefault="009574B7" w:rsidP="00EF6AAE">
      <w:pPr>
        <w:rPr>
          <w:sz w:val="22"/>
          <w:szCs w:val="22"/>
        </w:rPr>
      </w:pPr>
      <w:r w:rsidRPr="00EF6AAE">
        <w:rPr>
          <w:b/>
          <w:bCs/>
          <w:sz w:val="22"/>
          <w:szCs w:val="22"/>
        </w:rPr>
        <w:t>Spôsob podávania</w:t>
      </w:r>
    </w:p>
    <w:p w14:paraId="120E1DFF" w14:textId="77777777" w:rsidR="009574B7" w:rsidRPr="00EF6AAE" w:rsidRDefault="009574B7" w:rsidP="00EF6AAE">
      <w:pPr>
        <w:rPr>
          <w:sz w:val="22"/>
          <w:szCs w:val="22"/>
        </w:rPr>
      </w:pPr>
      <w:r w:rsidRPr="00EF6AAE">
        <w:rPr>
          <w:sz w:val="22"/>
          <w:szCs w:val="22"/>
        </w:rPr>
        <w:t>Tablety zapi</w:t>
      </w:r>
      <w:r w:rsidR="000D7315" w:rsidRPr="00EF6AAE">
        <w:rPr>
          <w:sz w:val="22"/>
          <w:szCs w:val="22"/>
        </w:rPr>
        <w:t xml:space="preserve">te </w:t>
      </w:r>
      <w:r w:rsidRPr="00EF6AAE">
        <w:rPr>
          <w:sz w:val="22"/>
          <w:szCs w:val="22"/>
        </w:rPr>
        <w:t>tekutinou (asi 1 pohárom vody), rozdelené na dve denné dávky.</w:t>
      </w:r>
    </w:p>
    <w:p w14:paraId="42A18086" w14:textId="77777777" w:rsidR="009574B7" w:rsidRPr="00EF6AAE" w:rsidRDefault="009574B7" w:rsidP="00EF6AAE">
      <w:pPr>
        <w:rPr>
          <w:sz w:val="22"/>
          <w:szCs w:val="22"/>
        </w:rPr>
      </w:pPr>
    </w:p>
    <w:p w14:paraId="48CC7A0F" w14:textId="77777777" w:rsidR="009574B7" w:rsidRPr="00EF6AAE" w:rsidRDefault="009574B7" w:rsidP="00EF6AAE">
      <w:pPr>
        <w:rPr>
          <w:iCs/>
          <w:sz w:val="22"/>
          <w:szCs w:val="22"/>
        </w:rPr>
      </w:pPr>
      <w:r w:rsidRPr="00EF6AAE">
        <w:rPr>
          <w:color w:val="000000"/>
          <w:sz w:val="22"/>
          <w:szCs w:val="22"/>
        </w:rPr>
        <w:t xml:space="preserve">Tableta sa </w:t>
      </w:r>
      <w:r w:rsidRPr="00EF6AAE">
        <w:rPr>
          <w:sz w:val="22"/>
          <w:szCs w:val="22"/>
        </w:rPr>
        <w:t>môže</w:t>
      </w:r>
      <w:r w:rsidRPr="00EF6AAE">
        <w:rPr>
          <w:color w:val="000000"/>
          <w:sz w:val="22"/>
          <w:szCs w:val="22"/>
        </w:rPr>
        <w:t xml:space="preserve"> rozdeliť na rovnaké polovice, z ktorých každá obsahuje 50 mg fenobarbitalu. </w:t>
      </w:r>
      <w:r w:rsidRPr="00EF6AAE">
        <w:rPr>
          <w:rStyle w:val="hps"/>
          <w:sz w:val="22"/>
          <w:szCs w:val="22"/>
        </w:rPr>
        <w:t>Rozlomenie tablety</w:t>
      </w:r>
      <w:r w:rsidRPr="00EF6AAE">
        <w:rPr>
          <w:sz w:val="22"/>
          <w:szCs w:val="22"/>
        </w:rPr>
        <w:t xml:space="preserve"> </w:t>
      </w:r>
      <w:r w:rsidRPr="00EF6AAE">
        <w:rPr>
          <w:bCs/>
          <w:sz w:val="22"/>
          <w:szCs w:val="22"/>
        </w:rPr>
        <w:t xml:space="preserve">na štvrtiny </w:t>
      </w:r>
      <w:r w:rsidRPr="00EF6AAE">
        <w:rPr>
          <w:rStyle w:val="hps"/>
          <w:sz w:val="22"/>
          <w:szCs w:val="22"/>
        </w:rPr>
        <w:t>je</w:t>
      </w:r>
      <w:r w:rsidRPr="00EF6AAE">
        <w:rPr>
          <w:sz w:val="22"/>
          <w:szCs w:val="22"/>
        </w:rPr>
        <w:t xml:space="preserve"> </w:t>
      </w:r>
      <w:r w:rsidRPr="00EF6AAE">
        <w:rPr>
          <w:rStyle w:val="hps"/>
          <w:sz w:val="22"/>
          <w:szCs w:val="22"/>
        </w:rPr>
        <w:t>možné len</w:t>
      </w:r>
      <w:r w:rsidRPr="00EF6AAE">
        <w:rPr>
          <w:sz w:val="22"/>
          <w:szCs w:val="22"/>
        </w:rPr>
        <w:t xml:space="preserve"> pre </w:t>
      </w:r>
      <w:r w:rsidRPr="00EF6AAE">
        <w:rPr>
          <w:rStyle w:val="hps"/>
          <w:sz w:val="22"/>
          <w:szCs w:val="22"/>
        </w:rPr>
        <w:t>ľahšie prehĺtanie a</w:t>
      </w:r>
      <w:r w:rsidRPr="00EF6AAE">
        <w:rPr>
          <w:sz w:val="22"/>
          <w:szCs w:val="22"/>
        </w:rPr>
        <w:t xml:space="preserve"> </w:t>
      </w:r>
      <w:r w:rsidRPr="00EF6AAE">
        <w:rPr>
          <w:rStyle w:val="hps"/>
          <w:sz w:val="22"/>
          <w:szCs w:val="22"/>
        </w:rPr>
        <w:t>neslúži na rozdelenie</w:t>
      </w:r>
      <w:r w:rsidRPr="00EF6AAE">
        <w:rPr>
          <w:sz w:val="22"/>
          <w:szCs w:val="22"/>
        </w:rPr>
        <w:t xml:space="preserve"> na rovnaké </w:t>
      </w:r>
      <w:r w:rsidRPr="00EF6AAE">
        <w:rPr>
          <w:rStyle w:val="hps"/>
          <w:sz w:val="22"/>
          <w:szCs w:val="22"/>
        </w:rPr>
        <w:t>dávky.</w:t>
      </w:r>
    </w:p>
    <w:p w14:paraId="67736212" w14:textId="77777777" w:rsidR="0047304A" w:rsidRPr="00EF6AAE" w:rsidRDefault="0047304A" w:rsidP="00EF6AAE">
      <w:pPr>
        <w:rPr>
          <w:sz w:val="22"/>
          <w:szCs w:val="22"/>
        </w:rPr>
      </w:pPr>
    </w:p>
    <w:p w14:paraId="50863776" w14:textId="77777777" w:rsidR="000E7010" w:rsidRPr="00EF6AAE" w:rsidRDefault="000E7010" w:rsidP="00EF6AAE">
      <w:pPr>
        <w:rPr>
          <w:sz w:val="22"/>
          <w:szCs w:val="22"/>
        </w:rPr>
      </w:pPr>
    </w:p>
    <w:tbl>
      <w:tblPr>
        <w:tblW w:w="8568" w:type="dxa"/>
        <w:tblLayout w:type="fixed"/>
        <w:tblLook w:val="01E0" w:firstRow="1" w:lastRow="1" w:firstColumn="1" w:lastColumn="1" w:noHBand="0" w:noVBand="0"/>
      </w:tblPr>
      <w:tblGrid>
        <w:gridCol w:w="1908"/>
        <w:gridCol w:w="2160"/>
        <w:gridCol w:w="2340"/>
        <w:gridCol w:w="2160"/>
      </w:tblGrid>
      <w:tr w:rsidR="000E7010" w:rsidRPr="00EF6AAE" w14:paraId="3C12BD0D" w14:textId="77777777">
        <w:tc>
          <w:tcPr>
            <w:tcW w:w="1908" w:type="dxa"/>
            <w:vMerge w:val="restart"/>
            <w:vAlign w:val="center"/>
          </w:tcPr>
          <w:p w14:paraId="480A8B6C" w14:textId="5D49BFE0" w:rsidR="000E7010" w:rsidRPr="00EF6AAE" w:rsidRDefault="004725C6" w:rsidP="00EF6AAE">
            <w:pPr>
              <w:rPr>
                <w:sz w:val="22"/>
                <w:szCs w:val="22"/>
              </w:rPr>
            </w:pPr>
            <w:r w:rsidRPr="00EF6AAE">
              <w:rPr>
                <w:noProof/>
                <w:sz w:val="22"/>
                <w:szCs w:val="22"/>
                <w:lang w:eastAsia="sk-SK"/>
              </w:rPr>
              <w:drawing>
                <wp:inline distT="0" distB="0" distL="0" distR="0" wp14:editId="2CF8BBCF">
                  <wp:extent cx="1000125" cy="1190625"/>
                  <wp:effectExtent l="0" t="0" r="9525" b="9525"/>
                  <wp:docPr id="1" name="Obrázok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190625"/>
                          </a:xfrm>
                          <a:prstGeom prst="rect">
                            <a:avLst/>
                          </a:prstGeom>
                          <a:noFill/>
                          <a:ln>
                            <a:noFill/>
                          </a:ln>
                        </pic:spPr>
                      </pic:pic>
                    </a:graphicData>
                  </a:graphic>
                </wp:inline>
              </w:drawing>
            </w:r>
          </w:p>
        </w:tc>
        <w:tc>
          <w:tcPr>
            <w:tcW w:w="2160" w:type="dxa"/>
            <w:vAlign w:val="center"/>
          </w:tcPr>
          <w:p w14:paraId="57939B1B" w14:textId="77777777" w:rsidR="000E7010" w:rsidRPr="00EF6AAE" w:rsidRDefault="000E7010" w:rsidP="00EF6AAE">
            <w:pPr>
              <w:rPr>
                <w:b/>
                <w:sz w:val="22"/>
                <w:szCs w:val="22"/>
              </w:rPr>
            </w:pPr>
            <w:r w:rsidRPr="00EF6AAE">
              <w:rPr>
                <w:b/>
                <w:sz w:val="22"/>
                <w:szCs w:val="22"/>
              </w:rPr>
              <w:t>Pozor! Uzáver</w:t>
            </w:r>
          </w:p>
          <w:p w14:paraId="54B231B9" w14:textId="77777777" w:rsidR="000E7010" w:rsidRPr="00EF6AAE" w:rsidRDefault="000E7010" w:rsidP="00EF6AAE">
            <w:pPr>
              <w:rPr>
                <w:b/>
                <w:sz w:val="22"/>
                <w:szCs w:val="22"/>
              </w:rPr>
            </w:pPr>
            <w:r w:rsidRPr="00EF6AAE">
              <w:rPr>
                <w:b/>
                <w:sz w:val="22"/>
                <w:szCs w:val="22"/>
              </w:rPr>
              <w:t>liekovky je</w:t>
            </w:r>
          </w:p>
          <w:p w14:paraId="532A7B05" w14:textId="77777777" w:rsidR="000E7010" w:rsidRPr="00EF6AAE" w:rsidRDefault="000E7010" w:rsidP="00EF6AAE">
            <w:pPr>
              <w:rPr>
                <w:b/>
                <w:sz w:val="22"/>
                <w:szCs w:val="22"/>
              </w:rPr>
            </w:pPr>
            <w:r w:rsidRPr="00EF6AAE">
              <w:rPr>
                <w:b/>
                <w:sz w:val="22"/>
                <w:szCs w:val="22"/>
              </w:rPr>
              <w:t>vybavený poistkou,</w:t>
            </w:r>
          </w:p>
          <w:p w14:paraId="1FBE4F7A" w14:textId="77777777" w:rsidR="000E7010" w:rsidRPr="00EF6AAE" w:rsidRDefault="000E7010" w:rsidP="00EF6AAE">
            <w:pPr>
              <w:rPr>
                <w:b/>
                <w:sz w:val="22"/>
                <w:szCs w:val="22"/>
              </w:rPr>
            </w:pPr>
            <w:r w:rsidRPr="00EF6AAE">
              <w:rPr>
                <w:b/>
                <w:sz w:val="22"/>
                <w:szCs w:val="22"/>
              </w:rPr>
              <w:t>proti zneužitiu lieku</w:t>
            </w:r>
          </w:p>
          <w:p w14:paraId="62FBBAEF" w14:textId="77777777" w:rsidR="000E7010" w:rsidRPr="00EF6AAE" w:rsidRDefault="000E7010" w:rsidP="00EF6AAE">
            <w:pPr>
              <w:rPr>
                <w:sz w:val="22"/>
                <w:szCs w:val="22"/>
              </w:rPr>
            </w:pPr>
            <w:r w:rsidRPr="00EF6AAE">
              <w:rPr>
                <w:b/>
                <w:sz w:val="22"/>
                <w:szCs w:val="22"/>
              </w:rPr>
              <w:t>deťmi !</w:t>
            </w:r>
          </w:p>
        </w:tc>
        <w:tc>
          <w:tcPr>
            <w:tcW w:w="2340" w:type="dxa"/>
            <w:vMerge w:val="restart"/>
            <w:vAlign w:val="center"/>
          </w:tcPr>
          <w:p w14:paraId="6E3F44D4" w14:textId="79D664D3" w:rsidR="000E7010" w:rsidRPr="00EF6AAE" w:rsidRDefault="004725C6" w:rsidP="00EF6AAE">
            <w:pPr>
              <w:rPr>
                <w:sz w:val="22"/>
                <w:szCs w:val="22"/>
              </w:rPr>
            </w:pPr>
            <w:r w:rsidRPr="00EF6AAE">
              <w:rPr>
                <w:noProof/>
                <w:sz w:val="22"/>
                <w:szCs w:val="22"/>
                <w:lang w:eastAsia="sk-SK"/>
              </w:rPr>
              <w:drawing>
                <wp:inline distT="0" distB="0" distL="0" distR="0" wp14:editId="4E5A50B1">
                  <wp:extent cx="1190625" cy="1000125"/>
                  <wp:effectExtent l="0" t="0" r="9525" b="9525"/>
                  <wp:docPr id="2" name="Obrázo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inline>
              </w:drawing>
            </w:r>
          </w:p>
        </w:tc>
        <w:tc>
          <w:tcPr>
            <w:tcW w:w="2160" w:type="dxa"/>
            <w:vAlign w:val="center"/>
          </w:tcPr>
          <w:p w14:paraId="0C406956" w14:textId="77777777" w:rsidR="000E7010" w:rsidRPr="00EF6AAE" w:rsidRDefault="000E7010" w:rsidP="00EF6AAE">
            <w:pPr>
              <w:rPr>
                <w:b/>
                <w:sz w:val="22"/>
                <w:szCs w:val="22"/>
              </w:rPr>
            </w:pPr>
            <w:r w:rsidRPr="00EF6AAE">
              <w:rPr>
                <w:b/>
                <w:sz w:val="22"/>
                <w:szCs w:val="22"/>
              </w:rPr>
              <w:t>Potom palcom</w:t>
            </w:r>
          </w:p>
          <w:p w14:paraId="1E15C683" w14:textId="77777777" w:rsidR="000E7010" w:rsidRPr="00EF6AAE" w:rsidRDefault="000E7010" w:rsidP="00EF6AAE">
            <w:pPr>
              <w:rPr>
                <w:b/>
                <w:sz w:val="22"/>
                <w:szCs w:val="22"/>
              </w:rPr>
            </w:pPr>
            <w:r w:rsidRPr="00EF6AAE">
              <w:rPr>
                <w:b/>
                <w:sz w:val="22"/>
                <w:szCs w:val="22"/>
              </w:rPr>
              <w:t>zarážku zatlačte</w:t>
            </w:r>
          </w:p>
          <w:p w14:paraId="446D40E5" w14:textId="77777777" w:rsidR="000E7010" w:rsidRPr="00EF6AAE" w:rsidRDefault="000E7010" w:rsidP="00EF6AAE">
            <w:pPr>
              <w:rPr>
                <w:b/>
                <w:sz w:val="22"/>
                <w:szCs w:val="22"/>
              </w:rPr>
            </w:pPr>
            <w:r w:rsidRPr="00EF6AAE">
              <w:rPr>
                <w:b/>
                <w:sz w:val="22"/>
                <w:szCs w:val="22"/>
              </w:rPr>
              <w:t>smerom nahor, čím</w:t>
            </w:r>
          </w:p>
          <w:p w14:paraId="2E5F5899" w14:textId="77777777" w:rsidR="000E7010" w:rsidRPr="00EF6AAE" w:rsidRDefault="000E7010" w:rsidP="00EF6AAE">
            <w:pPr>
              <w:rPr>
                <w:b/>
                <w:sz w:val="22"/>
                <w:szCs w:val="22"/>
              </w:rPr>
            </w:pPr>
            <w:r w:rsidRPr="00EF6AAE">
              <w:rPr>
                <w:b/>
                <w:sz w:val="22"/>
                <w:szCs w:val="22"/>
              </w:rPr>
              <w:t>sa nádobka otvorí.</w:t>
            </w:r>
          </w:p>
          <w:p w14:paraId="1AD6C365" w14:textId="77777777" w:rsidR="000E7010" w:rsidRPr="00EF6AAE" w:rsidRDefault="000E7010" w:rsidP="00EF6AAE">
            <w:pPr>
              <w:rPr>
                <w:sz w:val="22"/>
                <w:szCs w:val="22"/>
              </w:rPr>
            </w:pPr>
          </w:p>
        </w:tc>
      </w:tr>
      <w:tr w:rsidR="000E7010" w:rsidRPr="00EF6AAE" w14:paraId="0BAD93EA" w14:textId="77777777">
        <w:tc>
          <w:tcPr>
            <w:tcW w:w="1908" w:type="dxa"/>
            <w:vMerge/>
          </w:tcPr>
          <w:p w14:paraId="35EB80E0" w14:textId="77777777" w:rsidR="000E7010" w:rsidRPr="00EF6AAE" w:rsidRDefault="000E7010" w:rsidP="00EF6AAE">
            <w:pPr>
              <w:rPr>
                <w:sz w:val="22"/>
                <w:szCs w:val="22"/>
              </w:rPr>
            </w:pPr>
          </w:p>
        </w:tc>
        <w:tc>
          <w:tcPr>
            <w:tcW w:w="2160" w:type="dxa"/>
          </w:tcPr>
          <w:p w14:paraId="26BBF375" w14:textId="77777777" w:rsidR="000E7010" w:rsidRPr="00EF6AAE" w:rsidRDefault="000E7010" w:rsidP="00EF6AAE">
            <w:pPr>
              <w:rPr>
                <w:sz w:val="22"/>
                <w:szCs w:val="22"/>
              </w:rPr>
            </w:pPr>
            <w:r w:rsidRPr="00EF6AAE">
              <w:rPr>
                <w:sz w:val="22"/>
                <w:szCs w:val="22"/>
              </w:rPr>
              <w:t>Pri otváraní nádobky</w:t>
            </w:r>
          </w:p>
          <w:p w14:paraId="1377A06E" w14:textId="77777777" w:rsidR="000E7010" w:rsidRPr="00EF6AAE" w:rsidRDefault="000E7010" w:rsidP="00EF6AAE">
            <w:pPr>
              <w:rPr>
                <w:sz w:val="22"/>
                <w:szCs w:val="22"/>
              </w:rPr>
            </w:pPr>
            <w:r w:rsidRPr="00EF6AAE">
              <w:rPr>
                <w:sz w:val="22"/>
                <w:szCs w:val="22"/>
              </w:rPr>
              <w:t>treba povytiahnuť</w:t>
            </w:r>
          </w:p>
          <w:p w14:paraId="6F525607" w14:textId="77777777" w:rsidR="000E7010" w:rsidRPr="00EF6AAE" w:rsidRDefault="000E7010" w:rsidP="00EF6AAE">
            <w:pPr>
              <w:rPr>
                <w:sz w:val="22"/>
                <w:szCs w:val="22"/>
              </w:rPr>
            </w:pPr>
            <w:r w:rsidRPr="00EF6AAE">
              <w:rPr>
                <w:sz w:val="22"/>
                <w:szCs w:val="22"/>
              </w:rPr>
              <w:t>ukazovákom zarážku</w:t>
            </w:r>
          </w:p>
          <w:p w14:paraId="44BB41FB" w14:textId="77777777" w:rsidR="000E7010" w:rsidRPr="00EF6AAE" w:rsidRDefault="000E7010" w:rsidP="00EF6AAE">
            <w:pPr>
              <w:rPr>
                <w:sz w:val="22"/>
                <w:szCs w:val="22"/>
              </w:rPr>
            </w:pPr>
            <w:r w:rsidRPr="00EF6AAE">
              <w:rPr>
                <w:sz w:val="22"/>
                <w:szCs w:val="22"/>
              </w:rPr>
              <w:t>(pripevnenú na</w:t>
            </w:r>
          </w:p>
          <w:p w14:paraId="5EDF0257" w14:textId="77777777" w:rsidR="000E7010" w:rsidRPr="00EF6AAE" w:rsidRDefault="000E7010" w:rsidP="00EF6AAE">
            <w:pPr>
              <w:rPr>
                <w:b/>
                <w:sz w:val="22"/>
                <w:szCs w:val="22"/>
              </w:rPr>
            </w:pPr>
            <w:r w:rsidRPr="00EF6AAE">
              <w:rPr>
                <w:sz w:val="22"/>
                <w:szCs w:val="22"/>
              </w:rPr>
              <w:t>hornej strane uzáveru)</w:t>
            </w:r>
          </w:p>
        </w:tc>
        <w:tc>
          <w:tcPr>
            <w:tcW w:w="2340" w:type="dxa"/>
            <w:vMerge/>
          </w:tcPr>
          <w:p w14:paraId="2C699A60" w14:textId="77777777" w:rsidR="000E7010" w:rsidRPr="00EF6AAE" w:rsidRDefault="000E7010" w:rsidP="00EF6AAE">
            <w:pPr>
              <w:rPr>
                <w:sz w:val="22"/>
                <w:szCs w:val="22"/>
              </w:rPr>
            </w:pPr>
          </w:p>
        </w:tc>
        <w:tc>
          <w:tcPr>
            <w:tcW w:w="2160" w:type="dxa"/>
          </w:tcPr>
          <w:p w14:paraId="6A541563" w14:textId="77777777" w:rsidR="000E7010" w:rsidRPr="00EF6AAE" w:rsidRDefault="000E7010" w:rsidP="00EF6AAE">
            <w:pPr>
              <w:pStyle w:val="Nadpis3"/>
              <w:rPr>
                <w:sz w:val="22"/>
                <w:szCs w:val="22"/>
              </w:rPr>
            </w:pPr>
            <w:r w:rsidRPr="00EF6AAE">
              <w:rPr>
                <w:b w:val="0"/>
                <w:sz w:val="22"/>
                <w:szCs w:val="22"/>
              </w:rPr>
              <w:t>Pred zatvorením</w:t>
            </w:r>
          </w:p>
          <w:p w14:paraId="36C55FDE" w14:textId="77777777" w:rsidR="000E7010" w:rsidRPr="00EF6AAE" w:rsidRDefault="000E7010" w:rsidP="00EF6AAE">
            <w:pPr>
              <w:rPr>
                <w:sz w:val="22"/>
                <w:szCs w:val="22"/>
              </w:rPr>
            </w:pPr>
            <w:r w:rsidRPr="00EF6AAE">
              <w:rPr>
                <w:sz w:val="22"/>
                <w:szCs w:val="22"/>
              </w:rPr>
              <w:t>zarážku zasuňte až</w:t>
            </w:r>
          </w:p>
          <w:p w14:paraId="4CFB8683" w14:textId="77777777" w:rsidR="000E7010" w:rsidRPr="00EF6AAE" w:rsidRDefault="000E7010" w:rsidP="00EF6AAE">
            <w:pPr>
              <w:rPr>
                <w:sz w:val="22"/>
                <w:szCs w:val="22"/>
              </w:rPr>
            </w:pPr>
            <w:r w:rsidRPr="00EF6AAE">
              <w:rPr>
                <w:sz w:val="22"/>
                <w:szCs w:val="22"/>
              </w:rPr>
              <w:t>na doraz a nakoniec</w:t>
            </w:r>
          </w:p>
          <w:p w14:paraId="686438A3" w14:textId="77777777" w:rsidR="000E7010" w:rsidRPr="00EF6AAE" w:rsidRDefault="000E7010" w:rsidP="00EF6AAE">
            <w:pPr>
              <w:rPr>
                <w:sz w:val="22"/>
                <w:szCs w:val="22"/>
              </w:rPr>
            </w:pPr>
            <w:r w:rsidRPr="00EF6AAE">
              <w:rPr>
                <w:sz w:val="22"/>
                <w:szCs w:val="22"/>
              </w:rPr>
              <w:t xml:space="preserve">zatlačte uzáver späť </w:t>
            </w:r>
          </w:p>
          <w:p w14:paraId="67DDB861" w14:textId="77777777" w:rsidR="000E7010" w:rsidRPr="00EF6AAE" w:rsidRDefault="000E7010" w:rsidP="00EF6AAE">
            <w:pPr>
              <w:rPr>
                <w:sz w:val="22"/>
                <w:szCs w:val="22"/>
              </w:rPr>
            </w:pPr>
            <w:r w:rsidRPr="00EF6AAE">
              <w:rPr>
                <w:sz w:val="22"/>
                <w:szCs w:val="22"/>
              </w:rPr>
              <w:t>do nádobky až po</w:t>
            </w:r>
          </w:p>
          <w:p w14:paraId="3FF7420C" w14:textId="77777777" w:rsidR="000E7010" w:rsidRPr="00EF6AAE" w:rsidRDefault="000E7010" w:rsidP="00EF6AAE">
            <w:pPr>
              <w:rPr>
                <w:b/>
                <w:sz w:val="22"/>
                <w:szCs w:val="22"/>
              </w:rPr>
            </w:pPr>
            <w:r w:rsidRPr="00EF6AAE">
              <w:rPr>
                <w:sz w:val="22"/>
                <w:szCs w:val="22"/>
              </w:rPr>
              <w:t>zaklapnutie.</w:t>
            </w:r>
          </w:p>
        </w:tc>
      </w:tr>
    </w:tbl>
    <w:p w14:paraId="1D102B69" w14:textId="77777777" w:rsidR="000E7010" w:rsidRPr="00EF6AAE" w:rsidRDefault="000E7010" w:rsidP="00EF6AAE">
      <w:pPr>
        <w:pStyle w:val="Zkladntext"/>
        <w:rPr>
          <w:rFonts w:ascii="Times New Roman" w:hAnsi="Times New Roman" w:cs="Times New Roman"/>
          <w:sz w:val="22"/>
          <w:szCs w:val="22"/>
        </w:rPr>
      </w:pPr>
    </w:p>
    <w:p w14:paraId="105E25DA" w14:textId="6D9A1738" w:rsidR="00A91B19" w:rsidRPr="00EF6AAE" w:rsidRDefault="00A91B19" w:rsidP="00EF6AAE">
      <w:pPr>
        <w:rPr>
          <w:b/>
          <w:bCs/>
          <w:sz w:val="22"/>
          <w:szCs w:val="22"/>
        </w:rPr>
      </w:pPr>
      <w:r w:rsidRPr="00EF6AAE">
        <w:rPr>
          <w:b/>
          <w:bCs/>
          <w:sz w:val="22"/>
          <w:szCs w:val="22"/>
        </w:rPr>
        <w:lastRenderedPageBreak/>
        <w:t>Ak ste užili viac Phenaemal</w:t>
      </w:r>
      <w:r w:rsidR="000D7315" w:rsidRPr="00EF6AAE">
        <w:rPr>
          <w:b/>
          <w:bCs/>
          <w:sz w:val="22"/>
          <w:szCs w:val="22"/>
        </w:rPr>
        <w:t>u</w:t>
      </w:r>
      <w:r w:rsidRPr="00EF6AAE">
        <w:rPr>
          <w:b/>
          <w:bCs/>
          <w:sz w:val="22"/>
          <w:szCs w:val="22"/>
        </w:rPr>
        <w:t xml:space="preserve"> 0,1</w:t>
      </w:r>
      <w:r w:rsidR="000D7315" w:rsidRPr="00EF6AAE">
        <w:rPr>
          <w:b/>
          <w:bCs/>
          <w:sz w:val="22"/>
          <w:szCs w:val="22"/>
        </w:rPr>
        <w:t>,</w:t>
      </w:r>
      <w:r w:rsidRPr="00EF6AAE">
        <w:rPr>
          <w:b/>
          <w:bCs/>
          <w:sz w:val="22"/>
          <w:szCs w:val="22"/>
        </w:rPr>
        <w:t xml:space="preserve"> ako ste mali</w:t>
      </w:r>
    </w:p>
    <w:p w14:paraId="06DED359" w14:textId="77777777" w:rsidR="00A91B19" w:rsidRPr="00EF6AAE" w:rsidRDefault="00A91B19" w:rsidP="00EF6AAE">
      <w:pPr>
        <w:rPr>
          <w:b/>
          <w:sz w:val="22"/>
          <w:szCs w:val="22"/>
        </w:rPr>
      </w:pPr>
      <w:r w:rsidRPr="00EF6AAE">
        <w:rPr>
          <w:bCs/>
          <w:sz w:val="22"/>
          <w:szCs w:val="22"/>
        </w:rPr>
        <w:t>Ak ste užili viac lieku Phenaemal 0.1 ako ste mali,</w:t>
      </w:r>
      <w:r w:rsidRPr="00EF6AAE">
        <w:rPr>
          <w:sz w:val="22"/>
          <w:szCs w:val="22"/>
        </w:rPr>
        <w:t xml:space="preserve"> </w:t>
      </w:r>
      <w:r w:rsidRPr="00EF6AAE">
        <w:rPr>
          <w:b/>
          <w:sz w:val="22"/>
          <w:szCs w:val="22"/>
        </w:rPr>
        <w:t>vyhľadajte okamžit</w:t>
      </w:r>
      <w:r w:rsidR="000D7315" w:rsidRPr="00EF6AAE">
        <w:rPr>
          <w:b/>
          <w:sz w:val="22"/>
          <w:szCs w:val="22"/>
        </w:rPr>
        <w:t>e</w:t>
      </w:r>
      <w:r w:rsidRPr="00EF6AAE">
        <w:rPr>
          <w:b/>
          <w:sz w:val="22"/>
          <w:szCs w:val="22"/>
        </w:rPr>
        <w:t xml:space="preserve"> lekársku pomoc.</w:t>
      </w:r>
    </w:p>
    <w:p w14:paraId="2D5EA4D2" w14:textId="77777777" w:rsidR="00A91B19" w:rsidRPr="00EF6AAE" w:rsidRDefault="00A91B19" w:rsidP="00EF6AAE">
      <w:pPr>
        <w:rPr>
          <w:sz w:val="22"/>
          <w:szCs w:val="22"/>
        </w:rPr>
      </w:pPr>
    </w:p>
    <w:p w14:paraId="22E5DB91" w14:textId="77777777" w:rsidR="00A91B19" w:rsidRPr="00EF6AAE" w:rsidRDefault="00A91B19" w:rsidP="00EF6AAE">
      <w:pPr>
        <w:rPr>
          <w:sz w:val="22"/>
          <w:szCs w:val="22"/>
        </w:rPr>
      </w:pPr>
      <w:r w:rsidRPr="00EF6AAE">
        <w:rPr>
          <w:sz w:val="22"/>
          <w:szCs w:val="22"/>
        </w:rPr>
        <w:t>Možné príznaky toho, že ste užili príliš veľa Phenaemal</w:t>
      </w:r>
      <w:r w:rsidR="000D7315" w:rsidRPr="00EF6AAE">
        <w:rPr>
          <w:sz w:val="22"/>
          <w:szCs w:val="22"/>
        </w:rPr>
        <w:t>u</w:t>
      </w:r>
      <w:r w:rsidRPr="00EF6AAE">
        <w:rPr>
          <w:sz w:val="22"/>
          <w:szCs w:val="22"/>
        </w:rPr>
        <w:t xml:space="preserve"> 0,1, sú:</w:t>
      </w:r>
    </w:p>
    <w:p w14:paraId="672503E5" w14:textId="77777777" w:rsidR="00A91B19" w:rsidRPr="00EF6AAE" w:rsidRDefault="00A91B19" w:rsidP="00EF6AAE">
      <w:pPr>
        <w:numPr>
          <w:ilvl w:val="0"/>
          <w:numId w:val="9"/>
        </w:numPr>
        <w:rPr>
          <w:sz w:val="22"/>
          <w:szCs w:val="22"/>
        </w:rPr>
      </w:pPr>
      <w:r w:rsidRPr="00EF6AAE">
        <w:rPr>
          <w:sz w:val="22"/>
          <w:szCs w:val="22"/>
        </w:rPr>
        <w:t xml:space="preserve">ospalosť alebo spánok, znížená koncentrácia, narušená koordinácia pohybov a oslabené reflexy šliach, </w:t>
      </w:r>
      <w:r w:rsidR="009C75DC" w:rsidRPr="00EF6AAE">
        <w:rPr>
          <w:sz w:val="22"/>
          <w:szCs w:val="22"/>
        </w:rPr>
        <w:t xml:space="preserve">závraty, zlyhanie obličiek, pľuzgier, </w:t>
      </w:r>
      <w:r w:rsidRPr="00EF6AAE">
        <w:rPr>
          <w:sz w:val="22"/>
          <w:szCs w:val="22"/>
        </w:rPr>
        <w:t xml:space="preserve">zrýchlený tep srdca, nízky krvný tlak, nízka telesná teplota, </w:t>
      </w:r>
      <w:r w:rsidR="009C75DC" w:rsidRPr="00EF6AAE">
        <w:rPr>
          <w:sz w:val="22"/>
          <w:szCs w:val="22"/>
        </w:rPr>
        <w:t xml:space="preserve">chorobná stŕpnutosť, </w:t>
      </w:r>
      <w:r w:rsidRPr="00EF6AAE">
        <w:rPr>
          <w:sz w:val="22"/>
          <w:szCs w:val="22"/>
        </w:rPr>
        <w:t>problémy s dýchaním, mimovoľné pohyby očí, kóma a šok s rozšírenými zreničkami.</w:t>
      </w:r>
    </w:p>
    <w:p w14:paraId="12134734" w14:textId="77777777" w:rsidR="00A91B19" w:rsidRPr="00EF6AAE" w:rsidRDefault="00A91B19" w:rsidP="00EF6AAE">
      <w:pPr>
        <w:rPr>
          <w:bCs/>
          <w:sz w:val="22"/>
          <w:szCs w:val="22"/>
        </w:rPr>
      </w:pPr>
    </w:p>
    <w:p w14:paraId="089F55A9" w14:textId="77777777" w:rsidR="00A91B19" w:rsidRPr="00EF6AAE" w:rsidRDefault="00A91B19" w:rsidP="00EF6AAE">
      <w:pPr>
        <w:numPr>
          <w:ilvl w:val="12"/>
          <w:numId w:val="0"/>
        </w:numPr>
        <w:ind w:right="-2"/>
        <w:outlineLvl w:val="0"/>
        <w:rPr>
          <w:sz w:val="22"/>
          <w:szCs w:val="22"/>
        </w:rPr>
      </w:pPr>
      <w:r w:rsidRPr="00EF6AAE">
        <w:rPr>
          <w:b/>
          <w:sz w:val="22"/>
          <w:szCs w:val="22"/>
        </w:rPr>
        <w:t>Ak zabudnete užiť Phenaemal 0,1</w:t>
      </w:r>
    </w:p>
    <w:p w14:paraId="63A5D79C" w14:textId="77777777" w:rsidR="00A91B19" w:rsidRPr="00EF6AAE" w:rsidRDefault="00A91B19" w:rsidP="00EF6AAE">
      <w:pPr>
        <w:numPr>
          <w:ilvl w:val="12"/>
          <w:numId w:val="0"/>
        </w:numPr>
        <w:ind w:right="-2"/>
        <w:rPr>
          <w:sz w:val="22"/>
          <w:szCs w:val="22"/>
        </w:rPr>
      </w:pPr>
      <w:r w:rsidRPr="00EF6AAE">
        <w:rPr>
          <w:sz w:val="22"/>
          <w:szCs w:val="22"/>
        </w:rPr>
        <w:t>Neužívajte dvojnásobnú dávku, aby ste nahradili vynechanú dávku.</w:t>
      </w:r>
    </w:p>
    <w:p w14:paraId="6C4D63BF" w14:textId="77777777" w:rsidR="00A91B19" w:rsidRPr="00EF6AAE" w:rsidRDefault="00A91B19" w:rsidP="00EF6AAE">
      <w:pPr>
        <w:rPr>
          <w:bCs/>
          <w:sz w:val="22"/>
          <w:szCs w:val="22"/>
        </w:rPr>
      </w:pPr>
    </w:p>
    <w:p w14:paraId="6FF87BB0" w14:textId="77777777" w:rsidR="00A91B19" w:rsidRPr="00EF6AAE" w:rsidRDefault="00A91B19" w:rsidP="00EF6AAE">
      <w:pPr>
        <w:rPr>
          <w:sz w:val="22"/>
          <w:szCs w:val="22"/>
        </w:rPr>
      </w:pPr>
      <w:r w:rsidRPr="00EF6AAE">
        <w:rPr>
          <w:b/>
          <w:sz w:val="22"/>
          <w:szCs w:val="22"/>
        </w:rPr>
        <w:t>Ak prestanete užívať Phenaemal 0,1</w:t>
      </w:r>
    </w:p>
    <w:p w14:paraId="2AADFEF5" w14:textId="77777777" w:rsidR="00A91B19" w:rsidRPr="00EF6AAE" w:rsidRDefault="00A91B19" w:rsidP="00EF6AAE">
      <w:pPr>
        <w:rPr>
          <w:sz w:val="22"/>
          <w:szCs w:val="22"/>
        </w:rPr>
      </w:pPr>
      <w:r w:rsidRPr="00EF6AAE">
        <w:rPr>
          <w:sz w:val="22"/>
          <w:szCs w:val="22"/>
        </w:rPr>
        <w:t>Neprestaňte užívať Phenaemal 0,1 bez toho, aby ste sa poradili s lekárom.</w:t>
      </w:r>
    </w:p>
    <w:p w14:paraId="701AC5C2" w14:textId="77777777" w:rsidR="00A91B19" w:rsidRPr="00EF6AAE" w:rsidRDefault="00A91B19" w:rsidP="00EF6AAE">
      <w:pPr>
        <w:rPr>
          <w:sz w:val="22"/>
          <w:szCs w:val="22"/>
        </w:rPr>
      </w:pPr>
    </w:p>
    <w:p w14:paraId="4E218BA0" w14:textId="77777777" w:rsidR="00A91B19" w:rsidRPr="00EF6AAE" w:rsidRDefault="00A91B19" w:rsidP="00EF6AAE">
      <w:pPr>
        <w:rPr>
          <w:sz w:val="22"/>
          <w:szCs w:val="22"/>
        </w:rPr>
      </w:pPr>
      <w:r w:rsidRPr="00EF6AAE">
        <w:rPr>
          <w:sz w:val="22"/>
          <w:szCs w:val="22"/>
        </w:rPr>
        <w:t xml:space="preserve">Fenobarbital </w:t>
      </w:r>
      <w:r w:rsidR="00B53036" w:rsidRPr="00EF6AAE">
        <w:rPr>
          <w:sz w:val="22"/>
          <w:szCs w:val="22"/>
        </w:rPr>
        <w:t>môže</w:t>
      </w:r>
      <w:r w:rsidRPr="00EF6AAE">
        <w:rPr>
          <w:sz w:val="22"/>
          <w:szCs w:val="22"/>
        </w:rPr>
        <w:t xml:space="preserve"> vyvolať závislosť. Už v priebehu niekoľkých týždňov vzniká pri dennom </w:t>
      </w:r>
      <w:r w:rsidR="00B53036" w:rsidRPr="00EF6AAE">
        <w:rPr>
          <w:sz w:val="22"/>
          <w:szCs w:val="22"/>
        </w:rPr>
        <w:t>užívaní</w:t>
      </w:r>
      <w:r w:rsidRPr="00EF6AAE">
        <w:rPr>
          <w:sz w:val="22"/>
          <w:szCs w:val="22"/>
        </w:rPr>
        <w:t xml:space="preserve"> nebezpeče</w:t>
      </w:r>
      <w:r w:rsidR="003C6E1F" w:rsidRPr="00EF6AAE">
        <w:rPr>
          <w:sz w:val="22"/>
          <w:szCs w:val="22"/>
        </w:rPr>
        <w:t>nstvo</w:t>
      </w:r>
      <w:r w:rsidRPr="00EF6AAE">
        <w:rPr>
          <w:sz w:val="22"/>
          <w:szCs w:val="22"/>
        </w:rPr>
        <w:t xml:space="preserve"> vývoja závislosti. Táto závislosť však nevzniká len pri nesprávnom užívaní zvlášť vysokých dávok, ale aj </w:t>
      </w:r>
      <w:r w:rsidRPr="00EF6AAE">
        <w:rPr>
          <w:rFonts w:eastAsia="SimSun"/>
          <w:sz w:val="22"/>
          <w:szCs w:val="22"/>
          <w:lang w:eastAsia="zh-CN"/>
        </w:rPr>
        <w:t xml:space="preserve">v rozsahu terapeutických </w:t>
      </w:r>
      <w:r w:rsidR="00B53036" w:rsidRPr="00EF6AAE">
        <w:rPr>
          <w:rFonts w:eastAsia="SimSun"/>
          <w:sz w:val="22"/>
          <w:szCs w:val="22"/>
          <w:lang w:eastAsia="zh-CN"/>
        </w:rPr>
        <w:t xml:space="preserve">(liečebných) </w:t>
      </w:r>
      <w:r w:rsidRPr="00EF6AAE">
        <w:rPr>
          <w:rFonts w:eastAsia="SimSun"/>
          <w:sz w:val="22"/>
          <w:szCs w:val="22"/>
          <w:lang w:eastAsia="zh-CN"/>
        </w:rPr>
        <w:t xml:space="preserve">dávok. </w:t>
      </w:r>
      <w:r w:rsidRPr="00EF6AAE">
        <w:rPr>
          <w:sz w:val="22"/>
          <w:szCs w:val="22"/>
        </w:rPr>
        <w:t>Nikdy neprestaňte užívať Phenaemal</w:t>
      </w:r>
      <w:r w:rsidR="006C5407" w:rsidRPr="00EF6AAE">
        <w:rPr>
          <w:sz w:val="22"/>
          <w:szCs w:val="22"/>
        </w:rPr>
        <w:t> </w:t>
      </w:r>
      <w:r w:rsidRPr="00EF6AAE">
        <w:rPr>
          <w:sz w:val="22"/>
          <w:szCs w:val="22"/>
        </w:rPr>
        <w:t xml:space="preserve">0,1 náhle. </w:t>
      </w:r>
      <w:r w:rsidR="00B53036" w:rsidRPr="00EF6AAE">
        <w:rPr>
          <w:sz w:val="22"/>
          <w:szCs w:val="22"/>
        </w:rPr>
        <w:t>Ak</w:t>
      </w:r>
      <w:r w:rsidRPr="00EF6AAE">
        <w:rPr>
          <w:sz w:val="22"/>
          <w:szCs w:val="22"/>
        </w:rPr>
        <w:t xml:space="preserve"> ste užívali Phenaemal 0,1 dlhšie ako jeden týždeň, dávku zniž</w:t>
      </w:r>
      <w:r w:rsidR="00B53036" w:rsidRPr="00EF6AAE">
        <w:rPr>
          <w:sz w:val="22"/>
          <w:szCs w:val="22"/>
        </w:rPr>
        <w:t xml:space="preserve">ujte </w:t>
      </w:r>
      <w:r w:rsidRPr="00EF6AAE">
        <w:rPr>
          <w:sz w:val="22"/>
          <w:szCs w:val="22"/>
        </w:rPr>
        <w:t>postupne, pretože môže spôsobiť abstinenčné príznaky.</w:t>
      </w:r>
    </w:p>
    <w:p w14:paraId="77F6658B" w14:textId="77777777" w:rsidR="00A91B19" w:rsidRPr="00EF6AAE" w:rsidRDefault="00A91B19" w:rsidP="00EF6AAE">
      <w:pPr>
        <w:rPr>
          <w:bCs/>
          <w:sz w:val="22"/>
          <w:szCs w:val="22"/>
        </w:rPr>
      </w:pPr>
    </w:p>
    <w:p w14:paraId="42A27F54" w14:textId="77777777" w:rsidR="00A91B19" w:rsidRPr="00EF6AAE" w:rsidRDefault="00A91B19" w:rsidP="00EF6AAE">
      <w:pPr>
        <w:rPr>
          <w:sz w:val="22"/>
          <w:szCs w:val="22"/>
        </w:rPr>
      </w:pPr>
      <w:r w:rsidRPr="00EF6AAE">
        <w:rPr>
          <w:sz w:val="22"/>
          <w:szCs w:val="22"/>
        </w:rPr>
        <w:t xml:space="preserve">Ak máte </w:t>
      </w:r>
      <w:r w:rsidR="003C6E1F" w:rsidRPr="00EF6AAE">
        <w:rPr>
          <w:sz w:val="22"/>
          <w:szCs w:val="22"/>
        </w:rPr>
        <w:t xml:space="preserve">akékoľvek </w:t>
      </w:r>
      <w:r w:rsidRPr="00EF6AAE">
        <w:rPr>
          <w:sz w:val="22"/>
          <w:szCs w:val="22"/>
        </w:rPr>
        <w:t>ďalšie otázky týkajúce sa použitia tohto lieku, opýtajte sa svojho lekára  alebo lekárnika.</w:t>
      </w:r>
    </w:p>
    <w:p w14:paraId="6EFBA0D7" w14:textId="77777777" w:rsidR="00A91B19" w:rsidRPr="00EF6AAE" w:rsidRDefault="00A91B19" w:rsidP="00EF6AAE">
      <w:pPr>
        <w:rPr>
          <w:sz w:val="22"/>
          <w:szCs w:val="22"/>
        </w:rPr>
      </w:pPr>
    </w:p>
    <w:p w14:paraId="46564474" w14:textId="77777777" w:rsidR="00A91B19" w:rsidRPr="00EF6AAE" w:rsidRDefault="00A91B19" w:rsidP="00EF6AAE">
      <w:pPr>
        <w:rPr>
          <w:sz w:val="22"/>
          <w:szCs w:val="22"/>
        </w:rPr>
      </w:pPr>
    </w:p>
    <w:p w14:paraId="768CE2CA" w14:textId="77777777" w:rsidR="00074A68" w:rsidRPr="00EF6AAE" w:rsidRDefault="00074A68" w:rsidP="00EF6AAE">
      <w:pPr>
        <w:ind w:left="567" w:right="-28" w:hanging="567"/>
        <w:rPr>
          <w:b/>
          <w:bCs/>
          <w:sz w:val="22"/>
          <w:szCs w:val="22"/>
        </w:rPr>
      </w:pPr>
      <w:r w:rsidRPr="00EF6AAE">
        <w:rPr>
          <w:b/>
          <w:bCs/>
          <w:sz w:val="22"/>
          <w:szCs w:val="22"/>
        </w:rPr>
        <w:t>4.</w:t>
      </w:r>
      <w:r w:rsidRPr="00EF6AAE">
        <w:rPr>
          <w:b/>
          <w:bCs/>
          <w:sz w:val="22"/>
          <w:szCs w:val="22"/>
        </w:rPr>
        <w:tab/>
        <w:t>Možné vedľajšie účinky</w:t>
      </w:r>
    </w:p>
    <w:p w14:paraId="15E5589F" w14:textId="77777777" w:rsidR="00A91B19" w:rsidRPr="00EF6AAE" w:rsidRDefault="00A91B19" w:rsidP="00EF6AAE">
      <w:pPr>
        <w:rPr>
          <w:bCs/>
          <w:sz w:val="22"/>
          <w:szCs w:val="22"/>
        </w:rPr>
      </w:pPr>
    </w:p>
    <w:p w14:paraId="1A857B58" w14:textId="77777777" w:rsidR="006F19DD" w:rsidRPr="00EF6AAE" w:rsidRDefault="006F19DD" w:rsidP="00EF6AAE">
      <w:pPr>
        <w:rPr>
          <w:sz w:val="22"/>
          <w:szCs w:val="22"/>
        </w:rPr>
      </w:pPr>
      <w:r w:rsidRPr="00EF6AAE">
        <w:rPr>
          <w:sz w:val="22"/>
          <w:szCs w:val="22"/>
        </w:rPr>
        <w:t>Tak ako všetky lieky, aj tento liek môže spôsobovať vedľajšie účinky, hoci sa neprejavia u každého.</w:t>
      </w:r>
    </w:p>
    <w:p w14:paraId="0DD99F8F" w14:textId="77777777" w:rsidR="006F19DD" w:rsidRPr="00EF6AAE" w:rsidRDefault="006F19DD" w:rsidP="00EF6AAE">
      <w:pPr>
        <w:rPr>
          <w:bCs/>
          <w:sz w:val="22"/>
          <w:szCs w:val="22"/>
        </w:rPr>
      </w:pPr>
    </w:p>
    <w:p w14:paraId="70CAFA74" w14:textId="77777777" w:rsidR="008C39F9" w:rsidRPr="00EF6AAE" w:rsidRDefault="008C39F9" w:rsidP="00EF6AAE">
      <w:pPr>
        <w:rPr>
          <w:sz w:val="22"/>
          <w:szCs w:val="22"/>
        </w:rPr>
      </w:pPr>
      <w:r w:rsidRPr="00EF6AAE">
        <w:rPr>
          <w:bCs/>
          <w:sz w:val="22"/>
          <w:szCs w:val="22"/>
        </w:rPr>
        <w:t>Potenciálne život ohrozujúce kožné vyrážky (Stevens</w:t>
      </w:r>
      <w:r w:rsidR="00B53036" w:rsidRPr="00EF6AAE">
        <w:rPr>
          <w:bCs/>
          <w:sz w:val="22"/>
          <w:szCs w:val="22"/>
        </w:rPr>
        <w:t>ov</w:t>
      </w:r>
      <w:r w:rsidRPr="00EF6AAE">
        <w:rPr>
          <w:bCs/>
          <w:sz w:val="22"/>
          <w:szCs w:val="22"/>
        </w:rPr>
        <w:t xml:space="preserve">-Johnsonov syndróm, toxická epidermálna nekrolýza (Lyellov syndróm), </w:t>
      </w:r>
      <w:r w:rsidRPr="00EF6AAE">
        <w:rPr>
          <w:sz w:val="22"/>
          <w:szCs w:val="22"/>
        </w:rPr>
        <w:t>exfoliatívna dermatída, pemfigus</w:t>
      </w:r>
      <w:r w:rsidRPr="00EF6AAE">
        <w:rPr>
          <w:bCs/>
          <w:sz w:val="22"/>
          <w:szCs w:val="22"/>
        </w:rPr>
        <w:t>) boli hlásené zriedkavo (pozri časť 2). Ak sa u vás vyskytnú vyrážky alebo závažné kožné reakcie, ktoré môžu zahŕňať vznik pľuzgierov na pokožke</w:t>
      </w:r>
      <w:r w:rsidRPr="00EF6AAE">
        <w:rPr>
          <w:sz w:val="22"/>
          <w:szCs w:val="22"/>
        </w:rPr>
        <w:t xml:space="preserve">, </w:t>
      </w:r>
      <w:r w:rsidRPr="00EF6AAE">
        <w:rPr>
          <w:b/>
          <w:sz w:val="22"/>
          <w:szCs w:val="22"/>
        </w:rPr>
        <w:t>vyhľadajte okamžit</w:t>
      </w:r>
      <w:r w:rsidR="00B53036" w:rsidRPr="00EF6AAE">
        <w:rPr>
          <w:b/>
          <w:sz w:val="22"/>
          <w:szCs w:val="22"/>
        </w:rPr>
        <w:t>e</w:t>
      </w:r>
      <w:r w:rsidRPr="00EF6AAE">
        <w:rPr>
          <w:b/>
          <w:sz w:val="22"/>
          <w:szCs w:val="22"/>
        </w:rPr>
        <w:t xml:space="preserve"> lekársku pomoc</w:t>
      </w:r>
      <w:r w:rsidRPr="00EF6AAE">
        <w:rPr>
          <w:sz w:val="22"/>
          <w:szCs w:val="22"/>
        </w:rPr>
        <w:t xml:space="preserve"> a povedzte lekárovi, že užívate tento liek.</w:t>
      </w:r>
    </w:p>
    <w:p w14:paraId="35F71540" w14:textId="77777777" w:rsidR="008C39F9" w:rsidRPr="00EF6AAE" w:rsidRDefault="008C39F9" w:rsidP="00EF6AAE">
      <w:pPr>
        <w:rPr>
          <w:sz w:val="22"/>
          <w:szCs w:val="22"/>
        </w:rPr>
      </w:pPr>
    </w:p>
    <w:p w14:paraId="62F6FB4F" w14:textId="77777777" w:rsidR="008C39F9" w:rsidRPr="00EF6AAE" w:rsidRDefault="008C39F9" w:rsidP="00EF6AAE">
      <w:pPr>
        <w:rPr>
          <w:b/>
          <w:sz w:val="22"/>
          <w:szCs w:val="22"/>
        </w:rPr>
      </w:pPr>
      <w:r w:rsidRPr="00EF6AAE">
        <w:rPr>
          <w:b/>
          <w:sz w:val="22"/>
          <w:szCs w:val="22"/>
        </w:rPr>
        <w:t>Iné vedľajšie účinky</w:t>
      </w:r>
    </w:p>
    <w:p w14:paraId="3813F558" w14:textId="77777777" w:rsidR="008C39F9" w:rsidRPr="00EF6AAE" w:rsidRDefault="008C39F9" w:rsidP="00EF6AAE">
      <w:pPr>
        <w:rPr>
          <w:b/>
          <w:sz w:val="22"/>
          <w:szCs w:val="22"/>
        </w:rPr>
      </w:pPr>
    </w:p>
    <w:p w14:paraId="70B7FD2B" w14:textId="77777777" w:rsidR="008C39F9" w:rsidRPr="00EF6AAE" w:rsidRDefault="008C39F9" w:rsidP="00EF6AAE">
      <w:pPr>
        <w:rPr>
          <w:sz w:val="22"/>
          <w:szCs w:val="22"/>
        </w:rPr>
      </w:pPr>
      <w:r w:rsidRPr="00EF6AAE">
        <w:rPr>
          <w:b/>
          <w:sz w:val="22"/>
          <w:szCs w:val="22"/>
        </w:rPr>
        <w:t>Veľmi časté vedľajšie účinky</w:t>
      </w:r>
      <w:r w:rsidRPr="00EF6AAE">
        <w:rPr>
          <w:sz w:val="22"/>
          <w:szCs w:val="22"/>
        </w:rPr>
        <w:t xml:space="preserve"> (môžu sa prejaviť u viac ako 1 osoby z 10)</w:t>
      </w:r>
    </w:p>
    <w:p w14:paraId="5D785068" w14:textId="77777777" w:rsidR="008C39F9" w:rsidRPr="00EF6AAE" w:rsidRDefault="008C39F9" w:rsidP="00EF6AAE">
      <w:pPr>
        <w:numPr>
          <w:ilvl w:val="0"/>
          <w:numId w:val="9"/>
        </w:numPr>
        <w:rPr>
          <w:sz w:val="22"/>
          <w:szCs w:val="22"/>
        </w:rPr>
      </w:pPr>
      <w:r w:rsidRPr="00EF6AAE">
        <w:rPr>
          <w:sz w:val="22"/>
          <w:szCs w:val="22"/>
        </w:rPr>
        <w:t xml:space="preserve">nadmerný útlm, ospalosť, omámenosť, </w:t>
      </w:r>
      <w:r w:rsidR="00D728E7" w:rsidRPr="00EF6AAE">
        <w:rPr>
          <w:sz w:val="22"/>
          <w:szCs w:val="22"/>
        </w:rPr>
        <w:t xml:space="preserve">zmätenosť, paradoxné stavy vzrušenia u starších osôb a detí, </w:t>
      </w:r>
      <w:r w:rsidRPr="00EF6AAE">
        <w:rPr>
          <w:sz w:val="22"/>
          <w:szCs w:val="22"/>
        </w:rPr>
        <w:t xml:space="preserve">predĺžený reakčný čas, závraty, bolesti hlavy, narušená koordinácia pohybov, únava, malátnosť (tieto </w:t>
      </w:r>
      <w:r w:rsidR="001C4D1D" w:rsidRPr="00EF6AAE">
        <w:rPr>
          <w:sz w:val="22"/>
          <w:szCs w:val="22"/>
        </w:rPr>
        <w:t xml:space="preserve">vedľajšie </w:t>
      </w:r>
      <w:r w:rsidRPr="00EF6AAE">
        <w:rPr>
          <w:sz w:val="22"/>
          <w:szCs w:val="22"/>
        </w:rPr>
        <w:t>účinky závisia od dávky a vyskytujú sa najmä na začiatku liečby),</w:t>
      </w:r>
    </w:p>
    <w:p w14:paraId="6BB1944C" w14:textId="77777777" w:rsidR="008C39F9" w:rsidRPr="00EF6AAE" w:rsidRDefault="001C4D1D" w:rsidP="00EF6AAE">
      <w:pPr>
        <w:numPr>
          <w:ilvl w:val="0"/>
          <w:numId w:val="9"/>
        </w:numPr>
        <w:rPr>
          <w:sz w:val="22"/>
          <w:szCs w:val="22"/>
        </w:rPr>
      </w:pPr>
      <w:r w:rsidRPr="00EF6AAE">
        <w:rPr>
          <w:sz w:val="22"/>
          <w:szCs w:val="22"/>
        </w:rPr>
        <w:t>doznievajúce vedľajšie účinky (slabá koncentrácia a zvyšková únava), ktoré sa môžu vyskytnúť nasledujúce ráno</w:t>
      </w:r>
      <w:r w:rsidR="008C39F9" w:rsidRPr="00EF6AAE">
        <w:rPr>
          <w:sz w:val="22"/>
          <w:szCs w:val="22"/>
        </w:rPr>
        <w:t>, ak liek užijete večer,</w:t>
      </w:r>
    </w:p>
    <w:p w14:paraId="169324BE" w14:textId="77777777" w:rsidR="008C39F9" w:rsidRPr="00EF6AAE" w:rsidRDefault="008C39F9" w:rsidP="00EF6AAE">
      <w:pPr>
        <w:numPr>
          <w:ilvl w:val="0"/>
          <w:numId w:val="9"/>
        </w:numPr>
        <w:rPr>
          <w:sz w:val="22"/>
          <w:szCs w:val="22"/>
        </w:rPr>
      </w:pPr>
      <w:r w:rsidRPr="00EF6AAE">
        <w:rPr>
          <w:sz w:val="22"/>
          <w:szCs w:val="22"/>
        </w:rPr>
        <w:t>poruchy poznávania, zmätenosť, paradoxné stavy vzrušenia u starších osôb a detí,</w:t>
      </w:r>
    </w:p>
    <w:p w14:paraId="25F54DB0" w14:textId="77777777" w:rsidR="008C39F9" w:rsidRPr="00EF6AAE" w:rsidRDefault="008C39F9" w:rsidP="00EF6AAE">
      <w:pPr>
        <w:numPr>
          <w:ilvl w:val="0"/>
          <w:numId w:val="9"/>
        </w:numPr>
        <w:rPr>
          <w:sz w:val="22"/>
          <w:szCs w:val="22"/>
        </w:rPr>
      </w:pPr>
      <w:r w:rsidRPr="00EF6AAE">
        <w:rPr>
          <w:sz w:val="22"/>
          <w:szCs w:val="22"/>
        </w:rPr>
        <w:t>sexuálna dysfunkcia (znížené libido</w:t>
      </w:r>
      <w:r w:rsidR="00B53036" w:rsidRPr="00EF6AAE">
        <w:rPr>
          <w:sz w:val="22"/>
          <w:szCs w:val="22"/>
        </w:rPr>
        <w:t xml:space="preserve"> (sexuálna túžba)</w:t>
      </w:r>
      <w:r w:rsidRPr="00EF6AAE">
        <w:rPr>
          <w:sz w:val="22"/>
          <w:szCs w:val="22"/>
        </w:rPr>
        <w:t>, impotencia).</w:t>
      </w:r>
    </w:p>
    <w:p w14:paraId="4EB22969" w14:textId="77777777" w:rsidR="008C39F9" w:rsidRPr="00EF6AAE" w:rsidRDefault="008C39F9" w:rsidP="00EF6AAE">
      <w:pPr>
        <w:rPr>
          <w:sz w:val="22"/>
          <w:szCs w:val="22"/>
        </w:rPr>
      </w:pPr>
    </w:p>
    <w:p w14:paraId="23EB7E22" w14:textId="77777777" w:rsidR="008C39F9" w:rsidRPr="00EF6AAE" w:rsidRDefault="008C39F9" w:rsidP="00EF6AAE">
      <w:pPr>
        <w:rPr>
          <w:sz w:val="22"/>
          <w:szCs w:val="22"/>
        </w:rPr>
      </w:pPr>
      <w:r w:rsidRPr="00EF6AAE">
        <w:rPr>
          <w:b/>
          <w:sz w:val="22"/>
          <w:szCs w:val="22"/>
        </w:rPr>
        <w:t>Menej časté vedľajšie účinky</w:t>
      </w:r>
      <w:r w:rsidRPr="00EF6AAE">
        <w:rPr>
          <w:sz w:val="22"/>
          <w:szCs w:val="22"/>
        </w:rPr>
        <w:t xml:space="preserve"> (môžu sa prejaviť u menej ako 1 osoby zo 100)</w:t>
      </w:r>
    </w:p>
    <w:p w14:paraId="1C52A1CA" w14:textId="77777777" w:rsidR="008C39F9" w:rsidRPr="00EF6AAE" w:rsidRDefault="008C39F9" w:rsidP="00EF6AAE">
      <w:pPr>
        <w:numPr>
          <w:ilvl w:val="0"/>
          <w:numId w:val="9"/>
        </w:numPr>
        <w:rPr>
          <w:sz w:val="22"/>
          <w:szCs w:val="22"/>
        </w:rPr>
      </w:pPr>
      <w:r w:rsidRPr="00EF6AAE">
        <w:rPr>
          <w:sz w:val="22"/>
          <w:szCs w:val="22"/>
        </w:rPr>
        <w:t>nevoľnosť, vracanie, zápcha, problémy v hornej časti brucha,</w:t>
      </w:r>
    </w:p>
    <w:p w14:paraId="29158825" w14:textId="77777777" w:rsidR="008C39F9" w:rsidRPr="00EF6AAE" w:rsidRDefault="00D728E7" w:rsidP="00EF6AAE">
      <w:pPr>
        <w:numPr>
          <w:ilvl w:val="0"/>
          <w:numId w:val="9"/>
        </w:numPr>
        <w:rPr>
          <w:sz w:val="22"/>
          <w:szCs w:val="22"/>
        </w:rPr>
      </w:pPr>
      <w:r w:rsidRPr="00EF6AAE">
        <w:rPr>
          <w:sz w:val="22"/>
          <w:szCs w:val="22"/>
        </w:rPr>
        <w:t xml:space="preserve">reakcie z </w:t>
      </w:r>
      <w:r w:rsidR="008C39F9" w:rsidRPr="00EF6AAE">
        <w:rPr>
          <w:sz w:val="22"/>
          <w:szCs w:val="22"/>
        </w:rPr>
        <w:t>precitlivenos</w:t>
      </w:r>
      <w:r w:rsidRPr="00EF6AAE">
        <w:rPr>
          <w:sz w:val="22"/>
          <w:szCs w:val="22"/>
        </w:rPr>
        <w:t>ti</w:t>
      </w:r>
      <w:r w:rsidR="008C39F9" w:rsidRPr="00EF6AAE">
        <w:rPr>
          <w:sz w:val="22"/>
          <w:szCs w:val="22"/>
        </w:rPr>
        <w:t>,</w:t>
      </w:r>
    </w:p>
    <w:p w14:paraId="3A14AB0A" w14:textId="77777777" w:rsidR="008C39F9" w:rsidRPr="00EF6AAE" w:rsidRDefault="008C39F9" w:rsidP="00EF6AAE">
      <w:pPr>
        <w:numPr>
          <w:ilvl w:val="0"/>
          <w:numId w:val="9"/>
        </w:numPr>
        <w:rPr>
          <w:sz w:val="22"/>
          <w:szCs w:val="22"/>
        </w:rPr>
      </w:pPr>
      <w:r w:rsidRPr="00EF6AAE">
        <w:rPr>
          <w:sz w:val="22"/>
          <w:szCs w:val="22"/>
        </w:rPr>
        <w:t>horúčka,</w:t>
      </w:r>
    </w:p>
    <w:p w14:paraId="45F26FEE" w14:textId="7A55F2AD" w:rsidR="008C39F9" w:rsidRPr="00EF6AAE" w:rsidRDefault="008C39F9" w:rsidP="00EF6AAE">
      <w:pPr>
        <w:numPr>
          <w:ilvl w:val="0"/>
          <w:numId w:val="9"/>
        </w:numPr>
        <w:rPr>
          <w:sz w:val="22"/>
          <w:szCs w:val="22"/>
        </w:rPr>
      </w:pPr>
      <w:r w:rsidRPr="00EF6AAE">
        <w:rPr>
          <w:sz w:val="22"/>
          <w:szCs w:val="22"/>
        </w:rPr>
        <w:t xml:space="preserve">poruchy pečene, </w:t>
      </w:r>
      <w:r w:rsidR="00D728E7" w:rsidRPr="00EF6AAE">
        <w:rPr>
          <w:sz w:val="22"/>
          <w:szCs w:val="22"/>
        </w:rPr>
        <w:t>zápal pečene (</w:t>
      </w:r>
      <w:r w:rsidRPr="00EF6AAE">
        <w:rPr>
          <w:sz w:val="22"/>
          <w:szCs w:val="22"/>
        </w:rPr>
        <w:t>hepatitída</w:t>
      </w:r>
      <w:r w:rsidR="00D728E7" w:rsidRPr="00EF6AAE">
        <w:rPr>
          <w:sz w:val="22"/>
          <w:szCs w:val="22"/>
        </w:rPr>
        <w:t>)</w:t>
      </w:r>
      <w:r w:rsidRPr="00EF6AAE">
        <w:rPr>
          <w:sz w:val="22"/>
          <w:szCs w:val="22"/>
        </w:rPr>
        <w:t>,</w:t>
      </w:r>
    </w:p>
    <w:p w14:paraId="00BCDA60" w14:textId="77777777" w:rsidR="008C39F9" w:rsidRPr="00EF6AAE" w:rsidRDefault="008C39F9" w:rsidP="00EF6AAE">
      <w:pPr>
        <w:numPr>
          <w:ilvl w:val="0"/>
          <w:numId w:val="9"/>
        </w:numPr>
        <w:rPr>
          <w:sz w:val="22"/>
          <w:szCs w:val="22"/>
        </w:rPr>
      </w:pPr>
      <w:r w:rsidRPr="00EF6AAE">
        <w:rPr>
          <w:sz w:val="22"/>
          <w:szCs w:val="22"/>
        </w:rPr>
        <w:t>poruchy obličiek,</w:t>
      </w:r>
    </w:p>
    <w:p w14:paraId="68125157" w14:textId="77777777" w:rsidR="008C39F9" w:rsidRPr="00EF6AAE" w:rsidRDefault="008C39F9" w:rsidP="00EF6AAE">
      <w:pPr>
        <w:numPr>
          <w:ilvl w:val="0"/>
          <w:numId w:val="9"/>
        </w:numPr>
        <w:rPr>
          <w:sz w:val="22"/>
          <w:szCs w:val="22"/>
        </w:rPr>
      </w:pPr>
      <w:r w:rsidRPr="00EF6AAE">
        <w:rPr>
          <w:sz w:val="22"/>
          <w:szCs w:val="22"/>
        </w:rPr>
        <w:t>vyrážky, citlivosť na svetlo</w:t>
      </w:r>
    </w:p>
    <w:p w14:paraId="21C766DA" w14:textId="77777777" w:rsidR="008C39F9" w:rsidRPr="00EF6AAE" w:rsidRDefault="008C39F9" w:rsidP="00EF6AAE">
      <w:pPr>
        <w:numPr>
          <w:ilvl w:val="0"/>
          <w:numId w:val="9"/>
        </w:numPr>
        <w:rPr>
          <w:sz w:val="22"/>
          <w:szCs w:val="22"/>
        </w:rPr>
      </w:pPr>
      <w:r w:rsidRPr="00EF6AAE">
        <w:rPr>
          <w:sz w:val="22"/>
          <w:szCs w:val="22"/>
        </w:rPr>
        <w:t>depresie,</w:t>
      </w:r>
    </w:p>
    <w:p w14:paraId="79C17BE1" w14:textId="77777777" w:rsidR="008C39F9" w:rsidRPr="00EF6AAE" w:rsidRDefault="008C39F9" w:rsidP="00EF6AAE">
      <w:pPr>
        <w:numPr>
          <w:ilvl w:val="0"/>
          <w:numId w:val="9"/>
        </w:numPr>
        <w:rPr>
          <w:sz w:val="22"/>
          <w:szCs w:val="22"/>
        </w:rPr>
      </w:pPr>
      <w:hyperlink r:id="rId9" w:tooltip="Benign" w:history="1">
        <w:r w:rsidRPr="00EF6AAE">
          <w:rPr>
            <w:rStyle w:val="Hypertextovprepojenie"/>
            <w:color w:val="auto"/>
            <w:sz w:val="22"/>
            <w:szCs w:val="22"/>
            <w:u w:val="none"/>
          </w:rPr>
          <w:t>benígn</w:t>
        </w:r>
      </w:hyperlink>
      <w:r w:rsidRPr="00EF6AAE">
        <w:rPr>
          <w:sz w:val="22"/>
          <w:szCs w:val="22"/>
        </w:rPr>
        <w:t>e</w:t>
      </w:r>
      <w:r w:rsidR="00B53036" w:rsidRPr="00EF6AAE">
        <w:rPr>
          <w:sz w:val="22"/>
          <w:szCs w:val="22"/>
        </w:rPr>
        <w:t xml:space="preserve"> (nezhubné)</w:t>
      </w:r>
      <w:r w:rsidRPr="00EF6AAE">
        <w:rPr>
          <w:sz w:val="22"/>
          <w:szCs w:val="22"/>
        </w:rPr>
        <w:t xml:space="preserve"> nádory mäkkých tkanív ((poly-) fibromatóza),</w:t>
      </w:r>
    </w:p>
    <w:p w14:paraId="0EBA59E8" w14:textId="77777777" w:rsidR="008C39F9" w:rsidRPr="00EF6AAE" w:rsidRDefault="008C39F9" w:rsidP="00EF6AAE">
      <w:pPr>
        <w:numPr>
          <w:ilvl w:val="0"/>
          <w:numId w:val="9"/>
        </w:numPr>
        <w:rPr>
          <w:sz w:val="22"/>
          <w:szCs w:val="22"/>
        </w:rPr>
      </w:pPr>
      <w:r w:rsidRPr="00EF6AAE">
        <w:rPr>
          <w:sz w:val="22"/>
          <w:szCs w:val="22"/>
        </w:rPr>
        <w:t>veľké, abnormálne červené krvné bunky po dlhodobom užívaní (megaloblastická anémia),</w:t>
      </w:r>
    </w:p>
    <w:p w14:paraId="1E17D3CD" w14:textId="77777777" w:rsidR="008C39F9" w:rsidRPr="00EF6AAE" w:rsidRDefault="008C39F9" w:rsidP="00EF6AAE">
      <w:pPr>
        <w:numPr>
          <w:ilvl w:val="0"/>
          <w:numId w:val="9"/>
        </w:numPr>
        <w:rPr>
          <w:sz w:val="22"/>
          <w:szCs w:val="22"/>
        </w:rPr>
      </w:pPr>
      <w:r w:rsidRPr="00EF6AAE">
        <w:rPr>
          <w:sz w:val="22"/>
          <w:szCs w:val="22"/>
        </w:rPr>
        <w:t xml:space="preserve">zväčšenie lymfatických uzlín. </w:t>
      </w:r>
    </w:p>
    <w:p w14:paraId="132533FF" w14:textId="77777777" w:rsidR="008C39F9" w:rsidRPr="00EF6AAE" w:rsidRDefault="008C39F9" w:rsidP="00EF6AAE">
      <w:pPr>
        <w:rPr>
          <w:sz w:val="22"/>
          <w:szCs w:val="22"/>
        </w:rPr>
      </w:pPr>
    </w:p>
    <w:p w14:paraId="15486CEB" w14:textId="77777777" w:rsidR="008C39F9" w:rsidRPr="00EF6AAE" w:rsidRDefault="008C39F9" w:rsidP="00EF6AAE">
      <w:pPr>
        <w:rPr>
          <w:sz w:val="22"/>
          <w:szCs w:val="22"/>
        </w:rPr>
      </w:pPr>
      <w:r w:rsidRPr="00EF6AAE">
        <w:rPr>
          <w:b/>
          <w:sz w:val="22"/>
          <w:szCs w:val="22"/>
        </w:rPr>
        <w:t>Zriedkavé vedľajšie účinky</w:t>
      </w:r>
      <w:r w:rsidRPr="00EF6AAE">
        <w:rPr>
          <w:sz w:val="22"/>
          <w:szCs w:val="22"/>
        </w:rPr>
        <w:t xml:space="preserve"> (môžu sa prejaviť u menej ako 1 osoby z 1 000)</w:t>
      </w:r>
    </w:p>
    <w:p w14:paraId="16873E74" w14:textId="77777777" w:rsidR="008C39F9" w:rsidRPr="00EF6AAE" w:rsidRDefault="008C39F9" w:rsidP="00EF6AAE">
      <w:pPr>
        <w:numPr>
          <w:ilvl w:val="0"/>
          <w:numId w:val="9"/>
        </w:numPr>
        <w:rPr>
          <w:sz w:val="22"/>
          <w:szCs w:val="22"/>
        </w:rPr>
      </w:pPr>
      <w:r w:rsidRPr="00EF6AAE">
        <w:rPr>
          <w:sz w:val="22"/>
          <w:szCs w:val="22"/>
        </w:rPr>
        <w:t xml:space="preserve">periférne obehové poruchy </w:t>
      </w:r>
      <w:r w:rsidR="00B53036" w:rsidRPr="00EF6AAE">
        <w:rPr>
          <w:sz w:val="22"/>
          <w:szCs w:val="22"/>
        </w:rPr>
        <w:t xml:space="preserve">(poruchy prekrvenia) </w:t>
      </w:r>
      <w:r w:rsidRPr="00EF6AAE">
        <w:rPr>
          <w:sz w:val="22"/>
          <w:szCs w:val="22"/>
        </w:rPr>
        <w:t>spojené s nízkym krvným tlakom, vrátane kolapsu</w:t>
      </w:r>
      <w:r w:rsidR="00B53036" w:rsidRPr="00EF6AAE">
        <w:rPr>
          <w:sz w:val="22"/>
          <w:szCs w:val="22"/>
        </w:rPr>
        <w:t xml:space="preserve"> (mdloby)</w:t>
      </w:r>
      <w:r w:rsidRPr="00EF6AAE">
        <w:rPr>
          <w:sz w:val="22"/>
          <w:szCs w:val="22"/>
        </w:rPr>
        <w:t>,</w:t>
      </w:r>
    </w:p>
    <w:p w14:paraId="5D739BC4" w14:textId="77777777" w:rsidR="008C39F9" w:rsidRPr="00EF6AAE" w:rsidRDefault="008C39F9" w:rsidP="00EF6AAE">
      <w:pPr>
        <w:numPr>
          <w:ilvl w:val="0"/>
          <w:numId w:val="9"/>
        </w:numPr>
        <w:rPr>
          <w:sz w:val="22"/>
          <w:szCs w:val="22"/>
        </w:rPr>
      </w:pPr>
      <w:r w:rsidRPr="00EF6AAE">
        <w:rPr>
          <w:sz w:val="22"/>
          <w:szCs w:val="22"/>
        </w:rPr>
        <w:t>zlyhanie kostnej drene.</w:t>
      </w:r>
    </w:p>
    <w:p w14:paraId="372B8DD0" w14:textId="77777777" w:rsidR="008C39F9" w:rsidRPr="00EF6AAE" w:rsidRDefault="008C39F9" w:rsidP="00EF6AAE">
      <w:pPr>
        <w:rPr>
          <w:sz w:val="22"/>
          <w:szCs w:val="22"/>
        </w:rPr>
      </w:pPr>
    </w:p>
    <w:p w14:paraId="1CEC35B6" w14:textId="77777777" w:rsidR="008C39F9" w:rsidRPr="00EF6AAE" w:rsidRDefault="008C39F9" w:rsidP="00EF6AAE">
      <w:pPr>
        <w:rPr>
          <w:sz w:val="22"/>
          <w:szCs w:val="22"/>
        </w:rPr>
      </w:pPr>
      <w:r w:rsidRPr="00EF6AAE">
        <w:rPr>
          <w:b/>
          <w:sz w:val="22"/>
          <w:szCs w:val="22"/>
        </w:rPr>
        <w:t>Veľmi zriedkavé vedľajšie účinky</w:t>
      </w:r>
      <w:r w:rsidRPr="00EF6AAE">
        <w:rPr>
          <w:sz w:val="22"/>
          <w:szCs w:val="22"/>
        </w:rPr>
        <w:t xml:space="preserve"> (môžu sa prejaviť u menej ako 1 osoby z 10 000)</w:t>
      </w:r>
    </w:p>
    <w:p w14:paraId="2CD55618" w14:textId="77777777" w:rsidR="008C39F9" w:rsidRPr="00EF6AAE" w:rsidRDefault="008C39F9" w:rsidP="00EF6AAE">
      <w:pPr>
        <w:numPr>
          <w:ilvl w:val="0"/>
          <w:numId w:val="9"/>
        </w:numPr>
        <w:rPr>
          <w:sz w:val="22"/>
          <w:szCs w:val="22"/>
        </w:rPr>
      </w:pPr>
      <w:r w:rsidRPr="00EF6AAE">
        <w:rPr>
          <w:sz w:val="22"/>
          <w:szCs w:val="22"/>
        </w:rPr>
        <w:t>trvalá kontraktúra (ohnutie) ruky (Dupuytrenova kontraktúra) často s opuchmi hánok, zosilnením spojivového tkaniva na chodidle nohy, „zmrazené rameno” (skapulohumerálna periartritída).</w:t>
      </w:r>
    </w:p>
    <w:p w14:paraId="0F549B6E" w14:textId="77777777" w:rsidR="008C39F9" w:rsidRPr="00EF6AAE" w:rsidRDefault="008C39F9" w:rsidP="00EF6AAE">
      <w:pPr>
        <w:rPr>
          <w:sz w:val="22"/>
          <w:szCs w:val="22"/>
        </w:rPr>
      </w:pPr>
    </w:p>
    <w:p w14:paraId="3BDB9417" w14:textId="77777777" w:rsidR="008C39F9" w:rsidRPr="00EF6AAE" w:rsidRDefault="008C39F9" w:rsidP="00EF6AAE">
      <w:pPr>
        <w:rPr>
          <w:sz w:val="22"/>
          <w:szCs w:val="22"/>
        </w:rPr>
      </w:pPr>
      <w:r w:rsidRPr="00EF6AAE">
        <w:rPr>
          <w:b/>
          <w:sz w:val="22"/>
          <w:szCs w:val="22"/>
        </w:rPr>
        <w:t xml:space="preserve">Vedľajšie účinky s neznámou </w:t>
      </w:r>
      <w:r w:rsidR="001C4D1D" w:rsidRPr="00EF6AAE">
        <w:rPr>
          <w:b/>
          <w:sz w:val="22"/>
          <w:szCs w:val="22"/>
        </w:rPr>
        <w:t>frekvenciou</w:t>
      </w:r>
      <w:r w:rsidRPr="00EF6AAE">
        <w:rPr>
          <w:sz w:val="22"/>
          <w:szCs w:val="22"/>
        </w:rPr>
        <w:t xml:space="preserve"> (</w:t>
      </w:r>
      <w:r w:rsidR="001C4D1D" w:rsidRPr="00EF6AAE">
        <w:rPr>
          <w:sz w:val="22"/>
          <w:szCs w:val="22"/>
        </w:rPr>
        <w:t xml:space="preserve">frekvencia </w:t>
      </w:r>
      <w:r w:rsidRPr="00EF6AAE">
        <w:rPr>
          <w:sz w:val="22"/>
          <w:szCs w:val="22"/>
        </w:rPr>
        <w:t xml:space="preserve">sa nedá z dostupných údajov odhadnúť) </w:t>
      </w:r>
    </w:p>
    <w:p w14:paraId="71CD1AFB" w14:textId="77777777" w:rsidR="008C39F9" w:rsidRPr="00EF6AAE" w:rsidRDefault="008C39F9" w:rsidP="00EF6AAE">
      <w:pPr>
        <w:numPr>
          <w:ilvl w:val="0"/>
          <w:numId w:val="9"/>
        </w:numPr>
        <w:rPr>
          <w:sz w:val="22"/>
          <w:szCs w:val="22"/>
        </w:rPr>
      </w:pPr>
      <w:r w:rsidRPr="00EF6AAE">
        <w:rPr>
          <w:sz w:val="22"/>
          <w:szCs w:val="22"/>
        </w:rPr>
        <w:t>hnačka,</w:t>
      </w:r>
    </w:p>
    <w:p w14:paraId="64910D36" w14:textId="77777777" w:rsidR="008C39F9" w:rsidRPr="00EF6AAE" w:rsidRDefault="008C39F9" w:rsidP="00EF6AAE">
      <w:pPr>
        <w:numPr>
          <w:ilvl w:val="0"/>
          <w:numId w:val="9"/>
        </w:numPr>
        <w:rPr>
          <w:sz w:val="22"/>
          <w:szCs w:val="22"/>
        </w:rPr>
      </w:pPr>
      <w:r w:rsidRPr="00EF6AAE">
        <w:rPr>
          <w:sz w:val="22"/>
          <w:szCs w:val="22"/>
        </w:rPr>
        <w:t>abnormálne správanie u detí, najmä hyperaktivita,</w:t>
      </w:r>
    </w:p>
    <w:p w14:paraId="2BB4BE8A" w14:textId="77777777" w:rsidR="008C39F9" w:rsidRPr="00EF6AAE" w:rsidRDefault="008C39F9" w:rsidP="00EF6AAE">
      <w:pPr>
        <w:numPr>
          <w:ilvl w:val="0"/>
          <w:numId w:val="9"/>
        </w:numPr>
        <w:rPr>
          <w:sz w:val="22"/>
          <w:szCs w:val="22"/>
        </w:rPr>
      </w:pPr>
      <w:r w:rsidRPr="00EF6AAE">
        <w:rPr>
          <w:sz w:val="22"/>
          <w:szCs w:val="22"/>
        </w:rPr>
        <w:t>bolesti ramena, bolesti paže,</w:t>
      </w:r>
    </w:p>
    <w:p w14:paraId="4FFE7984" w14:textId="77777777" w:rsidR="008C39F9" w:rsidRPr="00EF6AAE" w:rsidRDefault="008C39F9" w:rsidP="00EF6AAE">
      <w:pPr>
        <w:numPr>
          <w:ilvl w:val="0"/>
          <w:numId w:val="9"/>
        </w:numPr>
        <w:rPr>
          <w:sz w:val="22"/>
          <w:szCs w:val="22"/>
        </w:rPr>
      </w:pPr>
      <w:r w:rsidRPr="00EF6AAE">
        <w:rPr>
          <w:sz w:val="22"/>
          <w:szCs w:val="22"/>
        </w:rPr>
        <w:t>pomalé alebo plytké dýchanie (respiračná depresia),</w:t>
      </w:r>
    </w:p>
    <w:p w14:paraId="70889E6F" w14:textId="77777777" w:rsidR="008C39F9" w:rsidRPr="00EF6AAE" w:rsidRDefault="008C39F9" w:rsidP="00EF6AAE">
      <w:pPr>
        <w:numPr>
          <w:ilvl w:val="0"/>
          <w:numId w:val="9"/>
        </w:numPr>
        <w:rPr>
          <w:sz w:val="22"/>
          <w:szCs w:val="22"/>
        </w:rPr>
      </w:pPr>
      <w:r w:rsidRPr="00EF6AAE">
        <w:rPr>
          <w:iCs/>
          <w:sz w:val="22"/>
          <w:szCs w:val="22"/>
        </w:rPr>
        <w:t>závažná kožná choroba (pemfigus)</w:t>
      </w:r>
    </w:p>
    <w:p w14:paraId="4432EE3A" w14:textId="77777777" w:rsidR="005846CD" w:rsidRPr="00EF6AAE" w:rsidRDefault="00873E03" w:rsidP="00EF6AAE">
      <w:pPr>
        <w:numPr>
          <w:ilvl w:val="0"/>
          <w:numId w:val="9"/>
        </w:numPr>
        <w:rPr>
          <w:sz w:val="22"/>
          <w:szCs w:val="22"/>
        </w:rPr>
      </w:pPr>
      <w:r w:rsidRPr="00EF6AAE">
        <w:rPr>
          <w:sz w:val="22"/>
          <w:szCs w:val="22"/>
        </w:rPr>
        <w:t>príznak (</w:t>
      </w:r>
      <w:r w:rsidR="005846CD" w:rsidRPr="00EF6AAE">
        <w:rPr>
          <w:sz w:val="22"/>
          <w:szCs w:val="22"/>
        </w:rPr>
        <w:t>syndróm</w:t>
      </w:r>
      <w:r w:rsidRPr="00EF6AAE">
        <w:rPr>
          <w:sz w:val="22"/>
          <w:szCs w:val="22"/>
        </w:rPr>
        <w:t>)</w:t>
      </w:r>
      <w:r w:rsidR="005846CD" w:rsidRPr="00EF6AAE">
        <w:rPr>
          <w:sz w:val="22"/>
          <w:szCs w:val="22"/>
        </w:rPr>
        <w:t xml:space="preserve"> pozostávajúci z liekom vyvolaných vyrážok, zväčšenia lymfatických uzlín, horúčky a možného postihnutia iných orgánov (DRESS syndróm)</w:t>
      </w:r>
    </w:p>
    <w:p w14:paraId="70EA021B" w14:textId="77777777" w:rsidR="00D728E7" w:rsidRPr="00EF6AAE" w:rsidRDefault="00D728E7" w:rsidP="00EF6AAE">
      <w:pPr>
        <w:numPr>
          <w:ilvl w:val="0"/>
          <w:numId w:val="9"/>
        </w:numPr>
        <w:rPr>
          <w:sz w:val="22"/>
          <w:szCs w:val="22"/>
        </w:rPr>
      </w:pPr>
      <w:r w:rsidRPr="00EF6AAE">
        <w:rPr>
          <w:sz w:val="22"/>
          <w:szCs w:val="22"/>
        </w:rPr>
        <w:t>podávanie fenobarbitalu môže spustiť psychomotorické záchvaty a absencie,</w:t>
      </w:r>
    </w:p>
    <w:p w14:paraId="5C5FBA3F" w14:textId="77777777" w:rsidR="008C39F9" w:rsidRPr="00EF6AAE" w:rsidRDefault="008C39F9" w:rsidP="00EF6AAE">
      <w:pPr>
        <w:numPr>
          <w:ilvl w:val="0"/>
          <w:numId w:val="9"/>
        </w:numPr>
        <w:rPr>
          <w:sz w:val="22"/>
          <w:szCs w:val="22"/>
        </w:rPr>
      </w:pPr>
      <w:r w:rsidRPr="00EF6AAE">
        <w:rPr>
          <w:sz w:val="22"/>
          <w:szCs w:val="22"/>
        </w:rPr>
        <w:t>poruchy videnia (dvojité videnie),</w:t>
      </w:r>
    </w:p>
    <w:p w14:paraId="5F78E737" w14:textId="77777777" w:rsidR="008C39F9" w:rsidRPr="00EF6AAE" w:rsidRDefault="008C39F9" w:rsidP="00EF6AAE">
      <w:pPr>
        <w:numPr>
          <w:ilvl w:val="0"/>
          <w:numId w:val="9"/>
        </w:numPr>
        <w:rPr>
          <w:sz w:val="22"/>
          <w:szCs w:val="22"/>
        </w:rPr>
      </w:pPr>
      <w:r w:rsidRPr="00EF6AAE">
        <w:rPr>
          <w:sz w:val="22"/>
          <w:szCs w:val="22"/>
        </w:rPr>
        <w:t>znížená koncentrácia hormónov štítnej žľazy v krvi, najmä v kombinácii s inými antiepileptikami,</w:t>
      </w:r>
    </w:p>
    <w:p w14:paraId="3C4B0B23" w14:textId="77777777" w:rsidR="008C39F9" w:rsidRPr="00EF6AAE" w:rsidRDefault="008C39F9" w:rsidP="00EF6AAE">
      <w:pPr>
        <w:numPr>
          <w:ilvl w:val="0"/>
          <w:numId w:val="9"/>
        </w:numPr>
        <w:rPr>
          <w:sz w:val="22"/>
          <w:szCs w:val="22"/>
        </w:rPr>
      </w:pPr>
      <w:r w:rsidRPr="00EF6AAE">
        <w:rPr>
          <w:sz w:val="22"/>
          <w:szCs w:val="22"/>
        </w:rPr>
        <w:t>znížený obsah kyseliny listovej,</w:t>
      </w:r>
    </w:p>
    <w:p w14:paraId="25F7159C" w14:textId="77777777" w:rsidR="008C39F9" w:rsidRPr="00EF6AAE" w:rsidRDefault="008C39F9" w:rsidP="00EF6AAE">
      <w:pPr>
        <w:numPr>
          <w:ilvl w:val="0"/>
          <w:numId w:val="9"/>
        </w:numPr>
        <w:rPr>
          <w:sz w:val="22"/>
          <w:szCs w:val="22"/>
        </w:rPr>
      </w:pPr>
      <w:r w:rsidRPr="00EF6AAE">
        <w:rPr>
          <w:sz w:val="22"/>
          <w:szCs w:val="22"/>
        </w:rPr>
        <w:t>zmeny v počte krvných buniek (leukocytóza, lymfocytóza, leukopénia, agranulocytóza, trombocytopénia).</w:t>
      </w:r>
    </w:p>
    <w:p w14:paraId="1304B7A0" w14:textId="77777777" w:rsidR="008C39F9" w:rsidRPr="00EF6AAE" w:rsidRDefault="00934A45" w:rsidP="00EF6AAE">
      <w:pPr>
        <w:numPr>
          <w:ilvl w:val="0"/>
          <w:numId w:val="9"/>
        </w:numPr>
        <w:rPr>
          <w:sz w:val="22"/>
          <w:szCs w:val="22"/>
        </w:rPr>
      </w:pPr>
      <w:r w:rsidRPr="00EF6AAE">
        <w:rPr>
          <w:sz w:val="22"/>
          <w:szCs w:val="22"/>
        </w:rPr>
        <w:t>Hlásené boli poruchy kostí zahŕňajúce osteopéniu a osteoporózu (rednutie kostí) a zlomeniny. Ak užívate dlhodobú antiepileptickú liečbu, </w:t>
      </w:r>
      <w:r w:rsidR="00873E03" w:rsidRPr="00EF6AAE">
        <w:rPr>
          <w:sz w:val="22"/>
          <w:szCs w:val="22"/>
        </w:rPr>
        <w:t xml:space="preserve">alebo vám zistili v minulosti </w:t>
      </w:r>
      <w:r w:rsidRPr="00EF6AAE">
        <w:rPr>
          <w:sz w:val="22"/>
          <w:szCs w:val="22"/>
        </w:rPr>
        <w:t>osteoporóz</w:t>
      </w:r>
      <w:r w:rsidR="00873E03" w:rsidRPr="00EF6AAE">
        <w:rPr>
          <w:sz w:val="22"/>
          <w:szCs w:val="22"/>
        </w:rPr>
        <w:t>u</w:t>
      </w:r>
      <w:r w:rsidRPr="00EF6AAE">
        <w:rPr>
          <w:sz w:val="22"/>
          <w:szCs w:val="22"/>
        </w:rPr>
        <w:t>, alebo užívate steroidy, poraďte sa so svojím lekárom alebo lekárnikom.</w:t>
      </w:r>
    </w:p>
    <w:p w14:paraId="37052036" w14:textId="77777777" w:rsidR="008C39F9" w:rsidRPr="00EF6AAE" w:rsidRDefault="008C39F9" w:rsidP="00EF6AAE">
      <w:pPr>
        <w:rPr>
          <w:bCs/>
          <w:sz w:val="22"/>
          <w:szCs w:val="22"/>
        </w:rPr>
      </w:pPr>
    </w:p>
    <w:p w14:paraId="5AB17C1A" w14:textId="77777777" w:rsidR="003C6E1F" w:rsidRPr="00EF6AAE" w:rsidRDefault="003C6E1F" w:rsidP="00EF6AAE">
      <w:pPr>
        <w:numPr>
          <w:ilvl w:val="12"/>
          <w:numId w:val="0"/>
        </w:numPr>
        <w:tabs>
          <w:tab w:val="left" w:pos="720"/>
        </w:tabs>
        <w:rPr>
          <w:b/>
          <w:sz w:val="22"/>
          <w:szCs w:val="22"/>
        </w:rPr>
      </w:pPr>
      <w:r w:rsidRPr="00EF6AAE">
        <w:rPr>
          <w:b/>
          <w:noProof/>
          <w:sz w:val="22"/>
          <w:szCs w:val="22"/>
        </w:rPr>
        <w:t>Hlásenie vedľajších účinkov</w:t>
      </w:r>
    </w:p>
    <w:p w14:paraId="65F2CC08" w14:textId="00B8E1FA" w:rsidR="003C6E1F" w:rsidRPr="00EF6AAE" w:rsidRDefault="003C6E1F" w:rsidP="00EF6AAE">
      <w:pPr>
        <w:numPr>
          <w:ilvl w:val="12"/>
          <w:numId w:val="0"/>
        </w:numPr>
        <w:tabs>
          <w:tab w:val="left" w:pos="720"/>
        </w:tabs>
        <w:ind w:right="-2"/>
        <w:rPr>
          <w:noProof/>
          <w:sz w:val="22"/>
          <w:szCs w:val="22"/>
        </w:rPr>
      </w:pPr>
      <w:r w:rsidRPr="00EF6AAE">
        <w:rPr>
          <w:noProof/>
          <w:sz w:val="22"/>
          <w:szCs w:val="22"/>
        </w:rPr>
        <w:t>Ak sa u vás vyskytne akýkoľvek vedľajší účinok, obráťte sa na svojho lekára, lekárnika alebo zdravotnú sestru.</w:t>
      </w:r>
      <w:r w:rsidRPr="00EF6AAE">
        <w:rPr>
          <w:sz w:val="22"/>
          <w:szCs w:val="22"/>
        </w:rPr>
        <w:t xml:space="preserve"> </w:t>
      </w:r>
      <w:r w:rsidRPr="00EF6AAE">
        <w:rPr>
          <w:noProof/>
          <w:sz w:val="22"/>
          <w:szCs w:val="22"/>
        </w:rPr>
        <w:t>To sa týka aj akýchkoľvek vedľajších účinkov, ktoré nie sú uvedené v tejto písomnej informácii pre používateľa.</w:t>
      </w:r>
      <w:r w:rsidRPr="00EF6AAE">
        <w:rPr>
          <w:sz w:val="22"/>
          <w:szCs w:val="22"/>
        </w:rPr>
        <w:t xml:space="preserve"> </w:t>
      </w:r>
      <w:r w:rsidRPr="00EF6AAE">
        <w:rPr>
          <w:noProof/>
          <w:sz w:val="22"/>
          <w:szCs w:val="22"/>
        </w:rPr>
        <w:t xml:space="preserve">Vedľajšie účinky môžete </w:t>
      </w:r>
      <w:r w:rsidR="00472BDB" w:rsidRPr="00EF6AAE">
        <w:rPr>
          <w:noProof/>
          <w:sz w:val="22"/>
          <w:szCs w:val="22"/>
        </w:rPr>
        <w:t xml:space="preserve">hlásiť aj priamo </w:t>
      </w:r>
      <w:r w:rsidR="00472BDB" w:rsidRPr="00EF6AAE">
        <w:rPr>
          <w:noProof/>
          <w:sz w:val="22"/>
          <w:szCs w:val="22"/>
          <w:highlight w:val="lightGray"/>
        </w:rPr>
        <w:t>na národné centrum</w:t>
      </w:r>
      <w:r w:rsidR="00472BDB" w:rsidRPr="00EF6AAE">
        <w:rPr>
          <w:sz w:val="22"/>
          <w:szCs w:val="22"/>
          <w:highlight w:val="lightGray"/>
        </w:rPr>
        <w:t xml:space="preserve"> hlásenia </w:t>
      </w:r>
      <w:r w:rsidR="00472BDB" w:rsidRPr="00EF6AAE">
        <w:rPr>
          <w:noProof/>
          <w:sz w:val="22"/>
          <w:szCs w:val="22"/>
          <w:highlight w:val="lightGray"/>
        </w:rPr>
        <w:t>uvedené</w:t>
      </w:r>
      <w:r w:rsidRPr="00EF6AAE">
        <w:rPr>
          <w:sz w:val="22"/>
          <w:szCs w:val="22"/>
          <w:highlight w:val="lightGray"/>
        </w:rPr>
        <w:t xml:space="preserve"> v </w:t>
      </w:r>
      <w:hyperlink r:id="rId10" w:history="1">
        <w:r w:rsidRPr="00EF6AAE">
          <w:rPr>
            <w:rStyle w:val="Hypertextovprepojenie"/>
            <w:sz w:val="22"/>
            <w:szCs w:val="22"/>
            <w:highlight w:val="lightGray"/>
          </w:rPr>
          <w:t>Prílohe V</w:t>
        </w:r>
      </w:hyperlink>
      <w:r w:rsidRPr="00EF6AAE">
        <w:rPr>
          <w:sz w:val="22"/>
          <w:szCs w:val="22"/>
          <w:highlight w:val="lightGray"/>
        </w:rPr>
        <w:t>.</w:t>
      </w:r>
      <w:r w:rsidRPr="00EF6AAE">
        <w:rPr>
          <w:sz w:val="22"/>
          <w:szCs w:val="22"/>
        </w:rPr>
        <w:t xml:space="preserve"> </w:t>
      </w:r>
      <w:r w:rsidRPr="00EF6AAE">
        <w:rPr>
          <w:noProof/>
          <w:sz w:val="22"/>
          <w:szCs w:val="22"/>
        </w:rPr>
        <w:t>Hlásením vedľajších účinkov môžete prispieť k získaniu ďalších informácií o bezpečnosti tohto lieku.</w:t>
      </w:r>
    </w:p>
    <w:p w14:paraId="2E8A3FE6" w14:textId="77777777" w:rsidR="00446DF6" w:rsidRPr="00EF6AAE" w:rsidRDefault="00446DF6" w:rsidP="00EF6AAE">
      <w:pPr>
        <w:rPr>
          <w:sz w:val="22"/>
          <w:szCs w:val="22"/>
        </w:rPr>
      </w:pPr>
    </w:p>
    <w:p w14:paraId="08C2311A" w14:textId="77777777" w:rsidR="00926399" w:rsidRPr="00EF6AAE" w:rsidRDefault="00926399" w:rsidP="00EF6AAE">
      <w:pPr>
        <w:rPr>
          <w:sz w:val="22"/>
          <w:szCs w:val="22"/>
        </w:rPr>
      </w:pPr>
    </w:p>
    <w:p w14:paraId="1CE25E0E" w14:textId="77777777" w:rsidR="00926399" w:rsidRPr="00EF6AAE" w:rsidRDefault="00926399" w:rsidP="00EF6AAE">
      <w:pPr>
        <w:ind w:left="567" w:right="-28" w:hanging="567"/>
        <w:rPr>
          <w:b/>
          <w:bCs/>
          <w:sz w:val="22"/>
          <w:szCs w:val="22"/>
        </w:rPr>
      </w:pPr>
      <w:r w:rsidRPr="00EF6AAE">
        <w:rPr>
          <w:b/>
          <w:bCs/>
          <w:sz w:val="22"/>
          <w:szCs w:val="22"/>
        </w:rPr>
        <w:t>5.</w:t>
      </w:r>
      <w:r w:rsidRPr="00EF6AAE">
        <w:rPr>
          <w:b/>
          <w:bCs/>
          <w:sz w:val="22"/>
          <w:szCs w:val="22"/>
        </w:rPr>
        <w:tab/>
        <w:t>Ako uchovávať Phenaemal 0,1</w:t>
      </w:r>
    </w:p>
    <w:p w14:paraId="333F0DFD" w14:textId="77777777" w:rsidR="00446DF6" w:rsidRPr="00EF6AAE" w:rsidRDefault="00446DF6" w:rsidP="00EF6AAE">
      <w:pPr>
        <w:rPr>
          <w:sz w:val="22"/>
          <w:szCs w:val="22"/>
        </w:rPr>
      </w:pPr>
    </w:p>
    <w:p w14:paraId="150860A7" w14:textId="77777777" w:rsidR="006020FE" w:rsidRPr="00EF6AAE" w:rsidRDefault="006020FE" w:rsidP="00EF6AAE">
      <w:pPr>
        <w:numPr>
          <w:ilvl w:val="12"/>
          <w:numId w:val="0"/>
        </w:numPr>
        <w:ind w:right="-2"/>
        <w:rPr>
          <w:sz w:val="22"/>
          <w:szCs w:val="22"/>
        </w:rPr>
      </w:pPr>
      <w:r w:rsidRPr="00EF6AAE">
        <w:rPr>
          <w:noProof/>
          <w:sz w:val="22"/>
          <w:szCs w:val="22"/>
        </w:rPr>
        <w:t>Tento liek nevyžaduje žiadne zvláštne podmienky na uchovávanie.</w:t>
      </w:r>
    </w:p>
    <w:p w14:paraId="7D70B3EA" w14:textId="77777777" w:rsidR="006020FE" w:rsidRPr="00EF6AAE" w:rsidRDefault="006020FE" w:rsidP="00EF6AAE">
      <w:pPr>
        <w:numPr>
          <w:ilvl w:val="12"/>
          <w:numId w:val="0"/>
        </w:numPr>
        <w:ind w:right="-2"/>
        <w:rPr>
          <w:sz w:val="22"/>
          <w:szCs w:val="22"/>
        </w:rPr>
      </w:pPr>
      <w:r w:rsidRPr="00EF6AAE">
        <w:rPr>
          <w:sz w:val="22"/>
          <w:szCs w:val="22"/>
        </w:rPr>
        <w:t>Tento liek uchovávajte mimo dohľadu a dosahu detí.</w:t>
      </w:r>
    </w:p>
    <w:p w14:paraId="67B322A0" w14:textId="77777777" w:rsidR="006020FE" w:rsidRPr="00EF6AAE" w:rsidRDefault="006020FE" w:rsidP="00EF6AAE">
      <w:pPr>
        <w:numPr>
          <w:ilvl w:val="12"/>
          <w:numId w:val="0"/>
        </w:numPr>
        <w:ind w:right="-2"/>
        <w:rPr>
          <w:sz w:val="22"/>
          <w:szCs w:val="22"/>
        </w:rPr>
      </w:pPr>
      <w:r w:rsidRPr="00EF6AAE">
        <w:rPr>
          <w:sz w:val="22"/>
          <w:szCs w:val="22"/>
        </w:rPr>
        <w:t xml:space="preserve">Nepoužívajte tento liek po dátume exspirácie, ktorý je uvedený na </w:t>
      </w:r>
      <w:r w:rsidR="00DC2BD3" w:rsidRPr="00EF6AAE">
        <w:rPr>
          <w:sz w:val="22"/>
          <w:szCs w:val="22"/>
        </w:rPr>
        <w:t>škatuľke</w:t>
      </w:r>
      <w:r w:rsidRPr="00EF6AAE">
        <w:rPr>
          <w:sz w:val="22"/>
          <w:szCs w:val="22"/>
        </w:rPr>
        <w:t xml:space="preserve"> a </w:t>
      </w:r>
      <w:r w:rsidR="00DC2BD3" w:rsidRPr="00EF6AAE">
        <w:rPr>
          <w:sz w:val="22"/>
          <w:szCs w:val="22"/>
        </w:rPr>
        <w:t>liekovke</w:t>
      </w:r>
      <w:r w:rsidRPr="00EF6AAE">
        <w:rPr>
          <w:sz w:val="22"/>
          <w:szCs w:val="22"/>
        </w:rPr>
        <w:t>.</w:t>
      </w:r>
    </w:p>
    <w:p w14:paraId="5E442F76" w14:textId="77777777" w:rsidR="00926399" w:rsidRPr="00EF6AAE" w:rsidRDefault="00926399" w:rsidP="00EF6AAE">
      <w:pPr>
        <w:rPr>
          <w:sz w:val="22"/>
          <w:szCs w:val="22"/>
        </w:rPr>
      </w:pPr>
    </w:p>
    <w:p w14:paraId="78DDABD0" w14:textId="77777777" w:rsidR="00AA7DDC" w:rsidRPr="00EF6AAE" w:rsidRDefault="00AA7DDC" w:rsidP="00EF6AAE">
      <w:pPr>
        <w:rPr>
          <w:sz w:val="22"/>
          <w:szCs w:val="22"/>
        </w:rPr>
      </w:pPr>
    </w:p>
    <w:p w14:paraId="6B15449E" w14:textId="77777777" w:rsidR="00AA7DDC" w:rsidRPr="00EF6AAE" w:rsidRDefault="00AA7DDC" w:rsidP="00EF6AAE">
      <w:pPr>
        <w:ind w:left="567" w:right="-28" w:hanging="567"/>
        <w:rPr>
          <w:b/>
          <w:bCs/>
          <w:sz w:val="22"/>
          <w:szCs w:val="22"/>
        </w:rPr>
      </w:pPr>
      <w:r w:rsidRPr="00EF6AAE">
        <w:rPr>
          <w:b/>
          <w:bCs/>
          <w:sz w:val="22"/>
          <w:szCs w:val="22"/>
        </w:rPr>
        <w:t>6.</w:t>
      </w:r>
      <w:r w:rsidRPr="00EF6AAE">
        <w:rPr>
          <w:b/>
          <w:bCs/>
          <w:sz w:val="22"/>
          <w:szCs w:val="22"/>
        </w:rPr>
        <w:tab/>
        <w:t>Obsah balenia a ďalšie informácie</w:t>
      </w:r>
    </w:p>
    <w:p w14:paraId="29F65D8E" w14:textId="77777777" w:rsidR="00AA7DDC" w:rsidRPr="00EF6AAE" w:rsidRDefault="00AA7DDC" w:rsidP="00EF6AAE">
      <w:pPr>
        <w:rPr>
          <w:sz w:val="22"/>
          <w:szCs w:val="22"/>
        </w:rPr>
      </w:pPr>
    </w:p>
    <w:p w14:paraId="6B6FE9AC" w14:textId="77777777" w:rsidR="00AA7DDC" w:rsidRPr="00EF6AAE" w:rsidRDefault="00AA7DDC" w:rsidP="00EF6AAE">
      <w:pPr>
        <w:rPr>
          <w:sz w:val="22"/>
          <w:szCs w:val="22"/>
        </w:rPr>
      </w:pPr>
      <w:r w:rsidRPr="00EF6AAE">
        <w:rPr>
          <w:b/>
          <w:sz w:val="22"/>
          <w:szCs w:val="22"/>
        </w:rPr>
        <w:t xml:space="preserve">Čo Phenaemal </w:t>
      </w:r>
      <w:r w:rsidR="00643FE1" w:rsidRPr="00EF6AAE">
        <w:rPr>
          <w:b/>
          <w:sz w:val="22"/>
          <w:szCs w:val="22"/>
        </w:rPr>
        <w:t xml:space="preserve">0,1 </w:t>
      </w:r>
      <w:r w:rsidRPr="00EF6AAE">
        <w:rPr>
          <w:b/>
          <w:sz w:val="22"/>
          <w:szCs w:val="22"/>
        </w:rPr>
        <w:t>obsahuje</w:t>
      </w:r>
    </w:p>
    <w:p w14:paraId="3F646A90" w14:textId="77777777" w:rsidR="008500A6" w:rsidRPr="00EF6AAE" w:rsidRDefault="008500A6" w:rsidP="00EF6AAE">
      <w:pPr>
        <w:numPr>
          <w:ilvl w:val="0"/>
          <w:numId w:val="18"/>
        </w:numPr>
        <w:rPr>
          <w:sz w:val="22"/>
          <w:szCs w:val="22"/>
        </w:rPr>
      </w:pPr>
      <w:r w:rsidRPr="00EF6AAE">
        <w:rPr>
          <w:sz w:val="22"/>
          <w:szCs w:val="22"/>
        </w:rPr>
        <w:t xml:space="preserve">Liečivo je fenobarbital; </w:t>
      </w:r>
      <w:r w:rsidRPr="00EF6AAE">
        <w:rPr>
          <w:bCs/>
          <w:sz w:val="22"/>
          <w:szCs w:val="22"/>
        </w:rPr>
        <w:t xml:space="preserve">1 tableta obsahuje 100 mg </w:t>
      </w:r>
      <w:r w:rsidR="003C6E1F" w:rsidRPr="00EF6AAE">
        <w:rPr>
          <w:bCs/>
          <w:sz w:val="22"/>
          <w:szCs w:val="22"/>
        </w:rPr>
        <w:t>f</w:t>
      </w:r>
      <w:r w:rsidRPr="00EF6AAE">
        <w:rPr>
          <w:bCs/>
          <w:sz w:val="22"/>
          <w:szCs w:val="22"/>
        </w:rPr>
        <w:t>enobarbitalu.</w:t>
      </w:r>
    </w:p>
    <w:p w14:paraId="0A58F28E" w14:textId="77777777" w:rsidR="008500A6" w:rsidRPr="00EF6AAE" w:rsidRDefault="005E05A2" w:rsidP="00EF6AAE">
      <w:pPr>
        <w:numPr>
          <w:ilvl w:val="0"/>
          <w:numId w:val="18"/>
        </w:numPr>
        <w:rPr>
          <w:sz w:val="22"/>
          <w:szCs w:val="22"/>
        </w:rPr>
      </w:pPr>
      <w:r w:rsidRPr="00EF6AAE">
        <w:rPr>
          <w:sz w:val="22"/>
          <w:szCs w:val="22"/>
        </w:rPr>
        <w:t xml:space="preserve">Ďalšie zložky sú </w:t>
      </w:r>
      <w:r w:rsidR="00A97167" w:rsidRPr="00EF6AAE">
        <w:rPr>
          <w:sz w:val="22"/>
          <w:szCs w:val="22"/>
        </w:rPr>
        <w:t xml:space="preserve">mikrokryštalická celulóza, želatína, monohydrát laktózy, kukuričný škrob, </w:t>
      </w:r>
      <w:r w:rsidR="00493832" w:rsidRPr="00EF6AAE">
        <w:rPr>
          <w:sz w:val="22"/>
          <w:szCs w:val="22"/>
        </w:rPr>
        <w:t>kyselina ste</w:t>
      </w:r>
      <w:r w:rsidR="00C67AAA" w:rsidRPr="00EF6AAE">
        <w:rPr>
          <w:sz w:val="22"/>
          <w:szCs w:val="22"/>
        </w:rPr>
        <w:t>á</w:t>
      </w:r>
      <w:r w:rsidR="00493832" w:rsidRPr="00EF6AAE">
        <w:rPr>
          <w:sz w:val="22"/>
          <w:szCs w:val="22"/>
        </w:rPr>
        <w:t xml:space="preserve">rová, </w:t>
      </w:r>
      <w:r w:rsidR="00A97167" w:rsidRPr="00EF6AAE">
        <w:rPr>
          <w:sz w:val="22"/>
          <w:szCs w:val="22"/>
        </w:rPr>
        <w:t>koloidný oxid kremičitý bezvodý.</w:t>
      </w:r>
    </w:p>
    <w:p w14:paraId="115DD5B4" w14:textId="77777777" w:rsidR="00145B09" w:rsidRPr="00EF6AAE" w:rsidRDefault="00145B09" w:rsidP="00EF6AAE">
      <w:pPr>
        <w:rPr>
          <w:b/>
          <w:bCs/>
          <w:sz w:val="22"/>
          <w:szCs w:val="22"/>
        </w:rPr>
      </w:pPr>
    </w:p>
    <w:p w14:paraId="57DC22FF" w14:textId="77777777" w:rsidR="00DE74EA" w:rsidRPr="00EF6AAE" w:rsidRDefault="00DE74EA" w:rsidP="00EF6AAE">
      <w:pPr>
        <w:rPr>
          <w:bCs/>
          <w:sz w:val="22"/>
          <w:szCs w:val="22"/>
        </w:rPr>
      </w:pPr>
      <w:r w:rsidRPr="00EF6AAE">
        <w:rPr>
          <w:b/>
          <w:sz w:val="22"/>
          <w:szCs w:val="22"/>
        </w:rPr>
        <w:t xml:space="preserve">Ako vyzerá Phenaemal </w:t>
      </w:r>
      <w:smartTag w:uri="urn:schemas-microsoft-com:office:smarttags" w:element="metricconverter">
        <w:smartTagPr>
          <w:attr w:name="ProductID" w:val="0,1 a"/>
        </w:smartTagPr>
        <w:r w:rsidRPr="00EF6AAE">
          <w:rPr>
            <w:b/>
            <w:sz w:val="22"/>
            <w:szCs w:val="22"/>
          </w:rPr>
          <w:t>0,1 a</w:t>
        </w:r>
      </w:smartTag>
      <w:r w:rsidRPr="00EF6AAE">
        <w:rPr>
          <w:b/>
          <w:sz w:val="22"/>
          <w:szCs w:val="22"/>
        </w:rPr>
        <w:t xml:space="preserve"> obsah balenia</w:t>
      </w:r>
    </w:p>
    <w:p w14:paraId="33376ADA" w14:textId="77777777" w:rsidR="007353C5" w:rsidRPr="00EF6AAE" w:rsidRDefault="00D14112" w:rsidP="00EF6AAE">
      <w:pPr>
        <w:rPr>
          <w:bCs/>
          <w:sz w:val="22"/>
          <w:szCs w:val="22"/>
        </w:rPr>
      </w:pPr>
      <w:r w:rsidRPr="00EF6AAE">
        <w:rPr>
          <w:bCs/>
          <w:sz w:val="22"/>
          <w:szCs w:val="22"/>
        </w:rPr>
        <w:t xml:space="preserve">Phenaemal 0,1 sú biele okrúhle ploché </w:t>
      </w:r>
      <w:r w:rsidR="00C67AAA" w:rsidRPr="00EF6AAE">
        <w:rPr>
          <w:bCs/>
          <w:sz w:val="22"/>
          <w:szCs w:val="22"/>
        </w:rPr>
        <w:t xml:space="preserve">tablety </w:t>
      </w:r>
      <w:r w:rsidRPr="00EF6AAE">
        <w:rPr>
          <w:bCs/>
          <w:sz w:val="22"/>
          <w:szCs w:val="22"/>
        </w:rPr>
        <w:t>so skosenou hranou na vrchnej strane s označením DN, ryhami rozdelené na štvrtiny.</w:t>
      </w:r>
    </w:p>
    <w:p w14:paraId="700AFB58" w14:textId="77777777" w:rsidR="007353C5" w:rsidRPr="00EF6AAE" w:rsidRDefault="007353C5" w:rsidP="00EF6AAE">
      <w:pPr>
        <w:rPr>
          <w:bCs/>
          <w:sz w:val="22"/>
          <w:szCs w:val="22"/>
        </w:rPr>
      </w:pPr>
    </w:p>
    <w:p w14:paraId="70594A1D" w14:textId="77777777" w:rsidR="005A6347" w:rsidRPr="00EF6AAE" w:rsidRDefault="000C49F8" w:rsidP="00EF6AAE">
      <w:pPr>
        <w:rPr>
          <w:sz w:val="22"/>
          <w:szCs w:val="22"/>
        </w:rPr>
      </w:pPr>
      <w:r w:rsidRPr="00EF6AAE">
        <w:rPr>
          <w:bCs/>
          <w:sz w:val="22"/>
          <w:szCs w:val="22"/>
        </w:rPr>
        <w:lastRenderedPageBreak/>
        <w:t xml:space="preserve">Liek </w:t>
      </w:r>
      <w:r w:rsidR="005A6347" w:rsidRPr="00EF6AAE">
        <w:rPr>
          <w:bCs/>
          <w:sz w:val="22"/>
          <w:szCs w:val="22"/>
        </w:rPr>
        <w:t xml:space="preserve">Phenaemal 0,1 je dostupný v balení po </w:t>
      </w:r>
      <w:r w:rsidR="005A6347" w:rsidRPr="00EF6AAE">
        <w:rPr>
          <w:sz w:val="22"/>
          <w:szCs w:val="22"/>
        </w:rPr>
        <w:t>50 tabliet</w:t>
      </w:r>
      <w:r w:rsidR="003D4CE3" w:rsidRPr="00EF6AAE">
        <w:rPr>
          <w:sz w:val="22"/>
          <w:szCs w:val="22"/>
        </w:rPr>
        <w:t xml:space="preserve"> v hnedej liekovke uzavretej bielym polyetylénovým uzáverom bezpečným pre deti alebo v bielom polyetylénovom obale na tablety uzavretom </w:t>
      </w:r>
      <w:r w:rsidR="00AB4D4D" w:rsidRPr="00EF6AAE">
        <w:rPr>
          <w:sz w:val="22"/>
          <w:szCs w:val="22"/>
        </w:rPr>
        <w:t>bielym polyetylénovým skrutkovacím uzáverom bezpečným pre deti a papierová škatuľka.</w:t>
      </w:r>
    </w:p>
    <w:p w14:paraId="2C7D3126" w14:textId="77777777" w:rsidR="00DE049D" w:rsidRPr="00EF6AAE" w:rsidRDefault="00DE049D" w:rsidP="00EF6AAE">
      <w:pPr>
        <w:rPr>
          <w:sz w:val="22"/>
          <w:szCs w:val="22"/>
        </w:rPr>
      </w:pPr>
    </w:p>
    <w:p w14:paraId="59D346F6" w14:textId="77777777" w:rsidR="00DE049D" w:rsidRPr="00EF6AAE" w:rsidRDefault="00DE049D" w:rsidP="00EF6AAE">
      <w:pPr>
        <w:rPr>
          <w:bCs/>
          <w:sz w:val="22"/>
          <w:szCs w:val="22"/>
        </w:rPr>
      </w:pPr>
      <w:r w:rsidRPr="00EF6AAE">
        <w:rPr>
          <w:b/>
          <w:sz w:val="22"/>
          <w:szCs w:val="22"/>
        </w:rPr>
        <w:t>Držiteľ rozhodnutia o registrácii a výrobca</w:t>
      </w:r>
    </w:p>
    <w:p w14:paraId="19562223" w14:textId="77777777" w:rsidR="00DE049D" w:rsidRPr="00EF6AAE" w:rsidRDefault="00DE049D" w:rsidP="00EF6AAE">
      <w:pPr>
        <w:spacing w:line="240" w:lineRule="atLeast"/>
        <w:rPr>
          <w:sz w:val="22"/>
          <w:szCs w:val="22"/>
        </w:rPr>
      </w:pPr>
      <w:r w:rsidRPr="00EF6AAE">
        <w:rPr>
          <w:sz w:val="22"/>
          <w:szCs w:val="22"/>
        </w:rPr>
        <w:t>Desitin Arzneimittel GmbH</w:t>
      </w:r>
    </w:p>
    <w:p w14:paraId="1868593B" w14:textId="77777777" w:rsidR="00DE049D" w:rsidRPr="00EF6AAE" w:rsidRDefault="00DE049D" w:rsidP="00EF6AAE">
      <w:pPr>
        <w:spacing w:line="240" w:lineRule="atLeast"/>
        <w:rPr>
          <w:sz w:val="22"/>
          <w:szCs w:val="22"/>
        </w:rPr>
      </w:pPr>
      <w:r w:rsidRPr="00EF6AAE">
        <w:rPr>
          <w:sz w:val="22"/>
          <w:szCs w:val="22"/>
        </w:rPr>
        <w:t>Weg beim Jäger 214</w:t>
      </w:r>
    </w:p>
    <w:p w14:paraId="7633EEF8" w14:textId="5EBBCA4C" w:rsidR="00F36318" w:rsidRPr="00EF6AAE" w:rsidRDefault="00F36318" w:rsidP="00EF6AAE">
      <w:pPr>
        <w:spacing w:line="240" w:lineRule="atLeast"/>
        <w:rPr>
          <w:sz w:val="22"/>
          <w:szCs w:val="22"/>
        </w:rPr>
      </w:pPr>
      <w:r w:rsidRPr="00EF6AAE">
        <w:rPr>
          <w:sz w:val="22"/>
          <w:szCs w:val="22"/>
        </w:rPr>
        <w:t>D-22335 Hamburg</w:t>
      </w:r>
    </w:p>
    <w:p w14:paraId="41638552" w14:textId="77777777" w:rsidR="00DE049D" w:rsidRPr="00EF6AAE" w:rsidRDefault="00DE049D" w:rsidP="00EF6AAE">
      <w:pPr>
        <w:spacing w:line="240" w:lineRule="atLeast"/>
        <w:rPr>
          <w:sz w:val="22"/>
          <w:szCs w:val="22"/>
        </w:rPr>
      </w:pPr>
      <w:r w:rsidRPr="00EF6AAE">
        <w:rPr>
          <w:sz w:val="22"/>
          <w:szCs w:val="22"/>
        </w:rPr>
        <w:t>Nemecko</w:t>
      </w:r>
    </w:p>
    <w:p w14:paraId="21FE83EA" w14:textId="77777777" w:rsidR="0017288F" w:rsidRPr="00EF6AAE" w:rsidRDefault="0017288F" w:rsidP="00EF6AAE">
      <w:pPr>
        <w:rPr>
          <w:bCs/>
          <w:sz w:val="22"/>
          <w:szCs w:val="22"/>
        </w:rPr>
      </w:pPr>
    </w:p>
    <w:p w14:paraId="3C177BC7" w14:textId="27E7437C" w:rsidR="0017288F" w:rsidRPr="00EF6AAE" w:rsidRDefault="0017288F" w:rsidP="00EF6AAE">
      <w:pPr>
        <w:rPr>
          <w:bCs/>
          <w:sz w:val="22"/>
          <w:szCs w:val="22"/>
        </w:rPr>
      </w:pPr>
      <w:r w:rsidRPr="00EF6AAE">
        <w:rPr>
          <w:b/>
          <w:sz w:val="22"/>
          <w:szCs w:val="22"/>
        </w:rPr>
        <w:t>Táto p</w:t>
      </w:r>
      <w:r w:rsidR="00472BDB" w:rsidRPr="00EF6AAE">
        <w:rPr>
          <w:b/>
          <w:sz w:val="22"/>
          <w:szCs w:val="22"/>
        </w:rPr>
        <w:t xml:space="preserve">ísomná informácia </w:t>
      </w:r>
      <w:r w:rsidRPr="00EF6AAE">
        <w:rPr>
          <w:b/>
          <w:sz w:val="22"/>
          <w:szCs w:val="22"/>
        </w:rPr>
        <w:t>bola naposledy aktualizovaná v</w:t>
      </w:r>
      <w:r w:rsidR="00472BDB" w:rsidRPr="00EF6AAE">
        <w:rPr>
          <w:b/>
          <w:sz w:val="22"/>
          <w:szCs w:val="22"/>
        </w:rPr>
        <w:t> septembri 2019</w:t>
      </w:r>
      <w:r w:rsidR="003D36E0" w:rsidRPr="00EF6AAE">
        <w:rPr>
          <w:b/>
          <w:sz w:val="22"/>
          <w:szCs w:val="22"/>
        </w:rPr>
        <w:t>.</w:t>
      </w:r>
    </w:p>
    <w:p w14:paraId="6BF45DFA" w14:textId="77777777" w:rsidR="00F96E18" w:rsidRPr="00EF6AAE" w:rsidRDefault="00F96E18" w:rsidP="00EF6AAE">
      <w:pPr>
        <w:rPr>
          <w:b/>
          <w:bCs/>
          <w:sz w:val="22"/>
          <w:szCs w:val="22"/>
        </w:rPr>
      </w:pPr>
    </w:p>
    <w:sectPr w:rsidR="00F96E18" w:rsidRPr="00EF6AAE" w:rsidSect="00EF6AAE">
      <w:headerReference w:type="default" r:id="rId11"/>
      <w:footerReference w:type="default" r:id="rId12"/>
      <w:pgSz w:w="11906" w:h="16838" w:code="9"/>
      <w:pgMar w:top="1418"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B8CF6" w14:textId="77777777" w:rsidR="006C3D96" w:rsidRDefault="006C3D96" w:rsidP="00FC0FDA">
      <w:r>
        <w:separator/>
      </w:r>
    </w:p>
  </w:endnote>
  <w:endnote w:type="continuationSeparator" w:id="0">
    <w:p w14:paraId="4A1E6B38" w14:textId="77777777" w:rsidR="006C3D96" w:rsidRDefault="006C3D96" w:rsidP="00FC0FDA">
      <w:r>
        <w:continuationSeparator/>
      </w:r>
    </w:p>
  </w:endnote>
  <w:endnote w:type="continuationNotice" w:id="1">
    <w:p w14:paraId="153C619C" w14:textId="77777777" w:rsidR="006C3D96" w:rsidRDefault="006C3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101746"/>
      <w:docPartObj>
        <w:docPartGallery w:val="Page Numbers (Bottom of Page)"/>
        <w:docPartUnique/>
      </w:docPartObj>
    </w:sdtPr>
    <w:sdtEndPr>
      <w:rPr>
        <w:sz w:val="18"/>
        <w:szCs w:val="18"/>
      </w:rPr>
    </w:sdtEndPr>
    <w:sdtContent>
      <w:p w14:paraId="6061A73C" w14:textId="10F7D63B" w:rsidR="00EF6AAE" w:rsidRPr="00EF6AAE" w:rsidRDefault="00EF6AAE">
        <w:pPr>
          <w:pStyle w:val="Pta"/>
          <w:jc w:val="center"/>
          <w:rPr>
            <w:sz w:val="18"/>
            <w:szCs w:val="18"/>
          </w:rPr>
        </w:pPr>
        <w:r w:rsidRPr="00EF6AAE">
          <w:rPr>
            <w:sz w:val="18"/>
            <w:szCs w:val="18"/>
          </w:rPr>
          <w:fldChar w:fldCharType="begin"/>
        </w:r>
        <w:r w:rsidRPr="00EF6AAE">
          <w:rPr>
            <w:sz w:val="18"/>
            <w:szCs w:val="18"/>
          </w:rPr>
          <w:instrText>PAGE   \* MERGEFORMAT</w:instrText>
        </w:r>
        <w:r w:rsidRPr="00EF6AAE">
          <w:rPr>
            <w:sz w:val="18"/>
            <w:szCs w:val="18"/>
          </w:rPr>
          <w:fldChar w:fldCharType="separate"/>
        </w:r>
        <w:r w:rsidRPr="00EF6AAE">
          <w:rPr>
            <w:noProof/>
            <w:sz w:val="18"/>
            <w:szCs w:val="18"/>
            <w:lang w:val="sk-SK"/>
          </w:rPr>
          <w:t>2</w:t>
        </w:r>
        <w:r w:rsidRPr="00EF6AAE">
          <w:rPr>
            <w:sz w:val="18"/>
            <w:szCs w:val="18"/>
          </w:rPr>
          <w:fldChar w:fldCharType="end"/>
        </w:r>
      </w:p>
    </w:sdtContent>
  </w:sdt>
  <w:p w14:paraId="60BF9D35" w14:textId="77777777" w:rsidR="004725C6" w:rsidRDefault="004725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B1DBB" w14:textId="77777777" w:rsidR="006C3D96" w:rsidRDefault="006C3D96" w:rsidP="00FC0FDA">
      <w:r>
        <w:separator/>
      </w:r>
    </w:p>
  </w:footnote>
  <w:footnote w:type="continuationSeparator" w:id="0">
    <w:p w14:paraId="6F673E6A" w14:textId="77777777" w:rsidR="006C3D96" w:rsidRDefault="006C3D96" w:rsidP="00FC0FDA">
      <w:r>
        <w:continuationSeparator/>
      </w:r>
    </w:p>
  </w:footnote>
  <w:footnote w:type="continuationNotice" w:id="1">
    <w:p w14:paraId="2DCEE4E8" w14:textId="77777777" w:rsidR="006C3D96" w:rsidRDefault="006C3D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A146F" w14:textId="77777777" w:rsidR="00FC0FDA" w:rsidRPr="008E28CF" w:rsidRDefault="00FC0FDA" w:rsidP="00FC0FDA">
    <w:pPr>
      <w:pStyle w:val="Hlavika"/>
      <w:rPr>
        <w:sz w:val="18"/>
        <w:szCs w:val="18"/>
      </w:rPr>
    </w:pPr>
    <w:r w:rsidRPr="008E28CF">
      <w:rPr>
        <w:sz w:val="18"/>
        <w:szCs w:val="18"/>
      </w:rPr>
      <w:t>Schválený text k rozhodnutiu o zmene, ev.č.: 2015/07515-ZME</w:t>
    </w:r>
  </w:p>
  <w:p w14:paraId="446ED046" w14:textId="77777777" w:rsidR="00FC0FDA" w:rsidRDefault="00FC0FD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6937"/>
    <w:multiLevelType w:val="hybridMultilevel"/>
    <w:tmpl w:val="850209AE"/>
    <w:lvl w:ilvl="0" w:tplc="0736E512">
      <w:start w:val="1"/>
      <w:numFmt w:val="bullet"/>
      <w:lvlText w:val="▪"/>
      <w:lvlJc w:val="left"/>
      <w:pPr>
        <w:tabs>
          <w:tab w:val="num" w:pos="927"/>
        </w:tabs>
        <w:ind w:left="927" w:hanging="360"/>
      </w:pPr>
      <w:rPr>
        <w:rFonts w:ascii="Times New Roman" w:hAnsi="Times New Roman" w:cs="Times New Roman" w:hint="default"/>
      </w:rPr>
    </w:lvl>
    <w:lvl w:ilvl="1" w:tplc="0736E512">
      <w:start w:val="1"/>
      <w:numFmt w:val="bullet"/>
      <w:lvlText w:val="▪"/>
      <w:lvlJc w:val="left"/>
      <w:pPr>
        <w:tabs>
          <w:tab w:val="num" w:pos="2007"/>
        </w:tabs>
        <w:ind w:left="2007" w:hanging="360"/>
      </w:pPr>
      <w:rPr>
        <w:rFonts w:ascii="Times New Roman" w:hAnsi="Times New Roman" w:cs="Times New Roman"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7421332"/>
    <w:multiLevelType w:val="multilevel"/>
    <w:tmpl w:val="B42EE08E"/>
    <w:lvl w:ilvl="0">
      <w:start w:val="1"/>
      <w:numFmt w:val="bullet"/>
      <w:lvlText w:val="•"/>
      <w:lvlJc w:val="left"/>
      <w:pPr>
        <w:ind w:left="567" w:hanging="567"/>
      </w:pPr>
      <w:rPr>
        <w:rFonts w:ascii="Arial" w:hAnsi="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9827822"/>
    <w:multiLevelType w:val="multilevel"/>
    <w:tmpl w:val="E1147874"/>
    <w:lvl w:ilvl="0">
      <w:numFmt w:val="bullet"/>
      <w:lvlText w:val=""/>
      <w:lvlJc w:val="left"/>
      <w:pPr>
        <w:tabs>
          <w:tab w:val="num" w:pos="1134"/>
        </w:tabs>
        <w:ind w:left="1134" w:hanging="567"/>
      </w:pPr>
      <w:rPr>
        <w:rFonts w:ascii="Symbol" w:hAnsi="Symbol" w:hint="default"/>
      </w:rPr>
    </w:lvl>
    <w:lvl w:ilvl="1">
      <w:start w:val="1"/>
      <w:numFmt w:val="bullet"/>
      <w:lvlText w:val="▪"/>
      <w:lvlJc w:val="left"/>
      <w:pPr>
        <w:tabs>
          <w:tab w:val="num" w:pos="2007"/>
        </w:tabs>
        <w:ind w:left="2007" w:hanging="360"/>
      </w:pPr>
      <w:rPr>
        <w:rFonts w:ascii="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AF32E90"/>
    <w:multiLevelType w:val="hybridMultilevel"/>
    <w:tmpl w:val="EFF2B522"/>
    <w:lvl w:ilvl="0" w:tplc="CA9C6364">
      <w:numFmt w:val="bullet"/>
      <w:lvlText w:val="•"/>
      <w:lvlJc w:val="left"/>
      <w:pPr>
        <w:tabs>
          <w:tab w:val="num" w:pos="567"/>
        </w:tabs>
        <w:ind w:left="567" w:hanging="567"/>
      </w:pPr>
      <w:rPr>
        <w:rFonts w:ascii="Times New Roman" w:hAnsi="Times New Roman" w:cs="Times New Roman" w:hint="default"/>
      </w:rPr>
    </w:lvl>
    <w:lvl w:ilvl="1" w:tplc="0736E512">
      <w:start w:val="1"/>
      <w:numFmt w:val="bullet"/>
      <w:lvlText w:val="▪"/>
      <w:lvlJc w:val="left"/>
      <w:pPr>
        <w:tabs>
          <w:tab w:val="num" w:pos="1440"/>
        </w:tabs>
        <w:ind w:left="1440" w:hanging="360"/>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163B5"/>
    <w:multiLevelType w:val="hybridMultilevel"/>
    <w:tmpl w:val="D9B6AEAE"/>
    <w:lvl w:ilvl="0" w:tplc="CA9C6364">
      <w:numFmt w:val="bullet"/>
      <w:lvlText w:val="•"/>
      <w:lvlJc w:val="left"/>
      <w:pPr>
        <w:tabs>
          <w:tab w:val="num" w:pos="567"/>
        </w:tabs>
        <w:ind w:left="567" w:hanging="567"/>
      </w:pPr>
      <w:rPr>
        <w:rFonts w:ascii="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618D0"/>
    <w:multiLevelType w:val="hybridMultilevel"/>
    <w:tmpl w:val="45CC2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E31620"/>
    <w:multiLevelType w:val="multilevel"/>
    <w:tmpl w:val="0BFC1476"/>
    <w:lvl w:ilvl="0">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5102C"/>
    <w:multiLevelType w:val="multilevel"/>
    <w:tmpl w:val="4548294A"/>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344452"/>
    <w:multiLevelType w:val="multilevel"/>
    <w:tmpl w:val="0BFC1476"/>
    <w:lvl w:ilvl="0">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224EC"/>
    <w:multiLevelType w:val="hybridMultilevel"/>
    <w:tmpl w:val="23F01FE4"/>
    <w:lvl w:ilvl="0" w:tplc="CA9C6364">
      <w:numFmt w:val="bullet"/>
      <w:lvlText w:val="•"/>
      <w:lvlJc w:val="left"/>
      <w:pPr>
        <w:tabs>
          <w:tab w:val="num" w:pos="567"/>
        </w:tabs>
        <w:ind w:left="567" w:hanging="567"/>
      </w:pPr>
      <w:rPr>
        <w:rFonts w:ascii="Times New Roman" w:hAnsi="Times New Roman" w:cs="Times New Roman" w:hint="default"/>
      </w:rPr>
    </w:lvl>
    <w:lvl w:ilvl="1" w:tplc="0736E512">
      <w:start w:val="1"/>
      <w:numFmt w:val="bullet"/>
      <w:lvlText w:val="▪"/>
      <w:lvlJc w:val="left"/>
      <w:pPr>
        <w:tabs>
          <w:tab w:val="num" w:pos="1440"/>
        </w:tabs>
        <w:ind w:left="1440" w:hanging="360"/>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13785B"/>
    <w:multiLevelType w:val="multilevel"/>
    <w:tmpl w:val="0BFC1476"/>
    <w:lvl w:ilvl="0">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767A92"/>
    <w:multiLevelType w:val="hybridMultilevel"/>
    <w:tmpl w:val="4A38DE6A"/>
    <w:lvl w:ilvl="0" w:tplc="676C0154">
      <w:numFmt w:val="bullet"/>
      <w:lvlText w:val=""/>
      <w:lvlJc w:val="left"/>
      <w:pPr>
        <w:tabs>
          <w:tab w:val="num" w:pos="567"/>
        </w:tabs>
        <w:ind w:left="567" w:hanging="567"/>
      </w:pPr>
      <w:rPr>
        <w:rFonts w:ascii="Symbol" w:hAnsi="Symbol" w:hint="default"/>
      </w:rPr>
    </w:lvl>
    <w:lvl w:ilvl="1" w:tplc="353A7210">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70365A"/>
    <w:multiLevelType w:val="multilevel"/>
    <w:tmpl w:val="4548294A"/>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CB2C94"/>
    <w:multiLevelType w:val="multilevel"/>
    <w:tmpl w:val="850209AE"/>
    <w:lvl w:ilvl="0">
      <w:start w:val="1"/>
      <w:numFmt w:val="bullet"/>
      <w:lvlText w:val="▪"/>
      <w:lvlJc w:val="left"/>
      <w:pPr>
        <w:tabs>
          <w:tab w:val="num" w:pos="927"/>
        </w:tabs>
        <w:ind w:left="927" w:hanging="360"/>
      </w:pPr>
      <w:rPr>
        <w:rFonts w:ascii="Times New Roman" w:hAnsi="Times New Roman" w:cs="Times New Roman" w:hint="default"/>
      </w:rPr>
    </w:lvl>
    <w:lvl w:ilvl="1">
      <w:start w:val="1"/>
      <w:numFmt w:val="bullet"/>
      <w:lvlText w:val="▪"/>
      <w:lvlJc w:val="left"/>
      <w:pPr>
        <w:tabs>
          <w:tab w:val="num" w:pos="2007"/>
        </w:tabs>
        <w:ind w:left="2007" w:hanging="360"/>
      </w:pPr>
      <w:rPr>
        <w:rFonts w:ascii="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650841FE"/>
    <w:multiLevelType w:val="hybridMultilevel"/>
    <w:tmpl w:val="E1147874"/>
    <w:lvl w:ilvl="0" w:tplc="676C0154">
      <w:numFmt w:val="bullet"/>
      <w:lvlText w:val=""/>
      <w:lvlJc w:val="left"/>
      <w:pPr>
        <w:tabs>
          <w:tab w:val="num" w:pos="1134"/>
        </w:tabs>
        <w:ind w:left="1134" w:hanging="567"/>
      </w:pPr>
      <w:rPr>
        <w:rFonts w:ascii="Symbol" w:hAnsi="Symbol" w:hint="default"/>
      </w:rPr>
    </w:lvl>
    <w:lvl w:ilvl="1" w:tplc="0736E512">
      <w:start w:val="1"/>
      <w:numFmt w:val="bullet"/>
      <w:lvlText w:val="▪"/>
      <w:lvlJc w:val="left"/>
      <w:pPr>
        <w:tabs>
          <w:tab w:val="num" w:pos="2007"/>
        </w:tabs>
        <w:ind w:left="2007" w:hanging="360"/>
      </w:pPr>
      <w:rPr>
        <w:rFonts w:ascii="Times New Roman" w:hAnsi="Times New Roman" w:cs="Times New Roman"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66E07F63"/>
    <w:multiLevelType w:val="hybridMultilevel"/>
    <w:tmpl w:val="0BFC1476"/>
    <w:lvl w:ilvl="0" w:tplc="676C0154">
      <w:numFmt w:val="bullet"/>
      <w:lvlText w:val=""/>
      <w:lvlJc w:val="left"/>
      <w:pPr>
        <w:tabs>
          <w:tab w:val="num" w:pos="567"/>
        </w:tabs>
        <w:ind w:left="567" w:hanging="567"/>
      </w:pPr>
      <w:rPr>
        <w:rFonts w:ascii="Symbol" w:hAnsi="Symbol" w:hint="default"/>
      </w:rPr>
    </w:lvl>
    <w:lvl w:ilvl="1" w:tplc="0736E512">
      <w:start w:val="1"/>
      <w:numFmt w:val="bullet"/>
      <w:lvlText w:val="▪"/>
      <w:lvlJc w:val="left"/>
      <w:pPr>
        <w:tabs>
          <w:tab w:val="num" w:pos="1440"/>
        </w:tabs>
        <w:ind w:left="1440" w:hanging="360"/>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A41807"/>
    <w:multiLevelType w:val="multilevel"/>
    <w:tmpl w:val="0BFC1476"/>
    <w:lvl w:ilvl="0">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69796D"/>
    <w:multiLevelType w:val="multilevel"/>
    <w:tmpl w:val="C400AAFC"/>
    <w:lvl w:ilvl="0">
      <w:start w:val="1"/>
      <w:numFmt w:val="bullet"/>
      <w:lvlText w:val="•"/>
      <w:lvlJc w:val="left"/>
      <w:pPr>
        <w:ind w:left="567" w:hanging="567"/>
      </w:pPr>
      <w:rPr>
        <w:rFonts w:ascii="Arial" w:hAnsi="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ECA7C1A"/>
    <w:multiLevelType w:val="hybridMultilevel"/>
    <w:tmpl w:val="4548294A"/>
    <w:lvl w:ilvl="0" w:tplc="676C0154">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B81FBF"/>
    <w:multiLevelType w:val="hybridMultilevel"/>
    <w:tmpl w:val="4636E20E"/>
    <w:lvl w:ilvl="0" w:tplc="CA9C6364">
      <w:numFmt w:val="bullet"/>
      <w:lvlText w:val="•"/>
      <w:lvlJc w:val="left"/>
      <w:pPr>
        <w:tabs>
          <w:tab w:val="num" w:pos="567"/>
        </w:tabs>
        <w:ind w:left="567" w:hanging="567"/>
      </w:pPr>
      <w:rPr>
        <w:rFonts w:ascii="Times New Roman" w:hAnsi="Times New Roman" w:cs="Times New Roman" w:hint="default"/>
      </w:rPr>
    </w:lvl>
    <w:lvl w:ilvl="1" w:tplc="0736E512">
      <w:start w:val="1"/>
      <w:numFmt w:val="bullet"/>
      <w:lvlText w:val="▪"/>
      <w:lvlJc w:val="left"/>
      <w:pPr>
        <w:tabs>
          <w:tab w:val="num" w:pos="1440"/>
        </w:tabs>
        <w:ind w:left="1440" w:hanging="360"/>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CF6281"/>
    <w:multiLevelType w:val="multilevel"/>
    <w:tmpl w:val="0BFC1476"/>
    <w:lvl w:ilvl="0">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60D16"/>
    <w:multiLevelType w:val="hybridMultilevel"/>
    <w:tmpl w:val="765620F8"/>
    <w:lvl w:ilvl="0" w:tplc="CA9C6364">
      <w:numFmt w:val="bullet"/>
      <w:lvlText w:val="•"/>
      <w:lvlJc w:val="left"/>
      <w:pPr>
        <w:tabs>
          <w:tab w:val="num" w:pos="567"/>
        </w:tabs>
        <w:ind w:left="567" w:hanging="567"/>
      </w:pPr>
      <w:rPr>
        <w:rFonts w:ascii="Times New Roman" w:hAnsi="Times New Roman" w:cs="Times New Roman" w:hint="default"/>
      </w:rPr>
    </w:lvl>
    <w:lvl w:ilvl="1" w:tplc="0736E512">
      <w:start w:val="1"/>
      <w:numFmt w:val="bullet"/>
      <w:lvlText w:val="▪"/>
      <w:lvlJc w:val="left"/>
      <w:pPr>
        <w:tabs>
          <w:tab w:val="num" w:pos="1440"/>
        </w:tabs>
        <w:ind w:left="1440" w:hanging="360"/>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2"/>
  </w:num>
  <w:num w:numId="4">
    <w:abstractNumId w:val="14"/>
  </w:num>
  <w:num w:numId="5">
    <w:abstractNumId w:val="2"/>
  </w:num>
  <w:num w:numId="6">
    <w:abstractNumId w:val="0"/>
  </w:num>
  <w:num w:numId="7">
    <w:abstractNumId w:val="13"/>
  </w:num>
  <w:num w:numId="8">
    <w:abstractNumId w:val="15"/>
  </w:num>
  <w:num w:numId="9">
    <w:abstractNumId w:val="17"/>
  </w:num>
  <w:num w:numId="10">
    <w:abstractNumId w:val="8"/>
  </w:num>
  <w:num w:numId="11">
    <w:abstractNumId w:val="7"/>
  </w:num>
  <w:num w:numId="12">
    <w:abstractNumId w:val="4"/>
  </w:num>
  <w:num w:numId="13">
    <w:abstractNumId w:val="16"/>
  </w:num>
  <w:num w:numId="14">
    <w:abstractNumId w:val="19"/>
  </w:num>
  <w:num w:numId="15">
    <w:abstractNumId w:val="10"/>
  </w:num>
  <w:num w:numId="16">
    <w:abstractNumId w:val="21"/>
  </w:num>
  <w:num w:numId="17">
    <w:abstractNumId w:val="20"/>
  </w:num>
  <w:num w:numId="18">
    <w:abstractNumId w:val="9"/>
  </w:num>
  <w:num w:numId="19">
    <w:abstractNumId w:val="6"/>
  </w:num>
  <w:num w:numId="20">
    <w:abstractNumId w:val="3"/>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09"/>
    <w:rsid w:val="00023991"/>
    <w:rsid w:val="00023D26"/>
    <w:rsid w:val="000357D7"/>
    <w:rsid w:val="0006464A"/>
    <w:rsid w:val="00067BE3"/>
    <w:rsid w:val="00074A68"/>
    <w:rsid w:val="00092986"/>
    <w:rsid w:val="000B4A9D"/>
    <w:rsid w:val="000C49F8"/>
    <w:rsid w:val="000D7315"/>
    <w:rsid w:val="000E0C54"/>
    <w:rsid w:val="000E38A9"/>
    <w:rsid w:val="000E3F16"/>
    <w:rsid w:val="000E67AE"/>
    <w:rsid w:val="000E7010"/>
    <w:rsid w:val="001063F5"/>
    <w:rsid w:val="00107DF8"/>
    <w:rsid w:val="00115C39"/>
    <w:rsid w:val="00145B09"/>
    <w:rsid w:val="00146818"/>
    <w:rsid w:val="00154962"/>
    <w:rsid w:val="001723D3"/>
    <w:rsid w:val="0017288F"/>
    <w:rsid w:val="00197FA2"/>
    <w:rsid w:val="001C225B"/>
    <w:rsid w:val="001C3CE8"/>
    <w:rsid w:val="001C4D1D"/>
    <w:rsid w:val="001D11FF"/>
    <w:rsid w:val="002666BE"/>
    <w:rsid w:val="00287FAE"/>
    <w:rsid w:val="002A50D1"/>
    <w:rsid w:val="002C685A"/>
    <w:rsid w:val="002E0B21"/>
    <w:rsid w:val="00300074"/>
    <w:rsid w:val="00301E1F"/>
    <w:rsid w:val="00317613"/>
    <w:rsid w:val="003223AC"/>
    <w:rsid w:val="00331FED"/>
    <w:rsid w:val="00332899"/>
    <w:rsid w:val="0034586F"/>
    <w:rsid w:val="00384F96"/>
    <w:rsid w:val="003B618A"/>
    <w:rsid w:val="003C6E1F"/>
    <w:rsid w:val="003D36E0"/>
    <w:rsid w:val="003D4CE3"/>
    <w:rsid w:val="003F7682"/>
    <w:rsid w:val="00422DF7"/>
    <w:rsid w:val="0044417A"/>
    <w:rsid w:val="00446DF6"/>
    <w:rsid w:val="0046099A"/>
    <w:rsid w:val="004725C6"/>
    <w:rsid w:val="00472BDB"/>
    <w:rsid w:val="0047304A"/>
    <w:rsid w:val="00493832"/>
    <w:rsid w:val="004B644F"/>
    <w:rsid w:val="004E10CB"/>
    <w:rsid w:val="004E2251"/>
    <w:rsid w:val="00504DFB"/>
    <w:rsid w:val="005111A9"/>
    <w:rsid w:val="00532162"/>
    <w:rsid w:val="005328A5"/>
    <w:rsid w:val="00546B40"/>
    <w:rsid w:val="005652F0"/>
    <w:rsid w:val="00582C01"/>
    <w:rsid w:val="005846CD"/>
    <w:rsid w:val="00592CD0"/>
    <w:rsid w:val="005A6347"/>
    <w:rsid w:val="005E05A2"/>
    <w:rsid w:val="005E5374"/>
    <w:rsid w:val="006020FE"/>
    <w:rsid w:val="0061586B"/>
    <w:rsid w:val="00643FE1"/>
    <w:rsid w:val="0065255E"/>
    <w:rsid w:val="00654C3B"/>
    <w:rsid w:val="00664B82"/>
    <w:rsid w:val="00667592"/>
    <w:rsid w:val="00683202"/>
    <w:rsid w:val="00692BEC"/>
    <w:rsid w:val="006A13BC"/>
    <w:rsid w:val="006B0E52"/>
    <w:rsid w:val="006B14A4"/>
    <w:rsid w:val="006B1BB3"/>
    <w:rsid w:val="006C3D96"/>
    <w:rsid w:val="006C5407"/>
    <w:rsid w:val="006E5BBA"/>
    <w:rsid w:val="006E6A2A"/>
    <w:rsid w:val="006F19DD"/>
    <w:rsid w:val="006F3FED"/>
    <w:rsid w:val="006F4C1C"/>
    <w:rsid w:val="00710752"/>
    <w:rsid w:val="0072035D"/>
    <w:rsid w:val="007353C5"/>
    <w:rsid w:val="0076727E"/>
    <w:rsid w:val="007B5DD2"/>
    <w:rsid w:val="007D580F"/>
    <w:rsid w:val="00801B8B"/>
    <w:rsid w:val="00813532"/>
    <w:rsid w:val="00820C83"/>
    <w:rsid w:val="00834F51"/>
    <w:rsid w:val="00836991"/>
    <w:rsid w:val="008500A6"/>
    <w:rsid w:val="008503FD"/>
    <w:rsid w:val="00857CB0"/>
    <w:rsid w:val="00867401"/>
    <w:rsid w:val="00873E03"/>
    <w:rsid w:val="008B162E"/>
    <w:rsid w:val="008C39F9"/>
    <w:rsid w:val="008E0CA5"/>
    <w:rsid w:val="008E3970"/>
    <w:rsid w:val="008F29CE"/>
    <w:rsid w:val="00926399"/>
    <w:rsid w:val="0092658E"/>
    <w:rsid w:val="00934A45"/>
    <w:rsid w:val="00947772"/>
    <w:rsid w:val="009574B7"/>
    <w:rsid w:val="00981ECE"/>
    <w:rsid w:val="00997CF1"/>
    <w:rsid w:val="009C75DC"/>
    <w:rsid w:val="009D28BA"/>
    <w:rsid w:val="009F1937"/>
    <w:rsid w:val="00A0243F"/>
    <w:rsid w:val="00A251A7"/>
    <w:rsid w:val="00A438E4"/>
    <w:rsid w:val="00A54E26"/>
    <w:rsid w:val="00A62C86"/>
    <w:rsid w:val="00A91B19"/>
    <w:rsid w:val="00A97167"/>
    <w:rsid w:val="00AA7DDC"/>
    <w:rsid w:val="00AB4D4D"/>
    <w:rsid w:val="00B53036"/>
    <w:rsid w:val="00B800EF"/>
    <w:rsid w:val="00B82CB7"/>
    <w:rsid w:val="00B83DE1"/>
    <w:rsid w:val="00B86857"/>
    <w:rsid w:val="00B946F4"/>
    <w:rsid w:val="00BB6E8B"/>
    <w:rsid w:val="00BE3CBD"/>
    <w:rsid w:val="00BE6A5D"/>
    <w:rsid w:val="00BF6E01"/>
    <w:rsid w:val="00C20DB5"/>
    <w:rsid w:val="00C628A9"/>
    <w:rsid w:val="00C651BE"/>
    <w:rsid w:val="00C67AAA"/>
    <w:rsid w:val="00C918EC"/>
    <w:rsid w:val="00C93EFB"/>
    <w:rsid w:val="00D14112"/>
    <w:rsid w:val="00D36B38"/>
    <w:rsid w:val="00D41B2A"/>
    <w:rsid w:val="00D41FF2"/>
    <w:rsid w:val="00D52D4C"/>
    <w:rsid w:val="00D728E7"/>
    <w:rsid w:val="00DC2BD3"/>
    <w:rsid w:val="00DC34ED"/>
    <w:rsid w:val="00DE049D"/>
    <w:rsid w:val="00DE74EA"/>
    <w:rsid w:val="00DE7EF4"/>
    <w:rsid w:val="00DF3B12"/>
    <w:rsid w:val="00E07AD0"/>
    <w:rsid w:val="00E1364E"/>
    <w:rsid w:val="00E214B5"/>
    <w:rsid w:val="00E30A6A"/>
    <w:rsid w:val="00E338E5"/>
    <w:rsid w:val="00E51D8A"/>
    <w:rsid w:val="00E607EF"/>
    <w:rsid w:val="00E80865"/>
    <w:rsid w:val="00E90B7E"/>
    <w:rsid w:val="00EB43FF"/>
    <w:rsid w:val="00EC67C5"/>
    <w:rsid w:val="00EF6AAE"/>
    <w:rsid w:val="00F10C35"/>
    <w:rsid w:val="00F123DD"/>
    <w:rsid w:val="00F36318"/>
    <w:rsid w:val="00F53E8A"/>
    <w:rsid w:val="00F54383"/>
    <w:rsid w:val="00F57D0C"/>
    <w:rsid w:val="00F8254A"/>
    <w:rsid w:val="00F94E75"/>
    <w:rsid w:val="00F96E18"/>
    <w:rsid w:val="00FA24A8"/>
    <w:rsid w:val="00FC0FDA"/>
    <w:rsid w:val="00FC74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8685EA1-5D94-4E84-9FB6-3C267A6B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eastAsia="en-US"/>
    </w:rPr>
  </w:style>
  <w:style w:type="paragraph" w:styleId="Nadpis1">
    <w:name w:val="heading 1"/>
    <w:basedOn w:val="Normlny"/>
    <w:next w:val="Normlny"/>
    <w:qFormat/>
    <w:pPr>
      <w:keepNext/>
      <w:outlineLvl w:val="0"/>
    </w:pPr>
    <w:rPr>
      <w:rFonts w:ascii="Arial" w:hAnsi="Arial" w:cs="Arial"/>
      <w:b/>
      <w:bCs/>
      <w:sz w:val="20"/>
    </w:rPr>
  </w:style>
  <w:style w:type="paragraph" w:styleId="Nadpis2">
    <w:name w:val="heading 2"/>
    <w:basedOn w:val="Normlny"/>
    <w:next w:val="Normlny"/>
    <w:qFormat/>
    <w:pPr>
      <w:keepNext/>
      <w:tabs>
        <w:tab w:val="left" w:pos="360"/>
      </w:tabs>
      <w:ind w:left="360" w:hanging="360"/>
      <w:outlineLvl w:val="1"/>
    </w:pPr>
    <w:rPr>
      <w:rFonts w:ascii="Arial" w:hAnsi="Arial" w:cs="Arial"/>
      <w:b/>
      <w:sz w:val="20"/>
    </w:rPr>
  </w:style>
  <w:style w:type="paragraph" w:styleId="Nadpis3">
    <w:name w:val="heading 3"/>
    <w:basedOn w:val="Normlny"/>
    <w:next w:val="Normlny"/>
    <w:qFormat/>
    <w:pPr>
      <w:keepNext/>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rFonts w:ascii="Arial" w:hAnsi="Arial" w:cs="Arial"/>
      <w:sz w:val="20"/>
    </w:rPr>
  </w:style>
  <w:style w:type="paragraph" w:styleId="Textbubliny">
    <w:name w:val="Balloon Text"/>
    <w:basedOn w:val="Normlny"/>
    <w:link w:val="TextbublinyChar"/>
    <w:semiHidden/>
    <w:rsid w:val="00B86857"/>
    <w:rPr>
      <w:rFonts w:ascii="Tahoma" w:hAnsi="Tahoma" w:cs="Tahoma"/>
      <w:sz w:val="16"/>
      <w:szCs w:val="16"/>
    </w:rPr>
  </w:style>
  <w:style w:type="table" w:styleId="Mriekatabuky">
    <w:name w:val="Table Grid"/>
    <w:basedOn w:val="Normlnatabuka"/>
    <w:rsid w:val="00947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link w:val="Textbubliny"/>
    <w:semiHidden/>
    <w:rsid w:val="001C225B"/>
    <w:rPr>
      <w:rFonts w:ascii="Tahoma" w:hAnsi="Tahoma" w:cs="Tahoma"/>
      <w:sz w:val="16"/>
      <w:szCs w:val="16"/>
      <w:lang w:val="sk-SK" w:eastAsia="en-US" w:bidi="ar-SA"/>
    </w:rPr>
  </w:style>
  <w:style w:type="paragraph" w:styleId="Zarkazkladnhotextu3">
    <w:name w:val="Body Text Indent 3"/>
    <w:basedOn w:val="Normlny"/>
    <w:link w:val="Zarkazkladnhotextu3Char"/>
    <w:semiHidden/>
    <w:rsid w:val="001C225B"/>
    <w:pPr>
      <w:spacing w:after="120"/>
      <w:ind w:left="283"/>
    </w:pPr>
    <w:rPr>
      <w:sz w:val="16"/>
      <w:szCs w:val="16"/>
    </w:rPr>
  </w:style>
  <w:style w:type="character" w:customStyle="1" w:styleId="Zarkazkladnhotextu3Char">
    <w:name w:val="Zarážka základného textu 3 Char"/>
    <w:link w:val="Zarkazkladnhotextu3"/>
    <w:semiHidden/>
    <w:rsid w:val="001C225B"/>
    <w:rPr>
      <w:sz w:val="16"/>
      <w:szCs w:val="16"/>
      <w:lang w:val="sk-SK" w:eastAsia="en-US" w:bidi="ar-SA"/>
    </w:rPr>
  </w:style>
  <w:style w:type="paragraph" w:styleId="Pta">
    <w:name w:val="footer"/>
    <w:basedOn w:val="Normlny"/>
    <w:link w:val="PtaChar"/>
    <w:uiPriority w:val="99"/>
    <w:rsid w:val="001C225B"/>
    <w:pPr>
      <w:tabs>
        <w:tab w:val="center" w:pos="4536"/>
        <w:tab w:val="right" w:pos="9072"/>
      </w:tabs>
    </w:pPr>
    <w:rPr>
      <w:lang w:val="x-none"/>
    </w:rPr>
  </w:style>
  <w:style w:type="character" w:customStyle="1" w:styleId="PtaChar">
    <w:name w:val="Päta Char"/>
    <w:link w:val="Pta"/>
    <w:uiPriority w:val="99"/>
    <w:rsid w:val="001C225B"/>
    <w:rPr>
      <w:sz w:val="24"/>
      <w:szCs w:val="24"/>
      <w:lang w:val="x-none" w:eastAsia="en-US" w:bidi="ar-SA"/>
    </w:rPr>
  </w:style>
  <w:style w:type="character" w:customStyle="1" w:styleId="hps">
    <w:name w:val="hps"/>
    <w:basedOn w:val="Predvolenpsmoodseku"/>
    <w:rsid w:val="009574B7"/>
  </w:style>
  <w:style w:type="character" w:styleId="Hypertextovprepojenie">
    <w:name w:val="Hyperlink"/>
    <w:rsid w:val="008C39F9"/>
    <w:rPr>
      <w:rFonts w:cs="Times New Roman"/>
      <w:color w:val="0000FF"/>
      <w:u w:val="single"/>
    </w:rPr>
  </w:style>
  <w:style w:type="paragraph" w:styleId="Hlavika">
    <w:name w:val="header"/>
    <w:basedOn w:val="Normlny"/>
    <w:link w:val="HlavikaChar"/>
    <w:uiPriority w:val="99"/>
    <w:unhideWhenUsed/>
    <w:rsid w:val="00FC0FDA"/>
    <w:pPr>
      <w:tabs>
        <w:tab w:val="center" w:pos="4536"/>
        <w:tab w:val="right" w:pos="9072"/>
      </w:tabs>
    </w:pPr>
  </w:style>
  <w:style w:type="character" w:customStyle="1" w:styleId="HlavikaChar">
    <w:name w:val="Hlavička Char"/>
    <w:link w:val="Hlavika"/>
    <w:uiPriority w:val="99"/>
    <w:rsid w:val="00FC0FDA"/>
    <w:rPr>
      <w:sz w:val="24"/>
      <w:szCs w:val="24"/>
      <w:lang w:eastAsia="en-US"/>
    </w:rPr>
  </w:style>
  <w:style w:type="character" w:styleId="Odkaznakomentr">
    <w:name w:val="annotation reference"/>
    <w:semiHidden/>
    <w:rsid w:val="00981ECE"/>
    <w:rPr>
      <w:sz w:val="16"/>
      <w:szCs w:val="16"/>
    </w:rPr>
  </w:style>
  <w:style w:type="paragraph" w:styleId="Textkomentra">
    <w:name w:val="annotation text"/>
    <w:basedOn w:val="Normlny"/>
    <w:link w:val="TextkomentraChar"/>
    <w:semiHidden/>
    <w:rsid w:val="00981ECE"/>
    <w:rPr>
      <w:sz w:val="20"/>
      <w:szCs w:val="20"/>
    </w:rPr>
  </w:style>
  <w:style w:type="character" w:customStyle="1" w:styleId="TextkomentraChar">
    <w:name w:val="Text komentára Char"/>
    <w:link w:val="Textkomentra"/>
    <w:semiHidden/>
    <w:rsid w:val="00981EC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80403">
      <w:bodyDiv w:val="1"/>
      <w:marLeft w:val="0"/>
      <w:marRight w:val="0"/>
      <w:marTop w:val="0"/>
      <w:marBottom w:val="0"/>
      <w:divBdr>
        <w:top w:val="none" w:sz="0" w:space="0" w:color="auto"/>
        <w:left w:val="none" w:sz="0" w:space="0" w:color="auto"/>
        <w:bottom w:val="none" w:sz="0" w:space="0" w:color="auto"/>
        <w:right w:val="none" w:sz="0" w:space="0" w:color="auto"/>
      </w:divBdr>
    </w:div>
    <w:div w:id="90349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webSettings" Target="webSettings.xml"/><Relationship Id="rId9" Type="http://schemas.openxmlformats.org/officeDocument/2006/relationships/hyperlink" Target="http://en.wikipedia.org/wiki/Benign"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3052</Words>
  <Characters>17397</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Príloha č</vt:lpstr>
    </vt:vector>
  </TitlesOfParts>
  <Company>Desitin</Company>
  <LinksUpToDate>false</LinksUpToDate>
  <CharactersWithSpaces>20409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7602233</vt:i4>
      </vt:variant>
      <vt:variant>
        <vt:i4>0</vt:i4>
      </vt:variant>
      <vt:variant>
        <vt:i4>0</vt:i4>
      </vt:variant>
      <vt:variant>
        <vt:i4>5</vt:i4>
      </vt:variant>
      <vt:variant>
        <vt:lpwstr>http://en.wikipedia.org/wiki/Benign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desitin</dc:creator>
  <cp:keywords/>
  <cp:lastModifiedBy>zuzana molnarova</cp:lastModifiedBy>
  <cp:revision>2</cp:revision>
  <cp:lastPrinted>2019-09-09T07:00:00Z</cp:lastPrinted>
  <dcterms:created xsi:type="dcterms:W3CDTF">2019-09-09T07:00:00Z</dcterms:created>
  <dcterms:modified xsi:type="dcterms:W3CDTF">2019-09-09T07:00:00Z</dcterms:modified>
</cp:coreProperties>
</file>