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16" w:rsidRPr="00660DF1" w:rsidRDefault="009803F3" w:rsidP="0081085B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660DF1">
        <w:rPr>
          <w:b/>
          <w:szCs w:val="22"/>
        </w:rPr>
        <w:t xml:space="preserve">Písomná informácia pre </w:t>
      </w:r>
      <w:r w:rsidR="00CA12AB" w:rsidRPr="00660DF1">
        <w:rPr>
          <w:b/>
          <w:szCs w:val="22"/>
        </w:rPr>
        <w:t>používateľa</w:t>
      </w:r>
    </w:p>
    <w:p w:rsidR="00812D16" w:rsidRPr="00660DF1" w:rsidRDefault="00812D16" w:rsidP="0081085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A865BC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Cefuroxim Mylan 250 m</w:t>
      </w:r>
      <w:r w:rsidR="0081085B" w:rsidRPr="00660DF1">
        <w:rPr>
          <w:b/>
          <w:szCs w:val="22"/>
        </w:rPr>
        <w:t>g</w:t>
      </w:r>
    </w:p>
    <w:p w:rsidR="0081085B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Cefuroxim Mylan 500 mg</w:t>
      </w:r>
    </w:p>
    <w:p w:rsidR="00A865BC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filmom obalené tablety</w:t>
      </w:r>
    </w:p>
    <w:p w:rsidR="0003373A" w:rsidRDefault="0003373A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812D16" w:rsidRPr="00660DF1" w:rsidRDefault="00A865BC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660DF1">
        <w:rPr>
          <w:szCs w:val="22"/>
        </w:rPr>
        <w:t>cefuroxím</w:t>
      </w:r>
    </w:p>
    <w:p w:rsidR="00A865BC" w:rsidRPr="00660DF1" w:rsidRDefault="00A865BC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812D16" w:rsidRPr="00660DF1" w:rsidRDefault="00812D16" w:rsidP="0081085B">
      <w:pPr>
        <w:tabs>
          <w:tab w:val="clear" w:pos="567"/>
        </w:tabs>
        <w:spacing w:line="240" w:lineRule="auto"/>
        <w:rPr>
          <w:szCs w:val="22"/>
        </w:rPr>
      </w:pPr>
    </w:p>
    <w:p w:rsidR="00812D16" w:rsidRPr="00660DF1" w:rsidRDefault="009803F3" w:rsidP="0081085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660DF1">
        <w:rPr>
          <w:b/>
          <w:szCs w:val="22"/>
        </w:rPr>
        <w:t xml:space="preserve">Pozorne si prečítajte celú písomnú informáciu predtým, ako začnete užívať </w:t>
      </w:r>
      <w:r w:rsidR="008827DF" w:rsidRPr="00660DF1">
        <w:rPr>
          <w:b/>
          <w:szCs w:val="22"/>
        </w:rPr>
        <w:t xml:space="preserve">tento liek, pretože </w:t>
      </w:r>
      <w:r w:rsidRPr="00660DF1">
        <w:rPr>
          <w:b/>
          <w:szCs w:val="22"/>
        </w:rPr>
        <w:t>obsahuje pre vás dôležité informácie.</w:t>
      </w:r>
    </w:p>
    <w:p w:rsidR="00812D16" w:rsidRPr="00660DF1" w:rsidRDefault="009803F3" w:rsidP="0081085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Túto písomnú informáciu si uschovajte. Možno bude potrebné, aby ste si ju znovu prečítali.</w:t>
      </w:r>
    </w:p>
    <w:p w:rsidR="00812D16" w:rsidRPr="00660DF1" w:rsidRDefault="009803F3" w:rsidP="0081085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Ak máte akékoľvek ďalšie otázky, obráťte sa na svojho lekára</w:t>
      </w:r>
      <w:r w:rsidR="008827DF" w:rsidRPr="00660DF1">
        <w:rPr>
          <w:szCs w:val="22"/>
        </w:rPr>
        <w:t xml:space="preserve"> </w:t>
      </w:r>
      <w:r w:rsidR="00210265" w:rsidRPr="00660DF1">
        <w:rPr>
          <w:szCs w:val="22"/>
        </w:rPr>
        <w:t xml:space="preserve">alebo </w:t>
      </w:r>
      <w:r w:rsidRPr="00660DF1">
        <w:rPr>
          <w:szCs w:val="22"/>
        </w:rPr>
        <w:t>lekárnika.</w:t>
      </w:r>
    </w:p>
    <w:p w:rsidR="00812D16" w:rsidRPr="00660DF1" w:rsidRDefault="009803F3" w:rsidP="0081085B">
      <w:pPr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-</w:t>
      </w:r>
      <w:r w:rsidR="00764505" w:rsidRPr="00660DF1">
        <w:rPr>
          <w:szCs w:val="22"/>
        </w:rPr>
        <w:tab/>
      </w:r>
      <w:r w:rsidRPr="00660DF1">
        <w:rPr>
          <w:szCs w:val="22"/>
        </w:rPr>
        <w:t>Tento liek bol predpísaný iba vám. Nedávajte ho nikomu inému. Môže mu uškodiť, dokonca aj vtedy, ak má rovnaké prejavy ochorenia ako vy.</w:t>
      </w:r>
    </w:p>
    <w:p w:rsidR="00812D16" w:rsidRPr="00660DF1" w:rsidRDefault="009803F3" w:rsidP="0081085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Ak sa u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vás vyskytne akýkoľvek vedľajší účinok, obráťte sa na svojho lekára</w:t>
      </w:r>
      <w:r w:rsidR="00D37EA9">
        <w:rPr>
          <w:szCs w:val="22"/>
        </w:rPr>
        <w:t xml:space="preserve"> alebo </w:t>
      </w:r>
      <w:r w:rsidRPr="00660DF1">
        <w:rPr>
          <w:szCs w:val="22"/>
        </w:rPr>
        <w:t>lekárnika</w:t>
      </w:r>
      <w:r w:rsidR="00D37EA9">
        <w:rPr>
          <w:szCs w:val="22"/>
        </w:rPr>
        <w:t>.</w:t>
      </w:r>
      <w:r w:rsidR="008827DF" w:rsidRPr="00660DF1">
        <w:rPr>
          <w:szCs w:val="22"/>
        </w:rPr>
        <w:t xml:space="preserve"> </w:t>
      </w:r>
      <w:r w:rsidRPr="00660DF1">
        <w:rPr>
          <w:szCs w:val="22"/>
        </w:rPr>
        <w:t xml:space="preserve"> To sa týka aj akýchkoľvek vedľajších účinkov, ktoré nie sú uvedené v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tejto písomnej informácii. Pozri časť 4.</w:t>
      </w:r>
    </w:p>
    <w:p w:rsidR="00812D16" w:rsidRPr="00660DF1" w:rsidRDefault="00812D1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12D16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>V tejto písomnej informácii sa dozviete:</w:t>
      </w:r>
    </w:p>
    <w:p w:rsidR="00945B61" w:rsidRPr="00660DF1" w:rsidRDefault="00945B61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F9016F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 xml:space="preserve">Čo je </w:t>
      </w:r>
      <w:r w:rsidR="00667D9E" w:rsidRPr="00660DF1">
        <w:rPr>
          <w:szCs w:val="22"/>
        </w:rPr>
        <w:t>Cefuroxim Mylan</w:t>
      </w:r>
      <w:r w:rsidRPr="00660DF1">
        <w:rPr>
          <w:szCs w:val="22"/>
        </w:rPr>
        <w:t xml:space="preserve"> a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na čo sa používa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Čo potrebujete vedieť predtým, ako užijete</w:t>
      </w:r>
      <w:r w:rsidR="00667D9E" w:rsidRPr="00660DF1">
        <w:rPr>
          <w:szCs w:val="22"/>
        </w:rPr>
        <w:t xml:space="preserve"> Cefuroxim Mylan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Ako užívať</w:t>
      </w:r>
      <w:r w:rsidR="00667D9E" w:rsidRPr="00660DF1">
        <w:rPr>
          <w:szCs w:val="22"/>
        </w:rPr>
        <w:t xml:space="preserve"> Cefuroxim Mylan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Možné vedľajšie účinky</w:t>
      </w:r>
    </w:p>
    <w:p w:rsidR="00F9016F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 xml:space="preserve">Ako uchovávať </w:t>
      </w:r>
      <w:r w:rsidR="00667D9E" w:rsidRPr="00660DF1">
        <w:rPr>
          <w:szCs w:val="22"/>
        </w:rPr>
        <w:t>Cefuroxim Mylan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Obsah balenia a ďalšie informácie</w:t>
      </w:r>
    </w:p>
    <w:p w:rsidR="00812D16" w:rsidRPr="00660DF1" w:rsidRDefault="00812D1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Čo je </w:t>
      </w:r>
      <w:r w:rsidR="00086460" w:rsidRPr="00660DF1">
        <w:rPr>
          <w:b/>
          <w:szCs w:val="22"/>
        </w:rPr>
        <w:t>Cefuroxim Mylan</w:t>
      </w:r>
      <w:r w:rsidRPr="00660DF1">
        <w:rPr>
          <w:b/>
          <w:szCs w:val="22"/>
        </w:rPr>
        <w:t xml:space="preserve"> a</w:t>
      </w:r>
      <w:r w:rsidR="008D28EA" w:rsidRPr="00660DF1">
        <w:rPr>
          <w:b/>
          <w:szCs w:val="22"/>
        </w:rPr>
        <w:t> </w:t>
      </w:r>
      <w:r w:rsidRPr="00660DF1">
        <w:rPr>
          <w:b/>
          <w:szCs w:val="22"/>
        </w:rPr>
        <w:t>na čo sa používa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4926F6" w:rsidRPr="00660DF1">
        <w:rPr>
          <w:szCs w:val="22"/>
        </w:rPr>
        <w:t xml:space="preserve"> je antibiotikum, ktoré sa používa u dospelých a</w:t>
      </w:r>
      <w:r w:rsidR="0081085B" w:rsidRPr="00660DF1">
        <w:rPr>
          <w:szCs w:val="22"/>
        </w:rPr>
        <w:t> </w:t>
      </w:r>
      <w:r w:rsidR="004926F6" w:rsidRPr="00660DF1">
        <w:rPr>
          <w:szCs w:val="22"/>
        </w:rPr>
        <w:t xml:space="preserve">detí. </w:t>
      </w:r>
      <w:r w:rsidR="004926F6" w:rsidRPr="00660DF1">
        <w:rPr>
          <w:szCs w:val="22"/>
          <w:lang w:eastAsia="en-GB"/>
        </w:rPr>
        <w:t>Účinkuje tak, že usmrcuje baktérie, ktoré spôsobujú infekcie</w:t>
      </w:r>
      <w:r w:rsidR="004926F6" w:rsidRPr="00660DF1">
        <w:rPr>
          <w:szCs w:val="22"/>
        </w:rPr>
        <w:t xml:space="preserve">. Patrí do skupiny liekov nazývaných </w:t>
      </w:r>
      <w:r w:rsidR="004926F6" w:rsidRPr="00660DF1">
        <w:rPr>
          <w:i/>
          <w:szCs w:val="22"/>
        </w:rPr>
        <w:t>cefalosporíny</w:t>
      </w:r>
      <w:r w:rsidR="004926F6" w:rsidRPr="00660DF1">
        <w:rPr>
          <w:szCs w:val="22"/>
        </w:rPr>
        <w:t>.</w:t>
      </w: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4926F6" w:rsidRPr="00660DF1">
        <w:rPr>
          <w:szCs w:val="22"/>
        </w:rPr>
        <w:t xml:space="preserve"> sa používa na liečbu infekcií: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hrdla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nosových dutín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stredného ucha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pľúc alebo hrudníka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močových ciest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kože a mäkkých tkanív</w:t>
      </w:r>
      <w:r w:rsidR="0081085B" w:rsidRPr="00660DF1">
        <w:rPr>
          <w:szCs w:val="22"/>
        </w:rPr>
        <w:t>.</w:t>
      </w:r>
    </w:p>
    <w:p w:rsidR="004926F6" w:rsidRPr="00660DF1" w:rsidRDefault="004926F6" w:rsidP="0081085B">
      <w:pPr>
        <w:spacing w:line="240" w:lineRule="auto"/>
        <w:rPr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4926F6" w:rsidRPr="00660DF1">
        <w:rPr>
          <w:szCs w:val="22"/>
        </w:rPr>
        <w:t xml:space="preserve"> sa môže používať aj: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na liečbu Lymskej boreliózy (infekcia, ktorú šíria parazity nazývané kliešte).</w:t>
      </w: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Calibri"/>
          <w:color w:val="000000"/>
          <w:szCs w:val="22"/>
          <w:lang w:eastAsia="zh-CN"/>
        </w:rPr>
      </w:pPr>
      <w:r w:rsidRPr="00660DF1">
        <w:rPr>
          <w:rFonts w:eastAsia="Calibri"/>
          <w:color w:val="000000"/>
          <w:szCs w:val="22"/>
          <w:lang w:eastAsia="zh-CN"/>
        </w:rPr>
        <w:t xml:space="preserve">Váš lekár môže otestovať typ baktérie, ktorá spôsobuje vašu infekciu a počas liečby sledovať, či sú baktérie citlivé na </w:t>
      </w:r>
      <w:r w:rsidR="00D730C0" w:rsidRPr="00660DF1">
        <w:rPr>
          <w:szCs w:val="22"/>
        </w:rPr>
        <w:t>Cefuroxim Mylan</w:t>
      </w:r>
      <w:r w:rsidRPr="00660DF1">
        <w:rPr>
          <w:rFonts w:eastAsia="Calibri"/>
          <w:color w:val="000000"/>
          <w:szCs w:val="22"/>
          <w:lang w:eastAsia="zh-CN"/>
        </w:rPr>
        <w:t>.</w:t>
      </w:r>
    </w:p>
    <w:p w:rsidR="009B6496" w:rsidRPr="00660DF1" w:rsidRDefault="009B649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96658" w:rsidRPr="00660DF1" w:rsidRDefault="00896658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>Čo potrebujete vedieť predtým, ako užijete</w:t>
      </w:r>
      <w:r w:rsidR="00086460" w:rsidRPr="00660DF1">
        <w:rPr>
          <w:b/>
          <w:szCs w:val="22"/>
        </w:rPr>
        <w:t xml:space="preserve"> Cefuroxim Mylan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b/>
          <w:szCs w:val="22"/>
        </w:rPr>
        <w:t xml:space="preserve">Neužívajte </w:t>
      </w:r>
      <w:r w:rsidR="00086460" w:rsidRPr="00660DF1">
        <w:rPr>
          <w:b/>
          <w:szCs w:val="22"/>
        </w:rPr>
        <w:t>Cefuroxim Mylan</w:t>
      </w:r>
    </w:p>
    <w:p w:rsidR="007167B5" w:rsidRPr="00660DF1" w:rsidRDefault="007167B5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ak ste alergický</w:t>
      </w:r>
      <w:r w:rsidRPr="00660DF1">
        <w:rPr>
          <w:szCs w:val="22"/>
        </w:rPr>
        <w:t xml:space="preserve"> na cefuroxím-axetil alebo na </w:t>
      </w:r>
      <w:r w:rsidR="006240F0">
        <w:rPr>
          <w:szCs w:val="22"/>
        </w:rPr>
        <w:t>ktoré</w:t>
      </w:r>
      <w:r w:rsidRPr="00660DF1">
        <w:rPr>
          <w:szCs w:val="22"/>
        </w:rPr>
        <w:t xml:space="preserve">koľvek cefalosporínové antibiotiká alebo na ktorúkoľvek z ďalších zložiek </w:t>
      </w:r>
      <w:r w:rsidR="002F2198" w:rsidRPr="00660DF1">
        <w:rPr>
          <w:szCs w:val="22"/>
        </w:rPr>
        <w:t>tohto lieku</w:t>
      </w:r>
      <w:r w:rsidRPr="00660DF1">
        <w:rPr>
          <w:szCs w:val="22"/>
        </w:rPr>
        <w:t xml:space="preserve"> (uvedených v časti 6)</w:t>
      </w:r>
    </w:p>
    <w:p w:rsidR="007167B5" w:rsidRPr="00660DF1" w:rsidRDefault="007167B5" w:rsidP="0081085B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 xml:space="preserve">ak ste niekedy mali závažnú alergickú reakciu (reakciu z precitlivenosti) na </w:t>
      </w:r>
      <w:r w:rsidR="006240F0">
        <w:rPr>
          <w:szCs w:val="22"/>
        </w:rPr>
        <w:t>ktoré</w:t>
      </w:r>
      <w:r w:rsidRPr="00660DF1">
        <w:rPr>
          <w:szCs w:val="22"/>
        </w:rPr>
        <w:t>koľvek iné typy betalaktámových antibiotík (penicilíny, monobaktámy a karbapen</w:t>
      </w:r>
      <w:r w:rsidR="006240F0">
        <w:rPr>
          <w:szCs w:val="22"/>
        </w:rPr>
        <w:t>é</w:t>
      </w:r>
      <w:r w:rsidRPr="00660DF1">
        <w:rPr>
          <w:szCs w:val="22"/>
        </w:rPr>
        <w:t>my)</w:t>
      </w:r>
    </w:p>
    <w:p w:rsidR="00D730C0" w:rsidRPr="00660DF1" w:rsidRDefault="002F2198" w:rsidP="0081085B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lastRenderedPageBreak/>
        <w:t>a</w:t>
      </w:r>
      <w:r w:rsidR="00D730C0" w:rsidRPr="00660DF1">
        <w:rPr>
          <w:szCs w:val="22"/>
        </w:rPr>
        <w:t xml:space="preserve">k si myslíte, že sa vás to týka, </w:t>
      </w:r>
      <w:r w:rsidR="00D730C0" w:rsidRPr="00660DF1">
        <w:rPr>
          <w:bCs/>
          <w:color w:val="000000"/>
          <w:szCs w:val="22"/>
          <w:lang w:eastAsia="en-GB"/>
        </w:rPr>
        <w:t xml:space="preserve">neužívajte </w:t>
      </w:r>
      <w:r w:rsidRPr="00660DF1">
        <w:rPr>
          <w:szCs w:val="22"/>
        </w:rPr>
        <w:t>Cefuroxim Mylan</w:t>
      </w:r>
      <w:r w:rsidR="00D730C0" w:rsidRPr="00660DF1">
        <w:rPr>
          <w:bCs/>
          <w:i/>
          <w:iCs/>
          <w:color w:val="000000"/>
          <w:szCs w:val="22"/>
          <w:lang w:eastAsia="en-GB"/>
        </w:rPr>
        <w:t xml:space="preserve">, </w:t>
      </w:r>
      <w:r w:rsidR="00D730C0" w:rsidRPr="00660DF1">
        <w:rPr>
          <w:szCs w:val="22"/>
          <w:lang w:eastAsia="en-GB"/>
        </w:rPr>
        <w:t>pokým sa o tom neporadíte so svojím lekárom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Upozornenia a opatrenia</w:t>
      </w:r>
    </w:p>
    <w:p w:rsidR="003C1CA5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 xml:space="preserve">Predtým, ako začnete užívať </w:t>
      </w:r>
      <w:r w:rsidR="004866C5" w:rsidRPr="00660DF1">
        <w:rPr>
          <w:szCs w:val="22"/>
        </w:rPr>
        <w:t>Cefuroxim Mylan</w:t>
      </w:r>
      <w:r w:rsidRPr="00660DF1">
        <w:rPr>
          <w:szCs w:val="22"/>
        </w:rPr>
        <w:t>, obráťte sa na svojho lekára</w:t>
      </w:r>
      <w:r w:rsidR="00F868AB" w:rsidRPr="00660DF1">
        <w:rPr>
          <w:szCs w:val="22"/>
        </w:rPr>
        <w:t xml:space="preserve"> alebo</w:t>
      </w:r>
      <w:r w:rsidR="004866C5" w:rsidRPr="00660DF1">
        <w:rPr>
          <w:szCs w:val="22"/>
        </w:rPr>
        <w:t xml:space="preserve"> </w:t>
      </w:r>
      <w:r w:rsidRPr="00660DF1">
        <w:rPr>
          <w:szCs w:val="22"/>
        </w:rPr>
        <w:t>lekárnika.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C1CA5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660DF1">
        <w:rPr>
          <w:b/>
          <w:szCs w:val="22"/>
        </w:rPr>
        <w:t xml:space="preserve">Deti </w:t>
      </w:r>
      <w:r w:rsidR="000A3B6B" w:rsidRPr="00660DF1">
        <w:rPr>
          <w:b/>
          <w:szCs w:val="22"/>
        </w:rPr>
        <w:t>a dospievajúci</w:t>
      </w:r>
    </w:p>
    <w:p w:rsidR="00DB09F9" w:rsidRPr="00660DF1" w:rsidRDefault="000A3B6B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DB09F9" w:rsidRPr="00660DF1">
        <w:rPr>
          <w:szCs w:val="22"/>
        </w:rPr>
        <w:t xml:space="preserve"> sa neodporúča pre deti mladšie ako 3 mesiace, pretože jeho bezpečnosť a účinnosť v tejto vekovej skupine nie sú známe.</w:t>
      </w: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 xml:space="preserve">Počas užívania </w:t>
      </w:r>
      <w:r w:rsidR="000A3B6B" w:rsidRPr="00660DF1">
        <w:rPr>
          <w:szCs w:val="22"/>
        </w:rPr>
        <w:t>Cefuroximu Mylan</w:t>
      </w:r>
      <w:r w:rsidRPr="00660DF1">
        <w:rPr>
          <w:szCs w:val="22"/>
        </w:rPr>
        <w:t xml:space="preserve"> si musíte dávať pozor na určité príznaky, akými sú alergické reakcie, plesňové infekcie (napríklad </w:t>
      </w:r>
      <w:r w:rsidRPr="00660DF1">
        <w:rPr>
          <w:i/>
          <w:szCs w:val="22"/>
        </w:rPr>
        <w:t>kandidóza</w:t>
      </w:r>
      <w:r w:rsidRPr="00660DF1">
        <w:rPr>
          <w:szCs w:val="22"/>
        </w:rPr>
        <w:t>) a závažná hnačka (</w:t>
      </w:r>
      <w:r w:rsidRPr="00660DF1">
        <w:rPr>
          <w:i/>
          <w:szCs w:val="22"/>
        </w:rPr>
        <w:t>pseudomembranózna kolitída</w:t>
      </w:r>
      <w:r w:rsidRPr="00660DF1">
        <w:rPr>
          <w:szCs w:val="22"/>
        </w:rPr>
        <w:t>). Zníži sa tak riziko vzniku akýchkoľvek problémov. Pozri „Zdravotné ťažkosti, na ktoré si musíte dávať pozor“ v časti 4.</w:t>
      </w: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B09F9" w:rsidRPr="00660DF1" w:rsidRDefault="00DB09F9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660DF1">
        <w:rPr>
          <w:b/>
          <w:bCs/>
          <w:szCs w:val="22"/>
        </w:rPr>
        <w:t>Ak potrebujete krvné vyšetrenie</w:t>
      </w:r>
    </w:p>
    <w:p w:rsidR="00DB09F9" w:rsidRPr="00660DF1" w:rsidRDefault="0094147F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DB09F9" w:rsidRPr="00660DF1">
        <w:rPr>
          <w:szCs w:val="22"/>
          <w:lang w:eastAsia="en-GB"/>
        </w:rPr>
        <w:t xml:space="preserve"> môže ovplyvniť výsledky vyšetrenia zisťujúceho hladiny cukru v krvi, alebo krvného vyšetrenia nazývaného </w:t>
      </w:r>
      <w:r w:rsidR="00DB09F9" w:rsidRPr="00660DF1">
        <w:rPr>
          <w:i/>
          <w:iCs/>
          <w:szCs w:val="22"/>
          <w:lang w:eastAsia="en-GB"/>
        </w:rPr>
        <w:t>Coombsov test</w:t>
      </w:r>
      <w:r w:rsidR="00DB09F9" w:rsidRPr="00660DF1">
        <w:rPr>
          <w:szCs w:val="22"/>
          <w:lang w:eastAsia="en-GB"/>
        </w:rPr>
        <w:t>. Ak potrebujete krvné vyšetrenie</w:t>
      </w:r>
      <w:r w:rsidR="00DB09F9" w:rsidRPr="00660DF1">
        <w:rPr>
          <w:bCs/>
          <w:szCs w:val="22"/>
        </w:rPr>
        <w:t>:</w:t>
      </w:r>
    </w:p>
    <w:p w:rsidR="00DB09F9" w:rsidRPr="00660DF1" w:rsidRDefault="00DB09F9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bCs/>
          <w:szCs w:val="22"/>
          <w:lang w:eastAsia="en-GB"/>
        </w:rPr>
        <w:t>povedzte osobe, ktorá vám odoberá vzorku krvi</w:t>
      </w:r>
      <w:r w:rsidRPr="00660DF1">
        <w:rPr>
          <w:szCs w:val="22"/>
          <w:lang w:eastAsia="en-GB"/>
        </w:rPr>
        <w:t xml:space="preserve">, že užívate </w:t>
      </w:r>
      <w:r w:rsidR="0094147F" w:rsidRPr="00660DF1">
        <w:rPr>
          <w:szCs w:val="22"/>
        </w:rPr>
        <w:t>Cefuroxim Mylan</w:t>
      </w:r>
      <w:r w:rsidRPr="00660DF1">
        <w:rPr>
          <w:szCs w:val="22"/>
        </w:rPr>
        <w:t>.</w:t>
      </w:r>
    </w:p>
    <w:p w:rsidR="003C1CA5" w:rsidRPr="00660DF1" w:rsidRDefault="003C1CA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b/>
          <w:szCs w:val="22"/>
        </w:rPr>
        <w:t>Iné lieky a</w:t>
      </w:r>
      <w:r w:rsidR="00CB5F46" w:rsidRPr="00660DF1">
        <w:rPr>
          <w:b/>
          <w:szCs w:val="22"/>
        </w:rPr>
        <w:t> </w:t>
      </w:r>
      <w:r w:rsidR="00B703D1" w:rsidRPr="00660DF1">
        <w:rPr>
          <w:b/>
          <w:szCs w:val="22"/>
        </w:rPr>
        <w:t>Cefuroxim Mylan</w:t>
      </w: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Ak teraz užívate alebo ste v</w:t>
      </w:r>
      <w:r w:rsidR="00CB5F46" w:rsidRPr="00660DF1">
        <w:rPr>
          <w:szCs w:val="22"/>
        </w:rPr>
        <w:t> </w:t>
      </w:r>
      <w:r w:rsidRPr="00660DF1">
        <w:rPr>
          <w:szCs w:val="22"/>
        </w:rPr>
        <w:t>poslednom čase užívali, či práve budete užívať ďalšie lieky, povedzte to svojmu lekárovi</w:t>
      </w:r>
      <w:r w:rsidR="00B703D1" w:rsidRPr="00660DF1">
        <w:rPr>
          <w:szCs w:val="22"/>
        </w:rPr>
        <w:t xml:space="preserve"> </w:t>
      </w:r>
      <w:r w:rsidRPr="00660DF1">
        <w:rPr>
          <w:szCs w:val="22"/>
        </w:rPr>
        <w:t>alebo</w:t>
      </w:r>
      <w:r w:rsidR="00B703D1" w:rsidRPr="00660DF1">
        <w:rPr>
          <w:szCs w:val="22"/>
        </w:rPr>
        <w:t xml:space="preserve"> </w:t>
      </w:r>
      <w:r w:rsidRPr="00660DF1">
        <w:rPr>
          <w:szCs w:val="22"/>
        </w:rPr>
        <w:t>lekárnikovi</w:t>
      </w:r>
      <w:r w:rsidR="00B703D1" w:rsidRPr="00660DF1">
        <w:rPr>
          <w:szCs w:val="22"/>
        </w:rPr>
        <w:t>.</w:t>
      </w:r>
    </w:p>
    <w:p w:rsidR="00E10C58" w:rsidRPr="00660DF1" w:rsidRDefault="00E10C58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bCs/>
          <w:szCs w:val="22"/>
        </w:rPr>
        <w:t xml:space="preserve">Lieky, ktoré sa používajú na </w:t>
      </w:r>
      <w:r w:rsidRPr="00660DF1">
        <w:rPr>
          <w:szCs w:val="22"/>
        </w:rPr>
        <w:t>zníženie množstva žalúdočnej kyseliny</w:t>
      </w:r>
      <w:r w:rsidRPr="00660DF1">
        <w:rPr>
          <w:bCs/>
          <w:szCs w:val="22"/>
        </w:rPr>
        <w:t xml:space="preserve"> (napr. </w:t>
      </w:r>
      <w:r w:rsidRPr="00660DF1">
        <w:rPr>
          <w:bCs/>
          <w:i/>
          <w:iCs/>
          <w:szCs w:val="22"/>
        </w:rPr>
        <w:t>antacidá</w:t>
      </w:r>
      <w:r w:rsidRPr="00660DF1">
        <w:rPr>
          <w:bCs/>
          <w:szCs w:val="22"/>
        </w:rPr>
        <w:t xml:space="preserve"> používané na liečbu </w:t>
      </w:r>
      <w:r w:rsidRPr="00660DF1">
        <w:rPr>
          <w:szCs w:val="22"/>
        </w:rPr>
        <w:t>pálenia záhy</w:t>
      </w:r>
      <w:r w:rsidRPr="00660DF1">
        <w:rPr>
          <w:bCs/>
          <w:szCs w:val="22"/>
        </w:rPr>
        <w:t xml:space="preserve">), môžu ovplyvniť spôsob, akým </w:t>
      </w:r>
      <w:r w:rsidR="00AA1401" w:rsidRPr="00660DF1">
        <w:rPr>
          <w:szCs w:val="22"/>
        </w:rPr>
        <w:t>Cefuroxim Mylan</w:t>
      </w:r>
      <w:r w:rsidRPr="00660DF1">
        <w:rPr>
          <w:bCs/>
          <w:szCs w:val="22"/>
        </w:rPr>
        <w:t xml:space="preserve"> účinkuje</w:t>
      </w:r>
      <w:r w:rsidRPr="00660DF1">
        <w:rPr>
          <w:color w:val="000000"/>
          <w:szCs w:val="22"/>
          <w:lang w:eastAsia="en-GB"/>
        </w:rPr>
        <w:t>.</w:t>
      </w: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color w:val="000000"/>
          <w:szCs w:val="22"/>
          <w:lang w:eastAsia="en-GB"/>
        </w:rPr>
        <w:t>Probenecid</w:t>
      </w:r>
      <w:r w:rsidR="00AD4946" w:rsidRPr="00660DF1">
        <w:rPr>
          <w:color w:val="000000"/>
          <w:szCs w:val="22"/>
          <w:lang w:eastAsia="en-GB"/>
        </w:rPr>
        <w:t xml:space="preserve"> (na liečbu dny)</w:t>
      </w: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color w:val="000000"/>
          <w:szCs w:val="22"/>
          <w:lang w:eastAsia="en-GB"/>
        </w:rPr>
        <w:t>Perorálne (ústami užívané) antikoagulanciá (lieky zabraňujúce zrážaniu krvi</w:t>
      </w:r>
      <w:r w:rsidR="00825042" w:rsidRPr="00660DF1">
        <w:rPr>
          <w:color w:val="000000"/>
          <w:szCs w:val="22"/>
          <w:lang w:eastAsia="en-GB"/>
        </w:rPr>
        <w:t>, napr. warfarín</w:t>
      </w:r>
      <w:r w:rsidRPr="00660DF1">
        <w:rPr>
          <w:color w:val="000000"/>
          <w:szCs w:val="22"/>
          <w:lang w:eastAsia="en-GB"/>
        </w:rPr>
        <w:t>)</w:t>
      </w:r>
    </w:p>
    <w:p w:rsidR="00E10C58" w:rsidRPr="00660DF1" w:rsidRDefault="00E10C58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E10C58" w:rsidRPr="00660DF1" w:rsidRDefault="00E10C58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en-GB"/>
        </w:rPr>
      </w:pPr>
      <w:r w:rsidRPr="00660DF1">
        <w:rPr>
          <w:b/>
          <w:bCs/>
          <w:szCs w:val="22"/>
          <w:lang w:eastAsia="en-GB"/>
        </w:rPr>
        <w:t>Antikoncepčné tablety</w:t>
      </w:r>
    </w:p>
    <w:p w:rsidR="00E10C58" w:rsidRPr="00660DF1" w:rsidRDefault="00AA0BDB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</w:rPr>
        <w:t>Cefuroxim Mylan</w:t>
      </w:r>
      <w:r w:rsidR="00E10C58" w:rsidRPr="00660DF1">
        <w:rPr>
          <w:szCs w:val="22"/>
          <w:lang w:eastAsia="en-GB"/>
        </w:rPr>
        <w:t xml:space="preserve"> môže znížiť účinnosť antikoncepčných tabliet. Ak počas liečby </w:t>
      </w:r>
      <w:r w:rsidR="00DC2A32" w:rsidRPr="00660DF1">
        <w:rPr>
          <w:szCs w:val="22"/>
        </w:rPr>
        <w:t>Cefuroximom Mylan</w:t>
      </w:r>
      <w:r w:rsidR="00E10C58" w:rsidRPr="00660DF1">
        <w:rPr>
          <w:szCs w:val="22"/>
          <w:lang w:eastAsia="en-GB"/>
        </w:rPr>
        <w:t xml:space="preserve"> užívate antikoncepčné tablety, je potrebné, aby ste používali aj </w:t>
      </w:r>
      <w:r w:rsidR="00E10C58" w:rsidRPr="00660DF1">
        <w:rPr>
          <w:bCs/>
          <w:szCs w:val="22"/>
          <w:lang w:eastAsia="en-GB"/>
        </w:rPr>
        <w:t>bariérový spôsob</w:t>
      </w:r>
      <w:r w:rsidR="00E10C58" w:rsidRPr="00660DF1">
        <w:rPr>
          <w:b/>
          <w:bCs/>
          <w:szCs w:val="22"/>
          <w:lang w:eastAsia="en-GB"/>
        </w:rPr>
        <w:t xml:space="preserve"> </w:t>
      </w:r>
      <w:r w:rsidR="00E10C58" w:rsidRPr="00660DF1">
        <w:rPr>
          <w:bCs/>
          <w:szCs w:val="22"/>
          <w:lang w:eastAsia="en-GB"/>
        </w:rPr>
        <w:t>antikoncepcie</w:t>
      </w:r>
      <w:r w:rsidR="00E10C58" w:rsidRPr="00660DF1">
        <w:rPr>
          <w:szCs w:val="22"/>
          <w:lang w:eastAsia="en-GB"/>
        </w:rPr>
        <w:t xml:space="preserve"> (napríklad prezervatívy). Poraďte sa o tom so svojím lekárom.</w:t>
      </w:r>
    </w:p>
    <w:p w:rsidR="00E10C58" w:rsidRPr="00660DF1" w:rsidRDefault="00E10C58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>Tehotenstvo a</w:t>
      </w:r>
      <w:r w:rsidR="00E10C58" w:rsidRPr="00660DF1">
        <w:rPr>
          <w:b/>
          <w:szCs w:val="22"/>
        </w:rPr>
        <w:t> </w:t>
      </w:r>
      <w:r w:rsidRPr="00660DF1">
        <w:rPr>
          <w:b/>
          <w:szCs w:val="22"/>
        </w:rPr>
        <w:t>dojčenie</w:t>
      </w:r>
      <w:r w:rsidR="00E10C58" w:rsidRPr="00660DF1">
        <w:rPr>
          <w:b/>
          <w:szCs w:val="22"/>
        </w:rPr>
        <w:t xml:space="preserve"> </w:t>
      </w:r>
      <w:r w:rsidRPr="00660DF1">
        <w:rPr>
          <w:b/>
          <w:szCs w:val="22"/>
        </w:rPr>
        <w:t>a plodnosť</w:t>
      </w: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Ak ste tehotná alebo dojčíte, ak si myslíte, že ste tehotná alebo ak plánujete otehotnieť, poraďte sa so svojím lekárom</w:t>
      </w:r>
      <w:r w:rsidR="002861ED" w:rsidRPr="00660DF1">
        <w:rPr>
          <w:szCs w:val="22"/>
        </w:rPr>
        <w:t xml:space="preserve"> </w:t>
      </w:r>
      <w:r w:rsidRPr="00660DF1">
        <w:rPr>
          <w:szCs w:val="22"/>
        </w:rPr>
        <w:t>alebo</w:t>
      </w:r>
      <w:r w:rsidR="002861ED" w:rsidRPr="00660DF1">
        <w:rPr>
          <w:szCs w:val="22"/>
        </w:rPr>
        <w:t xml:space="preserve"> </w:t>
      </w:r>
      <w:r w:rsidRPr="00660DF1">
        <w:rPr>
          <w:szCs w:val="22"/>
        </w:rPr>
        <w:t>lekárnikom predtým, ako začnete užívať tento liek.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04A08" w:rsidRPr="00660DF1" w:rsidRDefault="00504A08" w:rsidP="008108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eastAsia="en-US" w:bidi="ar-SA"/>
        </w:rPr>
      </w:pPr>
      <w:r w:rsidRPr="00660DF1">
        <w:rPr>
          <w:b/>
          <w:bCs/>
          <w:szCs w:val="22"/>
          <w:lang w:eastAsia="en-GB" w:bidi="ar-SA"/>
        </w:rPr>
        <w:t>Vedenie vozidiel a obsluha strojov</w:t>
      </w:r>
    </w:p>
    <w:p w:rsidR="003F634E" w:rsidRPr="00660DF1" w:rsidRDefault="004865F4" w:rsidP="0081085B">
      <w:pPr>
        <w:tabs>
          <w:tab w:val="clear" w:pos="567"/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szCs w:val="22"/>
        </w:rPr>
        <w:t>Cefuroxim Mylan</w:t>
      </w:r>
      <w:r w:rsidRPr="00660DF1">
        <w:rPr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u vás môže vyvolať závraty</w:t>
      </w:r>
      <w:r w:rsidR="003F634E" w:rsidRPr="00660DF1">
        <w:rPr>
          <w:szCs w:val="22"/>
          <w:lang w:eastAsia="en-GB"/>
        </w:rPr>
        <w:t xml:space="preserve"> a môže mať ďalšie vedľajšie účinky, ktoré znižujú vašu pozornosť</w:t>
      </w:r>
      <w:r w:rsidR="003F634E" w:rsidRPr="00660DF1">
        <w:rPr>
          <w:color w:val="000000"/>
          <w:szCs w:val="22"/>
          <w:lang w:eastAsia="en-GB"/>
        </w:rPr>
        <w:t>.</w:t>
      </w:r>
      <w:r w:rsidR="00DA5912" w:rsidRPr="00660DF1">
        <w:rPr>
          <w:color w:val="000000"/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Neveďte vozidlá ani neobsluhujte stroje</w:t>
      </w:r>
      <w:r w:rsidR="003F634E" w:rsidRPr="00660DF1">
        <w:rPr>
          <w:szCs w:val="22"/>
          <w:lang w:eastAsia="en-GB"/>
        </w:rPr>
        <w:t>, pokým sa necítite dobre</w:t>
      </w:r>
      <w:r w:rsidR="003F634E" w:rsidRPr="00660DF1">
        <w:rPr>
          <w:color w:val="000000"/>
          <w:szCs w:val="22"/>
          <w:lang w:eastAsia="en-GB"/>
        </w:rPr>
        <w:t>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3F634E" w:rsidRPr="00660DF1" w:rsidRDefault="00DA5912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660DF1">
        <w:rPr>
          <w:b/>
          <w:szCs w:val="22"/>
        </w:rPr>
        <w:t>Cefuroxim Mylan obsahuje sodík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szCs w:val="22"/>
        </w:rPr>
        <w:t>Tento liek obsahuje menej ako 1 mmol sodíka (23 mg)</w:t>
      </w:r>
      <w:r w:rsidR="00A02DAF" w:rsidRPr="00660DF1">
        <w:rPr>
          <w:szCs w:val="22"/>
        </w:rPr>
        <w:t xml:space="preserve"> v jednej tablete</w:t>
      </w:r>
      <w:r w:rsidRPr="00660DF1">
        <w:rPr>
          <w:szCs w:val="22"/>
        </w:rPr>
        <w:t>, t. j. v podstate zanedbateľné množstvo sodíka.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A5912" w:rsidRPr="00660DF1" w:rsidRDefault="00DA5912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Ako užívať </w:t>
      </w:r>
      <w:r w:rsidR="00524876" w:rsidRPr="00660DF1">
        <w:rPr>
          <w:b/>
          <w:szCs w:val="22"/>
        </w:rPr>
        <w:t>Cefuroxim Mylan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Vždy užívajte tento liek presne tak, ako vám povedal váš lekár alebo lekárnik.</w:t>
      </w:r>
      <w:r w:rsidRPr="00660DF1">
        <w:rPr>
          <w:bCs/>
          <w:szCs w:val="22"/>
        </w:rPr>
        <w:t xml:space="preserve"> Ak si nie ste niečím istý, overte si to u svojho lekára alebo lekárnika.</w:t>
      </w:r>
    </w:p>
    <w:p w:rsidR="003F634E" w:rsidRPr="00660DF1" w:rsidRDefault="003F634E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F634E" w:rsidRPr="00660DF1" w:rsidRDefault="0068186C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</w:rPr>
        <w:t>Cefuroxim Mylan</w:t>
      </w:r>
      <w:r w:rsidR="003F634E" w:rsidRPr="00660DF1">
        <w:rPr>
          <w:szCs w:val="22"/>
          <w:lang w:eastAsia="en-GB"/>
        </w:rPr>
        <w:t xml:space="preserve"> užívajte po jedle. </w:t>
      </w:r>
      <w:r w:rsidR="003F634E" w:rsidRPr="00660DF1">
        <w:rPr>
          <w:bCs/>
          <w:color w:val="000000"/>
          <w:szCs w:val="22"/>
        </w:rPr>
        <w:t>Pomôže to zvýšiť účinnosť liečby</w:t>
      </w:r>
      <w:r w:rsidR="003F634E" w:rsidRPr="00660DF1">
        <w:rPr>
          <w:szCs w:val="22"/>
          <w:lang w:eastAsia="en-GB"/>
        </w:rPr>
        <w:t>.</w:t>
      </w:r>
      <w:r w:rsidRPr="00660DF1">
        <w:rPr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Tablety prehltnite vcelku a zapite vodou.</w:t>
      </w:r>
      <w:r w:rsidRPr="00660DF1">
        <w:rPr>
          <w:bCs/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Tablety nežujte, nedrvte ani nedeľte</w:t>
      </w:r>
      <w:r w:rsidR="003F634E" w:rsidRPr="00660DF1">
        <w:rPr>
          <w:szCs w:val="22"/>
          <w:lang w:eastAsia="en-GB"/>
        </w:rPr>
        <w:t> </w:t>
      </w:r>
      <w:r w:rsidR="003F634E" w:rsidRPr="00660DF1">
        <w:rPr>
          <w:szCs w:val="22"/>
          <w:lang w:eastAsia="en-GB"/>
        </w:rPr>
        <w:noBreakHyphen/>
        <w:t> môže to znížiť účinnosť liečby.</w:t>
      </w:r>
      <w:r w:rsidRPr="00660DF1">
        <w:rPr>
          <w:szCs w:val="22"/>
          <w:lang w:eastAsia="en-GB"/>
        </w:rPr>
        <w:t xml:space="preserve"> Pre pacientov, ktorí nie sú schopní tablety prehĺtať, môžu byť k dispozícii iné vhodnejšie </w:t>
      </w:r>
      <w:r w:rsidR="00E95992" w:rsidRPr="00660DF1">
        <w:rPr>
          <w:szCs w:val="22"/>
          <w:lang w:eastAsia="en-GB"/>
        </w:rPr>
        <w:t>liekové formy</w:t>
      </w:r>
      <w:r w:rsidRPr="00660DF1">
        <w:rPr>
          <w:szCs w:val="22"/>
          <w:lang w:eastAsia="en-GB"/>
        </w:rPr>
        <w:t>, napríklad perorálna suspenzia.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lastRenderedPageBreak/>
        <w:t>Odporúčaná</w:t>
      </w:r>
      <w:r w:rsidRPr="00660DF1">
        <w:rPr>
          <w:bCs/>
          <w:color w:val="000000"/>
          <w:szCs w:val="22"/>
        </w:rPr>
        <w:t xml:space="preserve"> dávka je 250 mg až 500 mg dvakrát denne v závislosti od závažnosti a druhu infekcie</w:t>
      </w:r>
      <w:r w:rsidRPr="00660DF1">
        <w:rPr>
          <w:szCs w:val="22"/>
        </w:rPr>
        <w:t>.</w:t>
      </w: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</w:p>
    <w:p w:rsidR="003F634E" w:rsidRPr="00660DF1" w:rsidRDefault="00B87FF3" w:rsidP="0081085B">
      <w:pPr>
        <w:keepNext/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b/>
          <w:szCs w:val="22"/>
        </w:rPr>
      </w:pPr>
      <w:r>
        <w:rPr>
          <w:b/>
          <w:szCs w:val="22"/>
        </w:rPr>
        <w:t>Použitie u d</w:t>
      </w:r>
      <w:r w:rsidR="003F634E" w:rsidRPr="00660DF1">
        <w:rPr>
          <w:b/>
          <w:szCs w:val="22"/>
        </w:rPr>
        <w:t>et</w:t>
      </w:r>
      <w:r>
        <w:rPr>
          <w:b/>
          <w:szCs w:val="22"/>
        </w:rPr>
        <w:t>í</w:t>
      </w:r>
      <w:r w:rsidR="00A765D1" w:rsidRPr="00660DF1">
        <w:rPr>
          <w:b/>
          <w:szCs w:val="22"/>
        </w:rPr>
        <w:t xml:space="preserve"> a</w:t>
      </w:r>
      <w:r w:rsidR="0081085B" w:rsidRPr="00660DF1">
        <w:rPr>
          <w:b/>
          <w:szCs w:val="22"/>
        </w:rPr>
        <w:t> </w:t>
      </w:r>
      <w:r w:rsidR="00A765D1" w:rsidRPr="00660DF1">
        <w:rPr>
          <w:b/>
          <w:szCs w:val="22"/>
        </w:rPr>
        <w:t>dospievajúci</w:t>
      </w:r>
      <w:r>
        <w:rPr>
          <w:b/>
          <w:szCs w:val="22"/>
        </w:rPr>
        <w:t>ch</w:t>
      </w: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Odporúčaná</w:t>
      </w:r>
      <w:r w:rsidRPr="00660DF1">
        <w:rPr>
          <w:bCs/>
          <w:szCs w:val="22"/>
          <w:lang w:eastAsia="en-GB"/>
        </w:rPr>
        <w:t xml:space="preserve"> dávka </w:t>
      </w:r>
      <w:r w:rsidR="00AA46FF" w:rsidRPr="00660DF1">
        <w:rPr>
          <w:szCs w:val="22"/>
        </w:rPr>
        <w:t>Cefuroximu Mylan</w:t>
      </w:r>
      <w:r w:rsidR="00AA46FF" w:rsidRPr="00660DF1">
        <w:rPr>
          <w:szCs w:val="22"/>
          <w:lang w:eastAsia="en-GB"/>
        </w:rPr>
        <w:t xml:space="preserve"> </w:t>
      </w:r>
      <w:r w:rsidRPr="00660DF1">
        <w:rPr>
          <w:szCs w:val="22"/>
          <w:lang w:eastAsia="en-GB"/>
        </w:rPr>
        <w:t>je 10 mg/kg (maximálne 125 mg) až 15 mg/kg (maximálne 250 mg) dvakrát</w:t>
      </w:r>
      <w:r w:rsidRPr="00660DF1">
        <w:rPr>
          <w:szCs w:val="22"/>
        </w:rPr>
        <w:t xml:space="preserve"> denne v závislosti od: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color w:val="000000"/>
          <w:szCs w:val="22"/>
        </w:rPr>
        <w:t>závažnosti a druhu infekcie</w:t>
      </w:r>
      <w:r w:rsidR="008330D5" w:rsidRPr="00660DF1">
        <w:rPr>
          <w:bCs/>
          <w:color w:val="000000"/>
          <w:szCs w:val="22"/>
        </w:rPr>
        <w:t>.</w:t>
      </w:r>
    </w:p>
    <w:p w:rsidR="003F634E" w:rsidRPr="00660DF1" w:rsidRDefault="003F634E" w:rsidP="0081085B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3F634E" w:rsidRPr="00660DF1" w:rsidRDefault="008330D5" w:rsidP="0081085B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</w:rPr>
        <w:t>Cefuroxim Mylan</w:t>
      </w:r>
      <w:r w:rsidR="003F634E" w:rsidRPr="00660DF1">
        <w:rPr>
          <w:szCs w:val="22"/>
        </w:rPr>
        <w:t xml:space="preserve"> sa neodporúča pre deti mladšie ako 3 mesiace, pretože jeho bezpečnosť a účinnosť v tejto vekovej skupine nie sú známe</w:t>
      </w:r>
      <w:r w:rsidR="003F634E" w:rsidRPr="00660DF1">
        <w:rPr>
          <w:szCs w:val="22"/>
          <w:lang w:eastAsia="en-GB"/>
        </w:rPr>
        <w:t>.</w:t>
      </w:r>
    </w:p>
    <w:p w:rsidR="003F634E" w:rsidRPr="00660DF1" w:rsidRDefault="003F634E" w:rsidP="0081085B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V závislosti od ochorenia a</w:t>
      </w:r>
      <w:r w:rsidR="00C60862">
        <w:rPr>
          <w:bCs/>
          <w:szCs w:val="22"/>
        </w:rPr>
        <w:t>lebo</w:t>
      </w:r>
      <w:r w:rsidRPr="00660DF1">
        <w:rPr>
          <w:bCs/>
          <w:szCs w:val="22"/>
        </w:rPr>
        <w:t xml:space="preserve"> od toho, ako vy alebo vaše dieťa reagujete na liečbu, môže byť </w:t>
      </w:r>
      <w:r w:rsidR="00D05B61">
        <w:rPr>
          <w:bCs/>
          <w:szCs w:val="22"/>
        </w:rPr>
        <w:t>za</w:t>
      </w:r>
      <w:r w:rsidRPr="00660DF1">
        <w:rPr>
          <w:bCs/>
          <w:szCs w:val="22"/>
        </w:rPr>
        <w:t>čiatočná dávka zmenená alebo môže byť potrebný viac ako jeden cyklus liečby</w:t>
      </w:r>
      <w:r w:rsidRPr="00660DF1">
        <w:rPr>
          <w:szCs w:val="22"/>
          <w:lang w:eastAsia="en-GB"/>
        </w:rPr>
        <w:t>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eastAsia="en-GB"/>
        </w:rPr>
      </w:pPr>
      <w:r w:rsidRPr="00660DF1">
        <w:rPr>
          <w:b/>
          <w:szCs w:val="22"/>
          <w:lang w:eastAsia="en-GB"/>
        </w:rPr>
        <w:t>Pacienti s problémami s</w:t>
      </w:r>
      <w:r w:rsidR="0081085B" w:rsidRPr="00660DF1">
        <w:rPr>
          <w:b/>
          <w:szCs w:val="22"/>
          <w:lang w:eastAsia="en-GB"/>
        </w:rPr>
        <w:t> </w:t>
      </w:r>
      <w:r w:rsidRPr="00660DF1">
        <w:rPr>
          <w:b/>
          <w:szCs w:val="22"/>
          <w:lang w:eastAsia="en-GB"/>
        </w:rPr>
        <w:t>obličkami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Ak máte problém s obličkami, váš lekár vám môže zmeniť dávku.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Ak sa vás to týka, poraďte sa so svojím lekárom.</w:t>
      </w:r>
    </w:p>
    <w:p w:rsidR="009B6496" w:rsidRPr="00660DF1" w:rsidRDefault="009B6496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 xml:space="preserve">Ak užijete viac </w:t>
      </w:r>
      <w:r w:rsidR="00524876" w:rsidRPr="00660DF1">
        <w:rPr>
          <w:b/>
          <w:szCs w:val="22"/>
        </w:rPr>
        <w:t>Cefuroximu Mylan</w:t>
      </w:r>
      <w:r w:rsidRPr="00660DF1">
        <w:rPr>
          <w:b/>
          <w:szCs w:val="22"/>
        </w:rPr>
        <w:t>, ako máte</w:t>
      </w:r>
    </w:p>
    <w:p w:rsidR="003F29CC" w:rsidRPr="00660DF1" w:rsidRDefault="003F29CC" w:rsidP="0081085B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bCs/>
          <w:szCs w:val="22"/>
        </w:rPr>
        <w:t xml:space="preserve">Ak užijete priveľké množstvo </w:t>
      </w:r>
      <w:r w:rsidR="00BC6779" w:rsidRPr="00660DF1">
        <w:rPr>
          <w:bCs/>
          <w:szCs w:val="22"/>
        </w:rPr>
        <w:t>Cefuroximu Mylan</w:t>
      </w:r>
      <w:r w:rsidRPr="00660DF1">
        <w:rPr>
          <w:bCs/>
          <w:szCs w:val="22"/>
        </w:rPr>
        <w:t>, môžu sa u vás objaviť neurologické poruchy, konkrétne</w:t>
      </w:r>
      <w:r w:rsidRPr="00660DF1">
        <w:rPr>
          <w:szCs w:val="22"/>
          <w:lang w:eastAsia="en-GB"/>
        </w:rPr>
        <w:t xml:space="preserve"> sa u vás môže </w:t>
      </w:r>
      <w:r w:rsidRPr="00660DF1">
        <w:rPr>
          <w:bCs/>
          <w:szCs w:val="22"/>
          <w:lang w:eastAsia="en-GB"/>
        </w:rPr>
        <w:t>zvýšiť pravdepodobnosť výskytu kŕčov</w:t>
      </w:r>
      <w:r w:rsidRPr="00660DF1">
        <w:rPr>
          <w:szCs w:val="22"/>
          <w:lang w:eastAsia="en-GB"/>
        </w:rPr>
        <w:t xml:space="preserve"> (</w:t>
      </w:r>
      <w:r w:rsidRPr="00660DF1">
        <w:rPr>
          <w:iCs/>
          <w:szCs w:val="22"/>
          <w:lang w:eastAsia="en-GB"/>
        </w:rPr>
        <w:t>záchvatov kŕčov</w:t>
      </w:r>
      <w:r w:rsidRPr="00660DF1">
        <w:rPr>
          <w:color w:val="000000"/>
          <w:szCs w:val="22"/>
          <w:lang w:eastAsia="en-GB"/>
        </w:rPr>
        <w:t>).</w:t>
      </w:r>
    </w:p>
    <w:p w:rsidR="003F29CC" w:rsidRPr="00660DF1" w:rsidRDefault="003F29CC" w:rsidP="0081085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 xml:space="preserve">Nečakajte a bezodkladne sa obráťte na svojho lekára alebo choďte na najbližšiu lekársku pohotovosť. Ak je to možné, ukážte </w:t>
      </w:r>
      <w:r w:rsidR="005E3020" w:rsidRPr="00660DF1">
        <w:rPr>
          <w:szCs w:val="22"/>
        </w:rPr>
        <w:t xml:space="preserve">im </w:t>
      </w:r>
      <w:r w:rsidRPr="00660DF1">
        <w:rPr>
          <w:szCs w:val="22"/>
        </w:rPr>
        <w:t xml:space="preserve">balenie </w:t>
      </w:r>
      <w:r w:rsidR="001531DC" w:rsidRPr="00660DF1">
        <w:rPr>
          <w:szCs w:val="22"/>
          <w:lang w:eastAsia="en-GB"/>
        </w:rPr>
        <w:t>Cefuroximu Mylan</w:t>
      </w:r>
      <w:r w:rsidRPr="00660DF1">
        <w:rPr>
          <w:szCs w:val="22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660DF1">
        <w:rPr>
          <w:b/>
          <w:szCs w:val="22"/>
        </w:rPr>
        <w:t>Ak zabudnete užiť</w:t>
      </w:r>
      <w:r w:rsidR="00524876" w:rsidRPr="00660DF1">
        <w:rPr>
          <w:b/>
          <w:szCs w:val="22"/>
        </w:rPr>
        <w:t xml:space="preserve"> Cefuroxim Mylan</w:t>
      </w:r>
    </w:p>
    <w:p w:rsidR="00865AD3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eastAsia="en-GB"/>
        </w:rPr>
      </w:pPr>
      <w:r w:rsidRPr="00660DF1">
        <w:rPr>
          <w:szCs w:val="22"/>
        </w:rPr>
        <w:t xml:space="preserve">Neužívajte dvojnásobnú dávku, aby ste nahradili vynechanú </w:t>
      </w:r>
      <w:r w:rsidR="00EC1325">
        <w:rPr>
          <w:szCs w:val="22"/>
        </w:rPr>
        <w:t>tabletu</w:t>
      </w:r>
      <w:r w:rsidR="00865AD3" w:rsidRPr="00660DF1">
        <w:rPr>
          <w:szCs w:val="22"/>
        </w:rPr>
        <w:t>. Stačí, ak vašu ďalšiu dávku užijete vo zvyčajnom čase</w:t>
      </w:r>
      <w:r w:rsidR="00865AD3" w:rsidRPr="00660DF1">
        <w:rPr>
          <w:color w:val="000000"/>
          <w:szCs w:val="22"/>
          <w:lang w:eastAsia="en-GB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 xml:space="preserve">Ak prestanete užívať </w:t>
      </w:r>
      <w:r w:rsidR="00524876" w:rsidRPr="00660DF1">
        <w:rPr>
          <w:b/>
          <w:szCs w:val="22"/>
        </w:rPr>
        <w:t>Cefuroxim Mylan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bCs/>
          <w:szCs w:val="22"/>
          <w:lang w:eastAsia="en-GB"/>
        </w:rPr>
        <w:t xml:space="preserve">Neprestaňte užívať </w:t>
      </w:r>
      <w:r w:rsidR="00355A5F" w:rsidRPr="00660DF1">
        <w:rPr>
          <w:szCs w:val="22"/>
          <w:lang w:eastAsia="en-GB"/>
        </w:rPr>
        <w:t>Cefuroxim Mylan</w:t>
      </w:r>
      <w:r w:rsidRPr="00660DF1">
        <w:rPr>
          <w:bCs/>
          <w:szCs w:val="22"/>
          <w:lang w:eastAsia="en-GB"/>
        </w:rPr>
        <w:t xml:space="preserve"> bez odporúčania</w:t>
      </w:r>
      <w:r w:rsidR="00355A5F" w:rsidRPr="00660DF1">
        <w:rPr>
          <w:bCs/>
          <w:szCs w:val="22"/>
          <w:lang w:eastAsia="en-GB"/>
        </w:rPr>
        <w:t>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</w:rPr>
      </w:pP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bCs/>
          <w:szCs w:val="22"/>
          <w:lang w:eastAsia="en-GB"/>
        </w:rPr>
        <w:t xml:space="preserve">Je dôležité, aby ste dokončili celý cyklus liečby </w:t>
      </w:r>
      <w:r w:rsidR="00903BF6" w:rsidRPr="00660DF1">
        <w:rPr>
          <w:szCs w:val="22"/>
          <w:lang w:eastAsia="en-GB"/>
        </w:rPr>
        <w:t>Cefuroximom Mylan</w:t>
      </w:r>
      <w:r w:rsidRPr="00660DF1">
        <w:rPr>
          <w:bCs/>
          <w:szCs w:val="22"/>
          <w:lang w:eastAsia="en-GB"/>
        </w:rPr>
        <w:t>.</w:t>
      </w:r>
      <w:r w:rsidRPr="00660DF1">
        <w:rPr>
          <w:szCs w:val="22"/>
          <w:lang w:eastAsia="en-GB"/>
        </w:rPr>
        <w:t xml:space="preserve"> Neprestaňte ho užívať, pokým vám to neodporučí váš lekár</w:t>
      </w:r>
      <w:r w:rsidRPr="00660DF1">
        <w:rPr>
          <w:szCs w:val="22"/>
        </w:rPr>
        <w:t> </w:t>
      </w:r>
      <w:r w:rsidRPr="00660DF1">
        <w:rPr>
          <w:szCs w:val="22"/>
        </w:rPr>
        <w:noBreakHyphen/>
        <w:t> dokonca ani vtedy, keď sa cítite lepšie. Ak nedokončíte celý cyklus liečby, infekcia sa vám môže vrátiť.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660DF1">
        <w:rPr>
          <w:szCs w:val="22"/>
        </w:rPr>
        <w:t>Ak máte akékoľvek ďalšie otázky týkajúce sa použitia tohto lieku, opýtajte sa svojho lekára</w:t>
      </w:r>
      <w:r w:rsidR="001726CA" w:rsidRPr="00660DF1">
        <w:rPr>
          <w:szCs w:val="22"/>
        </w:rPr>
        <w:t xml:space="preserve"> alebo</w:t>
      </w:r>
      <w:r w:rsidRPr="00660DF1">
        <w:rPr>
          <w:szCs w:val="22"/>
        </w:rPr>
        <w:t xml:space="preserve"> lekárnika.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szCs w:val="22"/>
        </w:rPr>
      </w:pPr>
      <w:r w:rsidRPr="00660DF1">
        <w:rPr>
          <w:b/>
          <w:szCs w:val="22"/>
        </w:rPr>
        <w:t>Možné vedľajšie účinky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660DF1">
        <w:rPr>
          <w:szCs w:val="22"/>
        </w:rPr>
        <w:t>Tak ako všetky lieky, aj tento liek môže spôsobovať vedľajšie účinky, hoci sa neprejavia u</w:t>
      </w:r>
      <w:r w:rsidR="00CB5F46" w:rsidRPr="00660DF1">
        <w:rPr>
          <w:szCs w:val="22"/>
        </w:rPr>
        <w:t> </w:t>
      </w:r>
      <w:r w:rsidRPr="00660DF1">
        <w:rPr>
          <w:szCs w:val="22"/>
        </w:rPr>
        <w:t>každého.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865AD3" w:rsidRPr="00660DF1" w:rsidRDefault="00865AD3" w:rsidP="0081085B">
      <w:pPr>
        <w:keepNext/>
        <w:spacing w:line="240" w:lineRule="auto"/>
        <w:outlineLvl w:val="0"/>
        <w:rPr>
          <w:b/>
          <w:color w:val="000000"/>
          <w:szCs w:val="22"/>
        </w:rPr>
      </w:pPr>
      <w:r w:rsidRPr="00660DF1">
        <w:rPr>
          <w:b/>
          <w:color w:val="000000"/>
          <w:szCs w:val="22"/>
        </w:rPr>
        <w:t>Zdravotné ťažkosti, na ktoré si musíte dávať pozor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szCs w:val="22"/>
        </w:rPr>
        <w:t xml:space="preserve">U malého počtu ľudí, ktorí užívajú </w:t>
      </w:r>
      <w:r w:rsidR="00470FAA" w:rsidRPr="00660DF1">
        <w:rPr>
          <w:szCs w:val="22"/>
          <w:lang w:eastAsia="en-GB"/>
        </w:rPr>
        <w:t>Cefuroxim Mylan</w:t>
      </w:r>
      <w:r w:rsidRPr="00660DF1">
        <w:rPr>
          <w:szCs w:val="22"/>
        </w:rPr>
        <w:t xml:space="preserve">, sa objaví alergická reakcia alebo potenciálne závažná kožná reakcia. Medzi príznaky týchto reakcií patria: 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outlineLvl w:val="0"/>
        <w:rPr>
          <w:szCs w:val="22"/>
          <w:lang w:eastAsia="en-GB"/>
        </w:rPr>
      </w:pPr>
    </w:p>
    <w:p w:rsidR="00865AD3" w:rsidRPr="00660DF1" w:rsidRDefault="00470FAA" w:rsidP="0081085B">
      <w:pPr>
        <w:keepNext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GB"/>
        </w:rPr>
      </w:pPr>
      <w:r w:rsidRPr="00660DF1">
        <w:rPr>
          <w:b/>
          <w:szCs w:val="22"/>
          <w:lang w:eastAsia="en-GB"/>
        </w:rPr>
        <w:t>z</w:t>
      </w:r>
      <w:r w:rsidR="00865AD3" w:rsidRPr="00660DF1">
        <w:rPr>
          <w:b/>
          <w:szCs w:val="22"/>
          <w:lang w:eastAsia="en-GB"/>
        </w:rPr>
        <w:t>ávažná alergická reakcia</w:t>
      </w:r>
      <w:r w:rsidR="00865AD3" w:rsidRPr="00660DF1">
        <w:rPr>
          <w:szCs w:val="22"/>
          <w:lang w:eastAsia="en-GB"/>
        </w:rPr>
        <w:t xml:space="preserve">. Medzi jej prejavy patria </w:t>
      </w:r>
      <w:r w:rsidR="00865AD3" w:rsidRPr="00660DF1">
        <w:rPr>
          <w:b/>
          <w:szCs w:val="22"/>
          <w:lang w:eastAsia="en-GB"/>
        </w:rPr>
        <w:t>vyvýšená a svrbivá vyrážka, opuch</w:t>
      </w:r>
      <w:r w:rsidR="00865AD3" w:rsidRPr="00660DF1">
        <w:rPr>
          <w:szCs w:val="22"/>
          <w:lang w:eastAsia="en-GB"/>
        </w:rPr>
        <w:t xml:space="preserve">, ktorý niekedy postihuje tvár alebo ústa a spôsobuje </w:t>
      </w:r>
      <w:r w:rsidR="00865AD3" w:rsidRPr="00660DF1">
        <w:rPr>
          <w:b/>
          <w:szCs w:val="22"/>
          <w:lang w:eastAsia="en-GB"/>
        </w:rPr>
        <w:t>ťažkosti s</w:t>
      </w:r>
      <w:r w:rsidR="001208B1" w:rsidRPr="00660DF1">
        <w:rPr>
          <w:b/>
          <w:szCs w:val="22"/>
          <w:lang w:eastAsia="en-GB"/>
        </w:rPr>
        <w:t> </w:t>
      </w:r>
      <w:r w:rsidR="00865AD3" w:rsidRPr="00660DF1">
        <w:rPr>
          <w:b/>
          <w:szCs w:val="22"/>
          <w:lang w:eastAsia="en-GB"/>
        </w:rPr>
        <w:t>dýchaním</w:t>
      </w:r>
      <w:r w:rsidR="001208B1" w:rsidRPr="00660DF1">
        <w:rPr>
          <w:b/>
          <w:szCs w:val="22"/>
          <w:lang w:eastAsia="en-GB"/>
        </w:rPr>
        <w:t>;</w:t>
      </w:r>
    </w:p>
    <w:p w:rsidR="00865AD3" w:rsidRPr="00660DF1" w:rsidRDefault="00865AD3" w:rsidP="0081085B">
      <w:pPr>
        <w:pStyle w:val="Bullet"/>
        <w:numPr>
          <w:ilvl w:val="0"/>
          <w:numId w:val="0"/>
        </w:numPr>
        <w:spacing w:before="0"/>
        <w:ind w:left="567" w:hanging="567"/>
        <w:rPr>
          <w:noProof w:val="0"/>
          <w:szCs w:val="22"/>
        </w:rPr>
      </w:pPr>
      <w:r w:rsidRPr="00660DF1">
        <w:rPr>
          <w:noProof w:val="0"/>
          <w:szCs w:val="22"/>
        </w:rPr>
        <w:sym w:font="Symbol" w:char="F0B7"/>
      </w:r>
      <w:r w:rsidRPr="00660DF1">
        <w:rPr>
          <w:noProof w:val="0"/>
          <w:szCs w:val="22"/>
        </w:rPr>
        <w:tab/>
      </w:r>
      <w:r w:rsidR="00470FAA" w:rsidRPr="00660DF1">
        <w:rPr>
          <w:b/>
          <w:noProof w:val="0"/>
          <w:szCs w:val="22"/>
        </w:rPr>
        <w:t>k</w:t>
      </w:r>
      <w:r w:rsidRPr="00660DF1">
        <w:rPr>
          <w:b/>
          <w:bCs/>
          <w:noProof w:val="0"/>
          <w:szCs w:val="22"/>
        </w:rPr>
        <w:t>ožná vyrážka</w:t>
      </w:r>
      <w:r w:rsidRPr="00660DF1">
        <w:rPr>
          <w:bCs/>
          <w:noProof w:val="0"/>
          <w:szCs w:val="22"/>
        </w:rPr>
        <w:t xml:space="preserve">, pri ktorej sa môžu </w:t>
      </w:r>
      <w:r w:rsidRPr="00660DF1">
        <w:rPr>
          <w:b/>
          <w:noProof w:val="0"/>
          <w:szCs w:val="22"/>
        </w:rPr>
        <w:t>tvoriť pľuzgiere</w:t>
      </w:r>
      <w:r w:rsidRPr="00660DF1">
        <w:rPr>
          <w:bCs/>
          <w:noProof w:val="0"/>
          <w:szCs w:val="22"/>
        </w:rPr>
        <w:t xml:space="preserve"> a ktorá vyzerá ako </w:t>
      </w:r>
      <w:r w:rsidRPr="00660DF1">
        <w:rPr>
          <w:b/>
          <w:bCs/>
          <w:noProof w:val="0"/>
          <w:szCs w:val="22"/>
        </w:rPr>
        <w:t xml:space="preserve">malé </w:t>
      </w:r>
      <w:r w:rsidRPr="00660DF1">
        <w:rPr>
          <w:b/>
          <w:noProof w:val="0"/>
          <w:szCs w:val="22"/>
        </w:rPr>
        <w:t>terčíky</w:t>
      </w:r>
      <w:r w:rsidRPr="00660DF1">
        <w:rPr>
          <w:bCs/>
          <w:noProof w:val="0"/>
          <w:szCs w:val="22"/>
        </w:rPr>
        <w:t xml:space="preserve"> (v strede tmav</w:t>
      </w:r>
      <w:r w:rsidR="00831BAD" w:rsidRPr="00660DF1">
        <w:rPr>
          <w:bCs/>
          <w:noProof w:val="0"/>
          <w:szCs w:val="22"/>
        </w:rPr>
        <w:t>á bodka</w:t>
      </w:r>
      <w:r w:rsidRPr="00660DF1">
        <w:rPr>
          <w:bCs/>
          <w:noProof w:val="0"/>
          <w:szCs w:val="22"/>
        </w:rPr>
        <w:t xml:space="preserve"> obklopen</w:t>
      </w:r>
      <w:r w:rsidR="00831BAD" w:rsidRPr="00660DF1">
        <w:rPr>
          <w:bCs/>
          <w:noProof w:val="0"/>
          <w:szCs w:val="22"/>
        </w:rPr>
        <w:t>á</w:t>
      </w:r>
      <w:r w:rsidRPr="00660DF1">
        <w:rPr>
          <w:bCs/>
          <w:noProof w:val="0"/>
          <w:szCs w:val="22"/>
        </w:rPr>
        <w:t xml:space="preserve"> bledšou plochou</w:t>
      </w:r>
      <w:r w:rsidR="00831BAD" w:rsidRPr="00660DF1">
        <w:rPr>
          <w:bCs/>
          <w:noProof w:val="0"/>
          <w:szCs w:val="22"/>
        </w:rPr>
        <w:t>,</w:t>
      </w:r>
      <w:r w:rsidRPr="00660DF1">
        <w:rPr>
          <w:bCs/>
          <w:noProof w:val="0"/>
          <w:szCs w:val="22"/>
        </w:rPr>
        <w:t xml:space="preserve"> s tmavým kruhom po okraji)</w:t>
      </w:r>
      <w:r w:rsidR="001208B1" w:rsidRPr="00660DF1">
        <w:rPr>
          <w:bCs/>
          <w:noProof w:val="0"/>
          <w:szCs w:val="22"/>
        </w:rPr>
        <w:t>;</w:t>
      </w:r>
    </w:p>
    <w:p w:rsidR="00865AD3" w:rsidRPr="00660DF1" w:rsidRDefault="00470FAA" w:rsidP="0081085B">
      <w:pPr>
        <w:pStyle w:val="Bullet"/>
        <w:numPr>
          <w:ilvl w:val="0"/>
          <w:numId w:val="13"/>
        </w:numPr>
        <w:spacing w:before="0"/>
        <w:ind w:left="567" w:hanging="567"/>
        <w:rPr>
          <w:noProof w:val="0"/>
          <w:szCs w:val="22"/>
        </w:rPr>
      </w:pPr>
      <w:r w:rsidRPr="00660DF1">
        <w:rPr>
          <w:b/>
          <w:bCs/>
          <w:noProof w:val="0"/>
          <w:szCs w:val="22"/>
        </w:rPr>
        <w:t>p</w:t>
      </w:r>
      <w:r w:rsidR="00865AD3" w:rsidRPr="00660DF1">
        <w:rPr>
          <w:b/>
          <w:bCs/>
          <w:noProof w:val="0"/>
          <w:szCs w:val="22"/>
        </w:rPr>
        <w:t>o celom tele rozšírená vyrážka</w:t>
      </w:r>
      <w:r w:rsidR="00865AD3" w:rsidRPr="00660DF1">
        <w:rPr>
          <w:bCs/>
          <w:noProof w:val="0"/>
          <w:szCs w:val="22"/>
        </w:rPr>
        <w:t xml:space="preserve"> s </w:t>
      </w:r>
      <w:r w:rsidR="00865AD3" w:rsidRPr="00660DF1">
        <w:rPr>
          <w:b/>
          <w:noProof w:val="0"/>
          <w:szCs w:val="22"/>
        </w:rPr>
        <w:t>pľuzgiermi</w:t>
      </w:r>
      <w:r w:rsidR="00865AD3" w:rsidRPr="00660DF1">
        <w:rPr>
          <w:bCs/>
          <w:noProof w:val="0"/>
          <w:szCs w:val="22"/>
        </w:rPr>
        <w:t xml:space="preserve"> a </w:t>
      </w:r>
      <w:r w:rsidR="00865AD3" w:rsidRPr="00660DF1">
        <w:rPr>
          <w:b/>
          <w:noProof w:val="0"/>
          <w:szCs w:val="22"/>
        </w:rPr>
        <w:t>odlupovanie kože</w:t>
      </w:r>
      <w:r w:rsidR="00865AD3" w:rsidRPr="00660DF1">
        <w:rPr>
          <w:noProof w:val="0"/>
          <w:szCs w:val="22"/>
        </w:rPr>
        <w:t xml:space="preserve"> (Môžu to byť prejavy </w:t>
      </w:r>
      <w:r w:rsidR="00865AD3" w:rsidRPr="00660DF1">
        <w:rPr>
          <w:i/>
          <w:noProof w:val="0"/>
          <w:szCs w:val="22"/>
        </w:rPr>
        <w:t>Stevensovho</w:t>
      </w:r>
      <w:r w:rsidR="00865AD3" w:rsidRPr="00660DF1">
        <w:rPr>
          <w:i/>
          <w:noProof w:val="0"/>
          <w:szCs w:val="22"/>
        </w:rPr>
        <w:noBreakHyphen/>
        <w:t>Johnsonovho syndrómu</w:t>
      </w:r>
      <w:r w:rsidR="00865AD3" w:rsidRPr="00660DF1">
        <w:rPr>
          <w:noProof w:val="0"/>
          <w:szCs w:val="22"/>
        </w:rPr>
        <w:t xml:space="preserve"> alebo </w:t>
      </w:r>
      <w:r w:rsidR="00865AD3" w:rsidRPr="00660DF1">
        <w:rPr>
          <w:i/>
          <w:noProof w:val="0"/>
          <w:szCs w:val="22"/>
        </w:rPr>
        <w:t>toxickej epidermálnej nekrolýzy)</w:t>
      </w:r>
      <w:r w:rsidR="00865AD3" w:rsidRPr="00660DF1">
        <w:rPr>
          <w:noProof w:val="0"/>
          <w:szCs w:val="22"/>
        </w:rPr>
        <w:t>.</w:t>
      </w:r>
    </w:p>
    <w:p w:rsidR="00865AD3" w:rsidRPr="00660DF1" w:rsidRDefault="00865AD3" w:rsidP="0081085B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</w:p>
    <w:p w:rsidR="00865AD3" w:rsidRPr="00660DF1" w:rsidRDefault="004D6163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lastRenderedPageBreak/>
        <w:t>Ďalšie</w:t>
      </w:r>
      <w:r w:rsidR="00865AD3" w:rsidRPr="00660DF1">
        <w:rPr>
          <w:bCs/>
          <w:szCs w:val="22"/>
        </w:rPr>
        <w:t xml:space="preserve"> zdravotné ťažkosti, na ktoré si musíte dávať pozor počas užívania </w:t>
      </w:r>
      <w:r w:rsidR="00831BAD" w:rsidRPr="00660DF1">
        <w:rPr>
          <w:szCs w:val="22"/>
          <w:lang w:eastAsia="en-GB"/>
        </w:rPr>
        <w:t>Cefuroximu Mylan</w:t>
      </w:r>
      <w:r w:rsidR="00831BAD" w:rsidRPr="00660DF1">
        <w:rPr>
          <w:bCs/>
          <w:szCs w:val="22"/>
        </w:rPr>
        <w:t xml:space="preserve">, </w:t>
      </w:r>
      <w:r w:rsidR="00865AD3" w:rsidRPr="00660DF1">
        <w:rPr>
          <w:bCs/>
          <w:szCs w:val="22"/>
        </w:rPr>
        <w:t>zahŕňajú:</w:t>
      </w:r>
    </w:p>
    <w:p w:rsidR="00865AD3" w:rsidRPr="00660DF1" w:rsidRDefault="001208B1" w:rsidP="0081085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</w:rPr>
      </w:pPr>
      <w:r w:rsidRPr="00660DF1">
        <w:rPr>
          <w:b/>
          <w:color w:val="000000"/>
          <w:szCs w:val="22"/>
        </w:rPr>
        <w:t>p</w:t>
      </w:r>
      <w:r w:rsidR="00865AD3" w:rsidRPr="00660DF1">
        <w:rPr>
          <w:b/>
          <w:color w:val="000000"/>
          <w:szCs w:val="22"/>
        </w:rPr>
        <w:t>lesňové infekcie.</w:t>
      </w:r>
      <w:r w:rsidR="00865AD3" w:rsidRPr="00660DF1">
        <w:rPr>
          <w:b/>
          <w:bCs/>
          <w:color w:val="000000"/>
          <w:szCs w:val="22"/>
        </w:rPr>
        <w:t xml:space="preserve"> </w:t>
      </w:r>
      <w:r w:rsidR="00865AD3" w:rsidRPr="00660DF1">
        <w:rPr>
          <w:bCs/>
          <w:color w:val="000000"/>
          <w:szCs w:val="22"/>
        </w:rPr>
        <w:t xml:space="preserve">Lieky ako </w:t>
      </w:r>
      <w:r w:rsidR="00D53D10" w:rsidRPr="00660DF1">
        <w:rPr>
          <w:szCs w:val="22"/>
          <w:lang w:eastAsia="en-GB"/>
        </w:rPr>
        <w:t>Cefuroxim Mylan</w:t>
      </w:r>
      <w:r w:rsidR="00865AD3" w:rsidRPr="00660DF1">
        <w:rPr>
          <w:bCs/>
          <w:color w:val="000000"/>
          <w:szCs w:val="22"/>
        </w:rPr>
        <w:t xml:space="preserve"> m</w:t>
      </w:r>
      <w:r w:rsidR="00865AD3" w:rsidRPr="00660DF1">
        <w:rPr>
          <w:bCs/>
          <w:szCs w:val="22"/>
        </w:rPr>
        <w:t xml:space="preserve">ôžu spôsobiť pomnoženie kvasiniek (rodu </w:t>
      </w:r>
      <w:r w:rsidR="00865AD3" w:rsidRPr="00660DF1">
        <w:rPr>
          <w:bCs/>
          <w:i/>
          <w:iCs/>
          <w:szCs w:val="22"/>
        </w:rPr>
        <w:t>Candida</w:t>
      </w:r>
      <w:r w:rsidR="00865AD3" w:rsidRPr="00660DF1">
        <w:rPr>
          <w:bCs/>
          <w:szCs w:val="22"/>
        </w:rPr>
        <w:t>) v tele, č</w:t>
      </w:r>
      <w:r w:rsidR="00865AD3" w:rsidRPr="00660DF1">
        <w:rPr>
          <w:bCs/>
          <w:iCs/>
          <w:szCs w:val="22"/>
        </w:rPr>
        <w:t>o môže</w:t>
      </w:r>
      <w:r w:rsidR="00865AD3" w:rsidRPr="00660DF1">
        <w:rPr>
          <w:bCs/>
          <w:i/>
          <w:iCs/>
          <w:szCs w:val="22"/>
        </w:rPr>
        <w:t xml:space="preserve"> </w:t>
      </w:r>
      <w:r w:rsidR="00865AD3" w:rsidRPr="00660DF1">
        <w:rPr>
          <w:bCs/>
          <w:szCs w:val="22"/>
        </w:rPr>
        <w:t xml:space="preserve">viesť k vzniku plesňových infekcií (napríklad kandidózy). Výskyt tohto vedľajšieho účinku je pravdepodobnejší, ak </w:t>
      </w:r>
      <w:r w:rsidR="0086662E" w:rsidRPr="00660DF1">
        <w:rPr>
          <w:szCs w:val="22"/>
          <w:lang w:eastAsia="en-GB"/>
        </w:rPr>
        <w:t>Cefuroxim Mylan</w:t>
      </w:r>
      <w:r w:rsidR="00865AD3" w:rsidRPr="00660DF1">
        <w:rPr>
          <w:bCs/>
          <w:szCs w:val="22"/>
        </w:rPr>
        <w:t xml:space="preserve"> užívate </w:t>
      </w:r>
      <w:r w:rsidR="0085140A">
        <w:rPr>
          <w:bCs/>
          <w:szCs w:val="22"/>
        </w:rPr>
        <w:t>dlhodobo</w:t>
      </w:r>
      <w:r w:rsidR="005E3F8F" w:rsidRPr="00660DF1">
        <w:rPr>
          <w:bCs/>
          <w:szCs w:val="22"/>
        </w:rPr>
        <w:t>;</w:t>
      </w:r>
    </w:p>
    <w:p w:rsidR="00865AD3" w:rsidRPr="00660DF1" w:rsidRDefault="001208B1" w:rsidP="0081085B">
      <w:pPr>
        <w:numPr>
          <w:ilvl w:val="0"/>
          <w:numId w:val="13"/>
        </w:numPr>
        <w:spacing w:line="240" w:lineRule="auto"/>
        <w:ind w:left="567" w:hanging="567"/>
        <w:rPr>
          <w:bCs/>
          <w:szCs w:val="22"/>
        </w:rPr>
      </w:pPr>
      <w:r w:rsidRPr="00660DF1">
        <w:rPr>
          <w:b/>
          <w:bCs/>
          <w:szCs w:val="22"/>
        </w:rPr>
        <w:t>z</w:t>
      </w:r>
      <w:r w:rsidR="00865AD3" w:rsidRPr="00660DF1">
        <w:rPr>
          <w:b/>
          <w:bCs/>
          <w:szCs w:val="22"/>
        </w:rPr>
        <w:t>ávažná hnačka (</w:t>
      </w:r>
      <w:r w:rsidR="00865AD3" w:rsidRPr="00660DF1">
        <w:rPr>
          <w:b/>
          <w:bCs/>
          <w:color w:val="000000"/>
          <w:szCs w:val="22"/>
        </w:rPr>
        <w:t>p</w:t>
      </w:r>
      <w:r w:rsidR="00865AD3" w:rsidRPr="00660DF1">
        <w:rPr>
          <w:b/>
          <w:szCs w:val="22"/>
        </w:rPr>
        <w:t xml:space="preserve">seudomembranózna kolitída). </w:t>
      </w:r>
      <w:r w:rsidR="00865AD3" w:rsidRPr="00660DF1">
        <w:rPr>
          <w:szCs w:val="22"/>
        </w:rPr>
        <w:t xml:space="preserve">Lieky ako </w:t>
      </w:r>
      <w:r w:rsidR="005E3F8F" w:rsidRPr="00660DF1">
        <w:rPr>
          <w:szCs w:val="22"/>
          <w:lang w:eastAsia="en-GB"/>
        </w:rPr>
        <w:t>Cefuroxim Mylan</w:t>
      </w:r>
      <w:r w:rsidR="00865AD3" w:rsidRPr="00660DF1">
        <w:rPr>
          <w:szCs w:val="22"/>
        </w:rPr>
        <w:t xml:space="preserve"> môžu spôsobiť zápal</w:t>
      </w:r>
      <w:r w:rsidR="00865AD3" w:rsidRPr="00660DF1">
        <w:rPr>
          <w:bCs/>
          <w:i/>
          <w:iCs/>
          <w:szCs w:val="22"/>
        </w:rPr>
        <w:t xml:space="preserve"> </w:t>
      </w:r>
      <w:r w:rsidR="00865AD3" w:rsidRPr="00660DF1">
        <w:rPr>
          <w:bCs/>
          <w:szCs w:val="22"/>
        </w:rPr>
        <w:t>hrubého čreva, ktorý spôsobuje závažnú hnačku, zvyčajne s prímesou krvi a hlienov v</w:t>
      </w:r>
      <w:r w:rsidR="00D9732E" w:rsidRPr="00660DF1">
        <w:rPr>
          <w:bCs/>
          <w:szCs w:val="22"/>
        </w:rPr>
        <w:t> </w:t>
      </w:r>
      <w:r w:rsidR="00865AD3" w:rsidRPr="00660DF1">
        <w:rPr>
          <w:bCs/>
          <w:szCs w:val="22"/>
        </w:rPr>
        <w:t>stolici, bolesť žalúdka, horúčku</w:t>
      </w:r>
      <w:r w:rsidR="00D9732E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0"/>
          <w:numId w:val="13"/>
        </w:numPr>
        <w:spacing w:line="240" w:lineRule="auto"/>
        <w:ind w:left="567" w:hanging="567"/>
        <w:rPr>
          <w:bCs/>
          <w:szCs w:val="22"/>
        </w:rPr>
      </w:pPr>
      <w:r w:rsidRPr="00660DF1">
        <w:rPr>
          <w:b/>
          <w:szCs w:val="22"/>
        </w:rPr>
        <w:t>Jarischova</w:t>
      </w:r>
      <w:r w:rsidRPr="00660DF1">
        <w:rPr>
          <w:b/>
          <w:szCs w:val="22"/>
        </w:rPr>
        <w:noBreakHyphen/>
        <w:t xml:space="preserve">Herxheimerova reakcia. </w:t>
      </w:r>
      <w:r w:rsidRPr="00660DF1">
        <w:rPr>
          <w:bCs/>
          <w:szCs w:val="22"/>
        </w:rPr>
        <w:t xml:space="preserve">U niektorých pacientov, ktorí sú </w:t>
      </w:r>
      <w:r w:rsidR="0088451E" w:rsidRPr="00660DF1">
        <w:rPr>
          <w:szCs w:val="22"/>
          <w:lang w:eastAsia="en-GB"/>
        </w:rPr>
        <w:t>Cefuroximom Mylan</w:t>
      </w:r>
      <w:r w:rsidRPr="00660DF1">
        <w:rPr>
          <w:bCs/>
          <w:szCs w:val="22"/>
        </w:rPr>
        <w:t xml:space="preserve"> liečení na Lymskú boreliózu, sa môže objaviť vysoká teplota (horúčka), triaška, bolesť hlavy, bolesť svalov a kožná vyrážka. Táto reakcia je známa ako </w:t>
      </w:r>
      <w:r w:rsidRPr="00660DF1">
        <w:rPr>
          <w:bCs/>
          <w:i/>
          <w:iCs/>
          <w:szCs w:val="22"/>
        </w:rPr>
        <w:t>Jarischova</w:t>
      </w:r>
      <w:r w:rsidRPr="00660DF1">
        <w:rPr>
          <w:bCs/>
          <w:i/>
          <w:iCs/>
          <w:szCs w:val="22"/>
        </w:rPr>
        <w:noBreakHyphen/>
        <w:t xml:space="preserve">Herxheimerova reakcia. </w:t>
      </w:r>
      <w:r w:rsidRPr="00660DF1">
        <w:rPr>
          <w:bCs/>
          <w:iCs/>
          <w:szCs w:val="22"/>
        </w:rPr>
        <w:t>Príznaky zvyčajne trvajú nieko</w:t>
      </w:r>
      <w:r w:rsidRPr="00660DF1">
        <w:rPr>
          <w:bCs/>
          <w:szCs w:val="22"/>
        </w:rPr>
        <w:t>ľko hodín až jeden deň.</w:t>
      </w:r>
    </w:p>
    <w:p w:rsidR="00865AD3" w:rsidRPr="00660DF1" w:rsidRDefault="00865AD3" w:rsidP="0081085B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660DF1">
        <w:rPr>
          <w:b/>
          <w:bCs/>
          <w:szCs w:val="22"/>
        </w:rPr>
        <w:t xml:space="preserve">Ak sa u vás prejaví ktorýkoľvek z uvedených príznakov, ihneď to </w:t>
      </w:r>
      <w:r w:rsidRPr="00660DF1">
        <w:rPr>
          <w:b/>
          <w:szCs w:val="22"/>
        </w:rPr>
        <w:t>oznámte svojmu lekárovi alebo zdravotnej sestre</w:t>
      </w:r>
      <w:r w:rsidRPr="00660DF1">
        <w:rPr>
          <w:b/>
          <w:bCs/>
          <w:szCs w:val="22"/>
        </w:rPr>
        <w:t>.</w:t>
      </w: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802AA9" w:rsidRPr="00660DF1" w:rsidRDefault="00802AA9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660DF1">
        <w:rPr>
          <w:b/>
          <w:szCs w:val="22"/>
        </w:rPr>
        <w:t>Ďalšie možné vedľajšie účinky</w:t>
      </w:r>
    </w:p>
    <w:p w:rsidR="00802AA9" w:rsidRPr="00660DF1" w:rsidRDefault="00802AA9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865AD3" w:rsidRPr="00660DF1" w:rsidRDefault="00865AD3" w:rsidP="0081085B">
      <w:pPr>
        <w:pStyle w:val="NoNumHead2"/>
        <w:rPr>
          <w:noProof w:val="0"/>
        </w:rPr>
      </w:pPr>
      <w:r w:rsidRPr="00660DF1">
        <w:rPr>
          <w:noProof w:val="0"/>
        </w:rPr>
        <w:t>Časté vedľajšie účinky</w:t>
      </w:r>
      <w:r w:rsidR="00802AA9" w:rsidRPr="00660DF1">
        <w:rPr>
          <w:noProof w:val="0"/>
        </w:rPr>
        <w:t xml:space="preserve"> (m</w:t>
      </w:r>
      <w:r w:rsidRPr="00660DF1">
        <w:rPr>
          <w:bCs/>
          <w:noProof w:val="0"/>
        </w:rPr>
        <w:t xml:space="preserve">ôžu postihovať </w:t>
      </w:r>
      <w:r w:rsidRPr="00660DF1">
        <w:rPr>
          <w:noProof w:val="0"/>
        </w:rPr>
        <w:t>menej ako 1 z 10 </w:t>
      </w:r>
      <w:r w:rsidRPr="00660DF1">
        <w:rPr>
          <w:bCs/>
          <w:noProof w:val="0"/>
        </w:rPr>
        <w:t>osôb</w:t>
      </w:r>
      <w:r w:rsidR="00802AA9" w:rsidRPr="00660DF1">
        <w:rPr>
          <w:bCs/>
          <w:noProof w:val="0"/>
        </w:rPr>
        <w:t>)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 xml:space="preserve">plesňové infekcie (napríklad </w:t>
      </w:r>
      <w:r w:rsidRPr="00660DF1">
        <w:rPr>
          <w:bCs/>
          <w:i/>
          <w:szCs w:val="22"/>
        </w:rPr>
        <w:t>kandidóza</w:t>
      </w:r>
      <w:r w:rsidRPr="00660DF1">
        <w:rPr>
          <w:bCs/>
          <w:szCs w:val="22"/>
        </w:rPr>
        <w:t>)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bolesť hlavy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závraty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hnačka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</w:r>
      <w:r w:rsidR="006C7AB4">
        <w:rPr>
          <w:bCs/>
          <w:szCs w:val="22"/>
        </w:rPr>
        <w:t>nevoľnosť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bolesť žalúdka</w:t>
      </w:r>
      <w:r w:rsidR="0081085B" w:rsidRPr="00660DF1">
        <w:rPr>
          <w:bCs/>
          <w:szCs w:val="22"/>
        </w:rPr>
        <w:t>.</w:t>
      </w:r>
    </w:p>
    <w:p w:rsidR="00865AD3" w:rsidRPr="00660DF1" w:rsidRDefault="00865AD3" w:rsidP="0081085B">
      <w:pPr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Časté vedľajšie účinky, ktoré sa môžu zistiť krvnými vyšetreniami</w:t>
      </w:r>
    </w:p>
    <w:p w:rsidR="00865AD3" w:rsidRPr="00660DF1" w:rsidRDefault="00865AD3" w:rsidP="0081085B">
      <w:pPr>
        <w:pStyle w:val="centhead12"/>
        <w:keepNext w:val="0"/>
        <w:spacing w:after="0"/>
        <w:ind w:left="567" w:hanging="567"/>
        <w:jc w:val="left"/>
        <w:rPr>
          <w:rFonts w:ascii="Times New Roman" w:hAnsi="Times New Roman"/>
          <w:b w:val="0"/>
          <w:noProof w:val="0"/>
          <w:sz w:val="22"/>
          <w:szCs w:val="22"/>
        </w:rPr>
      </w:pP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sym w:font="Symbol" w:char="F0B7"/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ab/>
        <w:t>zvýšenie počtu jedného druhu bielych krviniek (</w:t>
      </w:r>
      <w:r w:rsidRPr="00660DF1">
        <w:rPr>
          <w:rFonts w:ascii="Times New Roman" w:hAnsi="Times New Roman"/>
          <w:b w:val="0"/>
          <w:bCs/>
          <w:i/>
          <w:iCs/>
          <w:noProof w:val="0"/>
          <w:sz w:val="22"/>
          <w:szCs w:val="22"/>
        </w:rPr>
        <w:t>eozinofília</w:t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)</w:t>
      </w:r>
      <w:r w:rsidR="0081085B"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;</w:t>
      </w:r>
    </w:p>
    <w:p w:rsidR="00865AD3" w:rsidRPr="00660DF1" w:rsidRDefault="00865AD3" w:rsidP="0081085B">
      <w:pPr>
        <w:pStyle w:val="centhead12"/>
        <w:keepNext w:val="0"/>
        <w:spacing w:after="0"/>
        <w:ind w:left="567" w:hanging="567"/>
        <w:jc w:val="left"/>
        <w:rPr>
          <w:rFonts w:ascii="Times New Roman" w:hAnsi="Times New Roman"/>
          <w:b w:val="0"/>
          <w:noProof w:val="0"/>
          <w:color w:val="000000"/>
          <w:sz w:val="22"/>
          <w:szCs w:val="22"/>
        </w:rPr>
      </w:pP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sym w:font="Symbol" w:char="F0B7"/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ab/>
        <w:t>zvýšenie množstva pečeňových enzýmov</w:t>
      </w:r>
      <w:r w:rsidR="0081085B"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.</w:t>
      </w:r>
    </w:p>
    <w:p w:rsidR="00865AD3" w:rsidRPr="00660DF1" w:rsidRDefault="00865AD3" w:rsidP="0081085B">
      <w:pPr>
        <w:spacing w:line="240" w:lineRule="auto"/>
        <w:rPr>
          <w:szCs w:val="22"/>
        </w:rPr>
      </w:pPr>
    </w:p>
    <w:p w:rsidR="00865AD3" w:rsidRPr="00660DF1" w:rsidRDefault="00865AD3" w:rsidP="0081085B">
      <w:pPr>
        <w:pStyle w:val="NoNumHead2"/>
        <w:rPr>
          <w:noProof w:val="0"/>
        </w:rPr>
      </w:pPr>
      <w:r w:rsidRPr="00660DF1">
        <w:rPr>
          <w:noProof w:val="0"/>
        </w:rPr>
        <w:t>Menej časté vedľajšie účinky</w:t>
      </w:r>
      <w:r w:rsidR="00802AA9" w:rsidRPr="00660DF1">
        <w:rPr>
          <w:noProof w:val="0"/>
        </w:rPr>
        <w:t xml:space="preserve"> (m</w:t>
      </w:r>
      <w:r w:rsidRPr="00660DF1">
        <w:rPr>
          <w:bCs/>
          <w:noProof w:val="0"/>
        </w:rPr>
        <w:t xml:space="preserve">ôžu postihovať </w:t>
      </w:r>
      <w:r w:rsidRPr="00660DF1">
        <w:rPr>
          <w:noProof w:val="0"/>
        </w:rPr>
        <w:t>menej ako 1 zo 100 osôb</w:t>
      </w:r>
      <w:r w:rsidR="00802AA9" w:rsidRPr="00660DF1">
        <w:rPr>
          <w:noProof w:val="0"/>
        </w:rPr>
        <w:t>)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vracanie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kožné vyrážky</w:t>
      </w:r>
      <w:r w:rsidR="0081085B" w:rsidRPr="00660DF1">
        <w:rPr>
          <w:szCs w:val="22"/>
        </w:rPr>
        <w:t>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Menej časté vedľajšie účinky, ktoré sa môžu zistiť krvnými vyšetreniami</w:t>
      </w:r>
      <w:r w:rsidRPr="00660DF1">
        <w:rPr>
          <w:szCs w:val="22"/>
          <w:lang w:eastAsia="en-GB"/>
        </w:rPr>
        <w:t>: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i/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zníženie počtu krvných doštičiek (buniek, ktoré napomáhajú zrážaniu krvi</w:t>
      </w:r>
      <w:r w:rsidRPr="00660DF1">
        <w:rPr>
          <w:szCs w:val="22"/>
        </w:rPr>
        <w:t>)</w:t>
      </w:r>
      <w:r w:rsidR="008D494C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zníženie počtu bielych krviniek</w:t>
      </w:r>
      <w:r w:rsidR="008D494C" w:rsidRPr="00660DF1">
        <w:rPr>
          <w:bCs/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pozitívny výsledok Coombsovho testu.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A03FC8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Neznáme (frekvenci</w:t>
      </w:r>
      <w:r w:rsidR="00907FB0" w:rsidRPr="00660DF1">
        <w:rPr>
          <w:b/>
          <w:szCs w:val="22"/>
        </w:rPr>
        <w:t>u</w:t>
      </w:r>
      <w:r w:rsidRPr="00660DF1">
        <w:rPr>
          <w:b/>
          <w:szCs w:val="22"/>
        </w:rPr>
        <w:t xml:space="preserve"> </w:t>
      </w:r>
      <w:r w:rsidR="00907FB0" w:rsidRPr="00660DF1">
        <w:rPr>
          <w:b/>
          <w:szCs w:val="22"/>
        </w:rPr>
        <w:t>nie je možné</w:t>
      </w:r>
      <w:r w:rsidRPr="00660DF1">
        <w:rPr>
          <w:b/>
          <w:szCs w:val="22"/>
        </w:rPr>
        <w:t xml:space="preserve"> odhadnúť z dostupných údajov)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závažná hnačka (pseudomembranózna kolitída)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alergické reakcie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kožné reakcie (vrátane závažných)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vysoká teplota (horúčka)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 xml:space="preserve">zožltnutie očných bielok alebo </w:t>
      </w:r>
      <w:r w:rsidR="00EB36E6">
        <w:rPr>
          <w:bCs/>
          <w:szCs w:val="22"/>
        </w:rPr>
        <w:t>kože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zápal pečene (</w:t>
      </w:r>
      <w:r w:rsidRPr="00660DF1">
        <w:rPr>
          <w:bCs/>
          <w:iCs/>
          <w:szCs w:val="22"/>
        </w:rPr>
        <w:t>hepatitída</w:t>
      </w:r>
      <w:r w:rsidRPr="00660DF1">
        <w:rPr>
          <w:szCs w:val="22"/>
        </w:rPr>
        <w:t>).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  <w:lang w:eastAsia="en-GB"/>
        </w:rPr>
        <w:t xml:space="preserve">Vedľajšie účinky, </w:t>
      </w:r>
      <w:r w:rsidRPr="00660DF1">
        <w:rPr>
          <w:bCs/>
          <w:szCs w:val="22"/>
        </w:rPr>
        <w:t>ktoré sa môžu zistiť krvnými vyšetreniami</w:t>
      </w:r>
      <w:r w:rsidRPr="00660DF1">
        <w:rPr>
          <w:szCs w:val="22"/>
          <w:lang w:eastAsia="en-GB"/>
        </w:rPr>
        <w:t>:</w:t>
      </w: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en-GB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príliš rýchly rozpad červených krviniek (</w:t>
      </w:r>
      <w:r w:rsidRPr="00660DF1">
        <w:rPr>
          <w:bCs/>
          <w:iCs/>
          <w:szCs w:val="22"/>
        </w:rPr>
        <w:t>hemolytická anémia</w:t>
      </w:r>
      <w:r w:rsidRPr="00660DF1">
        <w:rPr>
          <w:szCs w:val="22"/>
          <w:lang w:eastAsia="en-GB"/>
        </w:rPr>
        <w:t>).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4512D5" w:rsidRPr="00660DF1" w:rsidRDefault="009803F3" w:rsidP="0081085B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Hlásenie vedľajších účinkov</w:t>
      </w:r>
    </w:p>
    <w:p w:rsidR="004512D5" w:rsidRPr="00660DF1" w:rsidRDefault="009803F3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0DF1">
        <w:rPr>
          <w:rFonts w:ascii="Times New Roman" w:hAnsi="Times New Roman" w:cs="Times New Roman"/>
          <w:sz w:val="22"/>
          <w:szCs w:val="22"/>
        </w:rPr>
        <w:t>Ak sa u vás vyskytne akýkoľvek vedľajší účinok, obráťte sa na svojho lekára</w:t>
      </w:r>
      <w:r w:rsidR="00865AD3" w:rsidRPr="00660DF1">
        <w:rPr>
          <w:rFonts w:ascii="Times New Roman" w:hAnsi="Times New Roman" w:cs="Times New Roman"/>
          <w:sz w:val="22"/>
          <w:szCs w:val="22"/>
        </w:rPr>
        <w:t xml:space="preserve"> </w:t>
      </w:r>
      <w:r w:rsidRPr="00660DF1">
        <w:rPr>
          <w:rFonts w:ascii="Times New Roman" w:hAnsi="Times New Roman" w:cs="Times New Roman"/>
          <w:sz w:val="22"/>
          <w:szCs w:val="22"/>
        </w:rPr>
        <w:t>alebo</w:t>
      </w:r>
      <w:r w:rsidR="00865AD3" w:rsidRPr="00660DF1">
        <w:rPr>
          <w:rFonts w:ascii="Times New Roman" w:hAnsi="Times New Roman" w:cs="Times New Roman"/>
          <w:sz w:val="22"/>
          <w:szCs w:val="22"/>
        </w:rPr>
        <w:t xml:space="preserve"> </w:t>
      </w:r>
      <w:r w:rsidRPr="00660DF1">
        <w:rPr>
          <w:rFonts w:ascii="Times New Roman" w:hAnsi="Times New Roman" w:cs="Times New Roman"/>
          <w:sz w:val="22"/>
          <w:szCs w:val="22"/>
        </w:rPr>
        <w:t xml:space="preserve">lekárnika. To sa týka aj akýchkoľvek vedľajších účinkov, ktoré nie sú uvedené v tejto písomnej informácii. Vedľajšie účinky môžete hlásiť aj priamo na </w:t>
      </w:r>
      <w:r w:rsidRPr="00305282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 w:history="1">
        <w:r w:rsidR="00FE4868" w:rsidRPr="00305282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P</w:t>
        </w:r>
        <w:r w:rsidRPr="00305282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rílohe V</w:t>
        </w:r>
      </w:hyperlink>
      <w:r w:rsidRPr="00660DF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25442" w:rsidRPr="00660DF1" w:rsidRDefault="00A25442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D35AD" w:rsidRPr="00660DF1" w:rsidRDefault="008D35AD" w:rsidP="0081085B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Ako uchovávať </w:t>
      </w:r>
      <w:r w:rsidR="007B2509" w:rsidRPr="00660DF1">
        <w:rPr>
          <w:b/>
          <w:szCs w:val="22"/>
        </w:rPr>
        <w:t>Cefuroxim Mylan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Tento liek uchovávajte mimo dohľadu a dosahu detí.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FB690D" w:rsidRPr="00660DF1" w:rsidRDefault="008D2991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  <w:lang w:eastAsia="en-GB"/>
        </w:rPr>
        <w:t xml:space="preserve">Neužívajte tento liek po dátume exspirácie, ktorý je uvedený na </w:t>
      </w:r>
      <w:r w:rsidR="003E553C">
        <w:rPr>
          <w:szCs w:val="22"/>
          <w:lang w:eastAsia="en-GB"/>
        </w:rPr>
        <w:t>škatuľke a blistri</w:t>
      </w:r>
      <w:r w:rsidRPr="00660DF1">
        <w:rPr>
          <w:szCs w:val="22"/>
          <w:lang w:eastAsia="en-GB"/>
        </w:rPr>
        <w:t xml:space="preserve"> po EXP.</w:t>
      </w:r>
      <w:r w:rsidRPr="00660DF1">
        <w:rPr>
          <w:szCs w:val="22"/>
        </w:rPr>
        <w:t xml:space="preserve"> </w:t>
      </w:r>
    </w:p>
    <w:p w:rsidR="00FB690D" w:rsidRPr="00660DF1" w:rsidRDefault="00FB690D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Tento liek nevyžaduje žiadne zvláštne podmienky na uchovávanie.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8D2991" w:rsidRPr="00660DF1" w:rsidRDefault="008D2991" w:rsidP="0081085B">
      <w:pPr>
        <w:numPr>
          <w:ilvl w:val="12"/>
          <w:numId w:val="0"/>
        </w:numPr>
        <w:ind w:right="-2"/>
        <w:rPr>
          <w:szCs w:val="22"/>
        </w:rPr>
      </w:pPr>
      <w:r w:rsidRPr="00660DF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3F6F4B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3F6F4B">
        <w:rPr>
          <w:b/>
          <w:szCs w:val="22"/>
        </w:rPr>
        <w:t>Obsah balenia a ďalšie informácie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60DF1">
        <w:rPr>
          <w:b/>
          <w:szCs w:val="22"/>
        </w:rPr>
        <w:t xml:space="preserve">Čo </w:t>
      </w:r>
      <w:r w:rsidR="00F659DA" w:rsidRPr="00660DF1">
        <w:rPr>
          <w:b/>
          <w:szCs w:val="22"/>
        </w:rPr>
        <w:t>Cefuroxim Mylan</w:t>
      </w:r>
      <w:r w:rsidRPr="00660DF1">
        <w:rPr>
          <w:b/>
          <w:szCs w:val="22"/>
        </w:rPr>
        <w:t xml:space="preserve"> obsahuje</w:t>
      </w:r>
    </w:p>
    <w:p w:rsidR="00214C4F" w:rsidRPr="00660DF1" w:rsidRDefault="00214C4F" w:rsidP="0081085B">
      <w:pPr>
        <w:widowControl w:val="0"/>
        <w:spacing w:line="240" w:lineRule="auto"/>
        <w:rPr>
          <w:szCs w:val="22"/>
        </w:rPr>
      </w:pPr>
      <w:r w:rsidRPr="00660DF1">
        <w:rPr>
          <w:szCs w:val="22"/>
        </w:rPr>
        <w:t>Cefuroxim Mylan 250 mg filmom obalené tablety obsahuje 250 mg</w:t>
      </w:r>
      <w:r w:rsidRPr="00660DF1">
        <w:rPr>
          <w:szCs w:val="22"/>
          <w:lang w:eastAsia="en-GB"/>
        </w:rPr>
        <w:t xml:space="preserve"> cefuroxímu (vo forme cefuroxím</w:t>
      </w:r>
      <w:r w:rsidRPr="00660DF1">
        <w:rPr>
          <w:szCs w:val="22"/>
          <w:lang w:eastAsia="en-GB"/>
        </w:rPr>
        <w:noBreakHyphen/>
        <w:t>axetilu).</w:t>
      </w:r>
    </w:p>
    <w:p w:rsidR="00214C4F" w:rsidRPr="00660DF1" w:rsidRDefault="00214C4F" w:rsidP="0081085B">
      <w:pPr>
        <w:widowControl w:val="0"/>
        <w:spacing w:line="240" w:lineRule="auto"/>
        <w:rPr>
          <w:szCs w:val="22"/>
        </w:rPr>
      </w:pPr>
      <w:r w:rsidRPr="00660DF1">
        <w:rPr>
          <w:szCs w:val="22"/>
        </w:rPr>
        <w:t>Cefuroxim Mylan 500 mg filmom obalené tablety obsahuje 5</w:t>
      </w:r>
      <w:r w:rsidR="005F7C3C" w:rsidRPr="00660DF1">
        <w:rPr>
          <w:szCs w:val="22"/>
        </w:rPr>
        <w:t>0</w:t>
      </w:r>
      <w:r w:rsidRPr="00660DF1">
        <w:rPr>
          <w:szCs w:val="22"/>
        </w:rPr>
        <w:t>0 mg</w:t>
      </w:r>
      <w:r w:rsidRPr="00660DF1">
        <w:rPr>
          <w:szCs w:val="22"/>
          <w:lang w:eastAsia="en-GB"/>
        </w:rPr>
        <w:t xml:space="preserve"> cefuroxímu (vo forme cefuroxím</w:t>
      </w:r>
      <w:r w:rsidRPr="00660DF1">
        <w:rPr>
          <w:szCs w:val="22"/>
          <w:lang w:eastAsia="en-GB"/>
        </w:rPr>
        <w:noBreakHyphen/>
        <w:t>axetilu).</w:t>
      </w:r>
    </w:p>
    <w:p w:rsidR="00E40E7F" w:rsidRPr="00660DF1" w:rsidRDefault="00E40E7F" w:rsidP="0081085B">
      <w:pPr>
        <w:tabs>
          <w:tab w:val="clear" w:pos="567"/>
        </w:tabs>
        <w:spacing w:line="240" w:lineRule="auto"/>
        <w:ind w:left="567" w:right="-2"/>
        <w:rPr>
          <w:szCs w:val="22"/>
        </w:rPr>
      </w:pPr>
    </w:p>
    <w:p w:rsidR="00201A9C" w:rsidRPr="00660DF1" w:rsidRDefault="009803F3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Ďalši</w:t>
      </w:r>
      <w:r w:rsidR="00C56680" w:rsidRPr="00660DF1">
        <w:rPr>
          <w:szCs w:val="22"/>
        </w:rPr>
        <w:t>e</w:t>
      </w:r>
      <w:r w:rsidRPr="00660DF1">
        <w:rPr>
          <w:szCs w:val="22"/>
        </w:rPr>
        <w:t xml:space="preserve"> zložk</w:t>
      </w:r>
      <w:r w:rsidR="00C56680" w:rsidRPr="00660DF1">
        <w:rPr>
          <w:szCs w:val="22"/>
        </w:rPr>
        <w:t>y sú</w:t>
      </w:r>
      <w:r w:rsidR="00771C87" w:rsidRPr="00660DF1">
        <w:rPr>
          <w:szCs w:val="22"/>
        </w:rPr>
        <w:t>:</w:t>
      </w:r>
      <w:r w:rsidR="00C56680" w:rsidRPr="00660DF1">
        <w:rPr>
          <w:szCs w:val="22"/>
        </w:rPr>
        <w:t xml:space="preserve"> mikrokryštalická celulóza, sodná soľ kroskarmelózy, laurylsíran sodný</w:t>
      </w:r>
      <w:r w:rsidR="00771C87" w:rsidRPr="00660DF1">
        <w:rPr>
          <w:szCs w:val="22"/>
        </w:rPr>
        <w:t xml:space="preserve"> (E487)</w:t>
      </w:r>
      <w:r w:rsidR="00C56680" w:rsidRPr="00660DF1">
        <w:rPr>
          <w:szCs w:val="22"/>
        </w:rPr>
        <w:t>, koloidný bezvodý oxid kremičitý</w:t>
      </w:r>
      <w:r w:rsidR="00201A9C" w:rsidRPr="00660DF1">
        <w:rPr>
          <w:szCs w:val="22"/>
        </w:rPr>
        <w:t>, hydrogenovaný rastlinný olej</w:t>
      </w:r>
      <w:r w:rsidR="00C56680" w:rsidRPr="00660DF1">
        <w:rPr>
          <w:szCs w:val="22"/>
        </w:rPr>
        <w:t xml:space="preserve">, hypromelóza, </w:t>
      </w:r>
      <w:r w:rsidR="00201A9C" w:rsidRPr="00660DF1">
        <w:rPr>
          <w:szCs w:val="22"/>
        </w:rPr>
        <w:t>oxid titaničitý (E171), makrog</w:t>
      </w:r>
      <w:r w:rsidR="00660DF1">
        <w:rPr>
          <w:szCs w:val="22"/>
        </w:rPr>
        <w:t>o</w:t>
      </w:r>
      <w:r w:rsidR="00201A9C" w:rsidRPr="00660DF1">
        <w:rPr>
          <w:szCs w:val="22"/>
        </w:rPr>
        <w:t>l.</w:t>
      </w:r>
    </w:p>
    <w:p w:rsidR="009B6496" w:rsidRPr="00660DF1" w:rsidRDefault="009B649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60DF1">
        <w:rPr>
          <w:b/>
          <w:szCs w:val="22"/>
        </w:rPr>
        <w:t xml:space="preserve">Ako vyzerá </w:t>
      </w:r>
      <w:r w:rsidR="00F659DA" w:rsidRPr="00660DF1">
        <w:rPr>
          <w:b/>
          <w:szCs w:val="22"/>
        </w:rPr>
        <w:t>Cefuroxim Mylan</w:t>
      </w:r>
      <w:r w:rsidRPr="00660DF1">
        <w:rPr>
          <w:b/>
          <w:szCs w:val="22"/>
        </w:rPr>
        <w:t xml:space="preserve"> a</w:t>
      </w:r>
      <w:r w:rsidR="00CB5F46" w:rsidRPr="00660DF1">
        <w:rPr>
          <w:b/>
          <w:szCs w:val="22"/>
        </w:rPr>
        <w:t> </w:t>
      </w:r>
      <w:r w:rsidRPr="00660DF1">
        <w:rPr>
          <w:b/>
          <w:szCs w:val="22"/>
        </w:rPr>
        <w:t>obsah balenia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07DC5" w:rsidRPr="00660DF1" w:rsidRDefault="00307DC5" w:rsidP="0081085B">
      <w:pPr>
        <w:spacing w:line="240" w:lineRule="auto"/>
        <w:rPr>
          <w:szCs w:val="22"/>
        </w:rPr>
      </w:pPr>
      <w:r w:rsidRPr="00660DF1">
        <w:rPr>
          <w:szCs w:val="22"/>
        </w:rPr>
        <w:t>Cefuroxim Mylan 250 mg filmom obalené tablety: biele až sivobiele filmom obalené tablety v</w:t>
      </w:r>
      <w:r w:rsidR="0081085B" w:rsidRPr="00660DF1">
        <w:rPr>
          <w:szCs w:val="22"/>
        </w:rPr>
        <w:t> </w:t>
      </w:r>
      <w:r w:rsidRPr="00660DF1">
        <w:rPr>
          <w:szCs w:val="22"/>
        </w:rPr>
        <w:t>tvare kapsuly (približne 16,1 mm x 6,6 mm) s</w:t>
      </w:r>
      <w:r w:rsidR="0081085B" w:rsidRPr="00660DF1">
        <w:rPr>
          <w:szCs w:val="22"/>
        </w:rPr>
        <w:t> </w:t>
      </w:r>
      <w:r w:rsidRPr="00660DF1">
        <w:rPr>
          <w:szCs w:val="22"/>
        </w:rPr>
        <w:t>vyrazeným označením "A 33" na jednej strane a hladk</w:t>
      </w:r>
      <w:r w:rsidR="003A5936">
        <w:rPr>
          <w:szCs w:val="22"/>
        </w:rPr>
        <w:t>é</w:t>
      </w:r>
      <w:r w:rsidRPr="00660DF1">
        <w:rPr>
          <w:szCs w:val="22"/>
        </w:rPr>
        <w:t xml:space="preserve"> na druhej strane.</w:t>
      </w:r>
    </w:p>
    <w:p w:rsidR="00307DC5" w:rsidRPr="00660DF1" w:rsidRDefault="00307DC5" w:rsidP="0081085B">
      <w:pPr>
        <w:spacing w:line="240" w:lineRule="auto"/>
        <w:rPr>
          <w:szCs w:val="22"/>
        </w:rPr>
      </w:pPr>
    </w:p>
    <w:p w:rsidR="00307DC5" w:rsidRPr="00660DF1" w:rsidRDefault="00307DC5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Cefuroxim Mylan 250 mg filmom obalené tablety je dostupný v blistrových baleniach po </w:t>
      </w:r>
      <w:r w:rsidRPr="00660DF1">
        <w:rPr>
          <w:szCs w:val="22"/>
          <w:lang w:eastAsia="en-GB"/>
        </w:rPr>
        <w:t>8, 10, 12, 14 a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  <w:lang w:eastAsia="en-GB"/>
        </w:rPr>
        <w:t>16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</w:rPr>
        <w:t>tabliet.</w:t>
      </w:r>
    </w:p>
    <w:p w:rsidR="00307DC5" w:rsidRPr="00660DF1" w:rsidRDefault="00307DC5" w:rsidP="0081085B">
      <w:pPr>
        <w:spacing w:line="240" w:lineRule="auto"/>
        <w:rPr>
          <w:szCs w:val="22"/>
        </w:rPr>
      </w:pPr>
    </w:p>
    <w:p w:rsidR="00307DC5" w:rsidRPr="00660DF1" w:rsidRDefault="00C358F5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Cefuroxim Mylan 500 mg filmom obalené tablety: </w:t>
      </w:r>
      <w:r w:rsidR="005611F6" w:rsidRPr="00660DF1">
        <w:rPr>
          <w:szCs w:val="22"/>
        </w:rPr>
        <w:t>b</w:t>
      </w:r>
      <w:r w:rsidR="00307DC5" w:rsidRPr="00660DF1">
        <w:rPr>
          <w:szCs w:val="22"/>
        </w:rPr>
        <w:t>iele až sivobiele filmom obalené tablety v</w:t>
      </w:r>
      <w:r w:rsidR="0081085B" w:rsidRPr="00660DF1">
        <w:rPr>
          <w:szCs w:val="22"/>
        </w:rPr>
        <w:t> </w:t>
      </w:r>
      <w:r w:rsidR="00307DC5" w:rsidRPr="00660DF1">
        <w:rPr>
          <w:szCs w:val="22"/>
        </w:rPr>
        <w:t>tvare kapsuly (približne 20,1 mm x 8,6 mm) s</w:t>
      </w:r>
      <w:r w:rsidR="0081085B" w:rsidRPr="00660DF1">
        <w:rPr>
          <w:szCs w:val="22"/>
        </w:rPr>
        <w:t> </w:t>
      </w:r>
      <w:r w:rsidR="00307DC5" w:rsidRPr="00660DF1">
        <w:rPr>
          <w:szCs w:val="22"/>
        </w:rPr>
        <w:t>vyrazeným označením "A 34" na jednej strane a hladk</w:t>
      </w:r>
      <w:r w:rsidR="00B8692C">
        <w:rPr>
          <w:szCs w:val="22"/>
        </w:rPr>
        <w:t>é</w:t>
      </w:r>
      <w:r w:rsidR="00307DC5" w:rsidRPr="00660DF1">
        <w:rPr>
          <w:szCs w:val="22"/>
        </w:rPr>
        <w:t xml:space="preserve"> na druhej strane.</w:t>
      </w:r>
    </w:p>
    <w:p w:rsidR="00307DC5" w:rsidRPr="00660DF1" w:rsidRDefault="00307DC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611F6" w:rsidRPr="00660DF1" w:rsidRDefault="005611F6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Cefuroxim Mylan 500 mg filmom obalené tablety je dostupný v blistrových baleniach po </w:t>
      </w:r>
      <w:r w:rsidR="00C56567" w:rsidRPr="00660DF1">
        <w:rPr>
          <w:szCs w:val="22"/>
        </w:rPr>
        <w:t>6</w:t>
      </w:r>
      <w:r w:rsidR="00C56567" w:rsidRPr="00660DF1">
        <w:rPr>
          <w:szCs w:val="22"/>
          <w:lang w:eastAsia="en-GB"/>
        </w:rPr>
        <w:t>, 10, 14, 16 a 24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</w:rPr>
        <w:t>tabliet.</w:t>
      </w:r>
    </w:p>
    <w:p w:rsidR="008A306A" w:rsidRPr="00660DF1" w:rsidRDefault="008A306A" w:rsidP="0081085B">
      <w:pPr>
        <w:spacing w:line="240" w:lineRule="auto"/>
        <w:rPr>
          <w:szCs w:val="22"/>
        </w:rPr>
      </w:pPr>
    </w:p>
    <w:p w:rsidR="008A306A" w:rsidRPr="00660DF1" w:rsidRDefault="008A306A" w:rsidP="0081085B">
      <w:pPr>
        <w:spacing w:line="240" w:lineRule="auto"/>
        <w:rPr>
          <w:szCs w:val="22"/>
        </w:rPr>
      </w:pPr>
      <w:r w:rsidRPr="00660DF1">
        <w:rPr>
          <w:szCs w:val="22"/>
        </w:rPr>
        <w:t>Na trh nemusia byť uvedené všetky veľkosti balenia.</w:t>
      </w:r>
    </w:p>
    <w:p w:rsidR="00307DC5" w:rsidRPr="00660DF1" w:rsidRDefault="00307DC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F14AA" w:rsidRPr="00660DF1" w:rsidRDefault="007F14AA" w:rsidP="0081085B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b/>
          <w:szCs w:val="22"/>
        </w:rPr>
        <w:t>Držiteľ rozhodnutia o registrácii</w:t>
      </w:r>
    </w:p>
    <w:p w:rsidR="00417910" w:rsidRPr="00660DF1" w:rsidRDefault="00417910" w:rsidP="0081085B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szCs w:val="22"/>
        </w:rPr>
        <w:t>Mylan Ireland Limited</w:t>
      </w:r>
    </w:p>
    <w:p w:rsidR="00417910" w:rsidRPr="00660DF1" w:rsidRDefault="00417910" w:rsidP="00660DF1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szCs w:val="22"/>
        </w:rPr>
        <w:t>Unit 35/36 Grange Parade</w:t>
      </w:r>
      <w:r w:rsidR="00660DF1" w:rsidRPr="00660DF1">
        <w:rPr>
          <w:szCs w:val="22"/>
        </w:rPr>
        <w:t xml:space="preserve">, </w:t>
      </w:r>
      <w:r w:rsidRPr="00660DF1">
        <w:rPr>
          <w:szCs w:val="22"/>
        </w:rPr>
        <w:t>Baldoyle Industrial Estate</w:t>
      </w:r>
      <w:r w:rsidR="00660DF1" w:rsidRPr="00660DF1">
        <w:rPr>
          <w:szCs w:val="22"/>
        </w:rPr>
        <w:t xml:space="preserve">, </w:t>
      </w:r>
      <w:r w:rsidRPr="00660DF1">
        <w:rPr>
          <w:szCs w:val="22"/>
        </w:rPr>
        <w:t>Dublin 13, Írsko</w:t>
      </w:r>
    </w:p>
    <w:p w:rsidR="0081085B" w:rsidRPr="00660DF1" w:rsidRDefault="0081085B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1085B" w:rsidRPr="00660DF1" w:rsidRDefault="0081085B" w:rsidP="0081085B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660DF1">
        <w:rPr>
          <w:rFonts w:ascii="Times New Roman" w:hAnsi="Times New Roman" w:cs="Times New Roman"/>
          <w:b/>
          <w:sz w:val="22"/>
          <w:szCs w:val="22"/>
        </w:rPr>
        <w:t>Výrobca</w:t>
      </w:r>
    </w:p>
    <w:p w:rsidR="00B71A6A" w:rsidRPr="00660DF1" w:rsidRDefault="00B71A6A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0DF1">
        <w:rPr>
          <w:rFonts w:ascii="Times New Roman" w:hAnsi="Times New Roman" w:cs="Times New Roman"/>
          <w:sz w:val="22"/>
          <w:szCs w:val="22"/>
        </w:rPr>
        <w:t>McDermott Laboratories Limited trading as Gerard Laboratories trading as Mylan Dublin</w:t>
      </w:r>
    </w:p>
    <w:p w:rsidR="00B71A6A" w:rsidRPr="00660DF1" w:rsidRDefault="00B71A6A" w:rsidP="0081085B">
      <w:pPr>
        <w:spacing w:line="240" w:lineRule="auto"/>
        <w:rPr>
          <w:szCs w:val="22"/>
        </w:rPr>
      </w:pPr>
      <w:r w:rsidRPr="00660DF1">
        <w:rPr>
          <w:szCs w:val="22"/>
        </w:rPr>
        <w:t>35/36 Baldoyle Industrial Estate, Grange Road, Dublin 13, Írsko</w:t>
      </w:r>
    </w:p>
    <w:p w:rsidR="00493567" w:rsidRPr="00660DF1" w:rsidRDefault="00493567" w:rsidP="0081085B">
      <w:pPr>
        <w:spacing w:line="240" w:lineRule="auto"/>
        <w:rPr>
          <w:szCs w:val="22"/>
          <w:lang w:bidi="ar-SA"/>
        </w:rPr>
      </w:pPr>
    </w:p>
    <w:p w:rsidR="00821C6A" w:rsidRPr="00660DF1" w:rsidRDefault="00821C6A" w:rsidP="0081085B">
      <w:pPr>
        <w:pStyle w:val="Normlnywebov"/>
        <w:keepNext/>
        <w:spacing w:before="0" w:beforeAutospacing="0" w:after="0" w:afterAutospacing="0"/>
        <w:rPr>
          <w:noProof w:val="0"/>
          <w:color w:val="000000"/>
          <w:sz w:val="22"/>
          <w:szCs w:val="22"/>
        </w:rPr>
      </w:pPr>
      <w:r w:rsidRPr="00660DF1">
        <w:rPr>
          <w:noProof w:val="0"/>
          <w:color w:val="000000"/>
          <w:sz w:val="22"/>
          <w:szCs w:val="22"/>
        </w:rPr>
        <w:t>Ak potrebujete akúkoľvek informáciu o tomto lieku, kontaktujte miestneho zástupcu držiteľa rozhodnutia o registrácii:</w:t>
      </w:r>
    </w:p>
    <w:p w:rsidR="00C04F0E" w:rsidRPr="00660DF1" w:rsidRDefault="00BF25CD" w:rsidP="0081085B">
      <w:pPr>
        <w:spacing w:line="240" w:lineRule="auto"/>
        <w:rPr>
          <w:szCs w:val="22"/>
        </w:rPr>
      </w:pPr>
      <w:r w:rsidRPr="00660DF1">
        <w:rPr>
          <w:szCs w:val="22"/>
        </w:rPr>
        <w:t>MYLAN s</w:t>
      </w:r>
      <w:r w:rsidR="0081085B" w:rsidRPr="00660DF1">
        <w:rPr>
          <w:szCs w:val="22"/>
        </w:rPr>
        <w:t>.</w:t>
      </w:r>
      <w:r w:rsidRPr="00660DF1">
        <w:rPr>
          <w:szCs w:val="22"/>
        </w:rPr>
        <w:t>r.o.</w:t>
      </w:r>
    </w:p>
    <w:p w:rsidR="00C04F0E" w:rsidRPr="00660DF1" w:rsidRDefault="00C04F0E" w:rsidP="0081085B">
      <w:pPr>
        <w:spacing w:line="240" w:lineRule="auto"/>
        <w:rPr>
          <w:szCs w:val="22"/>
        </w:rPr>
      </w:pPr>
      <w:r w:rsidRPr="00660DF1">
        <w:rPr>
          <w:szCs w:val="22"/>
        </w:rPr>
        <w:t>Tel</w:t>
      </w:r>
      <w:r w:rsidR="00255241">
        <w:rPr>
          <w:szCs w:val="22"/>
        </w:rPr>
        <w:t>:</w:t>
      </w:r>
      <w:r w:rsidRPr="00660DF1">
        <w:rPr>
          <w:szCs w:val="22"/>
        </w:rPr>
        <w:t xml:space="preserve"> </w:t>
      </w:r>
      <w:bookmarkStart w:id="0" w:name="_GoBack"/>
      <w:bookmarkEnd w:id="0"/>
      <w:r w:rsidRPr="00660DF1">
        <w:rPr>
          <w:szCs w:val="22"/>
        </w:rPr>
        <w:t>+421 2 32 199 100</w:t>
      </w:r>
    </w:p>
    <w:p w:rsidR="00821C6A" w:rsidRPr="00660DF1" w:rsidRDefault="00821C6A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821C6A" w:rsidRPr="00660DF1" w:rsidRDefault="00821C6A" w:rsidP="0081085B">
      <w:pPr>
        <w:tabs>
          <w:tab w:val="clear" w:pos="567"/>
        </w:tabs>
        <w:spacing w:line="240" w:lineRule="auto"/>
        <w:rPr>
          <w:b/>
          <w:szCs w:val="22"/>
        </w:rPr>
      </w:pPr>
      <w:r w:rsidRPr="00660DF1">
        <w:rPr>
          <w:b/>
          <w:bCs/>
          <w:szCs w:val="22"/>
        </w:rPr>
        <w:t>Liek je schválený v členských štátoch Európskeho hospodárskeho priestoru (EHP) pod nasledovnými názvami</w:t>
      </w:r>
      <w:r w:rsidRPr="00660DF1">
        <w:rPr>
          <w:b/>
          <w:szCs w:val="22"/>
        </w:rPr>
        <w:t>:</w:t>
      </w:r>
    </w:p>
    <w:p w:rsidR="00740291" w:rsidRPr="00660DF1" w:rsidRDefault="00740291" w:rsidP="0081085B">
      <w:pPr>
        <w:tabs>
          <w:tab w:val="clear" w:pos="567"/>
        </w:tabs>
        <w:spacing w:line="240" w:lineRule="auto"/>
        <w:rPr>
          <w:b/>
          <w:szCs w:val="22"/>
        </w:rPr>
      </w:pPr>
    </w:p>
    <w:p w:rsidR="000E57F8" w:rsidRPr="00660DF1" w:rsidRDefault="000E57F8" w:rsidP="0081085B">
      <w:pPr>
        <w:spacing w:line="240" w:lineRule="auto"/>
        <w:rPr>
          <w:iCs/>
          <w:szCs w:val="22"/>
          <w:lang w:bidi="ar-SA"/>
        </w:rPr>
      </w:pPr>
      <w:r w:rsidRPr="00660DF1">
        <w:rPr>
          <w:iCs/>
          <w:szCs w:val="22"/>
        </w:rPr>
        <w:t>Česká republika</w:t>
      </w:r>
      <w:r w:rsidRPr="00660DF1">
        <w:rPr>
          <w:iCs/>
          <w:szCs w:val="22"/>
        </w:rPr>
        <w:tab/>
      </w:r>
      <w:r w:rsidRPr="00660DF1">
        <w:rPr>
          <w:iCs/>
          <w:szCs w:val="22"/>
        </w:rPr>
        <w:tab/>
      </w:r>
      <w:r w:rsidRPr="00660DF1">
        <w:rPr>
          <w:szCs w:val="22"/>
        </w:rPr>
        <w:t>Cefuroxim Mylan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660DF1">
        <w:rPr>
          <w:szCs w:val="22"/>
        </w:rPr>
        <w:t>Francúzsko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Céfuroxime Mylan Pharma 250 mg, comprimé pelliculé</w:t>
      </w:r>
    </w:p>
    <w:p w:rsidR="000E57F8" w:rsidRPr="00660DF1" w:rsidRDefault="000E57F8" w:rsidP="0081085B">
      <w:pPr>
        <w:numPr>
          <w:ilvl w:val="12"/>
          <w:numId w:val="0"/>
        </w:numPr>
        <w:tabs>
          <w:tab w:val="left" w:pos="1669"/>
        </w:tabs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Taliansko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Cefuroxima Mylan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Poľsko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Cefuroxime Mylan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Slovenská republika</w:t>
      </w:r>
      <w:r w:rsidRPr="00660DF1">
        <w:rPr>
          <w:szCs w:val="22"/>
        </w:rPr>
        <w:tab/>
        <w:t>Cefuroxim Mylan 250 mg</w:t>
      </w:r>
      <w:r w:rsidR="00894869">
        <w:rPr>
          <w:szCs w:val="22"/>
        </w:rPr>
        <w:t>/</w:t>
      </w:r>
      <w:r w:rsidRPr="00660DF1">
        <w:rPr>
          <w:szCs w:val="22"/>
        </w:rPr>
        <w:t>500 mg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Holandsko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Cefuroxim Mylan 250 mg, 500 mg, filmomhulde tabletten</w:t>
      </w:r>
    </w:p>
    <w:p w:rsidR="00821C6A" w:rsidRPr="00660DF1" w:rsidRDefault="00821C6A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660DF1">
        <w:rPr>
          <w:b/>
          <w:szCs w:val="22"/>
        </w:rPr>
        <w:t>Táto písomná informácia bola naposledy aktualizovaná v</w:t>
      </w:r>
      <w:r w:rsidR="00894869">
        <w:rPr>
          <w:b/>
          <w:szCs w:val="22"/>
        </w:rPr>
        <w:t> 10/</w:t>
      </w:r>
      <w:r w:rsidR="0081085B" w:rsidRPr="00660DF1">
        <w:rPr>
          <w:b/>
          <w:szCs w:val="22"/>
        </w:rPr>
        <w:t>2019</w:t>
      </w:r>
      <w:r w:rsidR="00C143F2" w:rsidRPr="00660DF1">
        <w:rPr>
          <w:b/>
          <w:szCs w:val="22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sectPr w:rsidR="009B6496" w:rsidRPr="00660DF1" w:rsidSect="0008593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82" w:rsidRDefault="00305282">
      <w:pPr>
        <w:spacing w:line="240" w:lineRule="auto"/>
      </w:pPr>
      <w:r>
        <w:separator/>
      </w:r>
    </w:p>
  </w:endnote>
  <w:endnote w:type="continuationSeparator" w:id="0">
    <w:p w:rsidR="00305282" w:rsidRDefault="0030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51" w:rsidRPr="00670851" w:rsidRDefault="00670851">
    <w:pPr>
      <w:pStyle w:val="Pta"/>
      <w:jc w:val="center"/>
      <w:rPr>
        <w:rFonts w:ascii="Times New Roman" w:hAnsi="Times New Roman"/>
        <w:sz w:val="18"/>
        <w:szCs w:val="18"/>
      </w:rPr>
    </w:pPr>
    <w:r w:rsidRPr="00670851">
      <w:rPr>
        <w:rFonts w:ascii="Times New Roman" w:hAnsi="Times New Roman"/>
        <w:sz w:val="18"/>
        <w:szCs w:val="18"/>
      </w:rPr>
      <w:fldChar w:fldCharType="begin"/>
    </w:r>
    <w:r w:rsidRPr="00670851">
      <w:rPr>
        <w:rFonts w:ascii="Times New Roman" w:hAnsi="Times New Roman"/>
        <w:sz w:val="18"/>
        <w:szCs w:val="18"/>
      </w:rPr>
      <w:instrText>PAGE   \* MERGEFORMAT</w:instrText>
    </w:r>
    <w:r w:rsidRPr="00670851">
      <w:rPr>
        <w:rFonts w:ascii="Times New Roman" w:hAnsi="Times New Roman"/>
        <w:sz w:val="18"/>
        <w:szCs w:val="18"/>
      </w:rPr>
      <w:fldChar w:fldCharType="separate"/>
    </w:r>
    <w:r w:rsidR="002168C0">
      <w:rPr>
        <w:rFonts w:ascii="Times New Roman" w:hAnsi="Times New Roman"/>
        <w:noProof/>
        <w:sz w:val="18"/>
        <w:szCs w:val="18"/>
      </w:rPr>
      <w:t>6</w:t>
    </w:r>
    <w:r w:rsidRPr="00670851">
      <w:rPr>
        <w:rFonts w:ascii="Times New Roman" w:hAnsi="Times New Roman"/>
        <w:sz w:val="18"/>
        <w:szCs w:val="18"/>
      </w:rPr>
      <w:fldChar w:fldCharType="end"/>
    </w:r>
  </w:p>
  <w:p w:rsidR="00CA12AB" w:rsidRPr="00A72672" w:rsidRDefault="00CA12AB" w:rsidP="00085939">
    <w:pPr>
      <w:pStyle w:val="Pta1"/>
      <w:tabs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9803F3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 w:rsidR="00592E6E"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82" w:rsidRDefault="00305282">
      <w:pPr>
        <w:spacing w:line="240" w:lineRule="auto"/>
      </w:pPr>
      <w:r>
        <w:separator/>
      </w:r>
    </w:p>
  </w:footnote>
  <w:footnote w:type="continuationSeparator" w:id="0">
    <w:p w:rsidR="00305282" w:rsidRDefault="00305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51" w:rsidRPr="005079AC" w:rsidRDefault="00670851" w:rsidP="005079AC">
    <w:pPr>
      <w:rPr>
        <w:sz w:val="18"/>
        <w:szCs w:val="18"/>
      </w:rPr>
    </w:pPr>
    <w:r w:rsidRPr="005079AC">
      <w:rPr>
        <w:sz w:val="18"/>
        <w:szCs w:val="18"/>
      </w:rPr>
      <w:t>Schválený text k rozhodnutiu o registrácii, ev. č.:</w:t>
    </w:r>
    <w:r w:rsidR="005079AC" w:rsidRPr="005079AC">
      <w:rPr>
        <w:sz w:val="18"/>
        <w:szCs w:val="18"/>
      </w:rPr>
      <w:t>2018/03589-REG</w:t>
    </w:r>
    <w:r w:rsidR="00C92FFD">
      <w:rPr>
        <w:sz w:val="18"/>
        <w:szCs w:val="18"/>
      </w:rPr>
      <w:t>,</w:t>
    </w:r>
    <w:r w:rsidR="005079AC" w:rsidRPr="005079AC">
      <w:rPr>
        <w:sz w:val="18"/>
        <w:szCs w:val="18"/>
      </w:rPr>
      <w:t xml:space="preserve"> 2018/03590-REG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940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A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C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E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8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669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4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A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0C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 w:tplc="2F0C59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7FAD360" w:tentative="1">
      <w:start w:val="1"/>
      <w:numFmt w:val="lowerLetter"/>
      <w:lvlText w:val="%2."/>
      <w:lvlJc w:val="left"/>
      <w:pPr>
        <w:ind w:left="1440" w:hanging="360"/>
      </w:pPr>
    </w:lvl>
    <w:lvl w:ilvl="2" w:tplc="925A14EE" w:tentative="1">
      <w:start w:val="1"/>
      <w:numFmt w:val="lowerRoman"/>
      <w:lvlText w:val="%3."/>
      <w:lvlJc w:val="right"/>
      <w:pPr>
        <w:ind w:left="2160" w:hanging="180"/>
      </w:pPr>
    </w:lvl>
    <w:lvl w:ilvl="3" w:tplc="36A484AC" w:tentative="1">
      <w:start w:val="1"/>
      <w:numFmt w:val="decimal"/>
      <w:lvlText w:val="%4."/>
      <w:lvlJc w:val="left"/>
      <w:pPr>
        <w:ind w:left="2880" w:hanging="360"/>
      </w:pPr>
    </w:lvl>
    <w:lvl w:ilvl="4" w:tplc="510CC79E" w:tentative="1">
      <w:start w:val="1"/>
      <w:numFmt w:val="lowerLetter"/>
      <w:lvlText w:val="%5."/>
      <w:lvlJc w:val="left"/>
      <w:pPr>
        <w:ind w:left="3600" w:hanging="360"/>
      </w:pPr>
    </w:lvl>
    <w:lvl w:ilvl="5" w:tplc="B5F03F9A" w:tentative="1">
      <w:start w:val="1"/>
      <w:numFmt w:val="lowerRoman"/>
      <w:lvlText w:val="%6."/>
      <w:lvlJc w:val="right"/>
      <w:pPr>
        <w:ind w:left="4320" w:hanging="180"/>
      </w:pPr>
    </w:lvl>
    <w:lvl w:ilvl="6" w:tplc="61207122" w:tentative="1">
      <w:start w:val="1"/>
      <w:numFmt w:val="decimal"/>
      <w:lvlText w:val="%7."/>
      <w:lvlJc w:val="left"/>
      <w:pPr>
        <w:ind w:left="5040" w:hanging="360"/>
      </w:pPr>
    </w:lvl>
    <w:lvl w:ilvl="7" w:tplc="815C1714" w:tentative="1">
      <w:start w:val="1"/>
      <w:numFmt w:val="lowerLetter"/>
      <w:lvlText w:val="%8."/>
      <w:lvlJc w:val="left"/>
      <w:pPr>
        <w:ind w:left="5760" w:hanging="360"/>
      </w:pPr>
    </w:lvl>
    <w:lvl w:ilvl="8" w:tplc="DE54D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 w:tplc="6CF0B4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5CA6018" w:tentative="1">
      <w:start w:val="1"/>
      <w:numFmt w:val="lowerLetter"/>
      <w:lvlText w:val="%2."/>
      <w:lvlJc w:val="left"/>
      <w:pPr>
        <w:ind w:left="1440" w:hanging="360"/>
      </w:pPr>
    </w:lvl>
    <w:lvl w:ilvl="2" w:tplc="D44044FC" w:tentative="1">
      <w:start w:val="1"/>
      <w:numFmt w:val="lowerRoman"/>
      <w:lvlText w:val="%3."/>
      <w:lvlJc w:val="right"/>
      <w:pPr>
        <w:ind w:left="2160" w:hanging="180"/>
      </w:pPr>
    </w:lvl>
    <w:lvl w:ilvl="3" w:tplc="F22660FE" w:tentative="1">
      <w:start w:val="1"/>
      <w:numFmt w:val="decimal"/>
      <w:lvlText w:val="%4."/>
      <w:lvlJc w:val="left"/>
      <w:pPr>
        <w:ind w:left="2880" w:hanging="360"/>
      </w:pPr>
    </w:lvl>
    <w:lvl w:ilvl="4" w:tplc="5F4EA14C" w:tentative="1">
      <w:start w:val="1"/>
      <w:numFmt w:val="lowerLetter"/>
      <w:lvlText w:val="%5."/>
      <w:lvlJc w:val="left"/>
      <w:pPr>
        <w:ind w:left="3600" w:hanging="360"/>
      </w:pPr>
    </w:lvl>
    <w:lvl w:ilvl="5" w:tplc="8BF4A466" w:tentative="1">
      <w:start w:val="1"/>
      <w:numFmt w:val="lowerRoman"/>
      <w:lvlText w:val="%6."/>
      <w:lvlJc w:val="right"/>
      <w:pPr>
        <w:ind w:left="4320" w:hanging="180"/>
      </w:pPr>
    </w:lvl>
    <w:lvl w:ilvl="6" w:tplc="4A867FDE" w:tentative="1">
      <w:start w:val="1"/>
      <w:numFmt w:val="decimal"/>
      <w:lvlText w:val="%7."/>
      <w:lvlJc w:val="left"/>
      <w:pPr>
        <w:ind w:left="5040" w:hanging="360"/>
      </w:pPr>
    </w:lvl>
    <w:lvl w:ilvl="7" w:tplc="CCEC0D28" w:tentative="1">
      <w:start w:val="1"/>
      <w:numFmt w:val="lowerLetter"/>
      <w:lvlText w:val="%8."/>
      <w:lvlJc w:val="left"/>
      <w:pPr>
        <w:ind w:left="5760" w:hanging="360"/>
      </w:pPr>
    </w:lvl>
    <w:lvl w:ilvl="8" w:tplc="23A0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 w:tplc="C4BE328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0FC7542" w:tentative="1">
      <w:start w:val="1"/>
      <w:numFmt w:val="lowerLetter"/>
      <w:lvlText w:val="%2."/>
      <w:lvlJc w:val="left"/>
      <w:pPr>
        <w:ind w:left="1440" w:hanging="360"/>
      </w:pPr>
    </w:lvl>
    <w:lvl w:ilvl="2" w:tplc="F796FC40" w:tentative="1">
      <w:start w:val="1"/>
      <w:numFmt w:val="lowerRoman"/>
      <w:lvlText w:val="%3."/>
      <w:lvlJc w:val="right"/>
      <w:pPr>
        <w:ind w:left="2160" w:hanging="180"/>
      </w:pPr>
    </w:lvl>
    <w:lvl w:ilvl="3" w:tplc="C0C6E5BC" w:tentative="1">
      <w:start w:val="1"/>
      <w:numFmt w:val="decimal"/>
      <w:lvlText w:val="%4."/>
      <w:lvlJc w:val="left"/>
      <w:pPr>
        <w:ind w:left="2880" w:hanging="360"/>
      </w:pPr>
    </w:lvl>
    <w:lvl w:ilvl="4" w:tplc="FC0AA430" w:tentative="1">
      <w:start w:val="1"/>
      <w:numFmt w:val="lowerLetter"/>
      <w:lvlText w:val="%5."/>
      <w:lvlJc w:val="left"/>
      <w:pPr>
        <w:ind w:left="3600" w:hanging="360"/>
      </w:pPr>
    </w:lvl>
    <w:lvl w:ilvl="5" w:tplc="71DC848C" w:tentative="1">
      <w:start w:val="1"/>
      <w:numFmt w:val="lowerRoman"/>
      <w:lvlText w:val="%6."/>
      <w:lvlJc w:val="right"/>
      <w:pPr>
        <w:ind w:left="4320" w:hanging="180"/>
      </w:pPr>
    </w:lvl>
    <w:lvl w:ilvl="6" w:tplc="859AF8C8" w:tentative="1">
      <w:start w:val="1"/>
      <w:numFmt w:val="decimal"/>
      <w:lvlText w:val="%7."/>
      <w:lvlJc w:val="left"/>
      <w:pPr>
        <w:ind w:left="5040" w:hanging="360"/>
      </w:pPr>
    </w:lvl>
    <w:lvl w:ilvl="7" w:tplc="A2366FBC" w:tentative="1">
      <w:start w:val="1"/>
      <w:numFmt w:val="lowerLetter"/>
      <w:lvlText w:val="%8."/>
      <w:lvlJc w:val="left"/>
      <w:pPr>
        <w:ind w:left="5760" w:hanging="360"/>
      </w:pPr>
    </w:lvl>
    <w:lvl w:ilvl="8" w:tplc="DB22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65CF7"/>
    <w:multiLevelType w:val="hybridMultilevel"/>
    <w:tmpl w:val="CF8E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90F14"/>
    <w:multiLevelType w:val="hybridMultilevel"/>
    <w:tmpl w:val="2E4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61C39"/>
    <w:multiLevelType w:val="hybridMultilevel"/>
    <w:tmpl w:val="C9D6A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62DBA"/>
    <w:multiLevelType w:val="hybridMultilevel"/>
    <w:tmpl w:val="0BAC1C9E"/>
    <w:lvl w:ilvl="0" w:tplc="1D246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00A91"/>
    <w:multiLevelType w:val="hybridMultilevel"/>
    <w:tmpl w:val="2272E4E2"/>
    <w:lvl w:ilvl="0" w:tplc="57F246B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7F1CDEF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6FBE2A74" w:tentative="1">
      <w:start w:val="1"/>
      <w:numFmt w:val="lowerRoman"/>
      <w:lvlText w:val="%3."/>
      <w:lvlJc w:val="right"/>
      <w:pPr>
        <w:ind w:left="2793" w:hanging="180"/>
      </w:pPr>
    </w:lvl>
    <w:lvl w:ilvl="3" w:tplc="014E7504" w:tentative="1">
      <w:start w:val="1"/>
      <w:numFmt w:val="decimal"/>
      <w:lvlText w:val="%4."/>
      <w:lvlJc w:val="left"/>
      <w:pPr>
        <w:ind w:left="3513" w:hanging="360"/>
      </w:pPr>
    </w:lvl>
    <w:lvl w:ilvl="4" w:tplc="821CCEE6" w:tentative="1">
      <w:start w:val="1"/>
      <w:numFmt w:val="lowerLetter"/>
      <w:lvlText w:val="%5."/>
      <w:lvlJc w:val="left"/>
      <w:pPr>
        <w:ind w:left="4233" w:hanging="360"/>
      </w:pPr>
    </w:lvl>
    <w:lvl w:ilvl="5" w:tplc="F9D2B88C" w:tentative="1">
      <w:start w:val="1"/>
      <w:numFmt w:val="lowerRoman"/>
      <w:lvlText w:val="%6."/>
      <w:lvlJc w:val="right"/>
      <w:pPr>
        <w:ind w:left="4953" w:hanging="180"/>
      </w:pPr>
    </w:lvl>
    <w:lvl w:ilvl="6" w:tplc="820A2E0A" w:tentative="1">
      <w:start w:val="1"/>
      <w:numFmt w:val="decimal"/>
      <w:lvlText w:val="%7."/>
      <w:lvlJc w:val="left"/>
      <w:pPr>
        <w:ind w:left="5673" w:hanging="360"/>
      </w:pPr>
    </w:lvl>
    <w:lvl w:ilvl="7" w:tplc="7DD48BDE" w:tentative="1">
      <w:start w:val="1"/>
      <w:numFmt w:val="lowerLetter"/>
      <w:lvlText w:val="%8."/>
      <w:lvlJc w:val="left"/>
      <w:pPr>
        <w:ind w:left="6393" w:hanging="360"/>
      </w:pPr>
    </w:lvl>
    <w:lvl w:ilvl="8" w:tplc="24FAF2E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6F9337D0"/>
    <w:multiLevelType w:val="hybridMultilevel"/>
    <w:tmpl w:val="B6C885E6"/>
    <w:lvl w:ilvl="0" w:tplc="25687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A9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3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2E4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26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02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3081A"/>
    <w:multiLevelType w:val="hybridMultilevel"/>
    <w:tmpl w:val="DAF69E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A204B"/>
    <w:multiLevelType w:val="hybridMultilevel"/>
    <w:tmpl w:val="7EACE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B4910"/>
    <w:multiLevelType w:val="hybridMultilevel"/>
    <w:tmpl w:val="52587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00D28"/>
    <w:multiLevelType w:val="hybridMultilevel"/>
    <w:tmpl w:val="2F94C0BA"/>
    <w:lvl w:ilvl="0" w:tplc="B92EB7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2C769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C380182" w:tentative="1">
      <w:start w:val="1"/>
      <w:numFmt w:val="lowerRoman"/>
      <w:lvlText w:val="%3."/>
      <w:lvlJc w:val="right"/>
      <w:pPr>
        <w:ind w:left="2160" w:hanging="180"/>
      </w:pPr>
    </w:lvl>
    <w:lvl w:ilvl="3" w:tplc="56CE80D0" w:tentative="1">
      <w:start w:val="1"/>
      <w:numFmt w:val="decimal"/>
      <w:lvlText w:val="%4."/>
      <w:lvlJc w:val="left"/>
      <w:pPr>
        <w:ind w:left="2880" w:hanging="360"/>
      </w:pPr>
    </w:lvl>
    <w:lvl w:ilvl="4" w:tplc="4344FA9C" w:tentative="1">
      <w:start w:val="1"/>
      <w:numFmt w:val="lowerLetter"/>
      <w:lvlText w:val="%5."/>
      <w:lvlJc w:val="left"/>
      <w:pPr>
        <w:ind w:left="3600" w:hanging="360"/>
      </w:pPr>
    </w:lvl>
    <w:lvl w:ilvl="5" w:tplc="C4AE0378" w:tentative="1">
      <w:start w:val="1"/>
      <w:numFmt w:val="lowerRoman"/>
      <w:lvlText w:val="%6."/>
      <w:lvlJc w:val="right"/>
      <w:pPr>
        <w:ind w:left="4320" w:hanging="180"/>
      </w:pPr>
    </w:lvl>
    <w:lvl w:ilvl="6" w:tplc="812E353A" w:tentative="1">
      <w:start w:val="1"/>
      <w:numFmt w:val="decimal"/>
      <w:lvlText w:val="%7."/>
      <w:lvlJc w:val="left"/>
      <w:pPr>
        <w:ind w:left="5040" w:hanging="360"/>
      </w:pPr>
    </w:lvl>
    <w:lvl w:ilvl="7" w:tplc="812CDD0E" w:tentative="1">
      <w:start w:val="1"/>
      <w:numFmt w:val="lowerLetter"/>
      <w:lvlText w:val="%8."/>
      <w:lvlJc w:val="left"/>
      <w:pPr>
        <w:ind w:left="5760" w:hanging="360"/>
      </w:pPr>
    </w:lvl>
    <w:lvl w:ilvl="8" w:tplc="F43EBA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11"/>
  </w:num>
  <w:num w:numId="7">
    <w:abstractNumId w:val="10"/>
  </w:num>
  <w:num w:numId="8">
    <w:abstractNumId w:val="16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73A"/>
    <w:rsid w:val="00033D26"/>
    <w:rsid w:val="00033FDB"/>
    <w:rsid w:val="000344F6"/>
    <w:rsid w:val="000344F7"/>
    <w:rsid w:val="00035833"/>
    <w:rsid w:val="00040B68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50EE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86460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2287"/>
    <w:rsid w:val="000A30E5"/>
    <w:rsid w:val="000A3675"/>
    <w:rsid w:val="000A3767"/>
    <w:rsid w:val="000A39C5"/>
    <w:rsid w:val="000A3B6B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4A33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D78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57F8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08B1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0627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31DC"/>
    <w:rsid w:val="00154C69"/>
    <w:rsid w:val="00155D7F"/>
    <w:rsid w:val="00156108"/>
    <w:rsid w:val="0015704C"/>
    <w:rsid w:val="00157895"/>
    <w:rsid w:val="00161701"/>
    <w:rsid w:val="00161DE1"/>
    <w:rsid w:val="00161E87"/>
    <w:rsid w:val="00162098"/>
    <w:rsid w:val="0016566C"/>
    <w:rsid w:val="0016718C"/>
    <w:rsid w:val="00170769"/>
    <w:rsid w:val="00170A61"/>
    <w:rsid w:val="001726CA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3127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1A9C"/>
    <w:rsid w:val="0020272E"/>
    <w:rsid w:val="00202E50"/>
    <w:rsid w:val="00204AAB"/>
    <w:rsid w:val="00205180"/>
    <w:rsid w:val="00206D54"/>
    <w:rsid w:val="00207CED"/>
    <w:rsid w:val="00207F81"/>
    <w:rsid w:val="00210265"/>
    <w:rsid w:val="0021055C"/>
    <w:rsid w:val="002109F4"/>
    <w:rsid w:val="0021174D"/>
    <w:rsid w:val="00211FDA"/>
    <w:rsid w:val="002128BC"/>
    <w:rsid w:val="00213FB8"/>
    <w:rsid w:val="00214C4F"/>
    <w:rsid w:val="002157EA"/>
    <w:rsid w:val="00215FDA"/>
    <w:rsid w:val="002160C2"/>
    <w:rsid w:val="002168C0"/>
    <w:rsid w:val="00216DE0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411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5241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1ED"/>
    <w:rsid w:val="00286322"/>
    <w:rsid w:val="00291302"/>
    <w:rsid w:val="00296B03"/>
    <w:rsid w:val="00296C1F"/>
    <w:rsid w:val="002A0D9C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C5F0E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198"/>
    <w:rsid w:val="002F43CA"/>
    <w:rsid w:val="002F57AA"/>
    <w:rsid w:val="002F6EF7"/>
    <w:rsid w:val="002F714C"/>
    <w:rsid w:val="002F77BF"/>
    <w:rsid w:val="003004A2"/>
    <w:rsid w:val="00302CA4"/>
    <w:rsid w:val="00303DD5"/>
    <w:rsid w:val="00305282"/>
    <w:rsid w:val="00305D2B"/>
    <w:rsid w:val="003071E9"/>
    <w:rsid w:val="00307B74"/>
    <w:rsid w:val="00307DC5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2236"/>
    <w:rsid w:val="00323EEC"/>
    <w:rsid w:val="003247B0"/>
    <w:rsid w:val="00324B26"/>
    <w:rsid w:val="00325E81"/>
    <w:rsid w:val="00326948"/>
    <w:rsid w:val="00327052"/>
    <w:rsid w:val="00332325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A5F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C3F"/>
    <w:rsid w:val="00393E9D"/>
    <w:rsid w:val="00393EE9"/>
    <w:rsid w:val="0039408A"/>
    <w:rsid w:val="003945F5"/>
    <w:rsid w:val="0039673D"/>
    <w:rsid w:val="00396F05"/>
    <w:rsid w:val="003975DA"/>
    <w:rsid w:val="00397893"/>
    <w:rsid w:val="003A13C8"/>
    <w:rsid w:val="003A2407"/>
    <w:rsid w:val="003A2CF0"/>
    <w:rsid w:val="003A33D3"/>
    <w:rsid w:val="003A3880"/>
    <w:rsid w:val="003A4B52"/>
    <w:rsid w:val="003A5119"/>
    <w:rsid w:val="003A547B"/>
    <w:rsid w:val="003A5936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53C"/>
    <w:rsid w:val="003E5991"/>
    <w:rsid w:val="003E6CA0"/>
    <w:rsid w:val="003F1F41"/>
    <w:rsid w:val="003F29CC"/>
    <w:rsid w:val="003F2FDE"/>
    <w:rsid w:val="003F330B"/>
    <w:rsid w:val="003F634E"/>
    <w:rsid w:val="003F6F4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0FC"/>
    <w:rsid w:val="00412450"/>
    <w:rsid w:val="0041389D"/>
    <w:rsid w:val="004138DE"/>
    <w:rsid w:val="00413B39"/>
    <w:rsid w:val="004143E8"/>
    <w:rsid w:val="00414B2F"/>
    <w:rsid w:val="00415E58"/>
    <w:rsid w:val="00416231"/>
    <w:rsid w:val="00417910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0FAA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5F4"/>
    <w:rsid w:val="004866C5"/>
    <w:rsid w:val="004866D9"/>
    <w:rsid w:val="00487366"/>
    <w:rsid w:val="004873E4"/>
    <w:rsid w:val="0049072C"/>
    <w:rsid w:val="004907AD"/>
    <w:rsid w:val="00490FD1"/>
    <w:rsid w:val="00491444"/>
    <w:rsid w:val="00491AD2"/>
    <w:rsid w:val="004926F6"/>
    <w:rsid w:val="00493567"/>
    <w:rsid w:val="004935C0"/>
    <w:rsid w:val="00493B43"/>
    <w:rsid w:val="00494335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1AE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4261"/>
    <w:rsid w:val="004C6B22"/>
    <w:rsid w:val="004C6B2B"/>
    <w:rsid w:val="004C70FC"/>
    <w:rsid w:val="004D0477"/>
    <w:rsid w:val="004D2675"/>
    <w:rsid w:val="004D26B3"/>
    <w:rsid w:val="004D4080"/>
    <w:rsid w:val="004D6163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4A08"/>
    <w:rsid w:val="00505229"/>
    <w:rsid w:val="005079AC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4876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233B"/>
    <w:rsid w:val="005523D8"/>
    <w:rsid w:val="00553BFA"/>
    <w:rsid w:val="005546C5"/>
    <w:rsid w:val="00554CB6"/>
    <w:rsid w:val="00554D05"/>
    <w:rsid w:val="005573CB"/>
    <w:rsid w:val="0056077E"/>
    <w:rsid w:val="00560EDA"/>
    <w:rsid w:val="005611F6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712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0C4"/>
    <w:rsid w:val="005E2563"/>
    <w:rsid w:val="005E2EBE"/>
    <w:rsid w:val="005E3020"/>
    <w:rsid w:val="005E31AC"/>
    <w:rsid w:val="005E394C"/>
    <w:rsid w:val="005E3F8F"/>
    <w:rsid w:val="005E42BF"/>
    <w:rsid w:val="005E4E70"/>
    <w:rsid w:val="005E62E8"/>
    <w:rsid w:val="005E65BB"/>
    <w:rsid w:val="005F0143"/>
    <w:rsid w:val="005F0161"/>
    <w:rsid w:val="005F0DA0"/>
    <w:rsid w:val="005F2767"/>
    <w:rsid w:val="005F37EE"/>
    <w:rsid w:val="005F4914"/>
    <w:rsid w:val="005F62B7"/>
    <w:rsid w:val="005F67FC"/>
    <w:rsid w:val="005F6869"/>
    <w:rsid w:val="005F6BB9"/>
    <w:rsid w:val="005F7C3C"/>
    <w:rsid w:val="00603148"/>
    <w:rsid w:val="00606FC7"/>
    <w:rsid w:val="00607958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40F0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4D2E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0DF1"/>
    <w:rsid w:val="00661140"/>
    <w:rsid w:val="00663594"/>
    <w:rsid w:val="00664999"/>
    <w:rsid w:val="0066578D"/>
    <w:rsid w:val="006659D2"/>
    <w:rsid w:val="00665C4B"/>
    <w:rsid w:val="00667D9E"/>
    <w:rsid w:val="00670851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86C"/>
    <w:rsid w:val="00681A41"/>
    <w:rsid w:val="006821B2"/>
    <w:rsid w:val="006823D3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074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0A80"/>
    <w:rsid w:val="006C2B9A"/>
    <w:rsid w:val="006C39BB"/>
    <w:rsid w:val="006C3A6D"/>
    <w:rsid w:val="006C4502"/>
    <w:rsid w:val="006C6114"/>
    <w:rsid w:val="006C68C0"/>
    <w:rsid w:val="006C6C6A"/>
    <w:rsid w:val="006C7AB4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4F4A"/>
    <w:rsid w:val="0071558B"/>
    <w:rsid w:val="007167B5"/>
    <w:rsid w:val="0071776A"/>
    <w:rsid w:val="00717893"/>
    <w:rsid w:val="0072059F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291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3B5"/>
    <w:rsid w:val="00753BF5"/>
    <w:rsid w:val="007546F8"/>
    <w:rsid w:val="0075579B"/>
    <w:rsid w:val="00755BAB"/>
    <w:rsid w:val="00755F5B"/>
    <w:rsid w:val="00757ECC"/>
    <w:rsid w:val="0076080E"/>
    <w:rsid w:val="007613EF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1C87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2509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024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4AA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2AA9"/>
    <w:rsid w:val="00803FD4"/>
    <w:rsid w:val="0080481C"/>
    <w:rsid w:val="00804C54"/>
    <w:rsid w:val="008056DD"/>
    <w:rsid w:val="00806E4A"/>
    <w:rsid w:val="008101CD"/>
    <w:rsid w:val="0081085B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1C6A"/>
    <w:rsid w:val="008225EB"/>
    <w:rsid w:val="0082327D"/>
    <w:rsid w:val="0082433D"/>
    <w:rsid w:val="0082445A"/>
    <w:rsid w:val="00825042"/>
    <w:rsid w:val="00825558"/>
    <w:rsid w:val="00826509"/>
    <w:rsid w:val="00826B20"/>
    <w:rsid w:val="00831B01"/>
    <w:rsid w:val="00831BAD"/>
    <w:rsid w:val="008330D5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0ADF"/>
    <w:rsid w:val="00851377"/>
    <w:rsid w:val="008513C1"/>
    <w:rsid w:val="0085140A"/>
    <w:rsid w:val="00851AE0"/>
    <w:rsid w:val="0085375B"/>
    <w:rsid w:val="00853C5F"/>
    <w:rsid w:val="0085437C"/>
    <w:rsid w:val="00854B2F"/>
    <w:rsid w:val="00855481"/>
    <w:rsid w:val="00855508"/>
    <w:rsid w:val="0085620E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AD3"/>
    <w:rsid w:val="00865D13"/>
    <w:rsid w:val="00865DBD"/>
    <w:rsid w:val="0086662E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27DF"/>
    <w:rsid w:val="00883ED5"/>
    <w:rsid w:val="0088451E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869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06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2991"/>
    <w:rsid w:val="008D347F"/>
    <w:rsid w:val="008D35AD"/>
    <w:rsid w:val="008D36CD"/>
    <w:rsid w:val="008D4380"/>
    <w:rsid w:val="008D48D1"/>
    <w:rsid w:val="008D494C"/>
    <w:rsid w:val="008D4EED"/>
    <w:rsid w:val="008D52E1"/>
    <w:rsid w:val="008D6BE8"/>
    <w:rsid w:val="008E217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3BF6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07FB0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47F"/>
    <w:rsid w:val="009417F7"/>
    <w:rsid w:val="00942040"/>
    <w:rsid w:val="0094258D"/>
    <w:rsid w:val="00942C9F"/>
    <w:rsid w:val="00942EFC"/>
    <w:rsid w:val="00943F98"/>
    <w:rsid w:val="009445C9"/>
    <w:rsid w:val="00945631"/>
    <w:rsid w:val="00945B6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3F3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5CC"/>
    <w:rsid w:val="009B2C91"/>
    <w:rsid w:val="009B3096"/>
    <w:rsid w:val="009B3DC4"/>
    <w:rsid w:val="009B49A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4E6C"/>
    <w:rsid w:val="009C504A"/>
    <w:rsid w:val="009C562E"/>
    <w:rsid w:val="009C5E44"/>
    <w:rsid w:val="009C5FE6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2DAF"/>
    <w:rsid w:val="00A03FC8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5D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65BC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BDB"/>
    <w:rsid w:val="00AA0DD3"/>
    <w:rsid w:val="00AA1401"/>
    <w:rsid w:val="00AA1C07"/>
    <w:rsid w:val="00AA2F04"/>
    <w:rsid w:val="00AA3688"/>
    <w:rsid w:val="00AA46FF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BC7"/>
    <w:rsid w:val="00AC2EFE"/>
    <w:rsid w:val="00AC3930"/>
    <w:rsid w:val="00AC3AB1"/>
    <w:rsid w:val="00AC68C6"/>
    <w:rsid w:val="00AC79C1"/>
    <w:rsid w:val="00AC7CA4"/>
    <w:rsid w:val="00AD1C17"/>
    <w:rsid w:val="00AD1FF3"/>
    <w:rsid w:val="00AD41A2"/>
    <w:rsid w:val="00AD493B"/>
    <w:rsid w:val="00AD4946"/>
    <w:rsid w:val="00AD4A64"/>
    <w:rsid w:val="00AD4D4E"/>
    <w:rsid w:val="00AD598F"/>
    <w:rsid w:val="00AD6D09"/>
    <w:rsid w:val="00AD78CE"/>
    <w:rsid w:val="00AE07DA"/>
    <w:rsid w:val="00AE098E"/>
    <w:rsid w:val="00AE0A27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36AA"/>
    <w:rsid w:val="00B055F8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0860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296"/>
    <w:rsid w:val="00B63DE7"/>
    <w:rsid w:val="00B640CC"/>
    <w:rsid w:val="00B645B6"/>
    <w:rsid w:val="00B64B2F"/>
    <w:rsid w:val="00B664ED"/>
    <w:rsid w:val="00B667BF"/>
    <w:rsid w:val="00B66CEC"/>
    <w:rsid w:val="00B674D6"/>
    <w:rsid w:val="00B6797D"/>
    <w:rsid w:val="00B67BF9"/>
    <w:rsid w:val="00B703D1"/>
    <w:rsid w:val="00B713FF"/>
    <w:rsid w:val="00B71803"/>
    <w:rsid w:val="00B71A6A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692C"/>
    <w:rsid w:val="00B875F2"/>
    <w:rsid w:val="00B87847"/>
    <w:rsid w:val="00B87FF3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1D16"/>
    <w:rsid w:val="00BA2B62"/>
    <w:rsid w:val="00BA3287"/>
    <w:rsid w:val="00BA5273"/>
    <w:rsid w:val="00BA5821"/>
    <w:rsid w:val="00BA6419"/>
    <w:rsid w:val="00BA6550"/>
    <w:rsid w:val="00BB0B6B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779"/>
    <w:rsid w:val="00BC6DC2"/>
    <w:rsid w:val="00BE4ED6"/>
    <w:rsid w:val="00BE54F3"/>
    <w:rsid w:val="00BE5F67"/>
    <w:rsid w:val="00BE7920"/>
    <w:rsid w:val="00BF1E46"/>
    <w:rsid w:val="00BF22CD"/>
    <w:rsid w:val="00BF25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4F0E"/>
    <w:rsid w:val="00C05C3D"/>
    <w:rsid w:val="00C071AC"/>
    <w:rsid w:val="00C07EF8"/>
    <w:rsid w:val="00C100F1"/>
    <w:rsid w:val="00C109A2"/>
    <w:rsid w:val="00C11E4C"/>
    <w:rsid w:val="00C12A1E"/>
    <w:rsid w:val="00C12CE4"/>
    <w:rsid w:val="00C135E2"/>
    <w:rsid w:val="00C143F2"/>
    <w:rsid w:val="00C145C8"/>
    <w:rsid w:val="00C14954"/>
    <w:rsid w:val="00C14E7E"/>
    <w:rsid w:val="00C1519B"/>
    <w:rsid w:val="00C16796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358F5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567"/>
    <w:rsid w:val="00C56680"/>
    <w:rsid w:val="00C56A1A"/>
    <w:rsid w:val="00C57741"/>
    <w:rsid w:val="00C57E3F"/>
    <w:rsid w:val="00C6074F"/>
    <w:rsid w:val="00C60862"/>
    <w:rsid w:val="00C60F49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2FFD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5485"/>
    <w:rsid w:val="00CA5B56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12FA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461"/>
    <w:rsid w:val="00D02B8F"/>
    <w:rsid w:val="00D03851"/>
    <w:rsid w:val="00D039E7"/>
    <w:rsid w:val="00D0401F"/>
    <w:rsid w:val="00D05B61"/>
    <w:rsid w:val="00D06E88"/>
    <w:rsid w:val="00D1048D"/>
    <w:rsid w:val="00D11F90"/>
    <w:rsid w:val="00D13116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37EA9"/>
    <w:rsid w:val="00D40D80"/>
    <w:rsid w:val="00D411D5"/>
    <w:rsid w:val="00D41BAA"/>
    <w:rsid w:val="00D423AC"/>
    <w:rsid w:val="00D42497"/>
    <w:rsid w:val="00D427E6"/>
    <w:rsid w:val="00D44B15"/>
    <w:rsid w:val="00D44DC6"/>
    <w:rsid w:val="00D476EA"/>
    <w:rsid w:val="00D50AA5"/>
    <w:rsid w:val="00D514E5"/>
    <w:rsid w:val="00D5174E"/>
    <w:rsid w:val="00D53589"/>
    <w:rsid w:val="00D539D5"/>
    <w:rsid w:val="00D53D10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0C0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32E"/>
    <w:rsid w:val="00D97A7B"/>
    <w:rsid w:val="00DA1259"/>
    <w:rsid w:val="00DA1AAD"/>
    <w:rsid w:val="00DA1CFD"/>
    <w:rsid w:val="00DA1E08"/>
    <w:rsid w:val="00DA25D9"/>
    <w:rsid w:val="00DA4A52"/>
    <w:rsid w:val="00DA4FBC"/>
    <w:rsid w:val="00DA5912"/>
    <w:rsid w:val="00DA61B9"/>
    <w:rsid w:val="00DA7457"/>
    <w:rsid w:val="00DB09F9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2A32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260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0C58"/>
    <w:rsid w:val="00E10D25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2FD1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7F"/>
    <w:rsid w:val="00E40EB7"/>
    <w:rsid w:val="00E43AAA"/>
    <w:rsid w:val="00E44B4A"/>
    <w:rsid w:val="00E44C62"/>
    <w:rsid w:val="00E45642"/>
    <w:rsid w:val="00E45B54"/>
    <w:rsid w:val="00E46221"/>
    <w:rsid w:val="00E51141"/>
    <w:rsid w:val="00E5387C"/>
    <w:rsid w:val="00E53E2C"/>
    <w:rsid w:val="00E54EF2"/>
    <w:rsid w:val="00E56AB2"/>
    <w:rsid w:val="00E60A5E"/>
    <w:rsid w:val="00E60DC5"/>
    <w:rsid w:val="00E61036"/>
    <w:rsid w:val="00E6218F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5992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6E6"/>
    <w:rsid w:val="00EB3C54"/>
    <w:rsid w:val="00EB4951"/>
    <w:rsid w:val="00EB566F"/>
    <w:rsid w:val="00EB595B"/>
    <w:rsid w:val="00EC098E"/>
    <w:rsid w:val="00EC0BCB"/>
    <w:rsid w:val="00EC0E71"/>
    <w:rsid w:val="00EC1325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100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59DA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1A6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AB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690D"/>
    <w:rsid w:val="00FB76CC"/>
    <w:rsid w:val="00FC34DF"/>
    <w:rsid w:val="00FC5E76"/>
    <w:rsid w:val="00FC66A5"/>
    <w:rsid w:val="00FC69CF"/>
    <w:rsid w:val="00FC7214"/>
    <w:rsid w:val="00FD058F"/>
    <w:rsid w:val="00FD0B70"/>
    <w:rsid w:val="00FD0ECE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2E7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1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Hlavika">
    <w:name w:val="header"/>
    <w:basedOn w:val="Normlny"/>
    <w:uiPriority w:val="99"/>
    <w:unhideWhenUsed/>
    <w:rsid w:val="00670851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HlavikaChar1">
    <w:name w:val="Hlavička Char1"/>
    <w:uiPriority w:val="99"/>
    <w:semiHidden/>
    <w:rsid w:val="00670851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uiPriority w:val="99"/>
    <w:unhideWhenUsed/>
    <w:rsid w:val="00670851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PtaChar1">
    <w:name w:val="Päta Char1"/>
    <w:uiPriority w:val="99"/>
    <w:semiHidden/>
    <w:rsid w:val="00670851"/>
    <w:rPr>
      <w:rFonts w:eastAsia="Times New Roman"/>
      <w:sz w:val="22"/>
      <w:lang w:val="sk-SK" w:eastAsia="sk-SK" w:bidi="sk-SK"/>
    </w:rPr>
  </w:style>
  <w:style w:type="paragraph" w:customStyle="1" w:styleId="NoNumHead2">
    <w:name w:val="NoNum:Head2"/>
    <w:basedOn w:val="Normlny"/>
    <w:next w:val="Normlny"/>
    <w:autoRedefine/>
    <w:rsid w:val="00865AD3"/>
    <w:pPr>
      <w:keepNext/>
      <w:tabs>
        <w:tab w:val="clear" w:pos="567"/>
      </w:tabs>
      <w:spacing w:line="240" w:lineRule="auto"/>
      <w:outlineLvl w:val="0"/>
    </w:pPr>
    <w:rPr>
      <w:b/>
      <w:noProof/>
      <w:szCs w:val="22"/>
      <w:lang w:eastAsia="en-US" w:bidi="ar-SA"/>
    </w:rPr>
  </w:style>
  <w:style w:type="paragraph" w:customStyle="1" w:styleId="centhead12">
    <w:name w:val="centhead12"/>
    <w:basedOn w:val="Normlny"/>
    <w:next w:val="Normlny"/>
    <w:rsid w:val="00865AD3"/>
    <w:pPr>
      <w:keepNext/>
      <w:tabs>
        <w:tab w:val="clear" w:pos="567"/>
      </w:tabs>
      <w:spacing w:after="240" w:line="240" w:lineRule="auto"/>
      <w:jc w:val="center"/>
    </w:pPr>
    <w:rPr>
      <w:rFonts w:ascii="Arial" w:hAnsi="Arial"/>
      <w:b/>
      <w:noProof/>
      <w:sz w:val="24"/>
      <w:lang w:eastAsia="en-US" w:bidi="ar-SA"/>
    </w:rPr>
  </w:style>
  <w:style w:type="paragraph" w:styleId="Normlnywebov">
    <w:name w:val="Normal (Web)"/>
    <w:basedOn w:val="Normlny"/>
    <w:uiPriority w:val="99"/>
    <w:rsid w:val="00865AD3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eastAsia="en-GB" w:bidi="ar-SA"/>
    </w:rPr>
  </w:style>
  <w:style w:type="paragraph" w:customStyle="1" w:styleId="Bullet">
    <w:name w:val="Bullet"/>
    <w:basedOn w:val="Normlny"/>
    <w:rsid w:val="00865AD3"/>
    <w:pPr>
      <w:numPr>
        <w:numId w:val="14"/>
      </w:numPr>
      <w:tabs>
        <w:tab w:val="clear" w:pos="567"/>
      </w:tabs>
      <w:spacing w:before="120" w:line="240" w:lineRule="auto"/>
    </w:pPr>
    <w:rPr>
      <w:noProof/>
      <w:szCs w:val="24"/>
      <w:lang w:eastAsia="en-GB" w:bidi="ar-SA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AD1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D1C17"/>
    <w:rPr>
      <w:rFonts w:ascii="Tahoma" w:eastAsia="Times New Roman" w:hAnsi="Tahoma" w:cs="Tahoma"/>
      <w:sz w:val="16"/>
      <w:szCs w:val="16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1B3C-56D1-4BA3-923E-4A60DE05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6</Pages>
  <Words>1861</Words>
  <Characters>10608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Bezeková, Kamila</cp:lastModifiedBy>
  <cp:revision>201</cp:revision>
  <cp:lastPrinted>2019-06-11T20:08:00Z</cp:lastPrinted>
  <dcterms:created xsi:type="dcterms:W3CDTF">2019-06-11T20:11:00Z</dcterms:created>
  <dcterms:modified xsi:type="dcterms:W3CDTF">2019-10-17T13:57:00Z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