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8550298" w14:textId="77777777" w:rsidR="00BF38D4" w:rsidRDefault="00BF38D4">
      <w:pPr>
        <w:widowControl w:val="0"/>
        <w:rPr>
          <w:rFonts w:ascii="Times New Roman" w:hAnsi="Times New Roman" w:cs="Times New Roman"/>
          <w:b/>
          <w:szCs w:val="22"/>
        </w:rPr>
      </w:pPr>
    </w:p>
    <w:p w14:paraId="405136CB" w14:textId="77777777" w:rsidR="00BF38D4" w:rsidRPr="0023414B" w:rsidRDefault="005B7965">
      <w:pPr>
        <w:widowControl w:val="0"/>
        <w:jc w:val="center"/>
        <w:rPr>
          <w:rFonts w:ascii="Times New Roman" w:hAnsi="Times New Roman" w:cs="Times New Roman"/>
          <w:b/>
          <w:bCs/>
          <w:szCs w:val="22"/>
        </w:rPr>
      </w:pPr>
      <w:r w:rsidRPr="0023414B">
        <w:rPr>
          <w:rFonts w:ascii="Times New Roman" w:hAnsi="Times New Roman" w:cs="Times New Roman"/>
          <w:b/>
          <w:szCs w:val="22"/>
        </w:rPr>
        <w:t>Písomná informácia pre používateľa</w:t>
      </w:r>
    </w:p>
    <w:p w14:paraId="06AFDEB8" w14:textId="77777777" w:rsidR="00BF38D4" w:rsidRPr="0023414B" w:rsidRDefault="00BF38D4">
      <w:pPr>
        <w:pStyle w:val="knZulassung02"/>
        <w:ind w:left="0"/>
        <w:jc w:val="center"/>
        <w:rPr>
          <w:rFonts w:ascii="Times New Roman" w:hAnsi="Times New Roman" w:cs="Times New Roman"/>
          <w:b/>
          <w:bCs/>
          <w:sz w:val="22"/>
          <w:szCs w:val="22"/>
          <w:lang w:val="sk-SK"/>
        </w:rPr>
      </w:pPr>
    </w:p>
    <w:p w14:paraId="23FFEB92" w14:textId="77777777" w:rsidR="00BF38D4" w:rsidRPr="0023414B" w:rsidRDefault="005B7965">
      <w:pPr>
        <w:pStyle w:val="knZulassung02"/>
        <w:ind w:left="0"/>
        <w:jc w:val="center"/>
        <w:rPr>
          <w:rFonts w:ascii="Times New Roman" w:hAnsi="Times New Roman" w:cs="Times New Roman"/>
          <w:b/>
          <w:sz w:val="22"/>
          <w:szCs w:val="22"/>
          <w:lang w:val="sk-SK"/>
        </w:rPr>
      </w:pPr>
      <w:r w:rsidRPr="0023414B">
        <w:rPr>
          <w:rFonts w:ascii="Times New Roman" w:hAnsi="Times New Roman" w:cs="Times New Roman"/>
          <w:b/>
          <w:bCs/>
          <w:sz w:val="22"/>
          <w:szCs w:val="22"/>
          <w:lang w:val="sk-SK"/>
        </w:rPr>
        <w:t>MIG 4 % perorálna suspenzia</w:t>
      </w:r>
    </w:p>
    <w:p w14:paraId="2BFD18C1" w14:textId="77777777" w:rsidR="00BF38D4" w:rsidRPr="0023414B" w:rsidRDefault="005B7965">
      <w:pPr>
        <w:pStyle w:val="knZulassung02"/>
        <w:ind w:left="0"/>
        <w:jc w:val="center"/>
        <w:rPr>
          <w:rFonts w:ascii="Times New Roman" w:hAnsi="Times New Roman" w:cs="Times New Roman"/>
          <w:sz w:val="22"/>
          <w:szCs w:val="22"/>
          <w:lang w:val="sk-SK"/>
        </w:rPr>
      </w:pPr>
      <w:r w:rsidRPr="0023414B">
        <w:rPr>
          <w:rFonts w:ascii="Times New Roman" w:hAnsi="Times New Roman" w:cs="Times New Roman"/>
          <w:sz w:val="22"/>
          <w:szCs w:val="22"/>
          <w:lang w:val="sk-SK"/>
        </w:rPr>
        <w:t>40 mg/ml perorálna suspenzia</w:t>
      </w:r>
    </w:p>
    <w:p w14:paraId="27AB805A" w14:textId="77777777" w:rsidR="00BF38D4" w:rsidRPr="0023414B" w:rsidRDefault="00BF38D4">
      <w:pPr>
        <w:jc w:val="center"/>
        <w:rPr>
          <w:rFonts w:ascii="Times New Roman" w:hAnsi="Times New Roman" w:cs="Times New Roman"/>
          <w:szCs w:val="22"/>
        </w:rPr>
      </w:pPr>
    </w:p>
    <w:p w14:paraId="7967C72C" w14:textId="77777777" w:rsidR="00BF38D4" w:rsidRPr="0023414B" w:rsidRDefault="00234B9D">
      <w:pPr>
        <w:jc w:val="center"/>
        <w:rPr>
          <w:rFonts w:ascii="Times New Roman" w:hAnsi="Times New Roman" w:cs="Times New Roman"/>
          <w:szCs w:val="22"/>
        </w:rPr>
      </w:pPr>
      <w:r>
        <w:rPr>
          <w:rFonts w:ascii="Times New Roman" w:hAnsi="Times New Roman" w:cs="Times New Roman"/>
          <w:szCs w:val="22"/>
        </w:rPr>
        <w:t>Pre deti s telesnou hmotnosťou od 10 kg (vek 1 rok), dospievajúcich a dospelých</w:t>
      </w:r>
    </w:p>
    <w:p w14:paraId="1D50D1F5" w14:textId="77777777" w:rsidR="00BF38D4" w:rsidRPr="0023414B" w:rsidRDefault="00BF38D4">
      <w:pPr>
        <w:jc w:val="center"/>
        <w:rPr>
          <w:rFonts w:ascii="Times New Roman" w:hAnsi="Times New Roman" w:cs="Times New Roman"/>
          <w:szCs w:val="22"/>
        </w:rPr>
      </w:pPr>
    </w:p>
    <w:p w14:paraId="409357EE" w14:textId="77777777" w:rsidR="00BF38D4" w:rsidRPr="0023414B" w:rsidRDefault="00234B9D">
      <w:pPr>
        <w:jc w:val="center"/>
        <w:rPr>
          <w:rFonts w:ascii="Times New Roman" w:hAnsi="Times New Roman" w:cs="Times New Roman"/>
          <w:szCs w:val="22"/>
        </w:rPr>
      </w:pPr>
      <w:r>
        <w:rPr>
          <w:rFonts w:ascii="Times New Roman" w:hAnsi="Times New Roman" w:cs="Times New Roman"/>
          <w:szCs w:val="22"/>
        </w:rPr>
        <w:t>ibuprofén</w:t>
      </w:r>
    </w:p>
    <w:p w14:paraId="6FA11A94" w14:textId="77777777" w:rsidR="00BF38D4" w:rsidRPr="0023414B" w:rsidRDefault="00BF38D4">
      <w:pPr>
        <w:rPr>
          <w:rFonts w:ascii="Times New Roman" w:hAnsi="Times New Roman" w:cs="Times New Roman"/>
          <w:szCs w:val="22"/>
        </w:rPr>
      </w:pPr>
    </w:p>
    <w:p w14:paraId="128586CC" w14:textId="77777777" w:rsidR="00BF38D4" w:rsidRPr="0023414B" w:rsidRDefault="00BF38D4">
      <w:pPr>
        <w:pStyle w:val="knZulassung02"/>
        <w:ind w:left="0"/>
        <w:rPr>
          <w:rFonts w:ascii="Times New Roman" w:hAnsi="Times New Roman" w:cs="Times New Roman"/>
          <w:sz w:val="22"/>
          <w:szCs w:val="22"/>
          <w:lang w:val="sk-SK"/>
        </w:rPr>
      </w:pPr>
    </w:p>
    <w:p w14:paraId="2790EA4C" w14:textId="77777777" w:rsidR="00BF38D4" w:rsidRPr="0023414B" w:rsidRDefault="00234B9D">
      <w:pPr>
        <w:ind w:right="-2"/>
        <w:rPr>
          <w:rFonts w:ascii="Times New Roman" w:hAnsi="Times New Roman" w:cs="Times New Roman"/>
          <w:szCs w:val="22"/>
        </w:rPr>
      </w:pPr>
      <w:r>
        <w:rPr>
          <w:rFonts w:ascii="Times New Roman" w:hAnsi="Times New Roman" w:cs="Times New Roman"/>
          <w:b/>
          <w:szCs w:val="22"/>
        </w:rPr>
        <w:t>Pozorne si prečítajte celú písomnú informáciu predtým, ako začnete užívať tento liek, pretože obsahuje pre vás dôležité informácie.</w:t>
      </w:r>
    </w:p>
    <w:p w14:paraId="7D792332" w14:textId="77777777" w:rsidR="00BF38D4" w:rsidRPr="0023414B" w:rsidRDefault="00234B9D">
      <w:pPr>
        <w:ind w:right="-2"/>
        <w:rPr>
          <w:rFonts w:ascii="Times New Roman" w:hAnsi="Times New Roman" w:cs="Times New Roman"/>
          <w:szCs w:val="22"/>
        </w:rPr>
      </w:pPr>
      <w:r>
        <w:rPr>
          <w:rFonts w:ascii="Times New Roman" w:hAnsi="Times New Roman" w:cs="Times New Roman"/>
          <w:szCs w:val="22"/>
        </w:rPr>
        <w:t>Vždy užívajte tento liek presne tak, ako je to uvedené v tejto písomnej informácii alebo ako vám povedal váš lekár alebo lekárnik.</w:t>
      </w:r>
    </w:p>
    <w:p w14:paraId="2B484135" w14:textId="77777777" w:rsidR="00BF38D4" w:rsidRPr="0023414B" w:rsidRDefault="00234B9D">
      <w:pPr>
        <w:numPr>
          <w:ilvl w:val="0"/>
          <w:numId w:val="9"/>
        </w:numPr>
        <w:ind w:left="540" w:right="-2" w:hanging="540"/>
        <w:rPr>
          <w:rFonts w:ascii="Times New Roman" w:hAnsi="Times New Roman" w:cs="Times New Roman"/>
          <w:szCs w:val="22"/>
        </w:rPr>
      </w:pPr>
      <w:r>
        <w:rPr>
          <w:rFonts w:ascii="Times New Roman" w:hAnsi="Times New Roman" w:cs="Times New Roman"/>
          <w:szCs w:val="22"/>
        </w:rPr>
        <w:t>Túto písomnú informáciu si uschovajte. Možno bude potrebné, aby ste si ju znovu prečítali.</w:t>
      </w:r>
    </w:p>
    <w:p w14:paraId="0DFA5477" w14:textId="77777777" w:rsidR="00BF38D4" w:rsidRPr="0023414B" w:rsidRDefault="00234B9D">
      <w:pPr>
        <w:numPr>
          <w:ilvl w:val="0"/>
          <w:numId w:val="9"/>
        </w:numPr>
        <w:ind w:left="540" w:right="-2" w:hanging="540"/>
        <w:rPr>
          <w:rFonts w:ascii="Times New Roman" w:hAnsi="Times New Roman" w:cs="Times New Roman"/>
          <w:szCs w:val="22"/>
        </w:rPr>
      </w:pPr>
      <w:r>
        <w:rPr>
          <w:rFonts w:ascii="Times New Roman" w:hAnsi="Times New Roman" w:cs="Times New Roman"/>
          <w:szCs w:val="22"/>
        </w:rPr>
        <w:t>Ak potrebujete ďalšie informácie alebo radu, obráťte sa na svojho lekárnika.</w:t>
      </w:r>
    </w:p>
    <w:p w14:paraId="57871446" w14:textId="77777777" w:rsidR="00BF38D4" w:rsidRPr="0023414B" w:rsidRDefault="00234B9D" w:rsidP="00F960EB">
      <w:pPr>
        <w:numPr>
          <w:ilvl w:val="0"/>
          <w:numId w:val="9"/>
        </w:numPr>
        <w:overflowPunct w:val="0"/>
        <w:autoSpaceDE w:val="0"/>
        <w:ind w:left="540" w:hanging="540"/>
        <w:textAlignment w:val="baseline"/>
        <w:rPr>
          <w:rFonts w:ascii="Times New Roman" w:hAnsi="Times New Roman" w:cs="Times New Roman"/>
          <w:szCs w:val="22"/>
        </w:rPr>
      </w:pPr>
      <w:r>
        <w:rPr>
          <w:rFonts w:ascii="Times New Roman" w:hAnsi="Times New Roman" w:cs="Times New Roman"/>
          <w:szCs w:val="22"/>
        </w:rPr>
        <w:t>Ak sa u vás vyskytne akýkoľvek vedľajší účinok, obráťte sa na svojho lekára alebo lekárnika. To sa týka aj akýchkoľvek vedľajších účinkov, ktoré nie sú uvedené v tejto písomnej informácii. Pozri časť 4.</w:t>
      </w:r>
    </w:p>
    <w:p w14:paraId="7421A05C" w14:textId="77777777" w:rsidR="00BF38D4" w:rsidRPr="0023414B" w:rsidRDefault="00234B9D" w:rsidP="00F960EB">
      <w:pPr>
        <w:numPr>
          <w:ilvl w:val="0"/>
          <w:numId w:val="9"/>
        </w:numPr>
        <w:tabs>
          <w:tab w:val="clear" w:pos="0"/>
        </w:tabs>
        <w:ind w:left="567" w:right="-2" w:hanging="567"/>
        <w:rPr>
          <w:rFonts w:ascii="Times New Roman" w:hAnsi="Times New Roman" w:cs="Times New Roman"/>
          <w:szCs w:val="22"/>
        </w:rPr>
      </w:pPr>
      <w:r>
        <w:rPr>
          <w:rFonts w:ascii="Times New Roman" w:hAnsi="Times New Roman" w:cs="Times New Roman"/>
          <w:szCs w:val="22"/>
        </w:rPr>
        <w:t>Ak sa príznaky vášho ochorenia nezlepšia alebo ak sa zhoršia, musíte sa obrátiť na lekára</w:t>
      </w:r>
    </w:p>
    <w:p w14:paraId="4911EEF2" w14:textId="77777777" w:rsidR="00BF38D4" w:rsidRPr="0023414B" w:rsidRDefault="005B7965">
      <w:pPr>
        <w:pStyle w:val="Odsekzoznamu1"/>
        <w:numPr>
          <w:ilvl w:val="0"/>
          <w:numId w:val="9"/>
        </w:numPr>
        <w:ind w:left="709" w:right="-2" w:hanging="283"/>
        <w:rPr>
          <w:rFonts w:eastAsia="Times New Roman"/>
          <w:szCs w:val="22"/>
        </w:rPr>
      </w:pPr>
      <w:r w:rsidRPr="0023414B">
        <w:rPr>
          <w:rFonts w:eastAsia="Times New Roman"/>
          <w:szCs w:val="22"/>
        </w:rPr>
        <w:t>po 3 dňoch u detí a dospievajúcich,</w:t>
      </w:r>
    </w:p>
    <w:p w14:paraId="500887C4" w14:textId="77777777" w:rsidR="00BF38D4" w:rsidRPr="0023414B" w:rsidRDefault="00234B9D">
      <w:pPr>
        <w:pStyle w:val="Odsekzoznamu1"/>
        <w:numPr>
          <w:ilvl w:val="0"/>
          <w:numId w:val="9"/>
        </w:numPr>
        <w:ind w:left="709" w:right="-2" w:hanging="283"/>
        <w:rPr>
          <w:szCs w:val="22"/>
        </w:rPr>
      </w:pPr>
      <w:r>
        <w:rPr>
          <w:rFonts w:eastAsia="Times New Roman"/>
          <w:szCs w:val="22"/>
        </w:rPr>
        <w:t>po 3 dňoch pri liečbe horúčky a po 4 dňoch pri liečbe bolesti u dospelých.</w:t>
      </w:r>
    </w:p>
    <w:p w14:paraId="724D3979" w14:textId="77777777" w:rsidR="00BF38D4" w:rsidRPr="0023414B" w:rsidRDefault="00BF38D4">
      <w:pPr>
        <w:pStyle w:val="knZulassung02"/>
        <w:ind w:left="0" w:right="143"/>
        <w:rPr>
          <w:rFonts w:ascii="Times New Roman" w:hAnsi="Times New Roman" w:cs="Times New Roman"/>
          <w:sz w:val="22"/>
          <w:szCs w:val="22"/>
          <w:lang w:val="sk-SK"/>
        </w:rPr>
      </w:pPr>
    </w:p>
    <w:p w14:paraId="17A2DDE8" w14:textId="77777777" w:rsidR="00BF38D4" w:rsidRPr="0023414B" w:rsidRDefault="00234B9D">
      <w:pPr>
        <w:ind w:right="-2"/>
        <w:rPr>
          <w:rFonts w:ascii="Times New Roman" w:hAnsi="Times New Roman" w:cs="Times New Roman"/>
          <w:szCs w:val="22"/>
        </w:rPr>
      </w:pPr>
      <w:r>
        <w:rPr>
          <w:rFonts w:ascii="Times New Roman" w:hAnsi="Times New Roman" w:cs="Times New Roman"/>
          <w:b/>
          <w:szCs w:val="22"/>
        </w:rPr>
        <w:t>V tejto písomnej informácii sa dozviete</w:t>
      </w:r>
      <w:r>
        <w:rPr>
          <w:rFonts w:ascii="Times New Roman" w:hAnsi="Times New Roman" w:cs="Times New Roman"/>
          <w:szCs w:val="22"/>
        </w:rPr>
        <w:t>:</w:t>
      </w:r>
    </w:p>
    <w:p w14:paraId="5E27C600" w14:textId="77777777" w:rsidR="00BF38D4" w:rsidRPr="0023414B" w:rsidRDefault="00234B9D">
      <w:pPr>
        <w:ind w:left="546" w:right="-2" w:hanging="546"/>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t>Čo je MIG 4% perorálna suspenzia a na čo sa používa</w:t>
      </w:r>
    </w:p>
    <w:p w14:paraId="36E3DB19" w14:textId="77777777"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t>Čo potrebujete vedieť predtým, ako užijete MIG 4% perorálnu suspenziu</w:t>
      </w:r>
    </w:p>
    <w:p w14:paraId="5E59138A" w14:textId="77777777"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t>Ako užívať MIG 4% perorálnu suspenziu</w:t>
      </w:r>
    </w:p>
    <w:p w14:paraId="1A4F7D96" w14:textId="77777777"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4.</w:t>
      </w:r>
      <w:r>
        <w:rPr>
          <w:rFonts w:ascii="Times New Roman" w:hAnsi="Times New Roman" w:cs="Times New Roman"/>
          <w:szCs w:val="22"/>
        </w:rPr>
        <w:tab/>
        <w:t>Možné vedľajšie účinky</w:t>
      </w:r>
    </w:p>
    <w:p w14:paraId="76919EE8" w14:textId="77777777"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5.</w:t>
      </w:r>
      <w:r>
        <w:rPr>
          <w:rFonts w:ascii="Times New Roman" w:hAnsi="Times New Roman" w:cs="Times New Roman"/>
          <w:szCs w:val="22"/>
        </w:rPr>
        <w:tab/>
        <w:t>Ako uchovávať MIG 4% perorálnu suspenziu</w:t>
      </w:r>
    </w:p>
    <w:p w14:paraId="4B8A2C0F" w14:textId="77777777" w:rsidR="00BF38D4" w:rsidRPr="0023414B" w:rsidRDefault="00234B9D">
      <w:pPr>
        <w:ind w:left="540" w:right="-29" w:hanging="540"/>
        <w:rPr>
          <w:rFonts w:ascii="Times New Roman" w:hAnsi="Times New Roman" w:cs="Times New Roman"/>
          <w:b/>
          <w:bCs/>
          <w:szCs w:val="22"/>
        </w:rPr>
      </w:pPr>
      <w:r>
        <w:rPr>
          <w:rFonts w:ascii="Times New Roman" w:hAnsi="Times New Roman" w:cs="Times New Roman"/>
          <w:szCs w:val="22"/>
        </w:rPr>
        <w:t>6.</w:t>
      </w:r>
      <w:r>
        <w:rPr>
          <w:rFonts w:ascii="Times New Roman" w:hAnsi="Times New Roman" w:cs="Times New Roman"/>
          <w:szCs w:val="22"/>
        </w:rPr>
        <w:tab/>
        <w:t>Obsah balenia a ďalšie informácie</w:t>
      </w:r>
    </w:p>
    <w:p w14:paraId="0EC90602" w14:textId="77777777" w:rsidR="00BF38D4" w:rsidRPr="0023414B" w:rsidRDefault="00BF38D4">
      <w:pPr>
        <w:pStyle w:val="knZulassung01"/>
        <w:ind w:left="0" w:firstLine="0"/>
        <w:rPr>
          <w:rFonts w:ascii="Times New Roman" w:hAnsi="Times New Roman" w:cs="Times New Roman"/>
          <w:b/>
          <w:bCs/>
          <w:sz w:val="22"/>
          <w:szCs w:val="22"/>
          <w:lang w:val="sk-SK"/>
        </w:rPr>
      </w:pPr>
    </w:p>
    <w:p w14:paraId="50F823F0" w14:textId="77777777" w:rsidR="00BF38D4" w:rsidRPr="0023414B" w:rsidRDefault="00BF38D4">
      <w:pPr>
        <w:pStyle w:val="knZulassung01"/>
        <w:ind w:left="0" w:firstLine="0"/>
        <w:rPr>
          <w:rFonts w:ascii="Times New Roman" w:hAnsi="Times New Roman" w:cs="Times New Roman"/>
          <w:b/>
          <w:bCs/>
          <w:sz w:val="22"/>
          <w:szCs w:val="22"/>
          <w:lang w:val="sk-SK"/>
        </w:rPr>
      </w:pPr>
    </w:p>
    <w:p w14:paraId="5A878447" w14:textId="77777777" w:rsidR="00BF38D4" w:rsidRPr="0023414B" w:rsidRDefault="00234B9D">
      <w:pPr>
        <w:pStyle w:val="knZulassung01"/>
        <w:numPr>
          <w:ilvl w:val="0"/>
          <w:numId w:val="4"/>
        </w:numPr>
        <w:tabs>
          <w:tab w:val="left" w:pos="540"/>
        </w:tabs>
        <w:ind w:hanging="720"/>
        <w:rPr>
          <w:rFonts w:ascii="Times New Roman" w:hAnsi="Times New Roman" w:cs="Times New Roman"/>
          <w:b/>
          <w:bCs/>
          <w:sz w:val="22"/>
          <w:szCs w:val="22"/>
          <w:lang w:val="sk-SK"/>
        </w:rPr>
      </w:pPr>
      <w:r>
        <w:rPr>
          <w:rFonts w:ascii="Times New Roman" w:hAnsi="Times New Roman" w:cs="Times New Roman"/>
          <w:b/>
          <w:sz w:val="22"/>
          <w:szCs w:val="22"/>
          <w:lang w:val="sk-SK"/>
        </w:rPr>
        <w:t>Čo je MIG 4% perorálna suspenzia a na čo sa používa</w:t>
      </w:r>
    </w:p>
    <w:p w14:paraId="1BEA8CAF" w14:textId="77777777" w:rsidR="00BF38D4" w:rsidRPr="0023414B" w:rsidRDefault="00234B9D">
      <w:pPr>
        <w:pStyle w:val="knZulassung01"/>
        <w:ind w:left="360" w:firstLine="0"/>
        <w:rPr>
          <w:rFonts w:ascii="Times New Roman" w:hAnsi="Times New Roman" w:cs="Times New Roman"/>
          <w:sz w:val="22"/>
          <w:szCs w:val="22"/>
          <w:lang w:val="sk-SK"/>
        </w:rPr>
      </w:pPr>
      <w:r>
        <w:rPr>
          <w:rFonts w:ascii="Times New Roman" w:hAnsi="Times New Roman" w:cs="Times New Roman"/>
          <w:b/>
          <w:bCs/>
          <w:sz w:val="22"/>
          <w:szCs w:val="22"/>
          <w:lang w:val="sk-SK"/>
        </w:rPr>
        <w:t xml:space="preserve">   </w:t>
      </w:r>
    </w:p>
    <w:p w14:paraId="1023D6D7" w14:textId="77777777" w:rsidR="00BF38D4" w:rsidRPr="0023414B" w:rsidRDefault="005B7965">
      <w:pPr>
        <w:widowControl w:val="0"/>
        <w:rPr>
          <w:rFonts w:ascii="Times New Roman" w:hAnsi="Times New Roman" w:cs="Times New Roman"/>
          <w:szCs w:val="22"/>
        </w:rPr>
      </w:pPr>
      <w:r w:rsidRPr="0023414B">
        <w:rPr>
          <w:rFonts w:ascii="Times New Roman" w:hAnsi="Times New Roman" w:cs="Times New Roman"/>
          <w:szCs w:val="22"/>
        </w:rPr>
        <w:t>MIG 4% perorálna suspenzia je liek, ktorý zmierňuje bolesť a znižuje horúčku (nesteroidný protizápalový liek, NSAID).</w:t>
      </w:r>
    </w:p>
    <w:p w14:paraId="49F5B199" w14:textId="77777777" w:rsidR="00BF38D4" w:rsidRPr="0023414B" w:rsidRDefault="00BF38D4">
      <w:pPr>
        <w:widowControl w:val="0"/>
        <w:rPr>
          <w:rFonts w:ascii="Times New Roman" w:hAnsi="Times New Roman" w:cs="Times New Roman"/>
          <w:szCs w:val="22"/>
        </w:rPr>
      </w:pPr>
    </w:p>
    <w:p w14:paraId="71AB1CF6" w14:textId="77777777" w:rsidR="00BF38D4" w:rsidRPr="0023414B" w:rsidRDefault="00234B9D">
      <w:pPr>
        <w:pStyle w:val="knZulassung01"/>
        <w:ind w:left="0" w:firstLine="0"/>
        <w:rPr>
          <w:rFonts w:ascii="Times New Roman" w:hAnsi="Times New Roman" w:cs="Times New Roman"/>
          <w:sz w:val="22"/>
          <w:szCs w:val="22"/>
          <w:lang w:val="sk-SK"/>
        </w:rPr>
      </w:pPr>
      <w:r>
        <w:rPr>
          <w:rFonts w:ascii="Times New Roman" w:hAnsi="Times New Roman" w:cs="Times New Roman"/>
          <w:sz w:val="22"/>
          <w:szCs w:val="22"/>
          <w:lang w:val="sk-SK"/>
        </w:rPr>
        <w:t>MIG 4% perorálna suspenzia je určená na krátkodobú symptomatickú liečbu:</w:t>
      </w:r>
    </w:p>
    <w:p w14:paraId="4C82F62A"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w:t>
      </w:r>
      <w:r>
        <w:rPr>
          <w:rFonts w:ascii="Times New Roman" w:hAnsi="Times New Roman" w:cs="Times New Roman"/>
          <w:sz w:val="22"/>
          <w:szCs w:val="22"/>
          <w:lang w:val="sk-SK"/>
        </w:rPr>
        <w:tab/>
        <w:t xml:space="preserve">miernej až stredne silnej bolesti </w:t>
      </w:r>
    </w:p>
    <w:p w14:paraId="572A7935"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w:t>
      </w:r>
      <w:r>
        <w:rPr>
          <w:rFonts w:ascii="Times New Roman" w:hAnsi="Times New Roman" w:cs="Times New Roman"/>
          <w:sz w:val="22"/>
          <w:szCs w:val="22"/>
          <w:lang w:val="sk-SK"/>
        </w:rPr>
        <w:tab/>
        <w:t xml:space="preserve">horúčky. </w:t>
      </w:r>
    </w:p>
    <w:p w14:paraId="1378B8D4" w14:textId="77777777" w:rsidR="00BF38D4" w:rsidRPr="0023414B" w:rsidRDefault="00BF38D4">
      <w:pPr>
        <w:ind w:right="-2"/>
        <w:rPr>
          <w:rFonts w:ascii="Times New Roman" w:hAnsi="Times New Roman" w:cs="Times New Roman"/>
          <w:szCs w:val="22"/>
        </w:rPr>
      </w:pPr>
    </w:p>
    <w:p w14:paraId="195756F0" w14:textId="77777777" w:rsidR="00BF38D4" w:rsidRPr="0023414B" w:rsidRDefault="00234B9D">
      <w:pPr>
        <w:rPr>
          <w:rFonts w:ascii="Times New Roman" w:hAnsi="Times New Roman" w:cs="Times New Roman"/>
          <w:szCs w:val="22"/>
        </w:rPr>
      </w:pPr>
      <w:r>
        <w:rPr>
          <w:rFonts w:ascii="Times New Roman" w:hAnsi="Times New Roman" w:cs="Times New Roman"/>
          <w:szCs w:val="22"/>
        </w:rPr>
        <w:t>MIG 4% perorálna suspenzia je určená deťom s telesnou hmotnosťou vyššou ako 10 kg (vo veku 1 rok), dospievajúcim a dospelým.</w:t>
      </w:r>
    </w:p>
    <w:p w14:paraId="46AEF853" w14:textId="77777777" w:rsidR="00BF38D4" w:rsidRPr="0023414B" w:rsidRDefault="00BF38D4">
      <w:pPr>
        <w:pStyle w:val="knZulassung01"/>
        <w:ind w:left="0" w:firstLine="0"/>
        <w:rPr>
          <w:rFonts w:ascii="Times New Roman" w:hAnsi="Times New Roman" w:cs="Times New Roman"/>
          <w:sz w:val="22"/>
          <w:szCs w:val="22"/>
          <w:lang w:val="sk-SK"/>
        </w:rPr>
      </w:pPr>
    </w:p>
    <w:p w14:paraId="41795867" w14:textId="77777777" w:rsidR="00BF38D4" w:rsidRPr="0023414B" w:rsidRDefault="00BF38D4">
      <w:pPr>
        <w:pStyle w:val="knZulassung01"/>
        <w:ind w:left="0" w:firstLine="0"/>
        <w:rPr>
          <w:rFonts w:ascii="Times New Roman" w:hAnsi="Times New Roman" w:cs="Times New Roman"/>
          <w:sz w:val="22"/>
          <w:szCs w:val="22"/>
          <w:lang w:val="sk-SK"/>
        </w:rPr>
      </w:pPr>
    </w:p>
    <w:p w14:paraId="67412F7F" w14:textId="77777777" w:rsidR="00BF38D4" w:rsidRPr="0023414B" w:rsidRDefault="00234B9D">
      <w:pPr>
        <w:pStyle w:val="knZulassung01"/>
        <w:ind w:left="0" w:firstLine="0"/>
        <w:rPr>
          <w:rFonts w:ascii="Times New Roman" w:hAnsi="Times New Roman" w:cs="Times New Roman"/>
          <w:b/>
          <w:bCs/>
          <w:sz w:val="22"/>
          <w:szCs w:val="22"/>
          <w:lang w:val="sk-SK"/>
        </w:rPr>
      </w:pPr>
      <w:r>
        <w:rPr>
          <w:rFonts w:ascii="Times New Roman" w:hAnsi="Times New Roman" w:cs="Times New Roman"/>
          <w:b/>
          <w:bCs/>
          <w:sz w:val="22"/>
          <w:szCs w:val="22"/>
          <w:lang w:val="sk-SK"/>
        </w:rPr>
        <w:t>2.</w:t>
      </w:r>
      <w:r>
        <w:rPr>
          <w:rFonts w:ascii="Times New Roman" w:hAnsi="Times New Roman" w:cs="Times New Roman"/>
          <w:b/>
          <w:bCs/>
          <w:sz w:val="22"/>
          <w:szCs w:val="22"/>
          <w:lang w:val="sk-SK"/>
        </w:rPr>
        <w:tab/>
      </w:r>
      <w:r>
        <w:rPr>
          <w:rFonts w:ascii="Times New Roman" w:hAnsi="Times New Roman" w:cs="Times New Roman"/>
          <w:b/>
          <w:sz w:val="22"/>
          <w:szCs w:val="22"/>
          <w:lang w:val="sk-SK"/>
        </w:rPr>
        <w:t xml:space="preserve">Čo potrebujete vedieť predtým, ako užijete </w:t>
      </w:r>
      <w:r>
        <w:rPr>
          <w:rFonts w:ascii="Times New Roman" w:hAnsi="Times New Roman" w:cs="Times New Roman"/>
          <w:b/>
          <w:bCs/>
          <w:sz w:val="22"/>
          <w:szCs w:val="22"/>
          <w:lang w:val="sk-SK"/>
        </w:rPr>
        <w:t>MIG 4% perorálnu suspenziu</w:t>
      </w:r>
    </w:p>
    <w:p w14:paraId="4AC8114C" w14:textId="77777777" w:rsidR="00BF38D4" w:rsidRPr="0023414B" w:rsidRDefault="00BF38D4">
      <w:pPr>
        <w:pStyle w:val="knZulassung01"/>
        <w:ind w:left="0" w:firstLine="0"/>
        <w:rPr>
          <w:rFonts w:ascii="Times New Roman" w:hAnsi="Times New Roman" w:cs="Times New Roman"/>
          <w:b/>
          <w:bCs/>
          <w:sz w:val="22"/>
          <w:szCs w:val="22"/>
          <w:lang w:val="sk-SK"/>
        </w:rPr>
      </w:pPr>
    </w:p>
    <w:p w14:paraId="784C7B9B" w14:textId="77777777" w:rsidR="00BF38D4" w:rsidRPr="0023414B" w:rsidRDefault="00234B9D">
      <w:pPr>
        <w:pStyle w:val="knZulassung01"/>
        <w:ind w:left="0" w:firstLine="0"/>
        <w:rPr>
          <w:rFonts w:ascii="Times New Roman" w:hAnsi="Times New Roman" w:cs="Times New Roman"/>
          <w:sz w:val="22"/>
          <w:szCs w:val="22"/>
          <w:lang w:val="sk-SK"/>
        </w:rPr>
      </w:pPr>
      <w:r>
        <w:rPr>
          <w:rFonts w:ascii="Times New Roman" w:hAnsi="Times New Roman" w:cs="Times New Roman"/>
          <w:b/>
          <w:sz w:val="22"/>
          <w:szCs w:val="22"/>
          <w:lang w:val="sk-SK"/>
        </w:rPr>
        <w:t xml:space="preserve">Neužívajte </w:t>
      </w:r>
      <w:r>
        <w:rPr>
          <w:rFonts w:ascii="Times New Roman" w:hAnsi="Times New Roman" w:cs="Times New Roman"/>
          <w:b/>
          <w:bCs/>
          <w:sz w:val="22"/>
          <w:szCs w:val="22"/>
          <w:lang w:val="sk-SK"/>
        </w:rPr>
        <w:t>MIG 4% perorálnu suspenziu</w:t>
      </w:r>
    </w:p>
    <w:p w14:paraId="292ED1D6" w14:textId="77777777" w:rsidR="00BF38D4" w:rsidRPr="0023414B" w:rsidRDefault="005B7965">
      <w:pPr>
        <w:pStyle w:val="knZulassung03"/>
        <w:spacing w:before="0" w:after="0"/>
        <w:ind w:left="154" w:hanging="154"/>
        <w:rPr>
          <w:rFonts w:ascii="Times New Roman" w:hAnsi="Times New Roman" w:cs="Times New Roman"/>
          <w:lang w:val="sk-SK"/>
        </w:rPr>
      </w:pPr>
      <w:r w:rsidRPr="0023414B">
        <w:rPr>
          <w:rFonts w:ascii="Times New Roman" w:hAnsi="Times New Roman" w:cs="Times New Roman"/>
          <w:lang w:val="sk-SK"/>
        </w:rPr>
        <w:t xml:space="preserve">- ak ste alergický na </w:t>
      </w:r>
      <w:r w:rsidR="00D5019C" w:rsidRPr="0023414B">
        <w:rPr>
          <w:rFonts w:ascii="Times New Roman" w:hAnsi="Times New Roman" w:cs="Times New Roman"/>
          <w:lang w:val="sk-SK"/>
        </w:rPr>
        <w:t>ibu</w:t>
      </w:r>
      <w:r w:rsidR="00234B9D">
        <w:rPr>
          <w:rFonts w:ascii="Times New Roman" w:hAnsi="Times New Roman" w:cs="Times New Roman"/>
          <w:lang w:val="sk-SK"/>
        </w:rPr>
        <w:t>profén alebo na ktorúkoľvek z ďalších zložiek tohto lieku (uvedených v časti 6).</w:t>
      </w:r>
    </w:p>
    <w:p w14:paraId="0434C135" w14:textId="77777777"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ak ste v minulosti mali po užívaní kyseliny acetylsalicylovej alebo iných nesteroidných protizápalových liekov bronchospazmus, záchvaty astmy, opuchy vnútornej sliznice nosa (rinitídu), angioedém alebo kožné reakcie (žihľavku).</w:t>
      </w:r>
    </w:p>
    <w:p w14:paraId="76E4C626" w14:textId="77777777"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xml:space="preserve">- pri neobjasnených poruchách krvotvorby. </w:t>
      </w:r>
    </w:p>
    <w:p w14:paraId="41928CFA" w14:textId="77777777"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ak ste v minulosti mali krvácanie zo žalúdočno-črevného traktu alebo perforáciu (prederavenie žalúdočno-črevného traktu) v súvislosti s predchádzajúcou liečbou NSAID.</w:t>
      </w:r>
    </w:p>
    <w:p w14:paraId="2E371F53" w14:textId="77777777"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lastRenderedPageBreak/>
        <w:t>- pri aktívnych alebo ak ste v minulosti mali opakované žalúdočné/dvanástnikové vredy (peptické vredy) alebo krvácanie (dva alebo viacero jednotlivých prípadov preukázanej tvorby vredov alebo krvácania).</w:t>
      </w:r>
    </w:p>
    <w:p w14:paraId="13B97817" w14:textId="77777777"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krvácaní do mozgu (cerebrovaskulárne krvácanie) alebo inom aktívnom krvácaní.</w:t>
      </w:r>
    </w:p>
    <w:p w14:paraId="4D40C207" w14:textId="77777777"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ťažkej poruche funkcie pečene alebo obličiek, alebo pri ťažkom srdcovom zlyhaní.</w:t>
      </w:r>
    </w:p>
    <w:p w14:paraId="48605ECF" w14:textId="77777777"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ťažkej dehydratácii (nedostatku tekutín v organizme) (spôsobenej vracaním, hnačkou alebo nedostatočným príjmom tekutín).</w:t>
      </w:r>
    </w:p>
    <w:p w14:paraId="342203FE" w14:textId="77777777" w:rsidR="00BF38D4" w:rsidRPr="0023414B" w:rsidRDefault="00234B9D">
      <w:pPr>
        <w:pStyle w:val="knZulassung03"/>
        <w:autoSpaceDE w:val="0"/>
        <w:spacing w:before="0" w:after="0"/>
        <w:ind w:left="154" w:hanging="154"/>
        <w:rPr>
          <w:rFonts w:ascii="Times New Roman" w:hAnsi="Times New Roman" w:cs="Times New Roman"/>
          <w:u w:val="single"/>
          <w:lang w:val="sk-SK"/>
        </w:rPr>
      </w:pPr>
      <w:r>
        <w:rPr>
          <w:rFonts w:ascii="Times New Roman" w:hAnsi="Times New Roman" w:cs="Times New Roman"/>
          <w:lang w:val="sk-SK"/>
        </w:rPr>
        <w:t>- počas posledných 3 mesiacov tehotenstva.</w:t>
      </w:r>
    </w:p>
    <w:p w14:paraId="17FFE41E" w14:textId="77777777" w:rsidR="00BF38D4" w:rsidRPr="0023414B" w:rsidRDefault="00BF38D4">
      <w:pPr>
        <w:pStyle w:val="knZulassung03"/>
        <w:autoSpaceDE w:val="0"/>
        <w:spacing w:before="0" w:after="0"/>
        <w:ind w:left="0" w:firstLine="0"/>
        <w:rPr>
          <w:rFonts w:ascii="Times New Roman" w:hAnsi="Times New Roman" w:cs="Times New Roman"/>
          <w:u w:val="single"/>
          <w:lang w:val="sk-SK"/>
        </w:rPr>
      </w:pPr>
    </w:p>
    <w:p w14:paraId="4EDF1941" w14:textId="77777777" w:rsidR="00BF38D4" w:rsidRPr="0023414B" w:rsidRDefault="00234B9D">
      <w:pPr>
        <w:pStyle w:val="knZulassung02"/>
        <w:ind w:left="0" w:right="143"/>
        <w:rPr>
          <w:rFonts w:ascii="Times New Roman" w:hAnsi="Times New Roman" w:cs="Times New Roman"/>
          <w:b/>
          <w:bCs/>
          <w:sz w:val="22"/>
          <w:szCs w:val="22"/>
          <w:lang w:val="sk-SK"/>
        </w:rPr>
      </w:pPr>
      <w:r>
        <w:rPr>
          <w:rFonts w:ascii="Times New Roman" w:hAnsi="Times New Roman" w:cs="Times New Roman"/>
          <w:b/>
          <w:bCs/>
          <w:sz w:val="22"/>
          <w:szCs w:val="22"/>
          <w:lang w:val="sk-SK"/>
        </w:rPr>
        <w:t>Upozornenia a opatrenia</w:t>
      </w:r>
    </w:p>
    <w:p w14:paraId="5FD8C1F5" w14:textId="77777777" w:rsidR="00BF38D4" w:rsidRPr="0023414B" w:rsidRDefault="00BF38D4">
      <w:pPr>
        <w:pStyle w:val="knZulassung02"/>
        <w:ind w:left="0" w:right="143"/>
        <w:rPr>
          <w:rFonts w:ascii="Times New Roman" w:hAnsi="Times New Roman" w:cs="Times New Roman"/>
          <w:b/>
          <w:bCs/>
          <w:sz w:val="22"/>
          <w:szCs w:val="22"/>
          <w:lang w:val="sk-SK"/>
        </w:rPr>
      </w:pPr>
    </w:p>
    <w:p w14:paraId="1995AAB3"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u w:val="single"/>
          <w:lang w:val="sk-SK"/>
        </w:rPr>
        <w:t>Predtým, ako začnete užívať MIG 4% perorálnu suspenziu, obráťte sa na svojho lekára alebo lekárnika.</w:t>
      </w:r>
    </w:p>
    <w:p w14:paraId="1DC24E93" w14:textId="77777777" w:rsidR="00BF38D4" w:rsidRPr="0023414B" w:rsidRDefault="00BF38D4">
      <w:pPr>
        <w:pStyle w:val="knZulassung02"/>
        <w:ind w:left="0" w:right="143"/>
        <w:rPr>
          <w:rFonts w:ascii="Times New Roman" w:hAnsi="Times New Roman" w:cs="Times New Roman"/>
          <w:sz w:val="22"/>
          <w:szCs w:val="22"/>
          <w:lang w:val="sk-SK"/>
        </w:rPr>
      </w:pPr>
    </w:p>
    <w:p w14:paraId="424D240F" w14:textId="77777777" w:rsidR="00BF38D4" w:rsidRPr="0023414B" w:rsidRDefault="00234B9D">
      <w:pPr>
        <w:pStyle w:val="knZulassung02"/>
        <w:ind w:left="0" w:right="143"/>
        <w:rPr>
          <w:rFonts w:ascii="Times New Roman" w:hAnsi="Times New Roman" w:cs="Times New Roman"/>
          <w:sz w:val="22"/>
          <w:szCs w:val="22"/>
          <w:u w:val="single"/>
          <w:lang w:val="sk-SK"/>
        </w:rPr>
      </w:pPr>
      <w:r>
        <w:rPr>
          <w:rFonts w:ascii="Times New Roman" w:hAnsi="Times New Roman" w:cs="Times New Roman"/>
          <w:sz w:val="22"/>
          <w:szCs w:val="22"/>
          <w:lang w:val="sk-SK"/>
        </w:rPr>
        <w:t>Vedľajšie účinky sa môžu minimalizovať užívaním najnižšej účinnej dávky počas najkratšej doby potrebnej na zvládnutie príznakov.</w:t>
      </w:r>
    </w:p>
    <w:p w14:paraId="246D384E" w14:textId="77777777" w:rsidR="00BF38D4" w:rsidRPr="0023414B" w:rsidRDefault="00BF38D4">
      <w:pPr>
        <w:pStyle w:val="knZulassung02"/>
        <w:ind w:left="0" w:right="143"/>
        <w:rPr>
          <w:rFonts w:ascii="Times New Roman" w:hAnsi="Times New Roman" w:cs="Times New Roman"/>
          <w:sz w:val="22"/>
          <w:szCs w:val="22"/>
          <w:u w:val="single"/>
          <w:lang w:val="sk-SK"/>
        </w:rPr>
      </w:pPr>
    </w:p>
    <w:p w14:paraId="0D15CE8C"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u w:val="single"/>
          <w:lang w:val="sk-SK"/>
        </w:rPr>
        <w:t xml:space="preserve">Bezpečnosť v súvislosti so žalúdočno-črevným traktom </w:t>
      </w:r>
    </w:p>
    <w:p w14:paraId="18A18BE8"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Je potrebné vyhnúť sa užívaniu MIG 4% perorálnej suspenzie súbežne s inými NSAID, vrátane tzv. COX-2 inhibítorov (selektívne inhibítory cyklooxygenázy-2).</w:t>
      </w:r>
    </w:p>
    <w:p w14:paraId="0880FBDB" w14:textId="77777777" w:rsidR="00BF38D4" w:rsidRPr="0023414B" w:rsidRDefault="00BF38D4">
      <w:pPr>
        <w:pStyle w:val="knZulassung02"/>
        <w:ind w:left="0" w:right="143"/>
        <w:rPr>
          <w:rFonts w:ascii="Times New Roman" w:hAnsi="Times New Roman" w:cs="Times New Roman"/>
          <w:sz w:val="22"/>
          <w:szCs w:val="22"/>
          <w:lang w:val="sk-SK"/>
        </w:rPr>
      </w:pPr>
    </w:p>
    <w:p w14:paraId="574AB95A"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Starší ľudia: </w:t>
      </w:r>
    </w:p>
    <w:p w14:paraId="68B5A5C2"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U starších ľudí je výskyt nežiaducich reakcií na NSAID zvýšený, najmä krvácanie zo žalúdočno-črevného traktu a perforácia, ktoré môžu skončiť smrteľne.</w:t>
      </w:r>
    </w:p>
    <w:p w14:paraId="1BA4EB2E" w14:textId="77777777" w:rsidR="00BF38D4" w:rsidRPr="0023414B" w:rsidRDefault="00BF38D4">
      <w:pPr>
        <w:pStyle w:val="knZulassung02"/>
        <w:ind w:left="0"/>
        <w:rPr>
          <w:rFonts w:ascii="Times New Roman" w:hAnsi="Times New Roman" w:cs="Times New Roman"/>
          <w:sz w:val="22"/>
          <w:szCs w:val="22"/>
          <w:lang w:val="sk-SK"/>
        </w:rPr>
      </w:pPr>
    </w:p>
    <w:p w14:paraId="20DF062D"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Krvácanie zo žalúdočno-črevného traktu, tvorba vredov alebo perforácia:  </w:t>
      </w:r>
    </w:p>
    <w:p w14:paraId="26FCA43F"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Krvácanie zo žalúdočno-črevného traktu, tvorba vredov alebo perforácia, ktoré môžu byť smrteľné, boli hlásené u všetkých NSAID kedykoľvek v priebehu liečby, s alebo bez akýchkoľvek varovných príznakov alebo predchádzajúcich závažných príhod týkajúcich sa žalúdočno-črevného traktu.</w:t>
      </w:r>
    </w:p>
    <w:p w14:paraId="4535CBB2" w14:textId="77777777" w:rsidR="00BF38D4" w:rsidRPr="0023414B" w:rsidRDefault="00BF38D4">
      <w:pPr>
        <w:pStyle w:val="knZulassung02"/>
        <w:ind w:left="0"/>
        <w:rPr>
          <w:rFonts w:ascii="Times New Roman" w:hAnsi="Times New Roman" w:cs="Times New Roman"/>
          <w:sz w:val="22"/>
          <w:szCs w:val="22"/>
          <w:lang w:val="sk-SK"/>
        </w:rPr>
      </w:pPr>
    </w:p>
    <w:p w14:paraId="3BD43817"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Riziko vzniku krvácania zo žalúdočno-črevného traktu, vredovej choroby a perforácie sa zvyšuje so zvyšujúcimi sa dávkami NSAID a je vyššie u pacientov, ktorí mali vredovú chorobu v minulosti, najmä ak bola komplikovaná krvácaním alebo perforáciou (pozri časť 2. „</w:t>
      </w:r>
      <w:r>
        <w:rPr>
          <w:rFonts w:ascii="Times New Roman" w:hAnsi="Times New Roman" w:cs="Times New Roman"/>
          <w:sz w:val="22"/>
          <w:szCs w:val="22"/>
          <w:u w:val="single"/>
          <w:lang w:val="sk-SK"/>
        </w:rPr>
        <w:t>Neužívajte</w:t>
      </w:r>
      <w:r>
        <w:rPr>
          <w:rFonts w:ascii="Times New Roman" w:hAnsi="Times New Roman" w:cs="Times New Roman"/>
          <w:sz w:val="22"/>
          <w:szCs w:val="22"/>
          <w:lang w:val="sk-SK"/>
        </w:rPr>
        <w:t> MIG 4% perorálnu suspenziu“) a u starších ľudí. Takíto pacienti majú začať liečbu najnižšou možnou dávkou.</w:t>
      </w:r>
    </w:p>
    <w:p w14:paraId="5778AEAF"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U týchto pacientov a tiež u pacientov, u ktorých sa vyžaduje dodatočná liečba nízkymi dávkami kyseliny acetylsalicylovej (ASA) alebo inými liekmi, ktoré môžu zvýšiť riziko žalúdočno-črevných porúch, sa má zvážiť kombinácia liečby s liekmi s ochranným účinkom (napr. misoprostol alebo inhibítory protónovej pumpy).</w:t>
      </w:r>
    </w:p>
    <w:p w14:paraId="4BD251BB"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 </w:t>
      </w:r>
    </w:p>
    <w:p w14:paraId="5E964AD3"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Ak u vás v minulosti vznikli vedľajšie účinky v žalúdočno-črevnom trakte, najmä ak ste starší, ohláste všetky neobvyklé príznaky v brušnej dutine (najmä krvácanie zo žalúdočno-črevného traktu) svojmu lekárovi, obzvlášť v počiatočných štádiách liečby. </w:t>
      </w:r>
    </w:p>
    <w:p w14:paraId="46C15CF7"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 </w:t>
      </w:r>
    </w:p>
    <w:p w14:paraId="0318412E" w14:textId="77777777" w:rsidR="00BF38D4" w:rsidRPr="0023414B" w:rsidRDefault="005B7965">
      <w:pPr>
        <w:autoSpaceDE w:val="0"/>
        <w:rPr>
          <w:rFonts w:ascii="Times New Roman" w:hAnsi="Times New Roman" w:cs="Times New Roman"/>
          <w:szCs w:val="22"/>
        </w:rPr>
      </w:pPr>
      <w:r w:rsidRPr="0023414B">
        <w:rPr>
          <w:rFonts w:ascii="Times New Roman" w:hAnsi="Times New Roman" w:cs="Times New Roman"/>
          <w:szCs w:val="22"/>
        </w:rPr>
        <w:t>Zvýšená opatrnosť je potrebná, ak ste súbežne liečený liekmi, ktoré by mohli zvyšovať riziko tvorby vredov alebo krvácania, ako sú perorálne kortikosteroidy (protizápalové lieky), antikoagulanciá ako warfarín (znižuje zrážavosť krvi), selektívne inhibítory</w:t>
      </w:r>
      <w:r w:rsidR="00234B9D">
        <w:rPr>
          <w:rFonts w:ascii="Times New Roman" w:hAnsi="Times New Roman" w:cs="Times New Roman"/>
          <w:szCs w:val="22"/>
        </w:rPr>
        <w:t xml:space="preserve"> spätného vychytávania sérotonínu (používané na liečbu porúch vrátane depresie) alebo antiagregačné lieky (zabraňujú vzniku krvných zrazenín) ako je kyselina acetylsalicylová (pozri časť „Iné lieky a MIG 4% perorálna suspenzia”).</w:t>
      </w:r>
    </w:p>
    <w:p w14:paraId="54894632" w14:textId="77777777" w:rsidR="00BF38D4" w:rsidRPr="0023414B" w:rsidRDefault="00BF38D4">
      <w:pPr>
        <w:autoSpaceDE w:val="0"/>
        <w:rPr>
          <w:rFonts w:ascii="Times New Roman" w:hAnsi="Times New Roman" w:cs="Times New Roman"/>
          <w:szCs w:val="22"/>
        </w:rPr>
      </w:pPr>
    </w:p>
    <w:p w14:paraId="3156C6C2" w14:textId="77777777" w:rsidR="00BF38D4" w:rsidRPr="0023414B" w:rsidRDefault="00234B9D">
      <w:pPr>
        <w:autoSpaceDE w:val="0"/>
        <w:rPr>
          <w:rFonts w:ascii="Times New Roman" w:hAnsi="Times New Roman" w:cs="Times New Roman"/>
          <w:szCs w:val="22"/>
        </w:rPr>
      </w:pPr>
      <w:r>
        <w:rPr>
          <w:rFonts w:ascii="Times New Roman" w:hAnsi="Times New Roman" w:cs="Times New Roman"/>
          <w:bCs/>
          <w:szCs w:val="22"/>
        </w:rPr>
        <w:t>Liečba musí byť ukončená a lekár musí byť informovaný, ak sa u vás pri užívaní MIG 4% perorálnej suspenzie objaví krvácanie zo žalúdočno-črevného traktu alebo tvorba vredov.</w:t>
      </w:r>
    </w:p>
    <w:p w14:paraId="6913BBBE" w14:textId="77777777" w:rsidR="00BF38D4" w:rsidRPr="0023414B" w:rsidRDefault="00BF38D4">
      <w:pPr>
        <w:autoSpaceDE w:val="0"/>
        <w:rPr>
          <w:rFonts w:ascii="Times New Roman" w:hAnsi="Times New Roman" w:cs="Times New Roman"/>
          <w:szCs w:val="22"/>
        </w:rPr>
      </w:pPr>
    </w:p>
    <w:p w14:paraId="35165BDD"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t>NSAID sa majú podávať s opatrnosťou u pacientov s ochoreniami žalúdočno-črevného traktu v chorobopise (vredový zápal sliznice hrubého čreva, Crohnova choroba), pretože by mohlo dôjsť k zhoršeniu týchto ochorení (pozri časť 4).</w:t>
      </w:r>
    </w:p>
    <w:p w14:paraId="35CF0015" w14:textId="77777777" w:rsidR="00BF38D4" w:rsidRPr="0023414B" w:rsidRDefault="00BF38D4">
      <w:pPr>
        <w:autoSpaceDE w:val="0"/>
        <w:rPr>
          <w:rFonts w:ascii="Times New Roman" w:hAnsi="Times New Roman" w:cs="Times New Roman"/>
          <w:szCs w:val="22"/>
        </w:rPr>
      </w:pPr>
    </w:p>
    <w:p w14:paraId="6142F474" w14:textId="77777777"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u w:val="single"/>
        </w:rPr>
        <w:t xml:space="preserve">Účinky na srdcovo-cievny a mozgovo-cievny systém    </w:t>
      </w:r>
    </w:p>
    <w:p w14:paraId="60A8E346" w14:textId="77777777"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lastRenderedPageBreak/>
        <w:t xml:space="preserve">Protizápalové lieky a lieky proti bolesti ako ibuprofén môžu byť spojené s malým zvýšeným rizikom srdcového infarktu alebo mozgovej príhody, najmä ak sa užívajú vo vysokých dávkach. Neprekračujte odporúčané dávkovanie ani trvanie liečby. </w:t>
      </w:r>
    </w:p>
    <w:p w14:paraId="4A23EC2A" w14:textId="77777777"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 xml:space="preserve">Pred užitím lieku MIG 4% perorálna suspenzia sa porozprávajte o liečbe so svojím lekárom alebo lekárnikom, ak: </w:t>
      </w:r>
    </w:p>
    <w:p w14:paraId="5F27EB23" w14:textId="77777777" w:rsidR="00BF38D4" w:rsidRPr="0023414B" w:rsidRDefault="00234B9D">
      <w:pPr>
        <w:tabs>
          <w:tab w:val="left" w:pos="284"/>
        </w:tabs>
        <w:ind w:left="709" w:hanging="425"/>
        <w:rPr>
          <w:rFonts w:ascii="Times New Roman" w:hAnsi="Times New Roman" w:cs="Times New Roman"/>
          <w:szCs w:val="22"/>
        </w:rPr>
      </w:pPr>
      <w:r>
        <w:rPr>
          <w:rFonts w:ascii="Times New Roman" w:hAnsi="Times New Roman" w:cs="Times New Roman"/>
          <w:szCs w:val="22"/>
        </w:rPr>
        <w:t xml:space="preserve">-  </w:t>
      </w:r>
      <w:r>
        <w:rPr>
          <w:rFonts w:ascii="Times New Roman" w:hAnsi="Times New Roman" w:cs="Times New Roman"/>
          <w:szCs w:val="22"/>
        </w:rPr>
        <w:tab/>
        <w:t xml:space="preserve">máte problémy so srdcom vrátane srdcového zlyhania, angínu pektoris (bolesť na hrudi), alebo ak ste mali srdcový infarkt, podstúpili ste operáciu srdca (koronárny bypass), máte ochorenie periférnych artérií (slabá cirkulácia v nohách alebo chodidlách z dôvodu úzkych alebo zablokovaných ciev), alebo akúkoľvek mozgovú príhodu (vrátane malej mozgovej príhody alebo prechodného ischemického záchvatu), </w:t>
      </w:r>
    </w:p>
    <w:p w14:paraId="19747C6D" w14:textId="77777777" w:rsidR="00BF38D4" w:rsidRPr="0023414B" w:rsidRDefault="00234B9D">
      <w:pPr>
        <w:tabs>
          <w:tab w:val="left" w:pos="284"/>
        </w:tabs>
        <w:ind w:left="709" w:hanging="425"/>
        <w:rPr>
          <w:rFonts w:ascii="Times New Roman" w:hAnsi="Times New Roman" w:cs="Times New Roman"/>
          <w:szCs w:val="22"/>
          <w:u w:val="single"/>
        </w:rPr>
      </w:pPr>
      <w:r>
        <w:rPr>
          <w:rFonts w:ascii="Times New Roman" w:hAnsi="Times New Roman" w:cs="Times New Roman"/>
          <w:szCs w:val="22"/>
        </w:rPr>
        <w:t xml:space="preserve">-  </w:t>
      </w:r>
      <w:r>
        <w:rPr>
          <w:rFonts w:ascii="Times New Roman" w:hAnsi="Times New Roman" w:cs="Times New Roman"/>
          <w:szCs w:val="22"/>
        </w:rPr>
        <w:tab/>
        <w:t xml:space="preserve">máte vysoký krvný tlak, cukrovku, vysoký cholesterol, alebo niektorý člen vašej rodiny mal srdcové ochorenie alebo mozgovú príhodu, alebo ak ste fajčiar. </w:t>
      </w:r>
    </w:p>
    <w:p w14:paraId="24D62BDB" w14:textId="77777777" w:rsidR="00BF38D4" w:rsidRPr="0023414B" w:rsidRDefault="00BF38D4">
      <w:pPr>
        <w:tabs>
          <w:tab w:val="left" w:pos="851"/>
        </w:tabs>
        <w:rPr>
          <w:rFonts w:ascii="Times New Roman" w:hAnsi="Times New Roman" w:cs="Times New Roman"/>
          <w:szCs w:val="22"/>
          <w:u w:val="single"/>
        </w:rPr>
      </w:pPr>
    </w:p>
    <w:p w14:paraId="475D2442" w14:textId="77777777"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 xml:space="preserve">Kožné reakcie </w:t>
      </w:r>
    </w:p>
    <w:p w14:paraId="5B44DE8D" w14:textId="103205D9" w:rsidR="00BF38D4" w:rsidRPr="0023414B" w:rsidRDefault="00C4550C">
      <w:pPr>
        <w:tabs>
          <w:tab w:val="left" w:pos="851"/>
        </w:tabs>
        <w:rPr>
          <w:rFonts w:ascii="Times New Roman" w:hAnsi="Times New Roman" w:cs="Times New Roman"/>
          <w:szCs w:val="22"/>
        </w:rPr>
      </w:pPr>
      <w:r w:rsidRPr="00C4550C">
        <w:rPr>
          <w:rFonts w:ascii="Times New Roman" w:hAnsi="Times New Roman" w:cs="Times New Roman"/>
          <w:szCs w:val="22"/>
        </w:rPr>
        <w:t xml:space="preserve">V súvislosti s liečbou </w:t>
      </w:r>
      <w:r>
        <w:rPr>
          <w:rFonts w:ascii="Times New Roman" w:hAnsi="Times New Roman" w:cs="Times New Roman"/>
          <w:szCs w:val="22"/>
        </w:rPr>
        <w:t>MIG 4%</w:t>
      </w:r>
      <w:r w:rsidRPr="00C4550C">
        <w:rPr>
          <w:rFonts w:ascii="Times New Roman" w:hAnsi="Times New Roman" w:cs="Times New Roman"/>
          <w:szCs w:val="22"/>
        </w:rPr>
        <w:t xml:space="preserve"> </w:t>
      </w:r>
      <w:r>
        <w:rPr>
          <w:rFonts w:ascii="Times New Roman" w:hAnsi="Times New Roman" w:cs="Times New Roman"/>
          <w:szCs w:val="22"/>
        </w:rPr>
        <w:t xml:space="preserve">perorálna suspenzia </w:t>
      </w:r>
      <w:r w:rsidRPr="00C4550C">
        <w:rPr>
          <w:rFonts w:ascii="Times New Roman" w:hAnsi="Times New Roman" w:cs="Times New Roman"/>
          <w:szCs w:val="22"/>
        </w:rPr>
        <w:t xml:space="preserve">boli hlásené závažné kožné reakcie. Ak sa u vás vyskytne akákoľvek kožná vyrážka, poškodenie slizníc, pľuzgiere alebo iné prejavy alergie, prestaňte užívať </w:t>
      </w:r>
      <w:r>
        <w:rPr>
          <w:rFonts w:ascii="Times New Roman" w:hAnsi="Times New Roman" w:cs="Times New Roman"/>
          <w:szCs w:val="22"/>
        </w:rPr>
        <w:t>MIG 4% peroráln</w:t>
      </w:r>
      <w:r w:rsidR="003C55E2">
        <w:rPr>
          <w:rFonts w:ascii="Times New Roman" w:hAnsi="Times New Roman" w:cs="Times New Roman"/>
          <w:szCs w:val="22"/>
        </w:rPr>
        <w:t>u</w:t>
      </w:r>
      <w:r>
        <w:rPr>
          <w:rFonts w:ascii="Times New Roman" w:hAnsi="Times New Roman" w:cs="Times New Roman"/>
          <w:szCs w:val="22"/>
        </w:rPr>
        <w:t xml:space="preserve"> suspenzi</w:t>
      </w:r>
      <w:r w:rsidR="003C55E2">
        <w:rPr>
          <w:rFonts w:ascii="Times New Roman" w:hAnsi="Times New Roman" w:cs="Times New Roman"/>
          <w:szCs w:val="22"/>
        </w:rPr>
        <w:t>u</w:t>
      </w:r>
      <w:r w:rsidRPr="00C4550C">
        <w:rPr>
          <w:rFonts w:ascii="Times New Roman" w:hAnsi="Times New Roman" w:cs="Times New Roman"/>
          <w:szCs w:val="22"/>
        </w:rPr>
        <w:t xml:space="preserve"> a ihneď vyhľadajte lekársku pomoc, pretože to môžu byť prvé prejavy veľmi závažnej kožnej reakcie. Pozri časť 4.</w:t>
      </w:r>
      <w:bookmarkStart w:id="0" w:name="_GoBack"/>
      <w:bookmarkEnd w:id="0"/>
    </w:p>
    <w:p w14:paraId="7C1ABA9C" w14:textId="77777777" w:rsidR="00BF38D4" w:rsidRPr="0023414B" w:rsidRDefault="00BF38D4">
      <w:pPr>
        <w:autoSpaceDE w:val="0"/>
        <w:rPr>
          <w:rFonts w:ascii="Times New Roman" w:hAnsi="Times New Roman" w:cs="Times New Roman"/>
          <w:szCs w:val="22"/>
        </w:rPr>
      </w:pPr>
    </w:p>
    <w:p w14:paraId="2875E863"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t>V prípade ochorenia ovčími kiahňami (varicelou) sa odporúča prerušiť užívanie MIG 4% perorálnej suspenzie.</w:t>
      </w:r>
    </w:p>
    <w:p w14:paraId="4E60DF3A" w14:textId="77777777" w:rsidR="00BF38D4" w:rsidRPr="0023414B" w:rsidRDefault="00BF38D4">
      <w:pPr>
        <w:pStyle w:val="knZulassung03"/>
        <w:spacing w:before="0" w:after="0"/>
        <w:ind w:left="0" w:firstLine="0"/>
        <w:rPr>
          <w:rFonts w:ascii="Times New Roman" w:hAnsi="Times New Roman" w:cs="Times New Roman"/>
          <w:lang w:val="sk-SK"/>
        </w:rPr>
      </w:pPr>
    </w:p>
    <w:p w14:paraId="756095EC" w14:textId="77777777" w:rsidR="00BF38D4" w:rsidRPr="0023414B" w:rsidRDefault="00234B9D">
      <w:pPr>
        <w:pStyle w:val="knZulassung03"/>
        <w:spacing w:before="0" w:after="0"/>
        <w:ind w:left="0" w:firstLine="0"/>
        <w:rPr>
          <w:rFonts w:ascii="Times New Roman" w:hAnsi="Times New Roman" w:cs="Times New Roman"/>
          <w:lang w:val="sk-SK"/>
        </w:rPr>
      </w:pPr>
      <w:r>
        <w:rPr>
          <w:rFonts w:ascii="Times New Roman" w:hAnsi="Times New Roman" w:cs="Times New Roman"/>
          <w:u w:val="single"/>
          <w:lang w:val="sk-SK"/>
        </w:rPr>
        <w:t xml:space="preserve">Ďalšie upozornenia      </w:t>
      </w:r>
    </w:p>
    <w:p w14:paraId="1564877B" w14:textId="77777777" w:rsidR="00BF38D4" w:rsidRPr="0023414B" w:rsidRDefault="00234B9D">
      <w:pPr>
        <w:rPr>
          <w:rFonts w:ascii="Times New Roman" w:hAnsi="Times New Roman" w:cs="Times New Roman"/>
          <w:szCs w:val="22"/>
        </w:rPr>
      </w:pPr>
      <w:r>
        <w:rPr>
          <w:rFonts w:ascii="Times New Roman" w:hAnsi="Times New Roman" w:cs="Times New Roman"/>
          <w:szCs w:val="22"/>
        </w:rPr>
        <w:t>MIG 4% perorálna suspenzia sa má užívať iba po konzultácii s lekárom:</w:t>
      </w:r>
    </w:p>
    <w:p w14:paraId="4CAE4031" w14:textId="77777777" w:rsidR="00BF38D4" w:rsidRPr="0023414B" w:rsidRDefault="005B7965">
      <w:pPr>
        <w:pStyle w:val="Odsekzoznamu1"/>
        <w:numPr>
          <w:ilvl w:val="0"/>
          <w:numId w:val="6"/>
        </w:numPr>
        <w:ind w:left="426" w:hanging="426"/>
        <w:rPr>
          <w:szCs w:val="22"/>
        </w:rPr>
      </w:pPr>
      <w:r w:rsidRPr="0023414B">
        <w:rPr>
          <w:szCs w:val="22"/>
        </w:rPr>
        <w:t>pri určitých dedičných poruchách krvotvorby (napr. akútna intermitentná porfýria).</w:t>
      </w:r>
    </w:p>
    <w:p w14:paraId="53E16EB7" w14:textId="77777777" w:rsidR="00BF38D4" w:rsidRPr="0023414B" w:rsidRDefault="00234B9D">
      <w:pPr>
        <w:pStyle w:val="Odsekzoznamu1"/>
        <w:numPr>
          <w:ilvl w:val="0"/>
          <w:numId w:val="6"/>
        </w:numPr>
        <w:ind w:left="426" w:hanging="426"/>
        <w:rPr>
          <w:szCs w:val="22"/>
        </w:rPr>
      </w:pPr>
      <w:r>
        <w:rPr>
          <w:szCs w:val="22"/>
        </w:rPr>
        <w:t>pri určitých ochoreniach imunitného systému (systémový lupus erythematosus alebo zmiešaná choroba spojivového tkaniva).</w:t>
      </w:r>
    </w:p>
    <w:p w14:paraId="0A61574C" w14:textId="77777777" w:rsidR="00BF38D4" w:rsidRPr="0023414B" w:rsidRDefault="00BF38D4">
      <w:pPr>
        <w:rPr>
          <w:rFonts w:ascii="Times New Roman" w:hAnsi="Times New Roman" w:cs="Times New Roman"/>
          <w:szCs w:val="22"/>
        </w:rPr>
      </w:pPr>
    </w:p>
    <w:p w14:paraId="535EB8E7" w14:textId="77777777" w:rsidR="00BF38D4" w:rsidRPr="0023414B" w:rsidRDefault="00234B9D">
      <w:pPr>
        <w:ind w:left="360" w:hanging="360"/>
        <w:rPr>
          <w:rFonts w:ascii="Times New Roman" w:hAnsi="Times New Roman" w:cs="Times New Roman"/>
          <w:szCs w:val="22"/>
        </w:rPr>
      </w:pPr>
      <w:r>
        <w:rPr>
          <w:rFonts w:ascii="Times New Roman" w:hAnsi="Times New Roman" w:cs="Times New Roman"/>
          <w:szCs w:val="22"/>
        </w:rPr>
        <w:t>Starostlivé pozorovanie lekárom sa vyžaduje najmä:</w:t>
      </w:r>
    </w:p>
    <w:p w14:paraId="73E85BE4" w14:textId="77777777" w:rsidR="00BF38D4" w:rsidRPr="0023414B" w:rsidRDefault="00234B9D">
      <w:pPr>
        <w:pStyle w:val="knZulassung03"/>
        <w:numPr>
          <w:ilvl w:val="0"/>
          <w:numId w:val="8"/>
        </w:numPr>
        <w:spacing w:before="0" w:after="0"/>
        <w:ind w:left="426" w:hanging="426"/>
        <w:rPr>
          <w:rFonts w:ascii="Times New Roman" w:hAnsi="Times New Roman" w:cs="Times New Roman"/>
          <w:lang w:val="sk-SK"/>
        </w:rPr>
      </w:pPr>
      <w:r>
        <w:rPr>
          <w:rFonts w:ascii="Times New Roman" w:hAnsi="Times New Roman" w:cs="Times New Roman"/>
          <w:lang w:val="sk-SK"/>
        </w:rPr>
        <w:t>pri poruche funkcie obličiek.</w:t>
      </w:r>
    </w:p>
    <w:p w14:paraId="341A4233" w14:textId="77777777"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pri poruche funkcie pečene.</w:t>
      </w:r>
    </w:p>
    <w:p w14:paraId="6E6A687B" w14:textId="77777777"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pri dehydratácii (úbytku tekutín v organizme).</w:t>
      </w:r>
    </w:p>
    <w:p w14:paraId="03371B3E" w14:textId="77777777"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okamžite po väčších chirurgických zákrokoch.</w:t>
      </w:r>
    </w:p>
    <w:p w14:paraId="741CC401" w14:textId="77777777" w:rsidR="00BF38D4" w:rsidRPr="0023414B" w:rsidRDefault="00234B9D">
      <w:pPr>
        <w:pStyle w:val="knZulassung03"/>
        <w:numPr>
          <w:ilvl w:val="0"/>
          <w:numId w:val="3"/>
        </w:numPr>
        <w:spacing w:before="0" w:after="0"/>
        <w:ind w:left="426" w:hanging="426"/>
        <w:rPr>
          <w:rFonts w:ascii="Times New Roman" w:hAnsi="Times New Roman" w:cs="Times New Roman"/>
          <w:lang w:val="sk-SK"/>
        </w:rPr>
      </w:pPr>
      <w:r>
        <w:rPr>
          <w:rFonts w:ascii="Times New Roman" w:hAnsi="Times New Roman" w:cs="Times New Roman"/>
          <w:lang w:val="sk-SK"/>
        </w:rPr>
        <w:t xml:space="preserve">pri alergiách (ako sú kožné reakcie na iné lieky, astma, senná nádcha), chronických opuchoch sliznice nosa alebo pri chronickej obštrukčnej chorobe dýchacích ciest - </w:t>
      </w:r>
      <w:r>
        <w:rPr>
          <w:rStyle w:val="hps"/>
          <w:rFonts w:ascii="Times New Roman" w:hAnsi="Times New Roman" w:cs="Times New Roman"/>
          <w:color w:val="222222"/>
          <w:lang w:val="sk-SK"/>
        </w:rPr>
        <w:t>budete</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mať</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zvýšené riziko</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reakcií z precitlivenosti</w:t>
      </w:r>
      <w:r>
        <w:rPr>
          <w:rFonts w:ascii="Times New Roman" w:hAnsi="Times New Roman" w:cs="Times New Roman"/>
          <w:lang w:val="sk-SK"/>
        </w:rPr>
        <w:t>.</w:t>
      </w:r>
    </w:p>
    <w:p w14:paraId="0E985A32" w14:textId="77777777" w:rsidR="00BF38D4" w:rsidRPr="0023414B" w:rsidRDefault="00BF38D4">
      <w:pPr>
        <w:pStyle w:val="knZulassung03"/>
        <w:spacing w:before="0" w:after="0"/>
        <w:ind w:left="360" w:firstLine="0"/>
        <w:rPr>
          <w:rFonts w:ascii="Times New Roman" w:hAnsi="Times New Roman" w:cs="Times New Roman"/>
          <w:lang w:val="sk-SK"/>
        </w:rPr>
      </w:pPr>
    </w:p>
    <w:p w14:paraId="05C8F613" w14:textId="77777777"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Závažné akútne reakcie z precitlivenosti (napr. anafylaktický šok) boli pozorované veľmi zriedkavo. Pri prvých prejavoch závažnej reakcie z precitlivenosti po užití MIG 4% perorálnej suspenzie, musíte liečbu ukončiť. V závislosti od príznakov je potrebné začať liečbu špecialistom.</w:t>
      </w:r>
    </w:p>
    <w:p w14:paraId="0994FC70" w14:textId="77777777" w:rsidR="00BF38D4" w:rsidRPr="0023414B" w:rsidRDefault="00BF38D4">
      <w:pPr>
        <w:tabs>
          <w:tab w:val="left" w:pos="851"/>
        </w:tabs>
        <w:rPr>
          <w:rFonts w:ascii="Times New Roman" w:hAnsi="Times New Roman" w:cs="Times New Roman"/>
          <w:szCs w:val="22"/>
        </w:rPr>
      </w:pPr>
    </w:p>
    <w:p w14:paraId="33A51DBE" w14:textId="77777777"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Ibuprofén, liečivo v MIG 4% perorálnej suspenzii, môže dočasne znižovať funkciu krvných doštičiek (zhlukovanie trombocytov). Pacienti s poruchami krvnej zrážavosti musia byť preto starostlivo sledovaní.</w:t>
      </w:r>
    </w:p>
    <w:p w14:paraId="6072DFAF" w14:textId="77777777" w:rsidR="00BF38D4" w:rsidRPr="0023414B" w:rsidRDefault="00BF38D4">
      <w:pPr>
        <w:pStyle w:val="knZulassung02"/>
        <w:ind w:left="0"/>
        <w:rPr>
          <w:rFonts w:ascii="Times New Roman" w:hAnsi="Times New Roman" w:cs="Times New Roman"/>
          <w:sz w:val="22"/>
          <w:szCs w:val="22"/>
          <w:lang w:val="sk-SK"/>
        </w:rPr>
      </w:pPr>
    </w:p>
    <w:p w14:paraId="31FC185D"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Pri dlhodobom užívaní MIG 4% perorálnej suspenzii sú potrebné pravidelné kontroly pečeňových enzýmov, funkcie obličiek a krvného obrazu.</w:t>
      </w:r>
    </w:p>
    <w:p w14:paraId="2F3F6ED2" w14:textId="77777777" w:rsidR="00BF38D4" w:rsidRPr="0023414B" w:rsidRDefault="00BF38D4">
      <w:pPr>
        <w:pStyle w:val="knZulassung02"/>
        <w:ind w:left="0"/>
        <w:rPr>
          <w:rFonts w:ascii="Times New Roman" w:hAnsi="Times New Roman" w:cs="Times New Roman"/>
          <w:sz w:val="22"/>
          <w:szCs w:val="22"/>
          <w:lang w:val="sk-SK"/>
        </w:rPr>
      </w:pPr>
    </w:p>
    <w:p w14:paraId="2F8B2942"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Pred akýmkoľvek chirurgickým zákrokom alebo ošetrením zubov informujte lekára alebo zubného lekára, že užívate MIG 4% perorálnu suspenziu.</w:t>
      </w:r>
    </w:p>
    <w:p w14:paraId="08BAA0F2" w14:textId="77777777" w:rsidR="00BF38D4" w:rsidRPr="0023414B" w:rsidRDefault="00BF38D4">
      <w:pPr>
        <w:pStyle w:val="knZulassung02"/>
        <w:ind w:left="0"/>
        <w:rPr>
          <w:rFonts w:ascii="Times New Roman" w:hAnsi="Times New Roman" w:cs="Times New Roman"/>
          <w:sz w:val="22"/>
          <w:szCs w:val="22"/>
          <w:lang w:val="sk-SK"/>
        </w:rPr>
      </w:pPr>
    </w:p>
    <w:p w14:paraId="7ABD20D4"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už užívate iné lieky proti bolesti alebo na zníženie horúčky alebo antibiotiká, MIG 4% perorálnu suspenziu môžete užívať len po konzultácii s ošetrujúcim lekárom.</w:t>
      </w:r>
    </w:p>
    <w:p w14:paraId="44A158B4"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máte závažný zdravotný stav a/ alebo užívate lieky pravidelne, máte sa poradiť s ošetrujúcim lekárom pred užívaním MIG 4% perorálnej suspenzie.</w:t>
      </w:r>
    </w:p>
    <w:p w14:paraId="7CD4DC9C" w14:textId="77777777" w:rsidR="00BF38D4" w:rsidRPr="0023414B" w:rsidRDefault="00BF38D4">
      <w:pPr>
        <w:pStyle w:val="knZulassung02"/>
        <w:ind w:left="0"/>
        <w:rPr>
          <w:rFonts w:ascii="Times New Roman" w:hAnsi="Times New Roman" w:cs="Times New Roman"/>
          <w:sz w:val="22"/>
          <w:szCs w:val="22"/>
          <w:lang w:val="sk-SK"/>
        </w:rPr>
      </w:pPr>
    </w:p>
    <w:p w14:paraId="0D204A1B" w14:textId="77777777" w:rsidR="00BF38D4" w:rsidRPr="0023414B" w:rsidRDefault="00234B9D">
      <w:pPr>
        <w:rPr>
          <w:rFonts w:ascii="Times New Roman" w:hAnsi="Times New Roman" w:cs="Times New Roman"/>
          <w:szCs w:val="22"/>
        </w:rPr>
      </w:pPr>
      <w:r>
        <w:rPr>
          <w:rFonts w:ascii="Times New Roman" w:hAnsi="Times New Roman" w:cs="Times New Roman"/>
          <w:szCs w:val="22"/>
        </w:rPr>
        <w:lastRenderedPageBreak/>
        <w:t>Dlhodobé užívanie akýchkoľvek liekov proti bolesti hlavy, môže tieto bolesti zhoršiť. Ak k tejto situácii dôjde alebo je pravdepodobná, je potrebné kontaktovať lekára a liečba sa musí prerušiť. U pacientov, ktorí majú často alebo denne bolesť hlavy napriek (alebo kvôli) pravidelnému užívaniu liekov proti bolesti hlavy, je potrebné uvažovať o diagnóze bolesti hlavy z nadmerného užívania liekov (MOH, z anglického výrazu „medication overuse headache“).</w:t>
      </w:r>
    </w:p>
    <w:p w14:paraId="2AC7A3FC" w14:textId="77777777" w:rsidR="00BF38D4" w:rsidRPr="0023414B" w:rsidRDefault="00BF38D4">
      <w:pPr>
        <w:pStyle w:val="knZulassung02"/>
        <w:ind w:left="0"/>
        <w:rPr>
          <w:rFonts w:ascii="Times New Roman" w:hAnsi="Times New Roman" w:cs="Times New Roman"/>
          <w:sz w:val="22"/>
          <w:szCs w:val="22"/>
          <w:lang w:val="sk-SK"/>
        </w:rPr>
      </w:pPr>
    </w:p>
    <w:p w14:paraId="47EABA89"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t>Všeobecne môže veľmi časté užívanie liekov proti bolesti, obzvlášť ak sa užíva viacero analgetík (liekov proti bolesti) v kombinácii, spôsobiť trvalé poškodenie obličiek s rizikom zlyhania obličiek (analgetická nefropatia).</w:t>
      </w:r>
    </w:p>
    <w:p w14:paraId="1302F842" w14:textId="77777777" w:rsidR="00BF38D4" w:rsidRPr="0023414B" w:rsidRDefault="00BF38D4">
      <w:pPr>
        <w:pStyle w:val="knZulassung02"/>
        <w:ind w:left="0"/>
        <w:rPr>
          <w:rFonts w:ascii="Times New Roman" w:hAnsi="Times New Roman" w:cs="Times New Roman"/>
          <w:sz w:val="22"/>
          <w:szCs w:val="22"/>
          <w:lang w:val="sk-SK"/>
        </w:rPr>
      </w:pPr>
    </w:p>
    <w:p w14:paraId="73FAB153"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NSAID vrátane ibuprofénu môžu prekrývať príznaky infekcie a horúčky.</w:t>
      </w:r>
    </w:p>
    <w:p w14:paraId="7371A394" w14:textId="77777777" w:rsidR="00BF38D4" w:rsidRPr="0023414B" w:rsidRDefault="00BF38D4">
      <w:pPr>
        <w:pStyle w:val="knZulassung02"/>
        <w:ind w:left="0" w:right="143"/>
        <w:rPr>
          <w:rFonts w:ascii="Times New Roman" w:hAnsi="Times New Roman" w:cs="Times New Roman"/>
          <w:sz w:val="22"/>
          <w:szCs w:val="22"/>
          <w:lang w:val="sk-SK"/>
        </w:rPr>
      </w:pPr>
    </w:p>
    <w:p w14:paraId="699D4A4B" w14:textId="77777777" w:rsidR="00BF38D4" w:rsidRPr="0023414B" w:rsidRDefault="00234B9D">
      <w:pPr>
        <w:autoSpaceDE w:val="0"/>
        <w:rPr>
          <w:rFonts w:ascii="Times New Roman" w:hAnsi="Times New Roman" w:cs="Times New Roman"/>
          <w:szCs w:val="22"/>
        </w:rPr>
      </w:pPr>
      <w:r>
        <w:rPr>
          <w:rFonts w:ascii="Times New Roman" w:hAnsi="Times New Roman" w:cs="Times New Roman"/>
          <w:color w:val="000000"/>
          <w:szCs w:val="22"/>
          <w:u w:val="single"/>
        </w:rPr>
        <w:t>Deti a dospievajúci</w:t>
      </w:r>
    </w:p>
    <w:p w14:paraId="5237FDE1" w14:textId="77777777" w:rsidR="00BF38D4" w:rsidRPr="0023414B" w:rsidRDefault="00234B9D">
      <w:pPr>
        <w:autoSpaceDE w:val="0"/>
        <w:rPr>
          <w:rFonts w:ascii="Times New Roman" w:hAnsi="Times New Roman" w:cs="Times New Roman"/>
          <w:color w:val="000000"/>
          <w:szCs w:val="22"/>
        </w:rPr>
      </w:pPr>
      <w:r>
        <w:rPr>
          <w:rFonts w:ascii="Times New Roman" w:hAnsi="Times New Roman" w:cs="Times New Roman"/>
          <w:szCs w:val="22"/>
        </w:rPr>
        <w:t>MIG 4% perorálna suspenzia</w:t>
      </w:r>
      <w:r>
        <w:rPr>
          <w:rFonts w:ascii="Times New Roman" w:hAnsi="Times New Roman" w:cs="Times New Roman"/>
          <w:color w:val="000000"/>
          <w:szCs w:val="22"/>
        </w:rPr>
        <w:t xml:space="preserve"> nie je určená pre deti mladšie ako 1 rok alebo s telesnou hmotnosťou menej ako 10 kg. </w:t>
      </w:r>
    </w:p>
    <w:p w14:paraId="49138A63" w14:textId="77777777" w:rsidR="00BF38D4" w:rsidRPr="0023414B" w:rsidRDefault="00BF38D4">
      <w:pPr>
        <w:autoSpaceDE w:val="0"/>
        <w:rPr>
          <w:rFonts w:ascii="Times New Roman" w:hAnsi="Times New Roman" w:cs="Times New Roman"/>
          <w:color w:val="000000"/>
          <w:szCs w:val="22"/>
        </w:rPr>
      </w:pPr>
    </w:p>
    <w:p w14:paraId="0DB0D627" w14:textId="77777777" w:rsidR="00BF38D4" w:rsidRPr="0023414B" w:rsidRDefault="00234B9D">
      <w:pPr>
        <w:autoSpaceDE w:val="0"/>
        <w:rPr>
          <w:rFonts w:ascii="Times New Roman" w:hAnsi="Times New Roman" w:cs="Times New Roman"/>
          <w:szCs w:val="22"/>
        </w:rPr>
      </w:pPr>
      <w:r>
        <w:rPr>
          <w:rFonts w:ascii="Times New Roman" w:hAnsi="Times New Roman" w:cs="Times New Roman"/>
          <w:bCs/>
          <w:color w:val="000000"/>
          <w:szCs w:val="22"/>
        </w:rPr>
        <w:t>U dehydrovaných detí a dospievajúcich existuje riziko poruchy funkcie obličiek.</w:t>
      </w:r>
    </w:p>
    <w:p w14:paraId="54145602" w14:textId="77777777" w:rsidR="00BF38D4" w:rsidRPr="0023414B" w:rsidRDefault="00BF38D4">
      <w:pPr>
        <w:pStyle w:val="knZulassung02"/>
        <w:ind w:left="0" w:right="143"/>
        <w:rPr>
          <w:rFonts w:ascii="Times New Roman" w:hAnsi="Times New Roman" w:cs="Times New Roman"/>
          <w:sz w:val="22"/>
          <w:szCs w:val="22"/>
          <w:lang w:val="sk-SK"/>
        </w:rPr>
      </w:pPr>
    </w:p>
    <w:p w14:paraId="2B345B47" w14:textId="77777777" w:rsidR="00BF38D4" w:rsidRPr="0023414B" w:rsidRDefault="00234B9D">
      <w:pPr>
        <w:tabs>
          <w:tab w:val="left" w:pos="-1440"/>
          <w:tab w:val="left" w:pos="-720"/>
        </w:tabs>
        <w:rPr>
          <w:rFonts w:ascii="Times New Roman" w:hAnsi="Times New Roman" w:cs="Times New Roman"/>
          <w:b/>
          <w:szCs w:val="22"/>
        </w:rPr>
      </w:pPr>
      <w:r>
        <w:rPr>
          <w:rFonts w:ascii="Times New Roman" w:hAnsi="Times New Roman" w:cs="Times New Roman"/>
          <w:b/>
          <w:szCs w:val="22"/>
        </w:rPr>
        <w:t>Iné lieky a MIG 4% perorálna suspenzia</w:t>
      </w:r>
    </w:p>
    <w:p w14:paraId="129E7063" w14:textId="77777777" w:rsidR="00BF38D4" w:rsidRPr="0023414B" w:rsidRDefault="00234B9D">
      <w:pPr>
        <w:tabs>
          <w:tab w:val="left" w:pos="-1440"/>
          <w:tab w:val="left" w:pos="-720"/>
        </w:tabs>
        <w:rPr>
          <w:rFonts w:ascii="Times New Roman" w:hAnsi="Times New Roman" w:cs="Times New Roman"/>
          <w:szCs w:val="22"/>
        </w:rPr>
      </w:pPr>
      <w:r>
        <w:rPr>
          <w:rFonts w:ascii="Times New Roman" w:hAnsi="Times New Roman" w:cs="Times New Roman"/>
          <w:b/>
          <w:szCs w:val="22"/>
        </w:rPr>
        <w:t xml:space="preserve"> </w:t>
      </w:r>
    </w:p>
    <w:p w14:paraId="634A4547" w14:textId="77777777" w:rsidR="00BF38D4" w:rsidRPr="0023414B" w:rsidRDefault="00234B9D">
      <w:pPr>
        <w:ind w:right="-2"/>
        <w:rPr>
          <w:rFonts w:ascii="Times New Roman" w:hAnsi="Times New Roman" w:cs="Times New Roman"/>
          <w:szCs w:val="22"/>
        </w:rPr>
      </w:pPr>
      <w:r>
        <w:rPr>
          <w:rFonts w:ascii="Times New Roman" w:hAnsi="Times New Roman" w:cs="Times New Roman"/>
          <w:szCs w:val="22"/>
        </w:rPr>
        <w:t>Ak teraz vy alebo vaše dieťa užívate alebo ste v poslednom čase užívali, či práve budete užívať</w:t>
      </w:r>
      <w:r>
        <w:rPr>
          <w:rFonts w:ascii="Times New Roman" w:hAnsi="Times New Roman" w:cs="Times New Roman"/>
          <w:b/>
          <w:i/>
          <w:szCs w:val="22"/>
        </w:rPr>
        <w:t xml:space="preserve"> </w:t>
      </w:r>
      <w:r>
        <w:rPr>
          <w:rFonts w:ascii="Times New Roman" w:hAnsi="Times New Roman" w:cs="Times New Roman"/>
          <w:szCs w:val="22"/>
        </w:rPr>
        <w:t xml:space="preserve">ďalšie lieky,  povedzte to vášmu lekárovi alebo lekárnikovi. </w:t>
      </w:r>
    </w:p>
    <w:p w14:paraId="3350A14A" w14:textId="77777777" w:rsidR="00BF38D4" w:rsidRPr="0023414B" w:rsidRDefault="00BF38D4">
      <w:pPr>
        <w:pStyle w:val="knZulassung02"/>
        <w:ind w:left="0"/>
        <w:rPr>
          <w:rFonts w:ascii="Times New Roman" w:hAnsi="Times New Roman" w:cs="Times New Roman"/>
          <w:sz w:val="22"/>
          <w:szCs w:val="22"/>
          <w:lang w:val="sk-SK"/>
        </w:rPr>
      </w:pPr>
    </w:p>
    <w:p w14:paraId="37486E52"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MIG 4% perorálna suspenzia môže ovplyvňovať alebo byť ovplyvnená niektorými inými liekmi. Napríklad:</w:t>
      </w:r>
    </w:p>
    <w:p w14:paraId="70BD22D7" w14:textId="77777777" w:rsidR="00BF38D4" w:rsidRPr="0023414B" w:rsidRDefault="00234B9D">
      <w:pPr>
        <w:pStyle w:val="knZulassung02"/>
        <w:ind w:left="426" w:hanging="426"/>
        <w:rPr>
          <w:rFonts w:ascii="Times New Roman" w:hAnsi="Times New Roman" w:cs="Times New Roman"/>
          <w:sz w:val="22"/>
          <w:szCs w:val="22"/>
          <w:lang w:val="sk-SK"/>
        </w:rPr>
      </w:pPr>
      <w:r>
        <w:rPr>
          <w:rFonts w:ascii="Times New Roman" w:hAnsi="Times New Roman" w:cs="Times New Roman"/>
          <w:sz w:val="22"/>
          <w:szCs w:val="22"/>
          <w:lang w:val="sk-SK"/>
        </w:rPr>
        <w:t xml:space="preserve">-  </w:t>
      </w:r>
      <w:r>
        <w:rPr>
          <w:rFonts w:ascii="Times New Roman" w:hAnsi="Times New Roman" w:cs="Times New Roman"/>
          <w:sz w:val="22"/>
          <w:szCs w:val="22"/>
          <w:lang w:val="sk-SK"/>
        </w:rPr>
        <w:tab/>
        <w:t xml:space="preserve">liekmi, ktoré sú antikoagulantmi (čo znamená že zrieďujú krv a zamedzujú vzniku krvných zrazenín, napr. kyselina acetylsalicylová, warfarín, tiklopidín), </w:t>
      </w:r>
    </w:p>
    <w:p w14:paraId="22EE9741" w14:textId="77777777" w:rsidR="00BF38D4" w:rsidRPr="0023414B" w:rsidRDefault="00234B9D">
      <w:pPr>
        <w:pStyle w:val="knZulassung02"/>
        <w:ind w:left="426" w:hanging="284"/>
        <w:rPr>
          <w:rFonts w:ascii="Times New Roman" w:hAnsi="Times New Roman" w:cs="Times New Roman"/>
          <w:sz w:val="22"/>
          <w:szCs w:val="22"/>
          <w:lang w:val="sk-SK"/>
        </w:rPr>
      </w:pPr>
      <w:r>
        <w:rPr>
          <w:rFonts w:ascii="Times New Roman" w:hAnsi="Times New Roman" w:cs="Times New Roman"/>
          <w:sz w:val="22"/>
          <w:szCs w:val="22"/>
          <w:lang w:val="sk-SK"/>
        </w:rPr>
        <w:t xml:space="preserve">-  </w:t>
      </w:r>
      <w:r>
        <w:rPr>
          <w:rFonts w:ascii="Times New Roman" w:hAnsi="Times New Roman" w:cs="Times New Roman"/>
          <w:sz w:val="22"/>
          <w:szCs w:val="22"/>
          <w:lang w:val="sk-SK"/>
        </w:rPr>
        <w:tab/>
        <w:t xml:space="preserve">liekmi, ktoré znižujú vysoký krvný tlak (inhibítory ACE, ako je kaptopril, betablokátory, ako sú lieky obsahujúce atenolol, antagonisty receptora angiotenzínu II, ako je losartan). </w:t>
      </w:r>
    </w:p>
    <w:p w14:paraId="362D69E9" w14:textId="77777777" w:rsidR="00BF38D4" w:rsidRPr="0023414B" w:rsidRDefault="00BF38D4">
      <w:pPr>
        <w:pStyle w:val="knZulassung02"/>
        <w:ind w:left="0" w:hanging="1417"/>
        <w:rPr>
          <w:rFonts w:ascii="Times New Roman" w:hAnsi="Times New Roman" w:cs="Times New Roman"/>
          <w:sz w:val="22"/>
          <w:szCs w:val="22"/>
          <w:lang w:val="sk-SK"/>
        </w:rPr>
      </w:pPr>
    </w:p>
    <w:p w14:paraId="0744EC8F"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Niektoré iné lieky môžu tiež ovplyvňovať liečbu liekom MIG 4% perorálna suspenzia alebo ňou byť ovplyvňované. </w:t>
      </w:r>
    </w:p>
    <w:p w14:paraId="7A33E66A"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Pred užitím lieku MIG 4% perorálna suspenzia s inými liekmi je preto potrebné požiadať o radu lekára alebo lekárnika.</w:t>
      </w:r>
    </w:p>
    <w:p w14:paraId="341B60C0" w14:textId="77777777" w:rsidR="00BF38D4" w:rsidRPr="0023414B" w:rsidRDefault="00BF38D4">
      <w:pPr>
        <w:pStyle w:val="knZulassung02"/>
        <w:ind w:left="0"/>
        <w:rPr>
          <w:rFonts w:ascii="Times New Roman" w:hAnsi="Times New Roman" w:cs="Times New Roman"/>
          <w:sz w:val="22"/>
          <w:szCs w:val="22"/>
          <w:lang w:val="sk-SK"/>
        </w:rPr>
      </w:pPr>
    </w:p>
    <w:p w14:paraId="195B837D" w14:textId="77777777" w:rsidR="00BF38D4" w:rsidRPr="0023414B" w:rsidRDefault="00234B9D">
      <w:pPr>
        <w:pStyle w:val="knZulassung02"/>
        <w:tabs>
          <w:tab w:val="left" w:pos="360"/>
        </w:tabs>
        <w:ind w:left="0"/>
        <w:rPr>
          <w:rFonts w:ascii="Times New Roman" w:hAnsi="Times New Roman" w:cs="Times New Roman"/>
          <w:sz w:val="22"/>
          <w:szCs w:val="22"/>
          <w:lang w:val="sk-SK"/>
        </w:rPr>
      </w:pPr>
      <w:r>
        <w:rPr>
          <w:rFonts w:ascii="Times New Roman" w:hAnsi="Times New Roman" w:cs="Times New Roman"/>
          <w:sz w:val="22"/>
          <w:szCs w:val="22"/>
          <w:lang w:val="sk-SK"/>
        </w:rPr>
        <w:t>Užívanie MIG 4% perorálnej suspenzie súbežne s digoxínom (liečivo zvyšujúce výkon srdca), fenytoínom (na liečbu záchvatov) alebo lítiom (na liečbu niektorých psychiatrických porúch) môže viesť k zvýšeniu koncentrácie týchto liečiv v krvi. Kontrola hladín lítia, digoxínu a fenytoínu v krvi sa pri správnom užívaní (maximálne 4 dni) zvyčajne nevyžaduje.</w:t>
      </w:r>
    </w:p>
    <w:p w14:paraId="66D00ECD" w14:textId="77777777" w:rsidR="00BF38D4" w:rsidRPr="0023414B" w:rsidRDefault="00BF38D4">
      <w:pPr>
        <w:pStyle w:val="knZulassung02"/>
        <w:ind w:left="0"/>
        <w:rPr>
          <w:rFonts w:ascii="Times New Roman" w:hAnsi="Times New Roman" w:cs="Times New Roman"/>
          <w:sz w:val="22"/>
          <w:szCs w:val="22"/>
          <w:lang w:val="sk-SK"/>
        </w:rPr>
      </w:pPr>
    </w:p>
    <w:p w14:paraId="56D4B7BF"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MIG 4% perorálna suspenzia môže oslabiť účinok odvodňovacích tabliet (diuretík) a liekov na vysoký krvný tlak (antihypertenzíva) a tým sa zvyšuje riziko poškodenia obličiek.</w:t>
      </w:r>
    </w:p>
    <w:p w14:paraId="3999FC18" w14:textId="77777777" w:rsidR="00BF38D4" w:rsidRPr="0023414B" w:rsidRDefault="00BF38D4">
      <w:pPr>
        <w:pStyle w:val="knZulassung02"/>
        <w:ind w:left="0"/>
        <w:rPr>
          <w:rFonts w:ascii="Times New Roman" w:hAnsi="Times New Roman" w:cs="Times New Roman"/>
          <w:sz w:val="22"/>
          <w:szCs w:val="22"/>
          <w:lang w:val="sk-SK"/>
        </w:rPr>
      </w:pPr>
    </w:p>
    <w:p w14:paraId="6368F929"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MIG 4% perorálna suspenzia môže oslabiť účinok </w:t>
      </w:r>
      <w:r>
        <w:rPr>
          <w:rStyle w:val="hps"/>
          <w:rFonts w:ascii="Times New Roman" w:hAnsi="Times New Roman" w:cs="Times New Roman"/>
          <w:color w:val="222222"/>
          <w:sz w:val="22"/>
          <w:szCs w:val="22"/>
          <w:lang w:val="sk-SK"/>
        </w:rPr>
        <w:t>ACE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inhibítorov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liečivá na liečbu </w:t>
      </w:r>
      <w:r>
        <w:rPr>
          <w:rStyle w:val="hps"/>
          <w:rFonts w:ascii="Times New Roman" w:hAnsi="Times New Roman" w:cs="Times New Roman"/>
          <w:color w:val="222222"/>
          <w:sz w:val="22"/>
          <w:szCs w:val="22"/>
          <w:lang w:val="sk-SK"/>
        </w:rPr>
        <w:t>srdcového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zlyhania 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vysokého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krvného tlaku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Okrem toho, ak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používa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rovnakej dobe,</w:t>
      </w:r>
      <w:r>
        <w:rPr>
          <w:rFonts w:ascii="Times New Roman" w:hAnsi="Times New Roman" w:cs="Times New Roman"/>
          <w:color w:val="222222"/>
          <w:sz w:val="22"/>
          <w:szCs w:val="22"/>
          <w:lang w:val="sk-SK"/>
        </w:rPr>
        <w:t xml:space="preserve"> </w:t>
      </w:r>
      <w:r>
        <w:rPr>
          <w:rFonts w:ascii="Times New Roman" w:hAnsi="Times New Roman" w:cs="Times New Roman"/>
          <w:sz w:val="22"/>
          <w:szCs w:val="22"/>
          <w:lang w:val="sk-SK"/>
        </w:rPr>
        <w:t>zvyšuje sa riziko poškodenia funkcie obličiek</w:t>
      </w:r>
      <w:r>
        <w:rPr>
          <w:rStyle w:val="hps"/>
          <w:rFonts w:ascii="Times New Roman" w:hAnsi="Times New Roman" w:cs="Times New Roman"/>
          <w:color w:val="222222"/>
          <w:sz w:val="22"/>
          <w:szCs w:val="22"/>
          <w:lang w:val="sk-SK"/>
        </w:rPr>
        <w:t>.</w:t>
      </w:r>
    </w:p>
    <w:p w14:paraId="4D2B8EEF" w14:textId="77777777" w:rsidR="00BF38D4" w:rsidRPr="0023414B" w:rsidRDefault="00BF38D4">
      <w:pPr>
        <w:pStyle w:val="knZulassung02"/>
        <w:ind w:left="0"/>
        <w:rPr>
          <w:rFonts w:ascii="Times New Roman" w:hAnsi="Times New Roman" w:cs="Times New Roman"/>
          <w:sz w:val="22"/>
          <w:szCs w:val="22"/>
          <w:lang w:val="sk-SK"/>
        </w:rPr>
      </w:pPr>
    </w:p>
    <w:p w14:paraId="1B173607" w14:textId="77777777"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Súbežné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podávanie</w:t>
      </w:r>
      <w:r>
        <w:rPr>
          <w:rFonts w:ascii="Times New Roman" w:hAnsi="Times New Roman" w:cs="Times New Roman"/>
          <w:color w:val="222222"/>
          <w:sz w:val="22"/>
          <w:szCs w:val="22"/>
          <w:lang w:val="sk-SK"/>
        </w:rPr>
        <w:t xml:space="preserve"> </w:t>
      </w:r>
      <w:r>
        <w:rPr>
          <w:rFonts w:ascii="Times New Roman" w:hAnsi="Times New Roman" w:cs="Times New Roman"/>
          <w:sz w:val="22"/>
          <w:szCs w:val="22"/>
          <w:lang w:val="sk-SK"/>
        </w:rPr>
        <w:t xml:space="preserve">MIG 4% perorálnej suspenzie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draslík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šetriacich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diuretík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(niektoré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odvodňujúce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tablety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 viesť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 zvýšeniu hladín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draslíka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krvi</w:t>
      </w:r>
      <w:r>
        <w:rPr>
          <w:rFonts w:ascii="Times New Roman" w:hAnsi="Times New Roman" w:cs="Times New Roman"/>
          <w:color w:val="222222"/>
          <w:sz w:val="22"/>
          <w:szCs w:val="22"/>
          <w:lang w:val="sk-SK"/>
        </w:rPr>
        <w:t>.</w:t>
      </w:r>
    </w:p>
    <w:p w14:paraId="64805DCB" w14:textId="77777777" w:rsidR="00BF38D4" w:rsidRPr="0023414B" w:rsidRDefault="00BF38D4">
      <w:pPr>
        <w:pStyle w:val="knZulassung02"/>
        <w:ind w:left="0"/>
        <w:rPr>
          <w:rFonts w:ascii="Times New Roman" w:hAnsi="Times New Roman" w:cs="Times New Roman"/>
          <w:sz w:val="22"/>
          <w:szCs w:val="22"/>
          <w:lang w:val="sk-SK"/>
        </w:rPr>
      </w:pPr>
    </w:p>
    <w:p w14:paraId="2B9B17E1" w14:textId="77777777"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 xml:space="preserve">Pri súbežnom užívaní </w:t>
      </w:r>
      <w:r>
        <w:rPr>
          <w:rFonts w:ascii="Times New Roman" w:hAnsi="Times New Roman" w:cs="Times New Roman"/>
          <w:sz w:val="22"/>
          <w:szCs w:val="22"/>
          <w:lang w:val="sk-SK"/>
        </w:rPr>
        <w:t xml:space="preserve">MIG 4% perorálnej suspenzie a </w:t>
      </w:r>
      <w:r>
        <w:rPr>
          <w:rStyle w:val="hps"/>
          <w:rFonts w:ascii="Times New Roman" w:hAnsi="Times New Roman" w:cs="Times New Roman"/>
          <w:color w:val="222222"/>
          <w:sz w:val="22"/>
          <w:szCs w:val="22"/>
          <w:lang w:val="sk-SK"/>
        </w:rPr>
        <w:t>glukokortikoidov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iných protizápalových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liekov 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liekov proti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bolesti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zo skupiny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NSAID je zvýšené 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žalúdočno-črevných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vredov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krvácania.</w:t>
      </w:r>
      <w:r>
        <w:rPr>
          <w:rFonts w:ascii="Times New Roman" w:hAnsi="Times New Roman" w:cs="Times New Roman"/>
          <w:color w:val="222222"/>
          <w:sz w:val="22"/>
          <w:szCs w:val="22"/>
          <w:lang w:val="sk-SK"/>
        </w:rPr>
        <w:t xml:space="preserve"> </w:t>
      </w:r>
    </w:p>
    <w:p w14:paraId="77EFD220" w14:textId="77777777" w:rsidR="00BF38D4" w:rsidRPr="0023414B" w:rsidRDefault="00BF38D4">
      <w:pPr>
        <w:pStyle w:val="knZulassung02"/>
        <w:ind w:left="0"/>
        <w:rPr>
          <w:rFonts w:ascii="Times New Roman" w:hAnsi="Times New Roman" w:cs="Times New Roman"/>
          <w:color w:val="222222"/>
          <w:sz w:val="22"/>
          <w:szCs w:val="22"/>
          <w:lang w:val="sk-SK"/>
        </w:rPr>
      </w:pPr>
    </w:p>
    <w:p w14:paraId="465D0917" w14:textId="77777777" w:rsidR="00BF38D4" w:rsidRPr="0023414B" w:rsidRDefault="00234B9D">
      <w:pPr>
        <w:pStyle w:val="knZulassung02"/>
        <w:ind w:left="0"/>
        <w:rPr>
          <w:rFonts w:ascii="Times New Roman" w:hAnsi="Times New Roman" w:cs="Times New Roman"/>
          <w:color w:val="222222"/>
          <w:sz w:val="22"/>
          <w:szCs w:val="22"/>
          <w:lang w:val="sk-SK"/>
        </w:rPr>
      </w:pPr>
      <w:r>
        <w:rPr>
          <w:rFonts w:ascii="Times New Roman" w:hAnsi="Times New Roman" w:cs="Times New Roman"/>
          <w:color w:val="222222"/>
          <w:sz w:val="22"/>
          <w:szCs w:val="22"/>
          <w:lang w:val="sk-SK"/>
        </w:rPr>
        <w:t xml:space="preserve">Lieky proti </w:t>
      </w:r>
      <w:r>
        <w:rPr>
          <w:rFonts w:ascii="Times New Roman" w:hAnsi="Times New Roman" w:cs="Times New Roman"/>
          <w:sz w:val="22"/>
          <w:szCs w:val="22"/>
          <w:lang w:val="sk-SK"/>
        </w:rPr>
        <w:t>proti zhlukovaniu krvných doštičiek a niektoré antidepresíva (selektívne inhibítory spätného vychytávania sérotonínu/SSRI) môžu zvýšiť riziko krvácania zo žalúdočno-črevného traktu.</w:t>
      </w:r>
    </w:p>
    <w:p w14:paraId="7A328DBF" w14:textId="77777777" w:rsidR="00BF38D4" w:rsidRPr="0023414B" w:rsidRDefault="00BF38D4">
      <w:pPr>
        <w:pStyle w:val="knZulassung02"/>
        <w:ind w:left="0"/>
        <w:rPr>
          <w:rFonts w:ascii="Times New Roman" w:hAnsi="Times New Roman" w:cs="Times New Roman"/>
          <w:color w:val="222222"/>
          <w:sz w:val="22"/>
          <w:szCs w:val="22"/>
          <w:lang w:val="sk-SK"/>
        </w:rPr>
      </w:pPr>
    </w:p>
    <w:p w14:paraId="0074C2CA" w14:textId="77777777"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 xml:space="preserve">Podanie </w:t>
      </w:r>
      <w:r>
        <w:rPr>
          <w:rFonts w:ascii="Times New Roman" w:hAnsi="Times New Roman" w:cs="Times New Roman"/>
          <w:sz w:val="22"/>
          <w:szCs w:val="22"/>
          <w:lang w:val="sk-SK"/>
        </w:rPr>
        <w:t>MIG 4% perorálnej suspenzie v priebehu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24</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hodín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pred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 podaní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metotrexátu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 viesť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 zvýšeniu koncentrácií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metotrexátu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 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zvýšeniu jeho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nežiaducich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účinkov.</w:t>
      </w:r>
    </w:p>
    <w:p w14:paraId="1A61702A" w14:textId="77777777" w:rsidR="00BF38D4" w:rsidRPr="0023414B" w:rsidRDefault="00BF38D4">
      <w:pPr>
        <w:pStyle w:val="knZulassung02"/>
        <w:ind w:left="0"/>
        <w:rPr>
          <w:rFonts w:ascii="Times New Roman" w:hAnsi="Times New Roman" w:cs="Times New Roman"/>
          <w:sz w:val="22"/>
          <w:szCs w:val="22"/>
          <w:lang w:val="sk-SK"/>
        </w:rPr>
      </w:pPr>
    </w:p>
    <w:p w14:paraId="2718B841" w14:textId="77777777"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Cyklosporín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používaný na zabránenie odmietnutia transplantátu</w:t>
      </w:r>
      <w:r>
        <w:rPr>
          <w:rFonts w:ascii="Times New Roman" w:hAnsi="Times New Roman" w:cs="Times New Roman"/>
          <w:sz w:val="22"/>
          <w:szCs w:val="22"/>
          <w:lang w:val="sk-SK"/>
        </w:rPr>
        <w:t xml:space="preserve">, </w:t>
      </w:r>
      <w:r>
        <w:rPr>
          <w:rStyle w:val="hps"/>
          <w:rFonts w:ascii="Times New Roman" w:hAnsi="Times New Roman" w:cs="Times New Roman"/>
          <w:color w:val="222222"/>
          <w:sz w:val="22"/>
          <w:szCs w:val="22"/>
          <w:lang w:val="sk-SK"/>
        </w:rPr>
        <w:t>ako aj 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liečbe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reumatizmu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 vyššou pravdepodobnosťou spôsobí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poškodenie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obličiek</w:t>
      </w:r>
      <w:r>
        <w:rPr>
          <w:rFonts w:ascii="Times New Roman" w:hAnsi="Times New Roman" w:cs="Times New Roman"/>
          <w:color w:val="222222"/>
          <w:sz w:val="22"/>
          <w:szCs w:val="22"/>
          <w:lang w:val="sk-SK"/>
        </w:rPr>
        <w:t xml:space="preserve">, ak sú súbežne s ním podávané </w:t>
      </w:r>
      <w:r>
        <w:rPr>
          <w:rStyle w:val="hps"/>
          <w:rFonts w:ascii="Times New Roman" w:hAnsi="Times New Roman" w:cs="Times New Roman"/>
          <w:color w:val="222222"/>
          <w:sz w:val="22"/>
          <w:szCs w:val="22"/>
          <w:lang w:val="sk-SK"/>
        </w:rPr>
        <w:t>niektoré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nesteroidné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protizápalové </w:t>
      </w:r>
      <w:r>
        <w:rPr>
          <w:rFonts w:ascii="Times New Roman" w:hAnsi="Times New Roman" w:cs="Times New Roman"/>
          <w:color w:val="222222"/>
          <w:sz w:val="22"/>
          <w:szCs w:val="22"/>
          <w:lang w:val="sk-SK"/>
        </w:rPr>
        <w:t xml:space="preserve">lieky. </w:t>
      </w:r>
      <w:r>
        <w:rPr>
          <w:rStyle w:val="hps"/>
          <w:rFonts w:ascii="Times New Roman" w:hAnsi="Times New Roman" w:cs="Times New Roman"/>
          <w:color w:val="222222"/>
          <w:sz w:val="22"/>
          <w:szCs w:val="22"/>
          <w:lang w:val="sk-SK"/>
        </w:rPr>
        <w:t>Takéto isté pôsobenie nie je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možné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vylúčiť </w:t>
      </w:r>
      <w:r>
        <w:rPr>
          <w:rFonts w:ascii="Times New Roman" w:hAnsi="Times New Roman" w:cs="Times New Roman"/>
          <w:color w:val="222222"/>
          <w:sz w:val="22"/>
          <w:szCs w:val="22"/>
          <w:lang w:val="sk-SK"/>
        </w:rPr>
        <w:t xml:space="preserve">taktiež </w:t>
      </w:r>
      <w:r>
        <w:rPr>
          <w:rStyle w:val="hps"/>
          <w:rFonts w:ascii="Times New Roman" w:hAnsi="Times New Roman" w:cs="Times New Roman"/>
          <w:color w:val="222222"/>
          <w:sz w:val="22"/>
          <w:szCs w:val="22"/>
          <w:lang w:val="sk-SK"/>
        </w:rPr>
        <w:t>pri kombinácii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cyklosporín/ibuprofén</w:t>
      </w:r>
      <w:r>
        <w:rPr>
          <w:rFonts w:ascii="Times New Roman" w:hAnsi="Times New Roman" w:cs="Times New Roman"/>
          <w:color w:val="222222"/>
          <w:sz w:val="22"/>
          <w:szCs w:val="22"/>
          <w:lang w:val="sk-SK"/>
        </w:rPr>
        <w:t>.</w:t>
      </w:r>
    </w:p>
    <w:p w14:paraId="7A614F0B" w14:textId="77777777" w:rsidR="00BF38D4" w:rsidRPr="0023414B" w:rsidRDefault="00BF38D4">
      <w:pPr>
        <w:pStyle w:val="knZulassung02"/>
        <w:ind w:left="0"/>
        <w:rPr>
          <w:rFonts w:ascii="Times New Roman" w:hAnsi="Times New Roman" w:cs="Times New Roman"/>
          <w:color w:val="222222"/>
          <w:sz w:val="22"/>
          <w:szCs w:val="22"/>
          <w:lang w:val="sk-SK"/>
        </w:rPr>
      </w:pPr>
    </w:p>
    <w:p w14:paraId="02224EC0" w14:textId="77777777"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Lieky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obsahujúce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probenecid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sulfinpyrazón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na liečbu </w:t>
      </w:r>
      <w:r>
        <w:rPr>
          <w:rStyle w:val="hps"/>
          <w:rFonts w:ascii="Times New Roman" w:hAnsi="Times New Roman" w:cs="Times New Roman"/>
          <w:color w:val="222222"/>
          <w:sz w:val="22"/>
          <w:szCs w:val="22"/>
          <w:lang w:val="sk-SK"/>
        </w:rPr>
        <w:t>dny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spomaliť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vylučovanie ibuprofénu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To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spôsobiť hromadenie ibuprofénu 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organizme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zvýšenie jeho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nežiaducich účinkov</w:t>
      </w:r>
      <w:r>
        <w:rPr>
          <w:rFonts w:ascii="Times New Roman" w:hAnsi="Times New Roman" w:cs="Times New Roman"/>
          <w:color w:val="222222"/>
          <w:sz w:val="22"/>
          <w:szCs w:val="22"/>
          <w:lang w:val="sk-SK"/>
        </w:rPr>
        <w:t>.</w:t>
      </w:r>
    </w:p>
    <w:p w14:paraId="7933CD46" w14:textId="77777777" w:rsidR="00BF38D4" w:rsidRPr="0023414B" w:rsidRDefault="00BF38D4">
      <w:pPr>
        <w:pStyle w:val="knZulassung02"/>
        <w:ind w:left="0"/>
        <w:rPr>
          <w:rFonts w:ascii="Times New Roman" w:hAnsi="Times New Roman" w:cs="Times New Roman"/>
          <w:sz w:val="22"/>
          <w:szCs w:val="22"/>
          <w:lang w:val="sk-SK"/>
        </w:rPr>
      </w:pPr>
    </w:p>
    <w:p w14:paraId="5356F91B" w14:textId="77777777"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NSAID môžu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zvýšiť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účinok antikoagulancií ako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je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warfarín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Pri ich súbežnom užívaní sa o</w:t>
      </w:r>
      <w:r>
        <w:rPr>
          <w:rFonts w:ascii="Times New Roman" w:hAnsi="Times New Roman" w:cs="Times New Roman"/>
          <w:color w:val="222222"/>
          <w:sz w:val="22"/>
          <w:szCs w:val="22"/>
          <w:lang w:val="sk-SK"/>
        </w:rPr>
        <w:t>dporúča sledovanie zrážanlivosti krvi.</w:t>
      </w:r>
    </w:p>
    <w:p w14:paraId="4A9F6955" w14:textId="77777777" w:rsidR="00BF38D4" w:rsidRPr="0023414B" w:rsidRDefault="00BF38D4">
      <w:pPr>
        <w:pStyle w:val="knZulassung02"/>
        <w:ind w:left="0"/>
        <w:rPr>
          <w:rFonts w:ascii="Times New Roman" w:hAnsi="Times New Roman" w:cs="Times New Roman"/>
          <w:sz w:val="22"/>
          <w:szCs w:val="22"/>
          <w:lang w:val="sk-SK"/>
        </w:rPr>
      </w:pPr>
    </w:p>
    <w:p w14:paraId="6098CAA1" w14:textId="77777777"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Klinické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štúdie preukázali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interakcie (vzájomné pôsobenie)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medzi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NSAID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sulfonylmočovinou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používa sa na zníženie hladiny </w:t>
      </w:r>
      <w:r>
        <w:rPr>
          <w:rStyle w:val="hps"/>
          <w:rFonts w:ascii="Times New Roman" w:hAnsi="Times New Roman" w:cs="Times New Roman"/>
          <w:color w:val="222222"/>
          <w:sz w:val="22"/>
          <w:szCs w:val="22"/>
          <w:lang w:val="sk-SK"/>
        </w:rPr>
        <w:t>cukru v krvi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Napriek tomu, že žiadne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interakcie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medzi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ibuprofénom</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derivátmi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sulfonylmočoviny</w:t>
      </w:r>
      <w:r>
        <w:rPr>
          <w:rFonts w:ascii="Times New Roman" w:hAnsi="Times New Roman" w:cs="Times New Roman"/>
          <w:color w:val="222222"/>
          <w:sz w:val="22"/>
          <w:szCs w:val="22"/>
          <w:lang w:val="sk-SK"/>
        </w:rPr>
        <w:t xml:space="preserve"> neboli dodnes popísané,</w:t>
      </w:r>
      <w:r>
        <w:rPr>
          <w:rStyle w:val="hps"/>
          <w:rFonts w:ascii="Times New Roman" w:hAnsi="Times New Roman" w:cs="Times New Roman"/>
          <w:color w:val="222222"/>
          <w:sz w:val="22"/>
          <w:szCs w:val="22"/>
          <w:lang w:val="sk-SK"/>
        </w:rPr>
        <w:t xml:space="preserve"> odporúča sa monitorovanie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hladiny cukru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krvi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preventívne opatrenie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súbežnom použití</w:t>
      </w:r>
      <w:r>
        <w:rPr>
          <w:rFonts w:ascii="Times New Roman" w:hAnsi="Times New Roman" w:cs="Times New Roman"/>
          <w:color w:val="222222"/>
          <w:sz w:val="22"/>
          <w:szCs w:val="22"/>
          <w:lang w:val="sk-SK"/>
        </w:rPr>
        <w:t>.</w:t>
      </w:r>
    </w:p>
    <w:p w14:paraId="60A259C7" w14:textId="77777777" w:rsidR="00BF38D4" w:rsidRPr="0023414B" w:rsidRDefault="00BF38D4">
      <w:pPr>
        <w:pStyle w:val="knZulassung02"/>
        <w:ind w:left="0"/>
        <w:rPr>
          <w:rFonts w:ascii="Times New Roman" w:hAnsi="Times New Roman" w:cs="Times New Roman"/>
          <w:color w:val="222222"/>
          <w:sz w:val="22"/>
          <w:szCs w:val="22"/>
          <w:lang w:val="sk-SK"/>
        </w:rPr>
      </w:pPr>
    </w:p>
    <w:p w14:paraId="4F5B1895" w14:textId="77777777"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Takrolimus</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poškodenia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obličiek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zvyšuje, keď</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sú oba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užívané súbežne</w:t>
      </w:r>
      <w:r>
        <w:rPr>
          <w:rFonts w:ascii="Times New Roman" w:hAnsi="Times New Roman" w:cs="Times New Roman"/>
          <w:color w:val="222222"/>
          <w:sz w:val="22"/>
          <w:szCs w:val="22"/>
          <w:lang w:val="sk-SK"/>
        </w:rPr>
        <w:t>.</w:t>
      </w:r>
    </w:p>
    <w:p w14:paraId="74CAFE8B" w14:textId="77777777" w:rsidR="00BF38D4" w:rsidRPr="0023414B" w:rsidRDefault="00BF38D4">
      <w:pPr>
        <w:pStyle w:val="knZulassung02"/>
        <w:ind w:left="0"/>
        <w:rPr>
          <w:rFonts w:ascii="Times New Roman" w:hAnsi="Times New Roman" w:cs="Times New Roman"/>
          <w:color w:val="222222"/>
          <w:sz w:val="22"/>
          <w:szCs w:val="22"/>
          <w:lang w:val="sk-SK"/>
        </w:rPr>
      </w:pPr>
    </w:p>
    <w:p w14:paraId="2A940259" w14:textId="77777777"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Zidovudín</w:t>
      </w:r>
      <w:r>
        <w:rPr>
          <w:rFonts w:ascii="Times New Roman" w:hAnsi="Times New Roman" w:cs="Times New Roman"/>
          <w:color w:val="222222"/>
          <w:sz w:val="22"/>
          <w:szCs w:val="22"/>
          <w:lang w:val="sk-SK"/>
        </w:rPr>
        <w:t xml:space="preserve">: u </w:t>
      </w:r>
      <w:r>
        <w:rPr>
          <w:rStyle w:val="hps"/>
          <w:rFonts w:ascii="Times New Roman" w:hAnsi="Times New Roman" w:cs="Times New Roman"/>
          <w:color w:val="222222"/>
          <w:sz w:val="22"/>
          <w:szCs w:val="22"/>
          <w:lang w:val="sk-SK"/>
        </w:rPr>
        <w:t>HIV</w:t>
      </w:r>
      <w:r>
        <w:rPr>
          <w:rStyle w:val="atn"/>
          <w:rFonts w:ascii="Times New Roman" w:hAnsi="Times New Roman" w:cs="Times New Roman"/>
          <w:color w:val="222222"/>
          <w:sz w:val="22"/>
          <w:szCs w:val="22"/>
          <w:lang w:val="sk-SK"/>
        </w:rPr>
        <w:t xml:space="preserve">- </w:t>
      </w:r>
      <w:r>
        <w:rPr>
          <w:rFonts w:ascii="Times New Roman" w:hAnsi="Times New Roman" w:cs="Times New Roman"/>
          <w:color w:val="222222"/>
          <w:sz w:val="22"/>
          <w:szCs w:val="22"/>
          <w:lang w:val="sk-SK"/>
        </w:rPr>
        <w:t xml:space="preserve">pozitívnych </w:t>
      </w:r>
      <w:r>
        <w:rPr>
          <w:rStyle w:val="hps"/>
          <w:rFonts w:ascii="Times New Roman" w:hAnsi="Times New Roman" w:cs="Times New Roman"/>
          <w:color w:val="222222"/>
          <w:sz w:val="22"/>
          <w:szCs w:val="22"/>
          <w:lang w:val="sk-SK"/>
        </w:rPr>
        <w:t>pacientov s</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hemofíliou</w:t>
      </w:r>
      <w:r>
        <w:rPr>
          <w:rFonts w:ascii="Times New Roman" w:hAnsi="Times New Roman" w:cs="Times New Roman"/>
          <w:color w:val="222222"/>
          <w:sz w:val="22"/>
          <w:szCs w:val="22"/>
          <w:lang w:val="sk-SK"/>
        </w:rPr>
        <w:t xml:space="preserve">, existuje </w:t>
      </w:r>
      <w:r>
        <w:rPr>
          <w:rStyle w:val="hps"/>
          <w:rFonts w:ascii="Times New Roman" w:hAnsi="Times New Roman" w:cs="Times New Roman"/>
          <w:color w:val="222222"/>
          <w:sz w:val="22"/>
          <w:szCs w:val="22"/>
          <w:lang w:val="sk-SK"/>
        </w:rPr>
        <w:t>zvýšené riziko hemartrózy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krvácanie do </w:t>
      </w:r>
      <w:r>
        <w:rPr>
          <w:rStyle w:val="hps"/>
          <w:rFonts w:ascii="Times New Roman" w:hAnsi="Times New Roman" w:cs="Times New Roman"/>
          <w:color w:val="222222"/>
          <w:sz w:val="22"/>
          <w:szCs w:val="22"/>
          <w:lang w:val="sk-SK"/>
        </w:rPr>
        <w:t>kĺbov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hematómu (krvných podliatin), ak sú</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zidovudín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ibuprofén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podávané súbežne.</w:t>
      </w:r>
    </w:p>
    <w:p w14:paraId="0B2AE0E2" w14:textId="77777777" w:rsidR="00BF38D4" w:rsidRPr="0023414B" w:rsidRDefault="00BF38D4">
      <w:pPr>
        <w:pStyle w:val="knZulassung02"/>
        <w:ind w:left="0"/>
        <w:rPr>
          <w:rFonts w:ascii="Times New Roman" w:hAnsi="Times New Roman" w:cs="Times New Roman"/>
          <w:color w:val="222222"/>
          <w:sz w:val="22"/>
          <w:szCs w:val="22"/>
          <w:lang w:val="sk-SK"/>
        </w:rPr>
      </w:pPr>
    </w:p>
    <w:p w14:paraId="0701FBB2" w14:textId="77777777"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Chinolónové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antibiotiká</w:t>
      </w:r>
      <w:r>
        <w:rPr>
          <w:rFonts w:ascii="Times New Roman" w:hAnsi="Times New Roman" w:cs="Times New Roman"/>
          <w:color w:val="222222"/>
          <w:sz w:val="22"/>
          <w:szCs w:val="22"/>
          <w:lang w:val="sk-SK"/>
        </w:rPr>
        <w:t>: ak sú oba lieky užívané súbežne, m</w:t>
      </w:r>
      <w:r>
        <w:rPr>
          <w:rStyle w:val="hps"/>
          <w:rFonts w:ascii="Times New Roman" w:hAnsi="Times New Roman" w:cs="Times New Roman"/>
          <w:color w:val="222222"/>
          <w:sz w:val="22"/>
          <w:szCs w:val="22"/>
          <w:lang w:val="sk-SK"/>
        </w:rPr>
        <w:t>ôže</w:t>
      </w:r>
      <w:r>
        <w:rPr>
          <w:rFonts w:ascii="Times New Roman" w:hAnsi="Times New Roman" w:cs="Times New Roman"/>
          <w:color w:val="222222"/>
          <w:sz w:val="22"/>
          <w:szCs w:val="22"/>
          <w:lang w:val="sk-SK"/>
        </w:rPr>
        <w:t xml:space="preserve"> sa </w:t>
      </w:r>
      <w:r>
        <w:rPr>
          <w:rStyle w:val="hps"/>
          <w:rFonts w:ascii="Times New Roman" w:hAnsi="Times New Roman" w:cs="Times New Roman"/>
          <w:color w:val="222222"/>
          <w:sz w:val="22"/>
          <w:szCs w:val="22"/>
          <w:lang w:val="sk-SK"/>
        </w:rPr>
        <w:t>zvýšiť 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vzniku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kŕčov. </w:t>
      </w:r>
    </w:p>
    <w:p w14:paraId="72219AFA" w14:textId="77777777" w:rsidR="00BF38D4" w:rsidRPr="0023414B" w:rsidRDefault="00BF38D4">
      <w:pPr>
        <w:pStyle w:val="knZulassung02"/>
        <w:ind w:left="0"/>
        <w:rPr>
          <w:rFonts w:ascii="Times New Roman" w:hAnsi="Times New Roman" w:cs="Times New Roman"/>
          <w:sz w:val="22"/>
          <w:szCs w:val="22"/>
          <w:lang w:val="sk-SK"/>
        </w:rPr>
      </w:pPr>
    </w:p>
    <w:p w14:paraId="0E435552" w14:textId="77777777" w:rsidR="00BF38D4" w:rsidRPr="0023414B" w:rsidRDefault="005B7965">
      <w:pPr>
        <w:pStyle w:val="Odsekzoznamu1"/>
        <w:ind w:left="0" w:right="-2" w:firstLine="0"/>
        <w:rPr>
          <w:szCs w:val="22"/>
        </w:rPr>
      </w:pPr>
      <w:r w:rsidRPr="0023414B">
        <w:rPr>
          <w:rStyle w:val="hps"/>
          <w:color w:val="222222"/>
          <w:szCs w:val="22"/>
        </w:rPr>
        <w:t>Inhibítory</w:t>
      </w:r>
      <w:r w:rsidRPr="0023414B">
        <w:rPr>
          <w:color w:val="222222"/>
          <w:szCs w:val="22"/>
        </w:rPr>
        <w:t xml:space="preserve"> </w:t>
      </w:r>
      <w:r w:rsidR="00234B9D">
        <w:rPr>
          <w:rStyle w:val="hps"/>
          <w:color w:val="222222"/>
          <w:szCs w:val="22"/>
        </w:rPr>
        <w:t>CYP2C9</w:t>
      </w:r>
      <w:r w:rsidR="00234B9D">
        <w:rPr>
          <w:color w:val="222222"/>
          <w:szCs w:val="22"/>
        </w:rPr>
        <w:t xml:space="preserve">: </w:t>
      </w:r>
      <w:r w:rsidR="00234B9D">
        <w:rPr>
          <w:szCs w:val="22"/>
        </w:rPr>
        <w:t>súbežné podávanie ibuprofénu s CYP2C9 inhibítormi môže zvýšiť expozíciu ibuprofénu (CYP2C9 substrát). V štúdii s vorikonazolom a flukonazolom (CYP2C9 inhibítory) bolo pozorované 80 až 100 % zvýšenie expozície S(+)-ibuprofénu. Pri súbežnom podávaní silných CYP2C9 inhibítorov s ibuprofénom, najmä vo vysokých dávkach s vorikonazolom alebo flukonazolom,  sa má zvážiť zníženie dávok ibuprofénu.</w:t>
      </w:r>
    </w:p>
    <w:p w14:paraId="482CDEDD" w14:textId="77777777" w:rsidR="00BF38D4" w:rsidRPr="0023414B" w:rsidRDefault="00BF38D4">
      <w:pPr>
        <w:pStyle w:val="knZulassung02"/>
        <w:ind w:left="0"/>
        <w:rPr>
          <w:rFonts w:ascii="Times New Roman" w:hAnsi="Times New Roman" w:cs="Times New Roman"/>
          <w:sz w:val="22"/>
          <w:szCs w:val="22"/>
          <w:lang w:val="sk-SK"/>
        </w:rPr>
      </w:pPr>
    </w:p>
    <w:p w14:paraId="7C6EA756" w14:textId="77777777" w:rsidR="00BF38D4" w:rsidRPr="0023414B" w:rsidRDefault="005B7965">
      <w:pPr>
        <w:pStyle w:val="knZulassung02"/>
        <w:ind w:left="0"/>
        <w:rPr>
          <w:rFonts w:ascii="Times New Roman" w:hAnsi="Times New Roman" w:cs="Times New Roman"/>
          <w:sz w:val="22"/>
          <w:szCs w:val="22"/>
          <w:lang w:val="sk-SK"/>
        </w:rPr>
      </w:pPr>
      <w:r w:rsidRPr="0023414B">
        <w:rPr>
          <w:rStyle w:val="hps"/>
          <w:rFonts w:ascii="Times New Roman" w:hAnsi="Times New Roman" w:cs="Times New Roman"/>
          <w:color w:val="222222"/>
          <w:sz w:val="22"/>
          <w:szCs w:val="22"/>
          <w:lang w:val="sk-SK"/>
        </w:rPr>
        <w:t xml:space="preserve">Predtým, ako začnete užívať </w:t>
      </w:r>
      <w:r w:rsidRPr="0023414B">
        <w:rPr>
          <w:rFonts w:ascii="Times New Roman" w:hAnsi="Times New Roman" w:cs="Times New Roman"/>
          <w:sz w:val="22"/>
          <w:szCs w:val="22"/>
          <w:lang w:val="sk-SK"/>
        </w:rPr>
        <w:t>MIG 4% perorálnu suspenziu, obráťte sa na svojho lekára alebo lekárnika, ak užívate ni</w:t>
      </w:r>
      <w:r w:rsidR="00234B9D">
        <w:rPr>
          <w:rFonts w:ascii="Times New Roman" w:hAnsi="Times New Roman" w:cs="Times New Roman"/>
          <w:sz w:val="22"/>
          <w:szCs w:val="22"/>
          <w:lang w:val="sk-SK"/>
        </w:rPr>
        <w:t>ektorý z vyššie uvedených liekov.</w:t>
      </w:r>
    </w:p>
    <w:p w14:paraId="3C169364" w14:textId="77777777" w:rsidR="00BF38D4" w:rsidRPr="0023414B" w:rsidRDefault="00BF38D4">
      <w:pPr>
        <w:pStyle w:val="knZulassung02"/>
        <w:ind w:left="0"/>
        <w:rPr>
          <w:rFonts w:ascii="Times New Roman" w:hAnsi="Times New Roman" w:cs="Times New Roman"/>
          <w:sz w:val="22"/>
          <w:szCs w:val="22"/>
          <w:lang w:val="sk-SK"/>
        </w:rPr>
      </w:pPr>
    </w:p>
    <w:p w14:paraId="492134A0" w14:textId="77777777" w:rsidR="00BF38D4" w:rsidRPr="0023414B" w:rsidRDefault="005B7965">
      <w:pPr>
        <w:pStyle w:val="knZulassung02"/>
        <w:ind w:left="0"/>
        <w:rPr>
          <w:rFonts w:ascii="Times New Roman" w:hAnsi="Times New Roman" w:cs="Times New Roman"/>
          <w:b/>
          <w:sz w:val="22"/>
          <w:szCs w:val="22"/>
          <w:lang w:val="sk-SK"/>
        </w:rPr>
      </w:pPr>
      <w:r w:rsidRPr="0023414B">
        <w:rPr>
          <w:rFonts w:ascii="Times New Roman" w:hAnsi="Times New Roman" w:cs="Times New Roman"/>
          <w:b/>
          <w:sz w:val="22"/>
          <w:szCs w:val="22"/>
          <w:lang w:val="sk-SK"/>
        </w:rPr>
        <w:t>MIG 4% perorálna suspenzia a alkohol</w:t>
      </w:r>
    </w:p>
    <w:p w14:paraId="19ECBB0A" w14:textId="77777777" w:rsidR="00BF38D4" w:rsidRPr="0023414B" w:rsidRDefault="00BF38D4">
      <w:pPr>
        <w:pStyle w:val="knZulassung02"/>
        <w:ind w:left="0"/>
        <w:rPr>
          <w:rFonts w:ascii="Times New Roman" w:hAnsi="Times New Roman" w:cs="Times New Roman"/>
          <w:b/>
          <w:sz w:val="22"/>
          <w:szCs w:val="22"/>
          <w:lang w:val="sk-SK"/>
        </w:rPr>
      </w:pPr>
    </w:p>
    <w:p w14:paraId="29D02B1A"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Počas užívania MIG 4% perorálnej suspenzie nekonzumujte alkohol. Výskyt niektorých vedľajších účinkov, najmä tých, ktoré postihujú žalúdočno-črevný trakt alebo centrálny nervový systém, môže byť pravdepodobnejší ak sa súbežne s užitím MIG 4% perorálna suspenzia konzumuje alkohol.</w:t>
      </w:r>
    </w:p>
    <w:p w14:paraId="32124E53" w14:textId="77777777" w:rsidR="00BF38D4" w:rsidRPr="0023414B" w:rsidRDefault="00BF38D4">
      <w:pPr>
        <w:pStyle w:val="knZulassung02"/>
        <w:ind w:left="0"/>
        <w:rPr>
          <w:rFonts w:ascii="Times New Roman" w:hAnsi="Times New Roman" w:cs="Times New Roman"/>
          <w:sz w:val="22"/>
          <w:szCs w:val="22"/>
          <w:lang w:val="sk-SK"/>
        </w:rPr>
      </w:pPr>
    </w:p>
    <w:p w14:paraId="0353A3BE" w14:textId="77777777" w:rsidR="00BF38D4" w:rsidRPr="0023414B" w:rsidRDefault="00234B9D">
      <w:pPr>
        <w:pStyle w:val="knZulassung02"/>
        <w:ind w:left="0"/>
        <w:rPr>
          <w:rFonts w:ascii="Times New Roman" w:hAnsi="Times New Roman" w:cs="Times New Roman"/>
          <w:b/>
          <w:bCs/>
          <w:sz w:val="22"/>
          <w:szCs w:val="22"/>
          <w:lang w:val="sk-SK"/>
        </w:rPr>
      </w:pPr>
      <w:r>
        <w:rPr>
          <w:rFonts w:ascii="Times New Roman" w:hAnsi="Times New Roman" w:cs="Times New Roman"/>
          <w:b/>
          <w:sz w:val="22"/>
          <w:szCs w:val="22"/>
          <w:lang w:val="sk-SK"/>
        </w:rPr>
        <w:t>Tehotenstvo, dojčenie</w:t>
      </w:r>
      <w:r>
        <w:rPr>
          <w:rFonts w:ascii="Times New Roman" w:hAnsi="Times New Roman" w:cs="Times New Roman"/>
          <w:b/>
          <w:bCs/>
          <w:sz w:val="22"/>
          <w:szCs w:val="22"/>
          <w:lang w:val="sk-SK"/>
        </w:rPr>
        <w:t xml:space="preserve"> a plodnosť</w:t>
      </w:r>
    </w:p>
    <w:p w14:paraId="3ABD5E7B" w14:textId="77777777" w:rsidR="00BF38D4" w:rsidRPr="0023414B" w:rsidRDefault="00BF38D4">
      <w:pPr>
        <w:pStyle w:val="knZulassung02"/>
        <w:ind w:left="0"/>
        <w:rPr>
          <w:rFonts w:ascii="Times New Roman" w:hAnsi="Times New Roman" w:cs="Times New Roman"/>
          <w:b/>
          <w:bCs/>
          <w:sz w:val="22"/>
          <w:szCs w:val="22"/>
          <w:lang w:val="sk-SK"/>
        </w:rPr>
      </w:pPr>
    </w:p>
    <w:p w14:paraId="0DDE5FD8" w14:textId="77777777" w:rsidR="00BF38D4" w:rsidRPr="0023414B" w:rsidRDefault="00234B9D">
      <w:pPr>
        <w:pStyle w:val="knZulassung02"/>
        <w:ind w:left="0"/>
        <w:rPr>
          <w:rFonts w:ascii="Times New Roman" w:hAnsi="Times New Roman" w:cs="Times New Roman"/>
          <w:b/>
          <w:bCs/>
          <w:sz w:val="22"/>
          <w:szCs w:val="22"/>
          <w:lang w:val="sk-SK"/>
        </w:rPr>
      </w:pPr>
      <w:r>
        <w:rPr>
          <w:rFonts w:ascii="Times New Roman" w:hAnsi="Times New Roman" w:cs="Times New Roman"/>
          <w:sz w:val="22"/>
          <w:szCs w:val="22"/>
          <w:lang w:val="sk-SK"/>
        </w:rPr>
        <w:t>Ak ste tehotná alebo dojčíte, ak si myslíte, že ste tehotná alebo ak plánujete otehotnieť, poraďte sa so svojím lekárom alebo lekárnikom predtým, ako začnete užívať tento liek.</w:t>
      </w:r>
    </w:p>
    <w:p w14:paraId="270F8CB4" w14:textId="77777777" w:rsidR="00BF38D4" w:rsidRPr="0023414B" w:rsidRDefault="00BF38D4">
      <w:pPr>
        <w:pStyle w:val="knZulassung02"/>
        <w:ind w:left="0"/>
        <w:rPr>
          <w:rFonts w:ascii="Times New Roman" w:hAnsi="Times New Roman" w:cs="Times New Roman"/>
          <w:b/>
          <w:bCs/>
          <w:sz w:val="22"/>
          <w:szCs w:val="22"/>
          <w:lang w:val="sk-SK"/>
        </w:rPr>
      </w:pPr>
    </w:p>
    <w:p w14:paraId="1A95A7D0"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bCs/>
          <w:sz w:val="22"/>
          <w:szCs w:val="22"/>
          <w:u w:val="single"/>
          <w:lang w:val="sk-SK"/>
        </w:rPr>
        <w:t xml:space="preserve">Tehotenstvo </w:t>
      </w:r>
    </w:p>
    <w:p w14:paraId="7A53A8E8"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počas užívania MIG 4% perorálnej suspenzie otehotniete, informujte o tom svojho lekára. Tento liek neužívajte počas posledných 3 mesiacoch tehotenstva. Ak lekár neodporučí inak, vyhnite sa užívaniu tohto lieku počas prvých šiestich mesiacov tehotenstva.</w:t>
      </w:r>
    </w:p>
    <w:p w14:paraId="7683BE05" w14:textId="77777777" w:rsidR="00BF38D4" w:rsidRPr="0023414B" w:rsidRDefault="00BF38D4">
      <w:pPr>
        <w:autoSpaceDE w:val="0"/>
        <w:rPr>
          <w:rFonts w:ascii="Times New Roman" w:hAnsi="Times New Roman" w:cs="Times New Roman"/>
          <w:szCs w:val="22"/>
        </w:rPr>
      </w:pPr>
    </w:p>
    <w:p w14:paraId="371DBBD4"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u w:val="single"/>
        </w:rPr>
        <w:t>Dojčenie</w:t>
      </w:r>
    </w:p>
    <w:p w14:paraId="0ABB9128"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lastRenderedPageBreak/>
        <w:t xml:space="preserve">Iba malé množstvá ibuprofénu a jeho metabolitov sa vylučujú do materského mlieka. Keďže doteraz nie sú známe vedľajšie účinky na dojča, prerušenie dojčenia pri krátkodobej liečbe odporúčanými dávkami ibuprofénu nie je zvyčajne potrebné. </w:t>
      </w:r>
    </w:p>
    <w:p w14:paraId="58BC568A" w14:textId="77777777" w:rsidR="00BF38D4" w:rsidRPr="0023414B" w:rsidRDefault="00BF38D4">
      <w:pPr>
        <w:autoSpaceDE w:val="0"/>
        <w:rPr>
          <w:rFonts w:ascii="Times New Roman" w:hAnsi="Times New Roman" w:cs="Times New Roman"/>
          <w:szCs w:val="22"/>
        </w:rPr>
      </w:pPr>
    </w:p>
    <w:p w14:paraId="4C50D003" w14:textId="77777777" w:rsidR="00BF38D4" w:rsidRPr="0023414B" w:rsidRDefault="00234B9D">
      <w:pPr>
        <w:autoSpaceDE w:val="0"/>
        <w:rPr>
          <w:rFonts w:ascii="Times New Roman" w:hAnsi="Times New Roman" w:cs="Times New Roman"/>
          <w:szCs w:val="22"/>
        </w:rPr>
      </w:pPr>
      <w:r>
        <w:rPr>
          <w:rFonts w:ascii="Times New Roman" w:hAnsi="Times New Roman" w:cs="Times New Roman"/>
          <w:bCs/>
          <w:szCs w:val="22"/>
          <w:u w:val="single"/>
        </w:rPr>
        <w:t>Plodnosť</w:t>
      </w:r>
    </w:p>
    <w:p w14:paraId="5348E1CC" w14:textId="77777777"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Tento liek patrí do skupiny liekov (nesteroidné protizápalové lieky - NSAID), ktoré môžu u žien spôsobiť zníženie plodnosti. Toto zníženie sa po vysadení liečby vráti do normálu. </w:t>
      </w:r>
    </w:p>
    <w:p w14:paraId="2E0B3FBA" w14:textId="77777777" w:rsidR="00BF38D4" w:rsidRPr="0023414B" w:rsidRDefault="00BF38D4">
      <w:pPr>
        <w:pStyle w:val="knZulassung02"/>
        <w:ind w:left="0" w:right="143"/>
        <w:rPr>
          <w:rFonts w:ascii="Times New Roman" w:hAnsi="Times New Roman" w:cs="Times New Roman"/>
          <w:sz w:val="22"/>
          <w:szCs w:val="22"/>
          <w:lang w:val="sk-SK"/>
        </w:rPr>
      </w:pPr>
    </w:p>
    <w:p w14:paraId="00989CA3" w14:textId="77777777" w:rsidR="00BF38D4" w:rsidRPr="0023414B" w:rsidRDefault="00234B9D">
      <w:pPr>
        <w:ind w:right="-2"/>
        <w:rPr>
          <w:rFonts w:ascii="Times New Roman" w:hAnsi="Times New Roman" w:cs="Times New Roman"/>
          <w:szCs w:val="22"/>
        </w:rPr>
      </w:pPr>
      <w:r>
        <w:rPr>
          <w:rFonts w:ascii="Times New Roman" w:hAnsi="Times New Roman" w:cs="Times New Roman"/>
          <w:b/>
          <w:szCs w:val="22"/>
        </w:rPr>
        <w:t>Vedenie vozidiel a obsluha strojov</w:t>
      </w:r>
    </w:p>
    <w:p w14:paraId="79BDD96D" w14:textId="77777777" w:rsidR="00BF38D4" w:rsidRPr="0023414B" w:rsidRDefault="00BF38D4">
      <w:pPr>
        <w:pStyle w:val="knZulassung02"/>
        <w:ind w:left="0"/>
        <w:rPr>
          <w:rFonts w:ascii="Times New Roman" w:hAnsi="Times New Roman" w:cs="Times New Roman"/>
          <w:sz w:val="22"/>
          <w:szCs w:val="22"/>
          <w:lang w:val="sk-SK"/>
        </w:rPr>
      </w:pPr>
    </w:p>
    <w:p w14:paraId="034B1DFE"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t>Pri užívaní MIG 4% perorálnej suspenzie sa môžu vyskytnúť vedľajšie účinky, ako sú únava a závraty. V dôsledku toho schopnosť reagovať môže byť v jednotlivých prípadoch zmenená a schopnosť aktívne sa zúčastňovať cestnej premávky a obsluhovať stroje môže byť porušená. Toto platí vo zvýšenej miere v kombinácii s alkoholom. V takom prípade nebudete schopný reagovať rýchlo a dostatočne primerane na neočakávané alebo náhle udalosti. Vtedy neveďte vozidlá alebo iné dopravné prostriedky, neobsluhujte stroje alebo nevykonávajte žiadne nebezpečné činnosti.</w:t>
      </w:r>
    </w:p>
    <w:p w14:paraId="73CA4DCC" w14:textId="77777777" w:rsidR="00BF38D4" w:rsidRPr="0023414B" w:rsidRDefault="00BF38D4">
      <w:pPr>
        <w:autoSpaceDE w:val="0"/>
        <w:rPr>
          <w:rFonts w:ascii="Times New Roman" w:hAnsi="Times New Roman" w:cs="Times New Roman"/>
          <w:szCs w:val="22"/>
        </w:rPr>
      </w:pPr>
    </w:p>
    <w:p w14:paraId="3317719D" w14:textId="77777777" w:rsidR="00BF38D4" w:rsidRPr="0023414B" w:rsidRDefault="00234B9D">
      <w:pPr>
        <w:pStyle w:val="knZulassung01"/>
        <w:tabs>
          <w:tab w:val="left" w:pos="1800"/>
        </w:tabs>
        <w:ind w:left="0" w:firstLine="0"/>
        <w:rPr>
          <w:rFonts w:ascii="Times New Roman" w:hAnsi="Times New Roman" w:cs="Times New Roman"/>
          <w:b/>
          <w:sz w:val="22"/>
          <w:szCs w:val="22"/>
          <w:lang w:val="sk-SK"/>
        </w:rPr>
      </w:pPr>
      <w:r>
        <w:rPr>
          <w:rFonts w:ascii="Times New Roman" w:hAnsi="Times New Roman" w:cs="Times New Roman"/>
          <w:b/>
          <w:bCs/>
          <w:caps/>
          <w:sz w:val="22"/>
          <w:szCs w:val="22"/>
          <w:lang w:val="sk-SK"/>
        </w:rPr>
        <w:t xml:space="preserve">MIG 4% </w:t>
      </w:r>
      <w:r>
        <w:rPr>
          <w:rFonts w:ascii="Times New Roman" w:hAnsi="Times New Roman" w:cs="Times New Roman"/>
          <w:b/>
          <w:bCs/>
          <w:sz w:val="22"/>
          <w:szCs w:val="22"/>
          <w:lang w:val="sk-SK"/>
        </w:rPr>
        <w:t>perorálna suspenzia</w:t>
      </w:r>
      <w:r>
        <w:rPr>
          <w:rFonts w:ascii="Times New Roman" w:hAnsi="Times New Roman" w:cs="Times New Roman"/>
          <w:b/>
          <w:bCs/>
          <w:caps/>
          <w:sz w:val="22"/>
          <w:szCs w:val="22"/>
          <w:lang w:val="sk-SK"/>
        </w:rPr>
        <w:t xml:space="preserve"> </w:t>
      </w:r>
      <w:r>
        <w:rPr>
          <w:rFonts w:ascii="Times New Roman" w:hAnsi="Times New Roman" w:cs="Times New Roman"/>
          <w:b/>
          <w:sz w:val="22"/>
          <w:szCs w:val="22"/>
          <w:lang w:val="sk-SK"/>
        </w:rPr>
        <w:t>obsahuje sodík</w:t>
      </w:r>
    </w:p>
    <w:p w14:paraId="256E712C" w14:textId="77777777" w:rsidR="00BF38D4" w:rsidRPr="0023414B" w:rsidRDefault="00BF38D4">
      <w:pPr>
        <w:pStyle w:val="knZulassung01"/>
        <w:tabs>
          <w:tab w:val="left" w:pos="1800"/>
        </w:tabs>
        <w:ind w:left="0" w:firstLine="0"/>
        <w:rPr>
          <w:rFonts w:ascii="Times New Roman" w:hAnsi="Times New Roman" w:cs="Times New Roman"/>
          <w:b/>
          <w:sz w:val="22"/>
          <w:szCs w:val="22"/>
          <w:lang w:val="sk-SK"/>
        </w:rPr>
      </w:pPr>
    </w:p>
    <w:p w14:paraId="18F8765C" w14:textId="77777777" w:rsidR="00BF38D4" w:rsidRPr="0023414B" w:rsidRDefault="00234B9D">
      <w:pPr>
        <w:rPr>
          <w:rFonts w:ascii="Times New Roman" w:hAnsi="Times New Roman" w:cs="Times New Roman"/>
          <w:szCs w:val="22"/>
        </w:rPr>
      </w:pPr>
      <w:r>
        <w:rPr>
          <w:rFonts w:ascii="Times New Roman" w:hAnsi="Times New Roman" w:cs="Times New Roman"/>
          <w:szCs w:val="22"/>
        </w:rPr>
        <w:t>Tento liek obsahuje 2,5 mmol (57,9 mg) sodíka v najvyššej jednorazovej dávke 10 ml. Má sa vziať do úvahy u pacientov na diéte s kontrolovaným obsahom sodíka.</w:t>
      </w:r>
    </w:p>
    <w:p w14:paraId="0EE164F1" w14:textId="77777777" w:rsidR="00BF38D4" w:rsidRPr="0023414B" w:rsidRDefault="00BF38D4">
      <w:pPr>
        <w:rPr>
          <w:rFonts w:ascii="Times New Roman" w:hAnsi="Times New Roman" w:cs="Times New Roman"/>
          <w:szCs w:val="22"/>
        </w:rPr>
      </w:pPr>
    </w:p>
    <w:p w14:paraId="77EA29E5" w14:textId="10AD4ECC" w:rsidR="00BF38D4" w:rsidRPr="0023414B" w:rsidRDefault="00234B9D">
      <w:pPr>
        <w:rPr>
          <w:rFonts w:ascii="Times New Roman" w:hAnsi="Times New Roman" w:cs="Times New Roman"/>
          <w:szCs w:val="22"/>
        </w:rPr>
      </w:pPr>
      <w:r>
        <w:rPr>
          <w:rFonts w:ascii="Times New Roman" w:hAnsi="Times New Roman" w:cs="Times New Roman"/>
          <w:b/>
          <w:bCs/>
          <w:caps/>
          <w:szCs w:val="22"/>
        </w:rPr>
        <w:t xml:space="preserve">MIG 4% </w:t>
      </w:r>
      <w:r>
        <w:rPr>
          <w:rFonts w:ascii="Times New Roman" w:hAnsi="Times New Roman" w:cs="Times New Roman"/>
          <w:b/>
          <w:bCs/>
          <w:szCs w:val="22"/>
        </w:rPr>
        <w:t>perorálna suspenzia</w:t>
      </w:r>
      <w:r>
        <w:rPr>
          <w:rFonts w:ascii="Times New Roman" w:hAnsi="Times New Roman" w:cs="Times New Roman"/>
          <w:b/>
          <w:bCs/>
          <w:caps/>
          <w:szCs w:val="22"/>
        </w:rPr>
        <w:t xml:space="preserve"> </w:t>
      </w:r>
      <w:r>
        <w:rPr>
          <w:rFonts w:ascii="Times New Roman" w:hAnsi="Times New Roman" w:cs="Times New Roman"/>
          <w:b/>
          <w:szCs w:val="22"/>
        </w:rPr>
        <w:t xml:space="preserve">obsahuje </w:t>
      </w:r>
      <w:r w:rsidR="00F05A8B">
        <w:rPr>
          <w:rFonts w:ascii="Times New Roman" w:hAnsi="Times New Roman" w:cs="Times New Roman"/>
          <w:b/>
          <w:szCs w:val="22"/>
        </w:rPr>
        <w:t xml:space="preserve">roztok </w:t>
      </w:r>
      <w:r>
        <w:rPr>
          <w:rFonts w:ascii="Times New Roman" w:hAnsi="Times New Roman" w:cs="Times New Roman"/>
          <w:b/>
          <w:szCs w:val="22"/>
        </w:rPr>
        <w:t>maltitol</w:t>
      </w:r>
      <w:r w:rsidR="00F05A8B">
        <w:rPr>
          <w:rFonts w:ascii="Times New Roman" w:hAnsi="Times New Roman" w:cs="Times New Roman"/>
          <w:b/>
          <w:szCs w:val="22"/>
        </w:rPr>
        <w:t>u</w:t>
      </w:r>
    </w:p>
    <w:p w14:paraId="6D5626CE" w14:textId="77777777" w:rsidR="00BF38D4" w:rsidRPr="0023414B" w:rsidRDefault="00BF38D4">
      <w:pPr>
        <w:rPr>
          <w:rFonts w:ascii="Times New Roman" w:hAnsi="Times New Roman" w:cs="Times New Roman"/>
          <w:szCs w:val="22"/>
        </w:rPr>
      </w:pPr>
    </w:p>
    <w:p w14:paraId="1D1BAD57" w14:textId="63B4A21A" w:rsidR="00BF38D4" w:rsidRPr="0023414B" w:rsidRDefault="00234B9D">
      <w:pPr>
        <w:rPr>
          <w:rFonts w:ascii="Times New Roman" w:hAnsi="Times New Roman" w:cs="Times New Roman"/>
          <w:b/>
          <w:bCs/>
          <w:caps/>
          <w:szCs w:val="22"/>
        </w:rPr>
      </w:pPr>
      <w:r>
        <w:rPr>
          <w:rFonts w:ascii="Times New Roman" w:hAnsi="Times New Roman" w:cs="Times New Roman"/>
          <w:szCs w:val="22"/>
        </w:rPr>
        <w:t xml:space="preserve">Tento liek </w:t>
      </w:r>
      <w:r>
        <w:rPr>
          <w:rFonts w:ascii="Times New Roman" w:hAnsi="Times New Roman" w:cs="Times New Roman"/>
          <w:bCs/>
          <w:szCs w:val="22"/>
        </w:rPr>
        <w:t>obsahuje</w:t>
      </w:r>
      <w:r>
        <w:rPr>
          <w:rFonts w:ascii="Times New Roman" w:hAnsi="Times New Roman" w:cs="Times New Roman"/>
          <w:b/>
          <w:bCs/>
          <w:szCs w:val="22"/>
        </w:rPr>
        <w:t xml:space="preserve"> </w:t>
      </w:r>
      <w:r w:rsidR="00F05A8B">
        <w:rPr>
          <w:rFonts w:ascii="Times New Roman" w:hAnsi="Times New Roman" w:cs="Times New Roman"/>
          <w:szCs w:val="22"/>
        </w:rPr>
        <w:t xml:space="preserve">roztok </w:t>
      </w:r>
      <w:r>
        <w:rPr>
          <w:rFonts w:ascii="Times New Roman" w:hAnsi="Times New Roman" w:cs="Times New Roman"/>
          <w:szCs w:val="22"/>
        </w:rPr>
        <w:t>maltitol</w:t>
      </w:r>
      <w:r w:rsidR="00F05A8B">
        <w:rPr>
          <w:rFonts w:ascii="Times New Roman" w:hAnsi="Times New Roman" w:cs="Times New Roman"/>
          <w:szCs w:val="22"/>
        </w:rPr>
        <w:t>u</w:t>
      </w:r>
      <w:r>
        <w:rPr>
          <w:rFonts w:ascii="Times New Roman" w:hAnsi="Times New Roman" w:cs="Times New Roman"/>
          <w:szCs w:val="22"/>
        </w:rPr>
        <w:t>. Ak vám váš lekár povedal, že vy alebo dieťa, ktoré bude liečené, neznášate niektoré cukry, kontaktujte svojho lekára pred užitím tohto lieku.</w:t>
      </w:r>
    </w:p>
    <w:p w14:paraId="49D5A9DD" w14:textId="77777777" w:rsidR="00BF38D4" w:rsidRPr="0023414B" w:rsidRDefault="00BF38D4">
      <w:pPr>
        <w:pStyle w:val="knZulassung01"/>
        <w:tabs>
          <w:tab w:val="left" w:pos="1800"/>
        </w:tabs>
        <w:ind w:left="0" w:firstLine="0"/>
        <w:rPr>
          <w:rFonts w:ascii="Times New Roman" w:hAnsi="Times New Roman" w:cs="Times New Roman"/>
          <w:b/>
          <w:bCs/>
          <w:caps/>
          <w:sz w:val="22"/>
          <w:szCs w:val="22"/>
          <w:lang w:val="sk-SK"/>
        </w:rPr>
      </w:pPr>
    </w:p>
    <w:p w14:paraId="24E25329" w14:textId="77777777" w:rsidR="00BF38D4" w:rsidRPr="0023414B" w:rsidRDefault="00BF38D4">
      <w:pPr>
        <w:pStyle w:val="knZulassung01"/>
        <w:tabs>
          <w:tab w:val="left" w:pos="1800"/>
        </w:tabs>
        <w:ind w:left="0" w:firstLine="0"/>
        <w:rPr>
          <w:rFonts w:ascii="Times New Roman" w:hAnsi="Times New Roman" w:cs="Times New Roman"/>
          <w:b/>
          <w:caps/>
          <w:sz w:val="22"/>
          <w:szCs w:val="22"/>
          <w:lang w:val="sk-SK"/>
        </w:rPr>
      </w:pPr>
    </w:p>
    <w:p w14:paraId="199D1780" w14:textId="77777777" w:rsidR="00BF38D4" w:rsidRPr="0023414B" w:rsidRDefault="00234B9D">
      <w:pPr>
        <w:ind w:left="540" w:hanging="540"/>
        <w:rPr>
          <w:rFonts w:ascii="Times New Roman" w:hAnsi="Times New Roman" w:cs="Times New Roman"/>
          <w:bCs/>
          <w:szCs w:val="22"/>
        </w:rPr>
      </w:pPr>
      <w:r>
        <w:rPr>
          <w:rFonts w:ascii="Times New Roman" w:hAnsi="Times New Roman" w:cs="Times New Roman"/>
          <w:b/>
          <w:caps/>
          <w:szCs w:val="22"/>
        </w:rPr>
        <w:t xml:space="preserve">3. </w:t>
      </w:r>
      <w:r>
        <w:rPr>
          <w:rFonts w:ascii="Times New Roman" w:hAnsi="Times New Roman" w:cs="Times New Roman"/>
          <w:b/>
          <w:caps/>
          <w:szCs w:val="22"/>
        </w:rPr>
        <w:tab/>
      </w:r>
      <w:r>
        <w:rPr>
          <w:rFonts w:ascii="Times New Roman" w:hAnsi="Times New Roman" w:cs="Times New Roman"/>
          <w:b/>
          <w:szCs w:val="22"/>
        </w:rPr>
        <w:t>Ako užívať MIG 4% perorálnu suspenziu</w:t>
      </w:r>
    </w:p>
    <w:p w14:paraId="3A9B478B" w14:textId="77777777" w:rsidR="00BF38D4" w:rsidRPr="0023414B" w:rsidRDefault="00BF38D4">
      <w:pPr>
        <w:rPr>
          <w:rFonts w:ascii="Times New Roman" w:hAnsi="Times New Roman" w:cs="Times New Roman"/>
          <w:bCs/>
          <w:szCs w:val="22"/>
        </w:rPr>
      </w:pPr>
    </w:p>
    <w:p w14:paraId="72146241" w14:textId="77777777" w:rsidR="00BF38D4" w:rsidRPr="0023414B" w:rsidRDefault="00234B9D">
      <w:pPr>
        <w:pStyle w:val="knZulassung02"/>
        <w:ind w:left="0"/>
        <w:rPr>
          <w:rFonts w:ascii="Times New Roman" w:hAnsi="Times New Roman" w:cs="Times New Roman"/>
          <w:bCs/>
          <w:sz w:val="22"/>
          <w:szCs w:val="22"/>
          <w:lang w:val="sk-SK"/>
        </w:rPr>
      </w:pPr>
      <w:r>
        <w:rPr>
          <w:rFonts w:ascii="Times New Roman" w:hAnsi="Times New Roman" w:cs="Times New Roman"/>
          <w:bCs/>
          <w:sz w:val="22"/>
          <w:szCs w:val="22"/>
          <w:lang w:val="sk-SK"/>
        </w:rPr>
        <w:t xml:space="preserve">Vždy užívajte tento liek presne tak, ako je to uvedené v tejto písomnej informácii alebo ako vám povedal váš lekár alebo lekárnik Ak si nie ste niečím istý, overte si to u svojho lekára alebo lekárnika. </w:t>
      </w:r>
    </w:p>
    <w:p w14:paraId="130A51C0" w14:textId="77777777" w:rsidR="00BF38D4" w:rsidRPr="0023414B" w:rsidRDefault="00BF38D4">
      <w:pPr>
        <w:pStyle w:val="knZulassung02"/>
        <w:ind w:left="0"/>
        <w:rPr>
          <w:rFonts w:ascii="Times New Roman" w:hAnsi="Times New Roman" w:cs="Times New Roman"/>
          <w:bCs/>
          <w:sz w:val="22"/>
          <w:szCs w:val="22"/>
          <w:lang w:val="sk-SK"/>
        </w:rPr>
      </w:pPr>
    </w:p>
    <w:p w14:paraId="0DEEE93A"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Odporúčaná dávka je: </w:t>
      </w:r>
    </w:p>
    <w:p w14:paraId="21760B92" w14:textId="77777777" w:rsidR="00BF38D4" w:rsidRPr="0023414B" w:rsidRDefault="00BF38D4">
      <w:pPr>
        <w:pStyle w:val="knZulassung02"/>
        <w:ind w:left="0"/>
        <w:rPr>
          <w:rFonts w:ascii="Times New Roman" w:hAnsi="Times New Roman" w:cs="Times New Roman"/>
          <w:sz w:val="22"/>
          <w:szCs w:val="22"/>
          <w:lang w:val="sk-SK"/>
        </w:rPr>
      </w:pPr>
    </w:p>
    <w:tbl>
      <w:tblPr>
        <w:tblW w:w="0" w:type="auto"/>
        <w:tblInd w:w="392" w:type="dxa"/>
        <w:tblLayout w:type="fixed"/>
        <w:tblCellMar>
          <w:top w:w="113" w:type="dxa"/>
          <w:left w:w="113" w:type="dxa"/>
          <w:bottom w:w="113" w:type="dxa"/>
          <w:right w:w="113" w:type="dxa"/>
        </w:tblCellMar>
        <w:tblLook w:val="0000" w:firstRow="0" w:lastRow="0" w:firstColumn="0" w:lastColumn="0" w:noHBand="0" w:noVBand="0"/>
      </w:tblPr>
      <w:tblGrid>
        <w:gridCol w:w="2693"/>
        <w:gridCol w:w="2693"/>
        <w:gridCol w:w="3228"/>
      </w:tblGrid>
      <w:tr w:rsidR="00BF38D4" w:rsidRPr="0023414B" w14:paraId="3296AA3D" w14:textId="77777777">
        <w:trPr>
          <w:trHeight w:val="267"/>
        </w:trPr>
        <w:tc>
          <w:tcPr>
            <w:tcW w:w="2693" w:type="dxa"/>
            <w:tcBorders>
              <w:top w:val="single" w:sz="4" w:space="0" w:color="000000"/>
              <w:left w:val="single" w:sz="4" w:space="0" w:color="000000"/>
              <w:bottom w:val="single" w:sz="4" w:space="0" w:color="000000"/>
            </w:tcBorders>
            <w:shd w:val="clear" w:color="auto" w:fill="FFFFFF"/>
          </w:tcPr>
          <w:p w14:paraId="48A6AE0A" w14:textId="77777777"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Telesná hmotnosť</w:t>
            </w:r>
          </w:p>
          <w:p w14:paraId="3D6F92D8" w14:textId="77777777"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(vek)</w:t>
            </w:r>
          </w:p>
        </w:tc>
        <w:tc>
          <w:tcPr>
            <w:tcW w:w="2693" w:type="dxa"/>
            <w:tcBorders>
              <w:top w:val="single" w:sz="4" w:space="0" w:color="000000"/>
              <w:left w:val="single" w:sz="4" w:space="0" w:color="000000"/>
              <w:bottom w:val="single" w:sz="4" w:space="0" w:color="000000"/>
            </w:tcBorders>
            <w:shd w:val="clear" w:color="auto" w:fill="FFFFFF"/>
          </w:tcPr>
          <w:p w14:paraId="7C6140CE" w14:textId="77777777"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Jednotlivá dávka</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14:paraId="3A0024F5"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b/>
                <w:sz w:val="22"/>
                <w:szCs w:val="22"/>
              </w:rPr>
              <w:t>Maximálna denná dávka</w:t>
            </w:r>
          </w:p>
        </w:tc>
      </w:tr>
      <w:tr w:rsidR="00BF38D4" w:rsidRPr="0023414B" w14:paraId="0BD9677B" w14:textId="77777777">
        <w:trPr>
          <w:trHeight w:val="800"/>
        </w:trPr>
        <w:tc>
          <w:tcPr>
            <w:tcW w:w="2693" w:type="dxa"/>
            <w:tcBorders>
              <w:top w:val="single" w:sz="4" w:space="0" w:color="000000"/>
              <w:left w:val="single" w:sz="4" w:space="0" w:color="000000"/>
              <w:bottom w:val="single" w:sz="4" w:space="0" w:color="000000"/>
            </w:tcBorders>
            <w:shd w:val="clear" w:color="auto" w:fill="FFFFFF"/>
          </w:tcPr>
          <w:p w14:paraId="590DBAD4" w14:textId="77777777"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10 kg-15 kg</w:t>
            </w:r>
          </w:p>
          <w:p w14:paraId="7EC53A98"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1-3 roky)</w:t>
            </w:r>
          </w:p>
        </w:tc>
        <w:tc>
          <w:tcPr>
            <w:tcW w:w="2693" w:type="dxa"/>
            <w:tcBorders>
              <w:top w:val="single" w:sz="4" w:space="0" w:color="000000"/>
              <w:left w:val="single" w:sz="4" w:space="0" w:color="000000"/>
              <w:bottom w:val="single" w:sz="4" w:space="0" w:color="000000"/>
            </w:tcBorders>
            <w:shd w:val="clear" w:color="auto" w:fill="FFFFFF"/>
          </w:tcPr>
          <w:p w14:paraId="6F65C26A"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100 mg ibuprofénu</w:t>
            </w:r>
          </w:p>
          <w:p w14:paraId="2DE05D9C"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2,5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14:paraId="13740251"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300 mg ibuprofénu</w:t>
            </w:r>
          </w:p>
          <w:p w14:paraId="64898C54"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7,5 ml suspenzie)</w:t>
            </w:r>
          </w:p>
        </w:tc>
      </w:tr>
      <w:tr w:rsidR="00BF38D4" w:rsidRPr="0023414B" w14:paraId="45FE0C09" w14:textId="77777777">
        <w:trPr>
          <w:trHeight w:val="511"/>
        </w:trPr>
        <w:tc>
          <w:tcPr>
            <w:tcW w:w="2693" w:type="dxa"/>
            <w:tcBorders>
              <w:top w:val="single" w:sz="4" w:space="0" w:color="000000"/>
              <w:left w:val="single" w:sz="4" w:space="0" w:color="000000"/>
              <w:bottom w:val="single" w:sz="4" w:space="0" w:color="000000"/>
            </w:tcBorders>
            <w:shd w:val="clear" w:color="auto" w:fill="FFFFFF"/>
          </w:tcPr>
          <w:p w14:paraId="2E63A1EA" w14:textId="77777777"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16 kg-19 kg</w:t>
            </w:r>
          </w:p>
          <w:p w14:paraId="3F476BBE"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4-5 rokov)</w:t>
            </w:r>
          </w:p>
        </w:tc>
        <w:tc>
          <w:tcPr>
            <w:tcW w:w="2693" w:type="dxa"/>
            <w:tcBorders>
              <w:top w:val="single" w:sz="4" w:space="0" w:color="000000"/>
              <w:left w:val="single" w:sz="4" w:space="0" w:color="000000"/>
              <w:bottom w:val="single" w:sz="4" w:space="0" w:color="000000"/>
            </w:tcBorders>
            <w:shd w:val="clear" w:color="auto" w:fill="FFFFFF"/>
          </w:tcPr>
          <w:p w14:paraId="31FD3AC8"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150 mg ibuprofénu</w:t>
            </w:r>
          </w:p>
          <w:p w14:paraId="5AC4CD91"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3,75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14:paraId="4B0F1562"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450 mg ibuprofénu</w:t>
            </w:r>
          </w:p>
          <w:p w14:paraId="1CB4250C"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11,25 ml suspenzie)</w:t>
            </w:r>
          </w:p>
        </w:tc>
      </w:tr>
      <w:tr w:rsidR="00BF38D4" w:rsidRPr="0023414B" w14:paraId="7D6C350E" w14:textId="77777777">
        <w:trPr>
          <w:trHeight w:val="594"/>
        </w:trPr>
        <w:tc>
          <w:tcPr>
            <w:tcW w:w="2693" w:type="dxa"/>
            <w:tcBorders>
              <w:top w:val="single" w:sz="4" w:space="0" w:color="000000"/>
              <w:left w:val="single" w:sz="4" w:space="0" w:color="000000"/>
              <w:bottom w:val="single" w:sz="4" w:space="0" w:color="000000"/>
            </w:tcBorders>
            <w:shd w:val="clear" w:color="auto" w:fill="FFFFFF"/>
          </w:tcPr>
          <w:p w14:paraId="3E208478" w14:textId="77777777"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20 kg-29 kg</w:t>
            </w:r>
          </w:p>
          <w:p w14:paraId="0086C936"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6-9 rokov)</w:t>
            </w:r>
          </w:p>
        </w:tc>
        <w:tc>
          <w:tcPr>
            <w:tcW w:w="2693" w:type="dxa"/>
            <w:tcBorders>
              <w:top w:val="single" w:sz="4" w:space="0" w:color="000000"/>
              <w:left w:val="single" w:sz="4" w:space="0" w:color="000000"/>
              <w:bottom w:val="single" w:sz="4" w:space="0" w:color="000000"/>
            </w:tcBorders>
            <w:shd w:val="clear" w:color="auto" w:fill="FFFFFF"/>
          </w:tcPr>
          <w:p w14:paraId="4DE1D962"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 mg ibuprofénu</w:t>
            </w:r>
          </w:p>
          <w:p w14:paraId="6C5D6A5A" w14:textId="77777777" w:rsidR="00BF38D4" w:rsidRPr="0023414B" w:rsidRDefault="00234B9D" w:rsidP="00E93B7B">
            <w:pPr>
              <w:pStyle w:val="Tab-Text-linksbndig"/>
              <w:rPr>
                <w:rFonts w:ascii="Times New Roman" w:hAnsi="Times New Roman" w:cs="Times New Roman"/>
                <w:sz w:val="22"/>
                <w:szCs w:val="22"/>
              </w:rPr>
            </w:pPr>
            <w:r>
              <w:rPr>
                <w:rFonts w:ascii="Times New Roman" w:hAnsi="Times New Roman" w:cs="Times New Roman"/>
                <w:sz w:val="22"/>
                <w:szCs w:val="22"/>
              </w:rPr>
              <w:t>(zodpovedá 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14:paraId="56C5FD9F"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600 mg ibuprofénu</w:t>
            </w:r>
          </w:p>
          <w:p w14:paraId="049FB194"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15 ml suspenzie)</w:t>
            </w:r>
          </w:p>
        </w:tc>
      </w:tr>
      <w:tr w:rsidR="00BF38D4" w:rsidRPr="0023414B" w14:paraId="530CE960" w14:textId="77777777">
        <w:trPr>
          <w:trHeight w:val="594"/>
        </w:trPr>
        <w:tc>
          <w:tcPr>
            <w:tcW w:w="2693" w:type="dxa"/>
            <w:tcBorders>
              <w:top w:val="single" w:sz="4" w:space="0" w:color="000000"/>
              <w:left w:val="single" w:sz="4" w:space="0" w:color="000000"/>
              <w:bottom w:val="single" w:sz="4" w:space="0" w:color="000000"/>
            </w:tcBorders>
            <w:shd w:val="clear" w:color="auto" w:fill="FFFFFF"/>
          </w:tcPr>
          <w:p w14:paraId="3B3C666D" w14:textId="77777777"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30 kg-39 kg</w:t>
            </w:r>
          </w:p>
          <w:p w14:paraId="173245AE"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 xml:space="preserve">(Deti vo veku </w:t>
            </w:r>
          </w:p>
          <w:p w14:paraId="7EA7F521"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 xml:space="preserve">10-11 rokov) </w:t>
            </w:r>
          </w:p>
        </w:tc>
        <w:tc>
          <w:tcPr>
            <w:tcW w:w="2693" w:type="dxa"/>
            <w:tcBorders>
              <w:top w:val="single" w:sz="4" w:space="0" w:color="000000"/>
              <w:left w:val="single" w:sz="4" w:space="0" w:color="000000"/>
              <w:bottom w:val="single" w:sz="4" w:space="0" w:color="000000"/>
            </w:tcBorders>
            <w:shd w:val="clear" w:color="auto" w:fill="FFFFFF"/>
          </w:tcPr>
          <w:p w14:paraId="0C73F9CA"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 mg ibuprofénu</w:t>
            </w:r>
          </w:p>
          <w:p w14:paraId="5842652A"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14:paraId="062FF199"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800 mg ibuprofénu</w:t>
            </w:r>
          </w:p>
          <w:p w14:paraId="78543F4A"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20 ml suspenzie)</w:t>
            </w:r>
          </w:p>
        </w:tc>
      </w:tr>
      <w:tr w:rsidR="00BF38D4" w:rsidRPr="0023414B" w14:paraId="5985D95B" w14:textId="77777777">
        <w:trPr>
          <w:trHeight w:val="594"/>
        </w:trPr>
        <w:tc>
          <w:tcPr>
            <w:tcW w:w="2693" w:type="dxa"/>
            <w:tcBorders>
              <w:top w:val="single" w:sz="4" w:space="0" w:color="000000"/>
              <w:left w:val="single" w:sz="4" w:space="0" w:color="000000"/>
              <w:bottom w:val="single" w:sz="4" w:space="0" w:color="000000"/>
            </w:tcBorders>
            <w:shd w:val="clear" w:color="auto" w:fill="FFFFFF"/>
          </w:tcPr>
          <w:p w14:paraId="3161EC81" w14:textId="77777777" w:rsidR="00BF38D4" w:rsidRPr="0023414B" w:rsidRDefault="005B7965">
            <w:pPr>
              <w:spacing w:line="240" w:lineRule="atLeast"/>
              <w:ind w:left="72" w:right="496" w:hanging="43"/>
              <w:rPr>
                <w:rFonts w:ascii="Times New Roman" w:hAnsi="Times New Roman" w:cs="Times New Roman"/>
                <w:szCs w:val="22"/>
              </w:rPr>
            </w:pPr>
            <w:r w:rsidRPr="0023414B">
              <w:rPr>
                <w:rFonts w:ascii="Times New Roman" w:hAnsi="Times New Roman" w:cs="Times New Roman"/>
                <w:szCs w:val="22"/>
              </w:rPr>
              <w:lastRenderedPageBreak/>
              <w:t>≥ 40 kg</w:t>
            </w:r>
          </w:p>
          <w:p w14:paraId="14BAE888" w14:textId="77777777" w:rsidR="00BF38D4" w:rsidRPr="0023414B" w:rsidRDefault="00234B9D">
            <w:pPr>
              <w:pStyle w:val="Tab-Text-linksbndig"/>
              <w:tabs>
                <w:tab w:val="left" w:pos="-47"/>
              </w:tabs>
              <w:rPr>
                <w:rFonts w:ascii="Times New Roman" w:hAnsi="Times New Roman" w:cs="Times New Roman"/>
                <w:sz w:val="22"/>
                <w:szCs w:val="22"/>
              </w:rPr>
            </w:pPr>
            <w:r>
              <w:rPr>
                <w:rFonts w:ascii="Times New Roman" w:hAnsi="Times New Roman" w:cs="Times New Roman"/>
                <w:sz w:val="22"/>
                <w:szCs w:val="22"/>
              </w:rPr>
              <w:t>(Dospievajúci ≥ 12 rokov a dospelí)</w:t>
            </w:r>
          </w:p>
        </w:tc>
        <w:tc>
          <w:tcPr>
            <w:tcW w:w="2693" w:type="dxa"/>
            <w:tcBorders>
              <w:top w:val="single" w:sz="4" w:space="0" w:color="000000"/>
              <w:left w:val="single" w:sz="4" w:space="0" w:color="000000"/>
              <w:bottom w:val="single" w:sz="4" w:space="0" w:color="000000"/>
            </w:tcBorders>
            <w:shd w:val="clear" w:color="auto" w:fill="FFFFFF"/>
          </w:tcPr>
          <w:p w14:paraId="617770D0"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200-400 mg ibuprofénu</w:t>
            </w:r>
          </w:p>
          <w:p w14:paraId="3E2FB960"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5 - 10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14:paraId="47E75B3C"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1 200 mg ibuprofénu</w:t>
            </w:r>
          </w:p>
          <w:p w14:paraId="11A3F1F4" w14:textId="77777777"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30 ml suspenzie)</w:t>
            </w:r>
          </w:p>
        </w:tc>
      </w:tr>
    </w:tbl>
    <w:p w14:paraId="7EF06F57" w14:textId="77777777" w:rsidR="00BF38D4" w:rsidRPr="0023414B" w:rsidRDefault="00BF38D4">
      <w:pPr>
        <w:pStyle w:val="knZulassung02"/>
        <w:ind w:left="0"/>
        <w:rPr>
          <w:rFonts w:ascii="Times New Roman" w:hAnsi="Times New Roman" w:cs="Times New Roman"/>
          <w:sz w:val="22"/>
          <w:szCs w:val="22"/>
          <w:lang w:val="sk-SK"/>
        </w:rPr>
      </w:pPr>
    </w:p>
    <w:p w14:paraId="68EC6366" w14:textId="77777777" w:rsidR="00BF38D4" w:rsidRPr="0023414B" w:rsidRDefault="00234B9D">
      <w:pPr>
        <w:ind w:right="-2"/>
        <w:rPr>
          <w:rFonts w:ascii="Times New Roman" w:hAnsi="Times New Roman" w:cs="Times New Roman"/>
          <w:b/>
          <w:bCs/>
          <w:szCs w:val="22"/>
        </w:rPr>
      </w:pPr>
      <w:r>
        <w:rPr>
          <w:rFonts w:ascii="Times New Roman" w:hAnsi="Times New Roman" w:cs="Times New Roman"/>
          <w:color w:val="000000"/>
          <w:szCs w:val="22"/>
        </w:rPr>
        <w:t xml:space="preserve">U detí a dospievajúcich, dávkovanie MIG </w:t>
      </w:r>
      <w:r>
        <w:rPr>
          <w:rFonts w:ascii="Times New Roman" w:hAnsi="Times New Roman" w:cs="Times New Roman"/>
          <w:szCs w:val="22"/>
        </w:rPr>
        <w:t>4</w:t>
      </w:r>
      <w:r>
        <w:rPr>
          <w:rFonts w:ascii="Times New Roman" w:hAnsi="Times New Roman" w:cs="Times New Roman"/>
          <w:color w:val="000000"/>
          <w:szCs w:val="22"/>
        </w:rPr>
        <w:t>% perorálnej suspenzie závisí od telesnej hmotnosti, spravidla jednorazová dávka predstavuje 7 až 10 mg/kg telesnej hmotnosti až po maximálnu celkovú dennú dávku 30 mg/kg telesnej hmotnosti.</w:t>
      </w:r>
    </w:p>
    <w:p w14:paraId="4FAE3791" w14:textId="77777777" w:rsidR="00BF38D4" w:rsidRPr="0023414B" w:rsidRDefault="00BF38D4">
      <w:pPr>
        <w:ind w:right="-2"/>
        <w:rPr>
          <w:rFonts w:ascii="Times New Roman" w:hAnsi="Times New Roman" w:cs="Times New Roman"/>
          <w:b/>
          <w:bCs/>
          <w:szCs w:val="22"/>
        </w:rPr>
      </w:pPr>
    </w:p>
    <w:p w14:paraId="699684A6" w14:textId="77777777" w:rsidR="00BF38D4" w:rsidRPr="0023414B" w:rsidRDefault="00234B9D">
      <w:pPr>
        <w:ind w:right="-2"/>
        <w:rPr>
          <w:rFonts w:ascii="Times New Roman" w:hAnsi="Times New Roman" w:cs="Times New Roman"/>
          <w:b/>
          <w:bCs/>
          <w:szCs w:val="22"/>
        </w:rPr>
      </w:pPr>
      <w:r>
        <w:rPr>
          <w:rStyle w:val="hps"/>
          <w:rFonts w:ascii="Times New Roman" w:hAnsi="Times New Roman" w:cs="Times New Roman"/>
          <w:color w:val="222222"/>
          <w:szCs w:val="22"/>
        </w:rPr>
        <w:t>Interval</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medzi</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dávkami má byť najmenej</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6</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hodín</w:t>
      </w:r>
      <w:r>
        <w:rPr>
          <w:rFonts w:ascii="Times New Roman" w:hAnsi="Times New Roman" w:cs="Times New Roman"/>
          <w:color w:val="222222"/>
          <w:szCs w:val="22"/>
        </w:rPr>
        <w:t>.</w:t>
      </w:r>
    </w:p>
    <w:p w14:paraId="4E6BBF60" w14:textId="77777777" w:rsidR="00BF38D4" w:rsidRPr="0023414B" w:rsidRDefault="00BF38D4">
      <w:pPr>
        <w:ind w:right="-2"/>
        <w:rPr>
          <w:rFonts w:ascii="Times New Roman" w:hAnsi="Times New Roman" w:cs="Times New Roman"/>
          <w:b/>
          <w:bCs/>
          <w:szCs w:val="22"/>
        </w:rPr>
      </w:pPr>
    </w:p>
    <w:p w14:paraId="1699B55F" w14:textId="77777777" w:rsidR="00BF38D4" w:rsidRPr="0023414B" w:rsidRDefault="00234B9D">
      <w:pPr>
        <w:ind w:right="-2"/>
        <w:rPr>
          <w:rFonts w:ascii="Times New Roman" w:hAnsi="Times New Roman" w:cs="Times New Roman"/>
          <w:bCs/>
          <w:szCs w:val="22"/>
        </w:rPr>
      </w:pPr>
      <w:r>
        <w:rPr>
          <w:rFonts w:ascii="Times New Roman" w:hAnsi="Times New Roman" w:cs="Times New Roman"/>
          <w:bCs/>
          <w:szCs w:val="22"/>
        </w:rPr>
        <w:t>Neprekračujte odporúčanú dávku.</w:t>
      </w:r>
    </w:p>
    <w:p w14:paraId="21CFBBC8" w14:textId="77777777" w:rsidR="00BF38D4" w:rsidRPr="0023414B" w:rsidRDefault="00BF38D4">
      <w:pPr>
        <w:ind w:right="-2"/>
        <w:rPr>
          <w:rFonts w:ascii="Times New Roman" w:hAnsi="Times New Roman" w:cs="Times New Roman"/>
          <w:bCs/>
          <w:szCs w:val="22"/>
        </w:rPr>
      </w:pPr>
    </w:p>
    <w:p w14:paraId="396398F6" w14:textId="77777777" w:rsidR="00BF38D4" w:rsidRPr="0023414B" w:rsidRDefault="00234B9D">
      <w:pPr>
        <w:ind w:right="-2"/>
        <w:rPr>
          <w:rFonts w:ascii="Times New Roman" w:hAnsi="Times New Roman" w:cs="Times New Roman"/>
          <w:bCs/>
          <w:szCs w:val="22"/>
        </w:rPr>
      </w:pPr>
      <w:r>
        <w:rPr>
          <w:rFonts w:ascii="Times New Roman" w:hAnsi="Times New Roman" w:cs="Times New Roman"/>
          <w:bCs/>
          <w:szCs w:val="22"/>
        </w:rPr>
        <w:t>Na vnútorné použitie.</w:t>
      </w:r>
    </w:p>
    <w:p w14:paraId="3CEFDCC6" w14:textId="77777777" w:rsidR="00992F14" w:rsidRPr="0023414B" w:rsidRDefault="00992F14">
      <w:pPr>
        <w:ind w:right="-2"/>
        <w:rPr>
          <w:rFonts w:ascii="Times New Roman" w:hAnsi="Times New Roman" w:cs="Times New Roman"/>
          <w:bCs/>
          <w:color w:val="000000"/>
          <w:szCs w:val="22"/>
        </w:rPr>
      </w:pPr>
    </w:p>
    <w:p w14:paraId="58F575BD" w14:textId="77777777" w:rsidR="00BF38D4" w:rsidRPr="0023414B" w:rsidRDefault="00234B9D">
      <w:pPr>
        <w:autoSpaceDE w:val="0"/>
        <w:rPr>
          <w:rFonts w:ascii="Times New Roman" w:hAnsi="Times New Roman" w:cs="Times New Roman"/>
          <w:bCs/>
          <w:color w:val="000000"/>
          <w:szCs w:val="22"/>
        </w:rPr>
      </w:pPr>
      <w:r>
        <w:rPr>
          <w:rFonts w:ascii="Times New Roman" w:hAnsi="Times New Roman" w:cs="Times New Roman"/>
          <w:bCs/>
          <w:color w:val="000000"/>
          <w:szCs w:val="22"/>
        </w:rPr>
        <w:t>Balenie obsahuje 5 ml dávkovaciu striekačku (odstupňovanú po 0,25 ml dielikoch).</w:t>
      </w:r>
    </w:p>
    <w:p w14:paraId="5BB2BD62" w14:textId="77777777" w:rsidR="00BF38D4" w:rsidRPr="0023414B" w:rsidRDefault="00234B9D">
      <w:pPr>
        <w:autoSpaceDE w:val="0"/>
        <w:rPr>
          <w:rFonts w:ascii="Times New Roman" w:hAnsi="Times New Roman" w:cs="Times New Roman"/>
          <w:bCs/>
          <w:szCs w:val="22"/>
        </w:rPr>
      </w:pPr>
      <w:r>
        <w:rPr>
          <w:rFonts w:ascii="Times New Roman" w:hAnsi="Times New Roman" w:cs="Times New Roman"/>
          <w:bCs/>
          <w:color w:val="000000"/>
          <w:szCs w:val="22"/>
        </w:rPr>
        <w:t xml:space="preserve">Perorálna suspenzia sa môže užívať nezávisle od jedla. Ľuďom s citlivým žalúdkom sa odporúča užívať MIG </w:t>
      </w:r>
      <w:r>
        <w:rPr>
          <w:rFonts w:ascii="Times New Roman" w:hAnsi="Times New Roman" w:cs="Times New Roman"/>
          <w:szCs w:val="22"/>
        </w:rPr>
        <w:t>4</w:t>
      </w:r>
      <w:r>
        <w:rPr>
          <w:rFonts w:ascii="Times New Roman" w:hAnsi="Times New Roman" w:cs="Times New Roman"/>
          <w:bCs/>
          <w:color w:val="000000"/>
          <w:szCs w:val="22"/>
        </w:rPr>
        <w:t>% perorálnu suspenziu počas jedla.</w:t>
      </w:r>
    </w:p>
    <w:p w14:paraId="73183DC1" w14:textId="77777777" w:rsidR="00BF38D4" w:rsidRPr="0023414B" w:rsidRDefault="00BF38D4">
      <w:pPr>
        <w:ind w:right="-2"/>
        <w:rPr>
          <w:rFonts w:ascii="Times New Roman" w:hAnsi="Times New Roman" w:cs="Times New Roman"/>
          <w:bCs/>
          <w:szCs w:val="22"/>
        </w:rPr>
      </w:pPr>
    </w:p>
    <w:p w14:paraId="0405F733" w14:textId="77777777" w:rsidR="00BF38D4" w:rsidRPr="0023414B" w:rsidRDefault="00BF38D4">
      <w:pPr>
        <w:pStyle w:val="knZulassung02"/>
        <w:ind w:left="0"/>
        <w:rPr>
          <w:rFonts w:ascii="Times New Roman" w:hAnsi="Times New Roman" w:cs="Times New Roman"/>
          <w:sz w:val="22"/>
          <w:szCs w:val="22"/>
          <w:lang w:val="sk-SK"/>
        </w:rPr>
      </w:pPr>
    </w:p>
    <w:p w14:paraId="73E90A29" w14:textId="77777777" w:rsidR="00BF38D4" w:rsidRPr="0023414B" w:rsidRDefault="00F960EB">
      <w:pPr>
        <w:ind w:left="360"/>
        <w:rPr>
          <w:rFonts w:ascii="Times New Roman" w:hAnsi="Times New Roman" w:cs="Times New Roman"/>
          <w:szCs w:val="22"/>
        </w:rPr>
      </w:pPr>
      <w:r w:rsidRPr="0023414B">
        <w:rPr>
          <w:rFonts w:ascii="Times New Roman" w:hAnsi="Times New Roman" w:cs="Times New Roman"/>
          <w:noProof/>
          <w:szCs w:val="22"/>
          <w:lang w:eastAsia="sk-SK"/>
        </w:rPr>
        <w:drawing>
          <wp:inline distT="0" distB="0" distL="0" distR="0" wp14:anchorId="0920A0E4" wp14:editId="43C8F4F0">
            <wp:extent cx="2133600" cy="2143125"/>
            <wp:effectExtent l="0" t="0" r="0" b="9525"/>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solidFill>
                      <a:srgbClr val="FFFFFF"/>
                    </a:solidFill>
                    <a:ln>
                      <a:noFill/>
                    </a:ln>
                  </pic:spPr>
                </pic:pic>
              </a:graphicData>
            </a:graphic>
          </wp:inline>
        </w:drawing>
      </w:r>
    </w:p>
    <w:p w14:paraId="4E37AE4C" w14:textId="77777777" w:rsidR="00BF38D4" w:rsidRPr="0023414B" w:rsidRDefault="00BF38D4">
      <w:pPr>
        <w:ind w:left="360"/>
        <w:rPr>
          <w:rFonts w:ascii="Times New Roman" w:hAnsi="Times New Roman" w:cs="Times New Roman"/>
          <w:szCs w:val="22"/>
        </w:rPr>
      </w:pPr>
    </w:p>
    <w:p w14:paraId="4926668F" w14:textId="77777777"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Pred použitím pretrepte fľaštičku.</w:t>
      </w:r>
    </w:p>
    <w:p w14:paraId="61396AB1" w14:textId="77777777"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 otvorenie fľaštičky stlačte uzáver dolu a odskrutkujte ho smerom označeným šípkou.</w:t>
      </w:r>
    </w:p>
    <w:p w14:paraId="72BEF3F8" w14:textId="77777777"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Vložte dávkovaciu striekačku do otvoru fľaštičky.</w:t>
      </w:r>
    </w:p>
    <w:p w14:paraId="22A271F9" w14:textId="77777777"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Obráťte fľaštičku hore dnom držiac dávkovaciu striekačku v otvore fľaštičky a opatrne potiahnite piest až po značku požadovaného objemu.</w:t>
      </w:r>
    </w:p>
    <w:p w14:paraId="4CFB211E" w14:textId="77777777"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Obráťte fľaštičku naspäť a opatrným krútením uvoľnite striekačku z hrdla fľaštičky.</w:t>
      </w:r>
    </w:p>
    <w:p w14:paraId="5932568F" w14:textId="77777777"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 podanie suspenzie koniec striekačky vložte do úst dieťaťa a jemným tlakom zatlačte piest späť do striekačky. Prispôsobte, prosím, rýchlosť prehĺtaniu dieťaťa.</w:t>
      </w:r>
    </w:p>
    <w:p w14:paraId="7B2FA3E8" w14:textId="77777777" w:rsidR="00BF38D4" w:rsidRPr="0023414B" w:rsidRDefault="00BF38D4">
      <w:pPr>
        <w:rPr>
          <w:rFonts w:ascii="Times New Roman" w:hAnsi="Times New Roman" w:cs="Times New Roman"/>
          <w:szCs w:val="22"/>
        </w:rPr>
      </w:pPr>
    </w:p>
    <w:p w14:paraId="6DAFF410"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Po použití uzatvorte fľaštičku. Vytiahnite piest zo striekačky, umyte piest aj striekačku v teplej vode a nechajte vyschnúť. Uchovávajte striekačku mimo dosahu detí.</w:t>
      </w:r>
    </w:p>
    <w:p w14:paraId="12330286" w14:textId="77777777" w:rsidR="00BF38D4" w:rsidRPr="0023414B" w:rsidRDefault="00BF38D4">
      <w:pPr>
        <w:pStyle w:val="knZulassung02"/>
        <w:ind w:left="0"/>
        <w:rPr>
          <w:rFonts w:ascii="Times New Roman" w:hAnsi="Times New Roman" w:cs="Times New Roman"/>
          <w:sz w:val="22"/>
          <w:szCs w:val="22"/>
          <w:lang w:val="sk-SK"/>
        </w:rPr>
      </w:pPr>
    </w:p>
    <w:p w14:paraId="49F49A22"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máte pocit, že účinok MIG 4% perorálnej suspenzie je príliš silný alebo príliš slabý, oznámte to svojmu lekárovi.</w:t>
      </w:r>
    </w:p>
    <w:p w14:paraId="47C9E0D2" w14:textId="77777777" w:rsidR="00BF38D4" w:rsidRPr="0023414B" w:rsidRDefault="00BF38D4">
      <w:pPr>
        <w:keepNext/>
        <w:keepLines/>
        <w:tabs>
          <w:tab w:val="left" w:pos="-1440"/>
          <w:tab w:val="left" w:pos="-720"/>
          <w:tab w:val="left" w:pos="288"/>
          <w:tab w:val="left" w:pos="1584"/>
        </w:tabs>
        <w:ind w:right="-1"/>
        <w:rPr>
          <w:rFonts w:ascii="Times New Roman" w:hAnsi="Times New Roman" w:cs="Times New Roman"/>
          <w:szCs w:val="22"/>
        </w:rPr>
      </w:pPr>
    </w:p>
    <w:p w14:paraId="26C2A34B" w14:textId="77777777" w:rsidR="00BF38D4" w:rsidRPr="0023414B" w:rsidRDefault="00234B9D">
      <w:pPr>
        <w:keepNext/>
        <w:keepLines/>
        <w:tabs>
          <w:tab w:val="left" w:pos="-1440"/>
          <w:tab w:val="left" w:pos="-720"/>
          <w:tab w:val="left" w:pos="288"/>
          <w:tab w:val="left" w:pos="1584"/>
        </w:tabs>
        <w:ind w:right="-1"/>
        <w:rPr>
          <w:rFonts w:ascii="Times New Roman" w:hAnsi="Times New Roman" w:cs="Times New Roman"/>
          <w:szCs w:val="22"/>
        </w:rPr>
      </w:pPr>
      <w:r>
        <w:rPr>
          <w:rFonts w:ascii="Times New Roman" w:hAnsi="Times New Roman" w:cs="Times New Roman"/>
          <w:szCs w:val="22"/>
          <w:u w:val="single"/>
        </w:rPr>
        <w:t xml:space="preserve">Trvanie liečby  </w:t>
      </w:r>
    </w:p>
    <w:p w14:paraId="13FF4745" w14:textId="77777777" w:rsidR="00BF38D4" w:rsidRPr="0023414B" w:rsidRDefault="00234B9D">
      <w:pPr>
        <w:tabs>
          <w:tab w:val="left" w:pos="851"/>
        </w:tabs>
        <w:spacing w:line="240" w:lineRule="exact"/>
        <w:rPr>
          <w:rFonts w:ascii="Times New Roman" w:hAnsi="Times New Roman" w:cs="Times New Roman"/>
          <w:szCs w:val="22"/>
        </w:rPr>
      </w:pPr>
      <w:r>
        <w:rPr>
          <w:rFonts w:ascii="Times New Roman" w:hAnsi="Times New Roman" w:cs="Times New Roman"/>
          <w:szCs w:val="22"/>
        </w:rPr>
        <w:t>Len na krátkodobé použitie.</w:t>
      </w:r>
    </w:p>
    <w:p w14:paraId="435DDF6F" w14:textId="77777777" w:rsidR="00BF38D4" w:rsidRPr="0023414B" w:rsidRDefault="00BF38D4">
      <w:pPr>
        <w:tabs>
          <w:tab w:val="left" w:pos="851"/>
        </w:tabs>
        <w:spacing w:line="240" w:lineRule="exact"/>
        <w:rPr>
          <w:rFonts w:ascii="Times New Roman" w:hAnsi="Times New Roman" w:cs="Times New Roman"/>
          <w:szCs w:val="22"/>
        </w:rPr>
      </w:pPr>
    </w:p>
    <w:p w14:paraId="0351761A" w14:textId="77777777" w:rsidR="00BF38D4" w:rsidRPr="0023414B" w:rsidRDefault="00234B9D">
      <w:pPr>
        <w:tabs>
          <w:tab w:val="left" w:pos="851"/>
        </w:tabs>
        <w:spacing w:line="240" w:lineRule="exact"/>
        <w:rPr>
          <w:rStyle w:val="hps"/>
          <w:rFonts w:ascii="Times New Roman" w:hAnsi="Times New Roman" w:cs="Times New Roman"/>
          <w:color w:val="222222"/>
          <w:szCs w:val="22"/>
        </w:rPr>
      </w:pPr>
      <w:r>
        <w:rPr>
          <w:rStyle w:val="hps"/>
          <w:rFonts w:ascii="Times New Roman" w:hAnsi="Times New Roman" w:cs="Times New Roman"/>
          <w:color w:val="222222"/>
          <w:szCs w:val="22"/>
        </w:rPr>
        <w:t>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u</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detí</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dospievajúcich</w:t>
      </w:r>
      <w:r>
        <w:rPr>
          <w:rFonts w:ascii="Times New Roman" w:hAnsi="Times New Roman" w:cs="Times New Roman"/>
          <w:color w:val="222222"/>
          <w:szCs w:val="22"/>
        </w:rPr>
        <w:t xml:space="preserve"> je potrebné užívať liek dlhšie ako 3 dni alebo sa </w:t>
      </w:r>
      <w:r>
        <w:rPr>
          <w:rStyle w:val="hps"/>
          <w:rFonts w:ascii="Times New Roman" w:hAnsi="Times New Roman" w:cs="Times New Roman"/>
          <w:color w:val="222222"/>
          <w:szCs w:val="22"/>
        </w:rPr>
        <w:t>príznaky zhoršia,</w:t>
      </w:r>
      <w:r>
        <w:rPr>
          <w:rFonts w:ascii="Times New Roman" w:hAnsi="Times New Roman" w:cs="Times New Roman"/>
          <w:color w:val="222222"/>
          <w:szCs w:val="22"/>
        </w:rPr>
        <w:t xml:space="preserve"> je potrebné poradiť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 xml:space="preserve">s lekárom. </w:t>
      </w:r>
    </w:p>
    <w:p w14:paraId="672C6F93" w14:textId="77777777" w:rsidR="00BF38D4" w:rsidRPr="0023414B" w:rsidRDefault="00234B9D">
      <w:pPr>
        <w:tabs>
          <w:tab w:val="left" w:pos="851"/>
        </w:tabs>
        <w:spacing w:line="240" w:lineRule="exact"/>
        <w:rPr>
          <w:rFonts w:ascii="Times New Roman" w:hAnsi="Times New Roman" w:cs="Times New Roman"/>
          <w:szCs w:val="22"/>
        </w:rPr>
      </w:pPr>
      <w:r>
        <w:rPr>
          <w:rStyle w:val="hps"/>
          <w:rFonts w:ascii="Times New Roman" w:hAnsi="Times New Roman" w:cs="Times New Roman"/>
          <w:color w:val="222222"/>
          <w:szCs w:val="22"/>
        </w:rPr>
        <w:t>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u dospelých</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príznaky</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zhoršia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alebo 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je tento liek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nutné pou</w:t>
      </w:r>
      <w:r>
        <w:rPr>
          <w:rFonts w:ascii="Times New Roman" w:hAnsi="Times New Roman" w:cs="Times New Roman"/>
          <w:szCs w:val="22"/>
        </w:rPr>
        <w:t>ž</w:t>
      </w:r>
      <w:r>
        <w:rPr>
          <w:rStyle w:val="hps"/>
          <w:rFonts w:ascii="Times New Roman" w:hAnsi="Times New Roman" w:cs="Times New Roman"/>
          <w:color w:val="222222"/>
          <w:szCs w:val="22"/>
        </w:rPr>
        <w:t>ívať</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viac</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ako 3 dni</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prípade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horúčky</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alebo</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viac</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ako 4 dni</w:t>
      </w:r>
      <w:r>
        <w:rPr>
          <w:rFonts w:ascii="Times New Roman" w:hAnsi="Times New Roman" w:cs="Times New Roman"/>
          <w:color w:val="222222"/>
          <w:szCs w:val="22"/>
        </w:rPr>
        <w:t xml:space="preserve"> pri</w:t>
      </w:r>
      <w:r>
        <w:rPr>
          <w:rStyle w:val="hps"/>
          <w:rFonts w:ascii="Times New Roman" w:hAnsi="Times New Roman" w:cs="Times New Roman"/>
          <w:color w:val="222222"/>
          <w:szCs w:val="22"/>
        </w:rPr>
        <w:t xml:space="preserve"> liečbe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bolesti</w:t>
      </w:r>
      <w:r>
        <w:rPr>
          <w:rFonts w:ascii="Times New Roman" w:hAnsi="Times New Roman" w:cs="Times New Roman"/>
          <w:color w:val="222222"/>
          <w:szCs w:val="22"/>
        </w:rPr>
        <w:t xml:space="preserve">, je potrebné poradiť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 lekárom</w:t>
      </w:r>
      <w:r>
        <w:rPr>
          <w:rFonts w:ascii="Times New Roman" w:hAnsi="Times New Roman" w:cs="Times New Roman"/>
          <w:color w:val="222222"/>
          <w:szCs w:val="22"/>
        </w:rPr>
        <w:t>.</w:t>
      </w:r>
    </w:p>
    <w:p w14:paraId="2EC15A15" w14:textId="77777777" w:rsidR="00BF38D4" w:rsidRPr="0023414B" w:rsidRDefault="00BF38D4">
      <w:pPr>
        <w:pStyle w:val="knZulassung02"/>
        <w:ind w:left="0"/>
        <w:rPr>
          <w:rFonts w:ascii="Times New Roman" w:hAnsi="Times New Roman" w:cs="Times New Roman"/>
          <w:sz w:val="22"/>
          <w:szCs w:val="22"/>
          <w:lang w:val="sk-SK"/>
        </w:rPr>
      </w:pPr>
    </w:p>
    <w:p w14:paraId="4AA9B5E3" w14:textId="77777777" w:rsidR="00BF38D4" w:rsidRPr="0023414B" w:rsidRDefault="00234B9D">
      <w:pPr>
        <w:keepNext/>
        <w:keepLines/>
        <w:tabs>
          <w:tab w:val="left" w:pos="-1440"/>
          <w:tab w:val="left" w:pos="-720"/>
        </w:tabs>
        <w:rPr>
          <w:rFonts w:ascii="Times New Roman" w:hAnsi="Times New Roman" w:cs="Times New Roman"/>
          <w:szCs w:val="22"/>
        </w:rPr>
      </w:pPr>
      <w:r>
        <w:rPr>
          <w:rFonts w:ascii="Times New Roman" w:hAnsi="Times New Roman" w:cs="Times New Roman"/>
          <w:b/>
          <w:szCs w:val="22"/>
        </w:rPr>
        <w:lastRenderedPageBreak/>
        <w:t>Ak užijete viac MIG 4% perorálnej suspenzie, ako máte</w:t>
      </w:r>
    </w:p>
    <w:p w14:paraId="6BB3B2A2" w14:textId="77777777" w:rsidR="00BF38D4" w:rsidRPr="0023414B" w:rsidRDefault="00BF38D4">
      <w:pPr>
        <w:pStyle w:val="knZulassung02"/>
        <w:ind w:left="0"/>
        <w:rPr>
          <w:rFonts w:ascii="Times New Roman" w:hAnsi="Times New Roman" w:cs="Times New Roman"/>
          <w:sz w:val="22"/>
          <w:szCs w:val="22"/>
          <w:lang w:val="sk-SK"/>
        </w:rPr>
      </w:pPr>
    </w:p>
    <w:p w14:paraId="67D8E3A4" w14:textId="77777777" w:rsidR="0046146A" w:rsidRPr="00BA47CF" w:rsidRDefault="007B51D8">
      <w:pPr>
        <w:pStyle w:val="knZulassung02"/>
        <w:ind w:left="0"/>
        <w:rPr>
          <w:rFonts w:ascii="Times New Roman" w:hAnsi="Times New Roman" w:cs="Times New Roman"/>
          <w:sz w:val="22"/>
          <w:szCs w:val="22"/>
          <w:lang w:val="sk-SK"/>
        </w:rPr>
      </w:pPr>
      <w:r w:rsidRPr="00BA47CF">
        <w:rPr>
          <w:rFonts w:ascii="Times New Roman" w:hAnsi="Times New Roman" w:cs="Times New Roman"/>
          <w:sz w:val="22"/>
          <w:szCs w:val="22"/>
          <w:lang w:val="sk-SK"/>
        </w:rPr>
        <w:t xml:space="preserve">Ak ste </w:t>
      </w:r>
      <w:r w:rsidR="00441270" w:rsidRPr="00BA47CF">
        <w:rPr>
          <w:rFonts w:ascii="Times New Roman" w:hAnsi="Times New Roman" w:cs="Times New Roman"/>
          <w:sz w:val="22"/>
          <w:szCs w:val="22"/>
          <w:lang w:val="sk-SK"/>
        </w:rPr>
        <w:t>podali</w:t>
      </w:r>
      <w:r w:rsidRPr="00BA47CF">
        <w:rPr>
          <w:rFonts w:ascii="Times New Roman" w:hAnsi="Times New Roman" w:cs="Times New Roman"/>
          <w:sz w:val="22"/>
          <w:szCs w:val="22"/>
          <w:lang w:val="sk-SK"/>
        </w:rPr>
        <w:t xml:space="preserve"> väčšie množstvo lieku MIG 4% perorálnej suspenzie ako ste mali, alebo ak deti náhodne užili liek, vždy kontaktujte lekára alebo najbližšiu nemocnicu aby ste získali informáciu, či liek predstavuje riziko a poradiť sa, čo treba robiť.</w:t>
      </w:r>
    </w:p>
    <w:p w14:paraId="06A1EEE9" w14:textId="77777777" w:rsidR="0046146A" w:rsidRPr="00BA47CF" w:rsidRDefault="007B51D8">
      <w:pPr>
        <w:pStyle w:val="knZulassung02"/>
        <w:ind w:left="0"/>
        <w:rPr>
          <w:rStyle w:val="hps"/>
          <w:rFonts w:ascii="Times New Roman" w:hAnsi="Times New Roman" w:cs="Times New Roman"/>
          <w:color w:val="222222"/>
          <w:sz w:val="22"/>
          <w:szCs w:val="22"/>
          <w:lang w:val="sk-SK"/>
        </w:rPr>
      </w:pPr>
      <w:r w:rsidRPr="00BA47CF">
        <w:rPr>
          <w:rFonts w:ascii="Times New Roman" w:hAnsi="Times New Roman" w:cs="Times New Roman"/>
          <w:sz w:val="22"/>
          <w:szCs w:val="22"/>
          <w:lang w:val="sk-SK"/>
        </w:rPr>
        <w:t>Príznaky môžu zahŕňať nevoľnosť, bolesť brucha, vracanie (môže byť spojené s prítomnosťou krvi), bolesť hlavy, zvonenie v ušiach, zmätenosť a kmitavý pohyb očí. Pri vysokých dávkach boli hlásené ospalosť, bolesť v hrudi, búšenie srdca, strata vedomia, kŕče (hlavne u detí), slabosť a závraty, krv v moči, pocit chladu v tele a problémy s dýchaním.</w:t>
      </w:r>
    </w:p>
    <w:p w14:paraId="0D571C71" w14:textId="77777777" w:rsidR="0046146A" w:rsidRPr="005F2108" w:rsidRDefault="0046146A">
      <w:pPr>
        <w:pStyle w:val="knZulassung02"/>
        <w:ind w:left="0"/>
        <w:rPr>
          <w:rStyle w:val="hps"/>
          <w:rFonts w:ascii="Times New Roman" w:hAnsi="Times New Roman" w:cs="Times New Roman"/>
          <w:color w:val="222222"/>
          <w:sz w:val="22"/>
          <w:szCs w:val="22"/>
          <w:lang w:val="sk-SK"/>
        </w:rPr>
      </w:pPr>
    </w:p>
    <w:p w14:paraId="61EACC94" w14:textId="77777777" w:rsidR="00BF38D4" w:rsidRPr="0023414B" w:rsidRDefault="005B7965">
      <w:pPr>
        <w:pStyle w:val="knZulassung02"/>
        <w:ind w:left="0"/>
        <w:rPr>
          <w:rFonts w:ascii="Times New Roman" w:hAnsi="Times New Roman" w:cs="Times New Roman"/>
          <w:sz w:val="22"/>
          <w:szCs w:val="22"/>
          <w:lang w:val="sk-SK"/>
        </w:rPr>
      </w:pPr>
      <w:r w:rsidRPr="0023414B">
        <w:rPr>
          <w:rStyle w:val="hps"/>
          <w:rFonts w:ascii="Times New Roman" w:hAnsi="Times New Roman" w:cs="Times New Roman"/>
          <w:color w:val="222222"/>
          <w:sz w:val="22"/>
          <w:szCs w:val="22"/>
          <w:lang w:val="sk-SK"/>
        </w:rPr>
        <w:t>Presta</w:t>
      </w:r>
      <w:r w:rsidRPr="0023414B">
        <w:rPr>
          <w:rFonts w:ascii="Times New Roman" w:hAnsi="Times New Roman" w:cs="Times New Roman"/>
          <w:sz w:val="22"/>
          <w:szCs w:val="22"/>
          <w:lang w:val="sk-SK"/>
        </w:rPr>
        <w:t>ňte</w:t>
      </w:r>
      <w:r w:rsidRPr="0023414B">
        <w:rPr>
          <w:rFonts w:ascii="Times New Roman" w:hAnsi="Times New Roman" w:cs="Times New Roman"/>
          <w:color w:val="222222"/>
          <w:sz w:val="22"/>
          <w:szCs w:val="22"/>
          <w:lang w:val="sk-SK"/>
        </w:rPr>
        <w:t xml:space="preserve"> užívať </w:t>
      </w:r>
      <w:r w:rsidR="00234B9D">
        <w:rPr>
          <w:rStyle w:val="hps"/>
          <w:rFonts w:ascii="Times New Roman" w:hAnsi="Times New Roman" w:cs="Times New Roman"/>
          <w:color w:val="222222"/>
          <w:sz w:val="22"/>
          <w:szCs w:val="22"/>
          <w:lang w:val="sk-SK"/>
        </w:rPr>
        <w:t>ibuprofén</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 navštívte lekára</w:t>
      </w:r>
      <w:r w:rsidR="00234B9D">
        <w:rPr>
          <w:rFonts w:ascii="Times New Roman" w:hAnsi="Times New Roman" w:cs="Times New Roman"/>
          <w:color w:val="222222"/>
          <w:sz w:val="22"/>
          <w:szCs w:val="22"/>
          <w:lang w:val="sk-SK"/>
        </w:rPr>
        <w:t xml:space="preserve">, ak spozorujete </w:t>
      </w:r>
      <w:r w:rsidR="00234B9D">
        <w:rPr>
          <w:rStyle w:val="hps"/>
          <w:rFonts w:ascii="Times New Roman" w:hAnsi="Times New Roman" w:cs="Times New Roman"/>
          <w:color w:val="222222"/>
          <w:sz w:val="22"/>
          <w:szCs w:val="22"/>
          <w:lang w:val="sk-SK"/>
        </w:rPr>
        <w:t>akékoľvek</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príznaky predávkovania ako</w:t>
      </w:r>
      <w:r w:rsidR="00234B9D">
        <w:rPr>
          <w:rFonts w:ascii="Times New Roman" w:hAnsi="Times New Roman" w:cs="Times New Roman"/>
          <w:color w:val="222222"/>
          <w:sz w:val="22"/>
          <w:szCs w:val="22"/>
          <w:lang w:val="sk-SK"/>
        </w:rPr>
        <w:t xml:space="preserve"> sú </w:t>
      </w:r>
      <w:r w:rsidR="00234B9D">
        <w:rPr>
          <w:rStyle w:val="hps"/>
          <w:rFonts w:ascii="Times New Roman" w:hAnsi="Times New Roman" w:cs="Times New Roman"/>
          <w:color w:val="222222"/>
          <w:sz w:val="22"/>
          <w:szCs w:val="22"/>
          <w:lang w:val="sk-SK"/>
        </w:rPr>
        <w:t>bolesti</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hlavy,</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závraty, točenie hlavy</w:t>
      </w:r>
      <w:r w:rsidR="00234B9D">
        <w:rPr>
          <w:rFonts w:ascii="Times New Roman" w:hAnsi="Times New Roman" w:cs="Times New Roman"/>
          <w:color w:val="222222"/>
          <w:sz w:val="22"/>
          <w:szCs w:val="22"/>
          <w:lang w:val="sk-SK"/>
        </w:rPr>
        <w:t xml:space="preserve">, bezvedomie </w:t>
      </w:r>
      <w:r w:rsidR="00234B9D">
        <w:rPr>
          <w:rStyle w:val="hps"/>
          <w:rFonts w:ascii="Times New Roman" w:hAnsi="Times New Roman" w:cs="Times New Roman"/>
          <w:color w:val="222222"/>
          <w:sz w:val="22"/>
          <w:szCs w:val="22"/>
          <w:lang w:val="sk-SK"/>
        </w:rPr>
        <w:t>(u detí aj záchvaty</w:t>
      </w:r>
      <w:r w:rsidR="00234B9D">
        <w:rPr>
          <w:rFonts w:ascii="Times New Roman" w:hAnsi="Times New Roman" w:cs="Times New Roman"/>
          <w:color w:val="222222"/>
          <w:sz w:val="22"/>
          <w:szCs w:val="22"/>
          <w:lang w:val="sk-SK"/>
        </w:rPr>
        <w:t xml:space="preserve">), bolesť </w:t>
      </w:r>
      <w:r w:rsidR="00234B9D">
        <w:rPr>
          <w:rStyle w:val="hps"/>
          <w:rFonts w:ascii="Times New Roman" w:hAnsi="Times New Roman" w:cs="Times New Roman"/>
          <w:color w:val="222222"/>
          <w:sz w:val="22"/>
          <w:szCs w:val="22"/>
          <w:lang w:val="sk-SK"/>
        </w:rPr>
        <w:t>brucha</w:t>
      </w:r>
      <w:r w:rsidR="00234B9D">
        <w:rPr>
          <w:rFonts w:ascii="Times New Roman" w:hAnsi="Times New Roman" w:cs="Times New Roman"/>
          <w:color w:val="222222"/>
          <w:sz w:val="22"/>
          <w:szCs w:val="22"/>
          <w:lang w:val="sk-SK"/>
        </w:rPr>
        <w:t xml:space="preserve">, nevoľnosť </w:t>
      </w:r>
      <w:r w:rsidR="00234B9D">
        <w:rPr>
          <w:rStyle w:val="hps"/>
          <w:rFonts w:ascii="Times New Roman" w:hAnsi="Times New Roman" w:cs="Times New Roman"/>
          <w:color w:val="222222"/>
          <w:sz w:val="22"/>
          <w:szCs w:val="22"/>
          <w:lang w:val="sk-SK"/>
        </w:rPr>
        <w:t>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vracanie, krvácanie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v</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žalúdočno-črevnom trakte</w:t>
      </w:r>
      <w:r w:rsidR="00234B9D">
        <w:rPr>
          <w:rFonts w:ascii="Times New Roman" w:hAnsi="Times New Roman" w:cs="Times New Roman"/>
          <w:color w:val="222222"/>
          <w:sz w:val="22"/>
          <w:szCs w:val="22"/>
          <w:lang w:val="sk-SK"/>
        </w:rPr>
        <w:t xml:space="preserve">, poškodenie funkcie pečene </w:t>
      </w:r>
      <w:r w:rsidR="00234B9D">
        <w:rPr>
          <w:rStyle w:val="hps"/>
          <w:rFonts w:ascii="Times New Roman" w:hAnsi="Times New Roman" w:cs="Times New Roman"/>
          <w:color w:val="222222"/>
          <w:sz w:val="22"/>
          <w:szCs w:val="22"/>
          <w:lang w:val="sk-SK"/>
        </w:rPr>
        <w:t>a obličiek</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pokles krvného</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tlaku</w:t>
      </w:r>
      <w:r w:rsidR="00234B9D">
        <w:rPr>
          <w:rFonts w:ascii="Times New Roman" w:hAnsi="Times New Roman" w:cs="Times New Roman"/>
          <w:color w:val="222222"/>
          <w:sz w:val="22"/>
          <w:szCs w:val="22"/>
          <w:lang w:val="sk-SK"/>
        </w:rPr>
        <w:t xml:space="preserve">, sťažené </w:t>
      </w:r>
      <w:r w:rsidR="00234B9D">
        <w:rPr>
          <w:rStyle w:val="hps"/>
          <w:rFonts w:ascii="Times New Roman" w:hAnsi="Times New Roman" w:cs="Times New Roman"/>
          <w:color w:val="222222"/>
          <w:sz w:val="22"/>
          <w:szCs w:val="22"/>
          <w:lang w:val="sk-SK"/>
        </w:rPr>
        <w:t>dýchanie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w:t>
      </w:r>
      <w:r w:rsidR="00234B9D">
        <w:rPr>
          <w:rFonts w:ascii="Times New Roman" w:hAnsi="Times New Roman" w:cs="Times New Roman"/>
          <w:color w:val="222222"/>
          <w:sz w:val="22"/>
          <w:szCs w:val="22"/>
          <w:lang w:val="sk-SK"/>
        </w:rPr>
        <w:t xml:space="preserve">respiračná </w:t>
      </w:r>
      <w:r w:rsidR="00234B9D">
        <w:rPr>
          <w:rStyle w:val="hps"/>
          <w:rFonts w:ascii="Times New Roman" w:hAnsi="Times New Roman" w:cs="Times New Roman"/>
          <w:color w:val="222222"/>
          <w:sz w:val="22"/>
          <w:szCs w:val="22"/>
          <w:lang w:val="sk-SK"/>
        </w:rPr>
        <w:t>depresia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alebo</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cyanóza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w:t>
      </w:r>
      <w:r w:rsidR="00234B9D">
        <w:rPr>
          <w:rFonts w:ascii="Times New Roman" w:hAnsi="Times New Roman" w:cs="Times New Roman"/>
          <w:color w:val="222222"/>
          <w:sz w:val="22"/>
          <w:szCs w:val="22"/>
          <w:lang w:val="sk-SK"/>
        </w:rPr>
        <w:t xml:space="preserve">modravé </w:t>
      </w:r>
      <w:r w:rsidR="00234B9D">
        <w:rPr>
          <w:rStyle w:val="hps"/>
          <w:rFonts w:ascii="Times New Roman" w:hAnsi="Times New Roman" w:cs="Times New Roman"/>
          <w:color w:val="222222"/>
          <w:sz w:val="22"/>
          <w:szCs w:val="22"/>
          <w:lang w:val="sk-SK"/>
        </w:rPr>
        <w:t>sfarbenie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pier</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alebo kože</w:t>
      </w:r>
      <w:r w:rsidR="00234B9D">
        <w:rPr>
          <w:rFonts w:ascii="Times New Roman" w:hAnsi="Times New Roman" w:cs="Times New Roman"/>
          <w:color w:val="222222"/>
          <w:sz w:val="22"/>
          <w:szCs w:val="22"/>
          <w:lang w:val="sk-SK"/>
        </w:rPr>
        <w:t>).</w:t>
      </w:r>
    </w:p>
    <w:p w14:paraId="07B72615" w14:textId="77777777" w:rsidR="00BF38D4" w:rsidRPr="0023414B" w:rsidRDefault="00BF38D4">
      <w:pPr>
        <w:pStyle w:val="knZulassung02"/>
        <w:ind w:left="0"/>
        <w:rPr>
          <w:rFonts w:ascii="Times New Roman" w:hAnsi="Times New Roman" w:cs="Times New Roman"/>
          <w:sz w:val="22"/>
          <w:szCs w:val="22"/>
          <w:lang w:val="sk-SK"/>
        </w:rPr>
      </w:pPr>
    </w:p>
    <w:p w14:paraId="183C9EB7" w14:textId="77777777" w:rsidR="00BF38D4" w:rsidRPr="0023414B" w:rsidRDefault="00234B9D">
      <w:pPr>
        <w:tabs>
          <w:tab w:val="left" w:pos="-1440"/>
          <w:tab w:val="left" w:pos="-720"/>
        </w:tabs>
        <w:rPr>
          <w:rFonts w:ascii="Times New Roman" w:hAnsi="Times New Roman" w:cs="Times New Roman"/>
          <w:szCs w:val="22"/>
        </w:rPr>
      </w:pPr>
      <w:r>
        <w:rPr>
          <w:rFonts w:ascii="Times New Roman" w:hAnsi="Times New Roman" w:cs="Times New Roman"/>
          <w:b/>
          <w:szCs w:val="22"/>
        </w:rPr>
        <w:t xml:space="preserve">Ak zabudnete užiť </w:t>
      </w:r>
      <w:r>
        <w:rPr>
          <w:rFonts w:ascii="Times New Roman" w:hAnsi="Times New Roman" w:cs="Times New Roman"/>
          <w:b/>
          <w:bCs/>
          <w:szCs w:val="22"/>
        </w:rPr>
        <w:t>MIG 4% perorálnu suspenziu</w:t>
      </w:r>
    </w:p>
    <w:p w14:paraId="68A196F6" w14:textId="77777777" w:rsidR="00BF38D4" w:rsidRPr="0023414B" w:rsidRDefault="00BF38D4">
      <w:pPr>
        <w:ind w:right="-2"/>
        <w:rPr>
          <w:rFonts w:ascii="Times New Roman" w:hAnsi="Times New Roman" w:cs="Times New Roman"/>
          <w:szCs w:val="22"/>
        </w:rPr>
      </w:pPr>
    </w:p>
    <w:p w14:paraId="1A295C52" w14:textId="77777777" w:rsidR="00BF38D4" w:rsidRPr="0023414B" w:rsidRDefault="00234B9D">
      <w:pPr>
        <w:ind w:right="-2"/>
        <w:rPr>
          <w:rFonts w:ascii="Times New Roman" w:hAnsi="Times New Roman" w:cs="Times New Roman"/>
          <w:szCs w:val="22"/>
        </w:rPr>
      </w:pPr>
      <w:r>
        <w:rPr>
          <w:rFonts w:ascii="Times New Roman" w:hAnsi="Times New Roman" w:cs="Times New Roman"/>
          <w:szCs w:val="22"/>
        </w:rPr>
        <w:t>Neužívajte dvojnásobnú dávku, aby ste nahradili vynechanú dávku.</w:t>
      </w:r>
    </w:p>
    <w:p w14:paraId="3FC7806B" w14:textId="77777777" w:rsidR="00BF38D4" w:rsidRPr="0023414B" w:rsidRDefault="00BF38D4">
      <w:pPr>
        <w:ind w:right="-2"/>
        <w:rPr>
          <w:rFonts w:ascii="Times New Roman" w:hAnsi="Times New Roman" w:cs="Times New Roman"/>
          <w:szCs w:val="22"/>
        </w:rPr>
      </w:pPr>
    </w:p>
    <w:p w14:paraId="63965F69" w14:textId="77777777" w:rsidR="00BF38D4" w:rsidRPr="0023414B" w:rsidRDefault="005B7965">
      <w:pPr>
        <w:ind w:right="-2"/>
        <w:rPr>
          <w:rFonts w:ascii="Times New Roman" w:hAnsi="Times New Roman" w:cs="Times New Roman"/>
          <w:szCs w:val="22"/>
        </w:rPr>
      </w:pPr>
      <w:r w:rsidRPr="0023414B">
        <w:rPr>
          <w:rFonts w:ascii="Times New Roman" w:hAnsi="Times New Roman" w:cs="Times New Roman"/>
          <w:szCs w:val="22"/>
        </w:rPr>
        <w:t>Ak máte akékoľvek ďalšie otázky týkajúce sa použitia tohto lieku, opýtajte sa svojho lekára alebo lekárnika.</w:t>
      </w:r>
    </w:p>
    <w:p w14:paraId="1AD7377B" w14:textId="77777777" w:rsidR="00BF38D4" w:rsidRPr="0023414B" w:rsidRDefault="00BF38D4">
      <w:pPr>
        <w:pStyle w:val="knZulassung01"/>
        <w:ind w:left="0" w:firstLine="0"/>
        <w:rPr>
          <w:rFonts w:ascii="Times New Roman" w:hAnsi="Times New Roman" w:cs="Times New Roman"/>
          <w:sz w:val="22"/>
          <w:szCs w:val="22"/>
          <w:lang w:val="sk-SK"/>
        </w:rPr>
      </w:pPr>
    </w:p>
    <w:p w14:paraId="4D783895" w14:textId="77777777" w:rsidR="00BF38D4" w:rsidRPr="0023414B" w:rsidRDefault="00BF38D4">
      <w:pPr>
        <w:pStyle w:val="knZulassung01"/>
        <w:ind w:left="0" w:firstLine="0"/>
        <w:rPr>
          <w:rFonts w:ascii="Times New Roman" w:hAnsi="Times New Roman" w:cs="Times New Roman"/>
          <w:sz w:val="22"/>
          <w:szCs w:val="22"/>
          <w:lang w:val="sk-SK"/>
        </w:rPr>
      </w:pPr>
    </w:p>
    <w:p w14:paraId="181F903C" w14:textId="77777777" w:rsidR="00BF38D4" w:rsidRPr="0023414B" w:rsidRDefault="00234B9D">
      <w:pPr>
        <w:pStyle w:val="knZulassung01"/>
        <w:ind w:left="540" w:hanging="540"/>
        <w:rPr>
          <w:rFonts w:ascii="Times New Roman" w:hAnsi="Times New Roman" w:cs="Times New Roman"/>
          <w:b/>
          <w:bCs/>
          <w:sz w:val="22"/>
          <w:szCs w:val="22"/>
          <w:lang w:val="sk-SK"/>
        </w:rPr>
      </w:pPr>
      <w:r>
        <w:rPr>
          <w:rFonts w:ascii="Times New Roman" w:hAnsi="Times New Roman" w:cs="Times New Roman"/>
          <w:b/>
          <w:bCs/>
          <w:sz w:val="22"/>
          <w:szCs w:val="22"/>
          <w:lang w:val="sk-SK"/>
        </w:rPr>
        <w:t>4.</w:t>
      </w:r>
      <w:r>
        <w:rPr>
          <w:rFonts w:ascii="Times New Roman" w:hAnsi="Times New Roman" w:cs="Times New Roman"/>
          <w:b/>
          <w:bCs/>
          <w:sz w:val="22"/>
          <w:szCs w:val="22"/>
          <w:lang w:val="sk-SK"/>
        </w:rPr>
        <w:tab/>
        <w:t>Možné vedľajšie účinky</w:t>
      </w:r>
    </w:p>
    <w:p w14:paraId="0DED1B0D" w14:textId="77777777" w:rsidR="00BF38D4" w:rsidRPr="0023414B" w:rsidRDefault="00BF38D4">
      <w:pPr>
        <w:pStyle w:val="knZulassung01"/>
        <w:ind w:left="540" w:hanging="540"/>
        <w:rPr>
          <w:rFonts w:ascii="Times New Roman" w:hAnsi="Times New Roman" w:cs="Times New Roman"/>
          <w:b/>
          <w:bCs/>
          <w:sz w:val="22"/>
          <w:szCs w:val="22"/>
          <w:lang w:val="sk-SK"/>
        </w:rPr>
      </w:pPr>
    </w:p>
    <w:p w14:paraId="5C337F9D" w14:textId="77777777" w:rsidR="00BF38D4" w:rsidRPr="0023414B" w:rsidRDefault="00234B9D">
      <w:pPr>
        <w:pStyle w:val="knZulassung01"/>
        <w:tabs>
          <w:tab w:val="left" w:pos="0"/>
        </w:tabs>
        <w:ind w:left="0" w:firstLine="0"/>
        <w:rPr>
          <w:rFonts w:ascii="Times New Roman" w:hAnsi="Times New Roman" w:cs="Times New Roman"/>
          <w:b/>
          <w:bCs/>
          <w:sz w:val="22"/>
          <w:szCs w:val="22"/>
          <w:lang w:val="sk-SK"/>
        </w:rPr>
      </w:pPr>
      <w:r>
        <w:rPr>
          <w:rFonts w:ascii="Times New Roman" w:hAnsi="Times New Roman" w:cs="Times New Roman"/>
          <w:sz w:val="22"/>
          <w:szCs w:val="22"/>
          <w:lang w:val="sk-SK"/>
        </w:rPr>
        <w:t xml:space="preserve">Tak ako všetky lieky, aj tento liek môže spôsobovať vedľajšie účinky, hoci sa neprejavia u každého. </w:t>
      </w:r>
    </w:p>
    <w:p w14:paraId="3EB38539"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b/>
          <w:bCs/>
          <w:sz w:val="22"/>
          <w:szCs w:val="22"/>
          <w:lang w:val="sk-SK"/>
        </w:rPr>
        <w:t xml:space="preserve">  </w:t>
      </w:r>
    </w:p>
    <w:p w14:paraId="080AB7B9" w14:textId="77777777" w:rsidR="00BF38D4" w:rsidRPr="0023414B" w:rsidRDefault="005B7965">
      <w:pPr>
        <w:autoSpaceDE w:val="0"/>
        <w:rPr>
          <w:rFonts w:ascii="Times New Roman" w:hAnsi="Times New Roman" w:cs="Times New Roman"/>
          <w:szCs w:val="22"/>
        </w:rPr>
      </w:pPr>
      <w:r w:rsidRPr="0023414B">
        <w:rPr>
          <w:rFonts w:ascii="Times New Roman" w:hAnsi="Times New Roman" w:cs="Times New Roman"/>
          <w:szCs w:val="22"/>
        </w:rPr>
        <w:t xml:space="preserve">Zoznam nasledovných nežiaducich účinkov zahŕňa všetky vedľajšie účinky, ktoré boli hlásené počas liečby </w:t>
      </w:r>
      <w:r w:rsidR="00234B9D">
        <w:rPr>
          <w:rFonts w:ascii="Times New Roman" w:hAnsi="Times New Roman" w:cs="Times New Roman"/>
          <w:szCs w:val="22"/>
        </w:rPr>
        <w:t xml:space="preserve">ibuprofénom , ako aj tie, ktoré sa vyskytli v dlhodobej liečbe vysokými dávkami u reumatických pacientov. Hlásená častosť výskytu, ktorá siaha za veľmi zriedkavé hlásenia, sa týka krátkodobého používania denných dávok po maximálnu dennú dávku 1 200 mg ibuprofénu  (= 30 ml MIG 4% perorálnej suspenzie, maximálna denná dávka pre dospelých a dospievajúcich s telesnou hmotnosťou od 40 kg) pri perorálnom podávaní (ústami) a maximálnu dennú dávku 1 800 mg ibuprofénu pre čapíky. </w:t>
      </w:r>
    </w:p>
    <w:p w14:paraId="1E36E9C8"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 </w:t>
      </w:r>
    </w:p>
    <w:p w14:paraId="3BB372A0" w14:textId="77777777"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Pri nasledovných nežiaducich reakciách na liečivo treba vziať do úvahy, že sú prevažne závislé od dávky, s individuálnymi rozdielmi u pacientov.</w:t>
      </w:r>
    </w:p>
    <w:p w14:paraId="6E413D36" w14:textId="77777777" w:rsidR="00BF38D4" w:rsidRPr="0023414B" w:rsidRDefault="00BF38D4">
      <w:pPr>
        <w:pStyle w:val="knZulassung02"/>
        <w:ind w:left="0"/>
        <w:rPr>
          <w:rFonts w:ascii="Times New Roman" w:hAnsi="Times New Roman" w:cs="Times New Roman"/>
          <w:sz w:val="22"/>
          <w:szCs w:val="22"/>
          <w:lang w:val="sk-SK"/>
        </w:rPr>
      </w:pPr>
    </w:p>
    <w:p w14:paraId="57D63FB2"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t>Najčastejšie pozorované vedľajšie účinky sa týkajú žalúdočno-črevného traktu.</w:t>
      </w:r>
    </w:p>
    <w:p w14:paraId="51566BE6" w14:textId="77777777" w:rsidR="00BF38D4" w:rsidRPr="0023414B" w:rsidRDefault="00234B9D">
      <w:pPr>
        <w:ind w:right="-29"/>
        <w:rPr>
          <w:rFonts w:ascii="Times New Roman" w:hAnsi="Times New Roman" w:cs="Times New Roman"/>
          <w:szCs w:val="22"/>
        </w:rPr>
      </w:pPr>
      <w:r>
        <w:rPr>
          <w:rFonts w:ascii="Times New Roman" w:hAnsi="Times New Roman" w:cs="Times New Roman"/>
          <w:szCs w:val="22"/>
        </w:rPr>
        <w:t>Môžu sa vyskytnúť žalúdočné/dvanástnikové vredy (peptické vredy), perforácia (prederavenie) alebo krvácanie zo žalúdočno-črevného traktu, ktoré môže byť niekedy smrteľné, zvlášť u starších osôb (pozri časť 2 „Upozornenia a opatrenia”).</w:t>
      </w:r>
    </w:p>
    <w:p w14:paraId="7B764765"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t>Po podávaní ibuprofénu boli hlásené nevoľnosť, vracanie, hnačka, plynatosť, zápcha, tráviace ťažkosti, bolesť brucha, čierna smolnatá stolica, vracanie krvi, ulcerózna stomatitída (vredovitý zápal sliznice ústnej dutiny), zhoršenie zápalu sliznice hrubého čreva (kolitída) a Crohnova choroba (pozri časť 2 „Upozornenia a opatrenia”).</w:t>
      </w:r>
    </w:p>
    <w:p w14:paraId="039DDCAA" w14:textId="77777777"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Menej často sa zaznamenal zápal žalúdočnej sliznice (gastritída). </w:t>
      </w:r>
    </w:p>
    <w:p w14:paraId="5A2719AF" w14:textId="77777777" w:rsidR="00BF38D4" w:rsidRPr="0023414B" w:rsidRDefault="00BF38D4">
      <w:pPr>
        <w:autoSpaceDE w:val="0"/>
        <w:rPr>
          <w:rFonts w:ascii="Times New Roman" w:hAnsi="Times New Roman" w:cs="Times New Roman"/>
          <w:szCs w:val="22"/>
        </w:rPr>
      </w:pPr>
    </w:p>
    <w:p w14:paraId="291123B2" w14:textId="23BBAFEA"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Užívanie liekov, ako je MIG 4% perorálna suspenzia, môže súvisieť s </w:t>
      </w:r>
      <w:r>
        <w:rPr>
          <w:rFonts w:ascii="Times New Roman" w:hAnsi="Times New Roman" w:cs="Times New Roman"/>
          <w:bCs/>
          <w:szCs w:val="22"/>
        </w:rPr>
        <w:t>malým zvýšením rizika srdcových príhod (</w:t>
      </w:r>
      <w:r w:rsidR="00C4550C">
        <w:rPr>
          <w:rFonts w:ascii="Times New Roman" w:hAnsi="Times New Roman" w:cs="Times New Roman"/>
          <w:szCs w:val="22"/>
        </w:rPr>
        <w:t>„</w:t>
      </w:r>
      <w:r>
        <w:rPr>
          <w:rFonts w:ascii="Times New Roman" w:hAnsi="Times New Roman" w:cs="Times New Roman"/>
          <w:bCs/>
          <w:szCs w:val="22"/>
        </w:rPr>
        <w:t>infarkt myokardu”) alebo mozgových príhod.</w:t>
      </w:r>
    </w:p>
    <w:p w14:paraId="11932455" w14:textId="77777777" w:rsidR="00BF38D4" w:rsidRPr="0023414B" w:rsidRDefault="00BF38D4">
      <w:pPr>
        <w:autoSpaceDE w:val="0"/>
        <w:rPr>
          <w:rFonts w:ascii="Times New Roman" w:hAnsi="Times New Roman" w:cs="Times New Roman"/>
          <w:szCs w:val="22"/>
        </w:rPr>
      </w:pPr>
    </w:p>
    <w:p w14:paraId="54E57AFD" w14:textId="77777777"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sz w:val="22"/>
          <w:szCs w:val="22"/>
          <w:lang w:val="sk-SK"/>
        </w:rPr>
        <w:t>V súvislosti s liečbou NSAID boli hlásené opuchy, vysoký krvný tlak a srdcové zlyhanie.</w:t>
      </w:r>
    </w:p>
    <w:p w14:paraId="02AC18E6" w14:textId="77777777" w:rsidR="00BF38D4" w:rsidRPr="0023414B" w:rsidRDefault="00BF38D4">
      <w:pPr>
        <w:pStyle w:val="knZulassung02"/>
        <w:ind w:left="0" w:right="249"/>
        <w:rPr>
          <w:rFonts w:ascii="Times New Roman" w:hAnsi="Times New Roman" w:cs="Times New Roman"/>
          <w:sz w:val="22"/>
          <w:szCs w:val="22"/>
          <w:lang w:val="sk-SK"/>
        </w:rPr>
      </w:pPr>
    </w:p>
    <w:p w14:paraId="1F43F2FE" w14:textId="77777777"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b/>
          <w:sz w:val="22"/>
          <w:szCs w:val="22"/>
          <w:lang w:val="sk-SK"/>
        </w:rPr>
        <w:t xml:space="preserve">Časté (môžu postihovať menej ako 1 z 10 osôb) </w:t>
      </w:r>
    </w:p>
    <w:p w14:paraId="0CCDC00A" w14:textId="77777777"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sz w:val="22"/>
          <w:szCs w:val="22"/>
          <w:lang w:val="sk-SK"/>
        </w:rPr>
        <w:lastRenderedPageBreak/>
        <w:t xml:space="preserve">Žalúdočno-črevné príznaky ako pálenie záhy, bolesť brucha, nevoľnosť, vracanie, plynatosť, hnačka, zápcha a mierne straty krvi zo žalúdočno-črevného traktu, ktoré môžu vo výnimočných prípadoch spôsobovať anémiu (chudokrvnosť - nedostatok červených krviniek).  </w:t>
      </w:r>
    </w:p>
    <w:p w14:paraId="4C4CE7DE" w14:textId="77777777" w:rsidR="00BF38D4" w:rsidRPr="0023414B" w:rsidRDefault="00BF38D4">
      <w:pPr>
        <w:pStyle w:val="knZulassung02"/>
        <w:ind w:left="0" w:right="249"/>
        <w:rPr>
          <w:rFonts w:ascii="Times New Roman" w:hAnsi="Times New Roman" w:cs="Times New Roman"/>
          <w:b/>
          <w:sz w:val="22"/>
          <w:szCs w:val="22"/>
          <w:lang w:val="sk-SK"/>
        </w:rPr>
      </w:pPr>
    </w:p>
    <w:p w14:paraId="3D681E3E" w14:textId="77777777"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b/>
          <w:sz w:val="22"/>
          <w:szCs w:val="22"/>
          <w:lang w:val="sk-SK"/>
        </w:rPr>
        <w:t xml:space="preserve">Menej časté (môžu postihovať menej ako 1 zo 100 osôb) </w:t>
      </w:r>
    </w:p>
    <w:p w14:paraId="5E5D0E42" w14:textId="77777777" w:rsidR="00BF38D4" w:rsidRPr="0023414B" w:rsidRDefault="005B7965">
      <w:pPr>
        <w:pStyle w:val="knZulassung03"/>
        <w:numPr>
          <w:ilvl w:val="0"/>
          <w:numId w:val="9"/>
        </w:numPr>
        <w:spacing w:before="0" w:after="0"/>
        <w:rPr>
          <w:rStyle w:val="hps"/>
          <w:rFonts w:ascii="Times New Roman" w:hAnsi="Times New Roman" w:cs="Times New Roman"/>
          <w:color w:val="222222"/>
          <w:lang w:val="sk-SK"/>
        </w:rPr>
      </w:pPr>
      <w:r w:rsidRPr="0023414B">
        <w:rPr>
          <w:rFonts w:ascii="Times New Roman" w:hAnsi="Times New Roman" w:cs="Times New Roman"/>
          <w:lang w:val="sk-SK"/>
        </w:rPr>
        <w:t xml:space="preserve">Žalúdočné alebo črevné vredy, niekedy s krvácaním a perforáciou. Vredovitý zápal sliznice úst (ulcerózna stomatitída), </w:t>
      </w:r>
      <w:r w:rsidR="00234B9D">
        <w:rPr>
          <w:rFonts w:ascii="Times New Roman" w:hAnsi="Times New Roman" w:cs="Times New Roman"/>
          <w:lang w:val="sk-SK"/>
        </w:rPr>
        <w:t>zhoršenie zápalu hrubého čreva alebo Crohnovej choroby, zápal sliznice žalúdka (gastritída).</w:t>
      </w:r>
    </w:p>
    <w:p w14:paraId="32F8DCBC" w14:textId="77777777" w:rsidR="00BF38D4" w:rsidRPr="0023414B" w:rsidRDefault="00234B9D">
      <w:pPr>
        <w:pStyle w:val="knZulassung03"/>
        <w:spacing w:before="0" w:after="0"/>
        <w:ind w:left="360" w:firstLine="0"/>
        <w:rPr>
          <w:rFonts w:ascii="Times New Roman" w:hAnsi="Times New Roman" w:cs="Times New Roman"/>
          <w:lang w:val="sk-SK"/>
        </w:rPr>
      </w:pPr>
      <w:r>
        <w:rPr>
          <w:rStyle w:val="hps"/>
          <w:rFonts w:ascii="Times New Roman" w:hAnsi="Times New Roman" w:cs="Times New Roman"/>
          <w:color w:val="222222"/>
          <w:lang w:val="sk-SK"/>
        </w:rPr>
        <w:t>V prípade silnej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bolesti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 hornej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časti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brucha</w:t>
      </w:r>
      <w:r>
        <w:rPr>
          <w:rFonts w:ascii="Times New Roman" w:hAnsi="Times New Roman" w:cs="Times New Roman"/>
          <w:color w:val="222222"/>
          <w:lang w:val="sk-SK"/>
        </w:rPr>
        <w:t xml:space="preserve">, vracania </w:t>
      </w:r>
      <w:r>
        <w:rPr>
          <w:rStyle w:val="hps"/>
          <w:rFonts w:ascii="Times New Roman" w:hAnsi="Times New Roman" w:cs="Times New Roman"/>
          <w:color w:val="222222"/>
          <w:lang w:val="sk-SK"/>
        </w:rPr>
        <w:t>krvi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výskytu</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krvi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 stolici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alebo čiernej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stolice</w:t>
      </w:r>
      <w:r>
        <w:rPr>
          <w:rFonts w:ascii="Times New Roman" w:hAnsi="Times New Roman" w:cs="Times New Roman"/>
          <w:color w:val="222222"/>
          <w:lang w:val="sk-SK"/>
        </w:rPr>
        <w:t xml:space="preserve">, musíte </w:t>
      </w:r>
      <w:r>
        <w:rPr>
          <w:rStyle w:val="hps"/>
          <w:rFonts w:ascii="Times New Roman" w:hAnsi="Times New Roman" w:cs="Times New Roman"/>
          <w:color w:val="222222"/>
          <w:lang w:val="sk-SK"/>
        </w:rPr>
        <w:t>ukončiť užívanie MIG 4% perorálnej suspenzie a</w:t>
      </w:r>
      <w:r>
        <w:rPr>
          <w:rFonts w:ascii="Times New Roman" w:hAnsi="Times New Roman" w:cs="Times New Roman"/>
          <w:color w:val="222222"/>
          <w:lang w:val="sk-SK"/>
        </w:rPr>
        <w:t xml:space="preserve"> okamžite </w:t>
      </w:r>
      <w:r>
        <w:rPr>
          <w:rStyle w:val="hps"/>
          <w:rFonts w:ascii="Times New Roman" w:hAnsi="Times New Roman" w:cs="Times New Roman"/>
          <w:color w:val="222222"/>
          <w:lang w:val="sk-SK"/>
        </w:rPr>
        <w:t>informovať</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lekára</w:t>
      </w:r>
      <w:r>
        <w:rPr>
          <w:rFonts w:ascii="Times New Roman" w:hAnsi="Times New Roman" w:cs="Times New Roman"/>
          <w:color w:val="222222"/>
          <w:lang w:val="sk-SK"/>
        </w:rPr>
        <w:t>.</w:t>
      </w:r>
    </w:p>
    <w:p w14:paraId="1038DB36"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Poruchy centrálneho nervového systému ako sú bolesť hlavy, závrat, nespavosť, nepokoj, podráždenosť alebo únava. </w:t>
      </w:r>
    </w:p>
    <w:p w14:paraId="703E61F5"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Poruchy videnia. V takomto prípade musíte okamžite informovať lekára a ukončiť užívanie MIG 4% perorálnej suspenzie.</w:t>
      </w:r>
    </w:p>
    <w:p w14:paraId="2440EED0"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Reakcie z precitlivenosti s kožnou vyrážkou a svrbením ako aj astmatické záchvaty (s možnosťou poklesu krvného tlaku). V takomto prípade musíte okamžite informovať lekára a ukončiť užívanie/podávanie MIG 4% perorálnej suspenzie.</w:t>
      </w:r>
    </w:p>
    <w:p w14:paraId="6A16704F"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Rôzne kožné vyrážky.</w:t>
      </w:r>
    </w:p>
    <w:p w14:paraId="79DF833A" w14:textId="77777777" w:rsidR="00BF38D4" w:rsidRPr="0023414B" w:rsidRDefault="00BF38D4">
      <w:pPr>
        <w:pStyle w:val="knZulassung02"/>
        <w:ind w:left="360" w:right="249"/>
        <w:rPr>
          <w:rFonts w:ascii="Times New Roman" w:hAnsi="Times New Roman" w:cs="Times New Roman"/>
          <w:sz w:val="22"/>
          <w:szCs w:val="22"/>
          <w:lang w:val="sk-SK"/>
        </w:rPr>
      </w:pPr>
    </w:p>
    <w:p w14:paraId="0EBA43EE" w14:textId="77777777" w:rsidR="00BF38D4" w:rsidRPr="0023414B" w:rsidRDefault="00234B9D">
      <w:pPr>
        <w:pStyle w:val="knZulassung03"/>
        <w:spacing w:before="0" w:after="0"/>
        <w:ind w:left="0" w:right="249" w:firstLine="0"/>
        <w:rPr>
          <w:rFonts w:ascii="Times New Roman" w:hAnsi="Times New Roman" w:cs="Times New Roman"/>
          <w:bCs/>
          <w:lang w:val="sk-SK"/>
        </w:rPr>
      </w:pPr>
      <w:r>
        <w:rPr>
          <w:rFonts w:ascii="Times New Roman" w:hAnsi="Times New Roman" w:cs="Times New Roman"/>
          <w:b/>
          <w:lang w:val="sk-SK"/>
        </w:rPr>
        <w:t xml:space="preserve">Zriedkavé vedľajšie účinky (môžu postihovať menej ako 1 z 1 000 osôb) </w:t>
      </w:r>
    </w:p>
    <w:p w14:paraId="1ACCBEAE" w14:textId="77777777" w:rsidR="00BF38D4" w:rsidRPr="0023414B" w:rsidRDefault="00234B9D">
      <w:pPr>
        <w:pStyle w:val="knZulassung02"/>
        <w:numPr>
          <w:ilvl w:val="0"/>
          <w:numId w:val="9"/>
        </w:numPr>
        <w:ind w:right="249"/>
        <w:rPr>
          <w:rFonts w:ascii="Times New Roman" w:hAnsi="Times New Roman" w:cs="Times New Roman"/>
          <w:bCs/>
          <w:sz w:val="22"/>
          <w:szCs w:val="22"/>
          <w:lang w:val="sk-SK"/>
        </w:rPr>
      </w:pPr>
      <w:r>
        <w:rPr>
          <w:rFonts w:ascii="Times New Roman" w:hAnsi="Times New Roman" w:cs="Times New Roman"/>
          <w:bCs/>
          <w:sz w:val="22"/>
          <w:szCs w:val="22"/>
          <w:lang w:val="sk-SK"/>
        </w:rPr>
        <w:t>Poškodenie tkaniva obličiek (papilárna nekróza) najmä pri dlhodobej liečbe, zvýšenie hladiny kyseliny močovej v krvi.</w:t>
      </w:r>
    </w:p>
    <w:p w14:paraId="3BBBDC0C" w14:textId="77777777"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bCs/>
          <w:sz w:val="22"/>
          <w:szCs w:val="22"/>
          <w:lang w:val="sk-SK"/>
        </w:rPr>
        <w:t>Hučanie v ušiach (tinitus).</w:t>
      </w:r>
    </w:p>
    <w:p w14:paraId="30F59319" w14:textId="77777777" w:rsidR="00BF38D4" w:rsidRPr="0023414B" w:rsidRDefault="00BF38D4">
      <w:pPr>
        <w:pStyle w:val="knZulassung02"/>
        <w:ind w:left="0" w:right="249"/>
        <w:rPr>
          <w:rFonts w:ascii="Times New Roman" w:hAnsi="Times New Roman" w:cs="Times New Roman"/>
          <w:b/>
          <w:sz w:val="22"/>
          <w:szCs w:val="22"/>
          <w:lang w:val="sk-SK"/>
        </w:rPr>
      </w:pPr>
    </w:p>
    <w:p w14:paraId="5818FEA5" w14:textId="77777777" w:rsidR="00BF38D4" w:rsidRPr="0023414B" w:rsidRDefault="00234B9D">
      <w:pPr>
        <w:pStyle w:val="knZulassung03"/>
        <w:spacing w:before="0" w:after="0"/>
        <w:ind w:left="0" w:right="249" w:firstLine="0"/>
        <w:rPr>
          <w:rFonts w:ascii="Times New Roman" w:hAnsi="Times New Roman" w:cs="Times New Roman"/>
          <w:bCs/>
          <w:lang w:val="sk-SK"/>
        </w:rPr>
      </w:pPr>
      <w:r>
        <w:rPr>
          <w:rFonts w:ascii="Times New Roman" w:hAnsi="Times New Roman" w:cs="Times New Roman"/>
          <w:b/>
          <w:lang w:val="sk-SK"/>
        </w:rPr>
        <w:t xml:space="preserve">Veľmi zriedkavé vedľajšie účinky (môžu postihovať menej ako 1 z 10 000 osôb) </w:t>
      </w:r>
    </w:p>
    <w:p w14:paraId="51EDF49B" w14:textId="77777777" w:rsidR="00BF38D4" w:rsidRPr="0023414B" w:rsidRDefault="00234B9D">
      <w:pPr>
        <w:pStyle w:val="knZulassung02"/>
        <w:numPr>
          <w:ilvl w:val="0"/>
          <w:numId w:val="9"/>
        </w:numPr>
        <w:ind w:right="249"/>
        <w:rPr>
          <w:rFonts w:ascii="Times New Roman" w:hAnsi="Times New Roman" w:cs="Times New Roman"/>
          <w:bCs/>
          <w:sz w:val="22"/>
          <w:szCs w:val="22"/>
          <w:lang w:val="sk-SK"/>
        </w:rPr>
      </w:pPr>
      <w:r>
        <w:rPr>
          <w:rFonts w:ascii="Times New Roman" w:hAnsi="Times New Roman" w:cs="Times New Roman"/>
          <w:bCs/>
          <w:sz w:val="22"/>
          <w:szCs w:val="22"/>
          <w:lang w:val="sk-SK"/>
        </w:rPr>
        <w:t>Búšenie srdca (palpitácie), srdcové zlyhanie, srdcové príhody (infarkt myokardu).</w:t>
      </w:r>
    </w:p>
    <w:p w14:paraId="30CDB108"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bCs/>
          <w:sz w:val="22"/>
          <w:szCs w:val="22"/>
          <w:lang w:val="sk-SK"/>
        </w:rPr>
        <w:t>Zápal pažeráka (ezofagitída) alebo pankreasu (pankreatitída), tvorba membránovitých zúžení tenkého a hrubého</w:t>
      </w:r>
      <w:r>
        <w:rPr>
          <w:rFonts w:ascii="Times New Roman" w:hAnsi="Times New Roman" w:cs="Times New Roman"/>
          <w:sz w:val="22"/>
          <w:szCs w:val="22"/>
          <w:lang w:val="sk-SK"/>
        </w:rPr>
        <w:t xml:space="preserve"> čreva (črevné diafragmatické striktúry).</w:t>
      </w:r>
      <w:r>
        <w:rPr>
          <w:rFonts w:ascii="Times New Roman" w:hAnsi="Times New Roman" w:cs="Times New Roman"/>
          <w:sz w:val="22"/>
          <w:szCs w:val="22"/>
          <w:u w:val="single"/>
          <w:lang w:val="sk-SK"/>
        </w:rPr>
        <w:t xml:space="preserve"> </w:t>
      </w:r>
    </w:p>
    <w:p w14:paraId="5E0D47C3" w14:textId="77777777" w:rsidR="00BF38D4" w:rsidRPr="0023414B" w:rsidRDefault="005B7965">
      <w:pPr>
        <w:numPr>
          <w:ilvl w:val="0"/>
          <w:numId w:val="9"/>
        </w:numPr>
        <w:autoSpaceDE w:val="0"/>
        <w:rPr>
          <w:rFonts w:ascii="Times New Roman" w:hAnsi="Times New Roman" w:cs="Times New Roman"/>
          <w:szCs w:val="22"/>
        </w:rPr>
      </w:pPr>
      <w:r w:rsidRPr="0023414B">
        <w:rPr>
          <w:rFonts w:ascii="Times New Roman" w:hAnsi="Times New Roman" w:cs="Times New Roman"/>
          <w:szCs w:val="22"/>
        </w:rPr>
        <w:t xml:space="preserve">Znížené vylučovanie moču a zvýšené hromadenie tekutiny v tele (opuchy), najmä u pacientov s vysokým krvným tlakom alebo s porušenou funkciou obličiek. </w:t>
      </w:r>
      <w:r w:rsidR="00234B9D">
        <w:rPr>
          <w:rFonts w:ascii="Times New Roman" w:hAnsi="Times New Roman" w:cs="Times New Roman"/>
          <w:szCs w:val="22"/>
        </w:rPr>
        <w:t>Nefrotický syndróm (hromadenie tekutiny v tele (opuchy) a výrazné vylučovanie bielkovín do moču), zápalové ochorenie obličiek (intersticiálna nefritída), ktoré môže byť sprevádzané akútnou funkčnou poruchou obličiek.</w:t>
      </w:r>
    </w:p>
    <w:p w14:paraId="3E86E519" w14:textId="77777777" w:rsidR="00BF38D4" w:rsidRPr="0023414B" w:rsidRDefault="00234B9D">
      <w:pPr>
        <w:pStyle w:val="knZulassung02"/>
        <w:ind w:left="360"/>
        <w:rPr>
          <w:rFonts w:ascii="Times New Roman" w:hAnsi="Times New Roman" w:cs="Times New Roman"/>
          <w:sz w:val="22"/>
          <w:szCs w:val="22"/>
          <w:lang w:val="sk-SK"/>
        </w:rPr>
      </w:pPr>
      <w:r>
        <w:rPr>
          <w:rFonts w:ascii="Times New Roman" w:hAnsi="Times New Roman" w:cs="Times New Roman"/>
          <w:sz w:val="22"/>
          <w:szCs w:val="22"/>
          <w:lang w:val="sk-SK"/>
        </w:rPr>
        <w:t xml:space="preserve">Ak sa uvedené príznaky vyskytnú alebo zhoršia, musíte zastaviť užívanie MIG 4% perorálnej suspenzie a okamžite informovať lekára. </w:t>
      </w:r>
    </w:p>
    <w:p w14:paraId="580FC114"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Poruchy funkcie pečene, poškodenie pečene, najmä v prípade dlhodobej liečby, zlyhanie pečene, akútny zápal pečene (hepatitída).</w:t>
      </w:r>
    </w:p>
    <w:p w14:paraId="6F6F03AA"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Poruchy krvotvorby (chudokrvnosť, znížený počet bielych krviniek, krvných doštičiek, všetkých druhov krvných buniek, pokles počtu až vymiznutie granulocytov).  </w:t>
      </w:r>
    </w:p>
    <w:p w14:paraId="10EC8413" w14:textId="77777777" w:rsidR="00BF38D4" w:rsidRPr="0023414B" w:rsidRDefault="005B7965">
      <w:pPr>
        <w:widowControl w:val="0"/>
        <w:ind w:left="360"/>
        <w:rPr>
          <w:rFonts w:ascii="Times New Roman" w:hAnsi="Times New Roman" w:cs="Times New Roman"/>
          <w:bCs/>
          <w:szCs w:val="22"/>
        </w:rPr>
      </w:pPr>
      <w:r w:rsidRPr="0023414B">
        <w:rPr>
          <w:rFonts w:ascii="Times New Roman" w:hAnsi="Times New Roman" w:cs="Times New Roman"/>
          <w:szCs w:val="22"/>
        </w:rPr>
        <w:t xml:space="preserve">Skoré prejavy môžu zahŕňať: horúčku, bolesť hrdla, povrchové rany v ústach, príznaky podobné chrípke, ťažkú únavu, krvácanie z nosa a kožné krvácanie. Ak sa akýkoľvek z týchto problémov vyskytne, musíte liek okamžite vysadiť a vyhľadať lekára. Nesmiete sa </w:t>
      </w:r>
      <w:r w:rsidR="00234B9D">
        <w:rPr>
          <w:rFonts w:ascii="Times New Roman" w:hAnsi="Times New Roman" w:cs="Times New Roman"/>
          <w:szCs w:val="22"/>
        </w:rPr>
        <w:t xml:space="preserve">samoliečiť akýmikoľvek liekmi proti bolesti alebo liekmi znižujúcimi horúčku. </w:t>
      </w:r>
    </w:p>
    <w:p w14:paraId="5C93955B" w14:textId="45D2B72C" w:rsidR="00BF38D4"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bCs/>
          <w:szCs w:val="22"/>
        </w:rPr>
        <w:t>Z</w:t>
      </w:r>
      <w:r>
        <w:rPr>
          <w:rFonts w:ascii="Times New Roman" w:hAnsi="Times New Roman" w:cs="Times New Roman"/>
          <w:szCs w:val="22"/>
        </w:rPr>
        <w:t>ávažné kožné reakcie, ako sú kožné vyrážky so sčervenaním a</w:t>
      </w:r>
      <w:r w:rsidR="00C4550C">
        <w:rPr>
          <w:rFonts w:ascii="Times New Roman" w:hAnsi="Times New Roman" w:cs="Times New Roman"/>
          <w:szCs w:val="22"/>
        </w:rPr>
        <w:t> </w:t>
      </w:r>
      <w:r>
        <w:rPr>
          <w:rFonts w:ascii="Times New Roman" w:hAnsi="Times New Roman" w:cs="Times New Roman"/>
          <w:szCs w:val="22"/>
        </w:rPr>
        <w:t>pľuzgiermi</w:t>
      </w:r>
      <w:r w:rsidR="00C4550C">
        <w:rPr>
          <w:rFonts w:ascii="Times New Roman" w:hAnsi="Times New Roman" w:cs="Times New Roman"/>
          <w:szCs w:val="22"/>
        </w:rPr>
        <w:t xml:space="preserve">, niektoré z nich majú </w:t>
      </w:r>
      <w:r w:rsidR="003C55E2">
        <w:rPr>
          <w:rFonts w:ascii="Times New Roman" w:hAnsi="Times New Roman" w:cs="Times New Roman"/>
          <w:szCs w:val="22"/>
        </w:rPr>
        <w:t>smrteľné</w:t>
      </w:r>
      <w:r w:rsidR="00C4550C">
        <w:rPr>
          <w:rFonts w:ascii="Times New Roman" w:hAnsi="Times New Roman" w:cs="Times New Roman"/>
          <w:szCs w:val="22"/>
        </w:rPr>
        <w:t xml:space="preserve"> následky</w:t>
      </w:r>
      <w:r>
        <w:rPr>
          <w:rFonts w:ascii="Times New Roman" w:hAnsi="Times New Roman" w:cs="Times New Roman"/>
          <w:szCs w:val="22"/>
        </w:rPr>
        <w:t xml:space="preserve"> (napr. Stevensov-Johnsonov syndróm, toxické odumretie povrchovej vrstvy kože (toxická epidermálna nekrolýza)/Lyellov syndróm)</w:t>
      </w:r>
      <w:r w:rsidR="00C4550C">
        <w:rPr>
          <w:rFonts w:ascii="Times New Roman" w:hAnsi="Times New Roman" w:cs="Times New Roman"/>
          <w:szCs w:val="22"/>
        </w:rPr>
        <w:t xml:space="preserve"> (pozri </w:t>
      </w:r>
      <w:r w:rsidR="00EE7AC2">
        <w:rPr>
          <w:rFonts w:ascii="Times New Roman" w:hAnsi="Times New Roman" w:cs="Times New Roman"/>
          <w:szCs w:val="22"/>
        </w:rPr>
        <w:t xml:space="preserve">tiež </w:t>
      </w:r>
      <w:r w:rsidR="00C4550C">
        <w:rPr>
          <w:rFonts w:ascii="Times New Roman" w:hAnsi="Times New Roman" w:cs="Times New Roman"/>
          <w:szCs w:val="22"/>
        </w:rPr>
        <w:t>časť 2.)</w:t>
      </w:r>
      <w:r>
        <w:rPr>
          <w:rFonts w:ascii="Times New Roman" w:hAnsi="Times New Roman" w:cs="Times New Roman"/>
          <w:szCs w:val="22"/>
        </w:rPr>
        <w:t>, vypadávanie vlasov (alopécia).</w:t>
      </w:r>
    </w:p>
    <w:p w14:paraId="24D5B6B3" w14:textId="77777777" w:rsidR="00BF38D4" w:rsidRPr="0023414B" w:rsidRDefault="00234B9D">
      <w:pPr>
        <w:pStyle w:val="knZulassung02"/>
        <w:ind w:left="360" w:right="249"/>
        <w:rPr>
          <w:rFonts w:ascii="Times New Roman" w:hAnsi="Times New Roman" w:cs="Times New Roman"/>
          <w:sz w:val="22"/>
          <w:szCs w:val="22"/>
          <w:lang w:val="sk-SK"/>
        </w:rPr>
      </w:pPr>
      <w:r>
        <w:rPr>
          <w:rFonts w:ascii="Times New Roman" w:hAnsi="Times New Roman" w:cs="Times New Roman"/>
          <w:sz w:val="22"/>
          <w:szCs w:val="22"/>
          <w:lang w:val="sk-SK"/>
        </w:rPr>
        <w:t xml:space="preserve">Vo výnimočných prípadoch sa môžu vyskytnúť závažné kožné infekcie a komplikácie mäkkých tkanív pri ovčích kiahňach (varicele).   </w:t>
      </w:r>
    </w:p>
    <w:p w14:paraId="35CEC76C"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Zhoršenie infekčného zápalu (napr. rozvoj nekrotizujúcej fasciitídy) bolo zaznamenané v čase podávania určitých protizápalových liečiv (nesteroidných protizápalových liečiv, ku ktorým patrí aj MIG 4% perorálna suspenzia).</w:t>
      </w:r>
    </w:p>
    <w:p w14:paraId="58C53E45" w14:textId="77777777" w:rsidR="00BF38D4" w:rsidRPr="0023414B" w:rsidRDefault="00234B9D">
      <w:pPr>
        <w:pStyle w:val="knZulassung02"/>
        <w:ind w:left="360" w:right="249"/>
        <w:rPr>
          <w:rFonts w:ascii="Times New Roman" w:hAnsi="Times New Roman" w:cs="Times New Roman"/>
          <w:sz w:val="22"/>
          <w:szCs w:val="22"/>
          <w:lang w:val="sk-SK"/>
        </w:rPr>
      </w:pPr>
      <w:r>
        <w:rPr>
          <w:rFonts w:ascii="Times New Roman" w:hAnsi="Times New Roman" w:cs="Times New Roman"/>
          <w:sz w:val="22"/>
          <w:szCs w:val="22"/>
          <w:lang w:val="sk-SK"/>
        </w:rPr>
        <w:t xml:space="preserve">Ak počas užívania MIG 4% perorálnej suspenzie vzniknú alebo sa zhoršia prejavy infekcie (napr. sčervenanie, opuch, prehriatie, bolesť, horúčka), okamžite kontaktujte lekára.  </w:t>
      </w:r>
    </w:p>
    <w:p w14:paraId="21F2B436"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Vysoký krvný tlak (arteriálna hypertenzia), zápal steny krvných ciev (vaskulitída)</w:t>
      </w:r>
    </w:p>
    <w:p w14:paraId="76F8389B" w14:textId="77777777" w:rsidR="00DF74D9"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szCs w:val="22"/>
        </w:rPr>
        <w:t>Astma, zúženie priedušiek (bronchospazmus), dýchavičnosť a piskot.</w:t>
      </w:r>
    </w:p>
    <w:p w14:paraId="2BA08CF8" w14:textId="77777777" w:rsidR="00BF38D4"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szCs w:val="22"/>
        </w:rPr>
        <w:t xml:space="preserve">Prejavy zápalu mozgových blán (aseptickej meningitídy) ako sú silné bolesti hlavy, nevoľnosť, vracanie, horúčky, stuhnutie šije alebo poruchy vedomia. </w:t>
      </w:r>
    </w:p>
    <w:p w14:paraId="494CC6E8" w14:textId="77777777" w:rsidR="00BF38D4" w:rsidRPr="0023414B" w:rsidRDefault="00234B9D">
      <w:pPr>
        <w:autoSpaceDE w:val="0"/>
        <w:ind w:left="360"/>
        <w:rPr>
          <w:rFonts w:ascii="Times New Roman" w:hAnsi="Times New Roman" w:cs="Times New Roman"/>
          <w:szCs w:val="22"/>
        </w:rPr>
      </w:pPr>
      <w:r>
        <w:rPr>
          <w:rFonts w:ascii="Times New Roman" w:hAnsi="Times New Roman" w:cs="Times New Roman"/>
          <w:szCs w:val="22"/>
        </w:rPr>
        <w:lastRenderedPageBreak/>
        <w:t>Pacienti trpiaci určitými  ochoreniami imunitného systému (systémový lupus erythematosus alebo zmiešaná choroba spojivového tkaniva) sú pravdepodobne vo vyššom riziku.</w:t>
      </w:r>
    </w:p>
    <w:p w14:paraId="217790B1" w14:textId="77777777"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Závažné celkové reakcie z precitlivenosti. Prejavy môžu zahŕňať: opuch tváre, opuch jazyka, vnútorný opuch hrtana so zúžením dýchacích ciest, dýchavica, zrýchlená činnosť srdca, pokles krvného tlaku až na hodnoty pre život ohrozujúci šok. </w:t>
      </w:r>
    </w:p>
    <w:p w14:paraId="02F6AB0C" w14:textId="77777777" w:rsidR="00BF38D4" w:rsidRPr="0023414B" w:rsidRDefault="005B7965">
      <w:pPr>
        <w:widowControl w:val="0"/>
        <w:ind w:left="360"/>
        <w:rPr>
          <w:rFonts w:ascii="Times New Roman" w:hAnsi="Times New Roman" w:cs="Times New Roman"/>
          <w:bCs/>
          <w:szCs w:val="22"/>
        </w:rPr>
      </w:pPr>
      <w:r w:rsidRPr="0023414B">
        <w:rPr>
          <w:rFonts w:ascii="Times New Roman" w:hAnsi="Times New Roman" w:cs="Times New Roman"/>
          <w:szCs w:val="22"/>
        </w:rPr>
        <w:t>Ak sa vyskytne niektorý z týchto príznakov, čo sa môže stať aj pri prvom užití lieku, musíte bezodkladne vyhľadať lekársku pomoc.</w:t>
      </w:r>
    </w:p>
    <w:p w14:paraId="4C0CAF8B" w14:textId="77777777"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bCs/>
          <w:sz w:val="22"/>
          <w:szCs w:val="22"/>
          <w:lang w:val="sk-SK"/>
        </w:rPr>
        <w:t>Psychotické reakcie, depresia.</w:t>
      </w:r>
    </w:p>
    <w:p w14:paraId="1DB74C94" w14:textId="77777777" w:rsidR="00BF38D4" w:rsidRPr="0023414B" w:rsidRDefault="00BF38D4">
      <w:pPr>
        <w:pStyle w:val="knZulassung02"/>
        <w:ind w:left="0" w:right="249"/>
        <w:rPr>
          <w:rFonts w:ascii="Times New Roman" w:hAnsi="Times New Roman" w:cs="Times New Roman"/>
          <w:b/>
          <w:sz w:val="22"/>
          <w:szCs w:val="22"/>
          <w:lang w:val="sk-SK"/>
        </w:rPr>
      </w:pPr>
    </w:p>
    <w:p w14:paraId="1C019585" w14:textId="77777777" w:rsidR="0046146A" w:rsidRPr="00246682" w:rsidRDefault="007B51D8" w:rsidP="0046146A">
      <w:pPr>
        <w:pStyle w:val="knZulassung02"/>
        <w:ind w:hanging="1843"/>
        <w:rPr>
          <w:rFonts w:ascii="Times New Roman" w:hAnsi="Times New Roman" w:cs="Times New Roman"/>
          <w:b/>
          <w:sz w:val="22"/>
          <w:szCs w:val="22"/>
          <w:lang w:val="sk-SK"/>
        </w:rPr>
      </w:pPr>
      <w:r w:rsidRPr="007B51D8">
        <w:rPr>
          <w:rFonts w:ascii="Times New Roman" w:hAnsi="Times New Roman" w:cs="Times New Roman"/>
          <w:b/>
          <w:sz w:val="22"/>
          <w:szCs w:val="22"/>
          <w:lang w:val="sk-SK"/>
        </w:rPr>
        <w:t>Neznáme (častosť sa nedá odhadnúť z dostupných údajov)</w:t>
      </w:r>
    </w:p>
    <w:p w14:paraId="03D1DB4C" w14:textId="3E89C39A" w:rsidR="0046146A" w:rsidRDefault="007B51D8" w:rsidP="00EB4543">
      <w:pPr>
        <w:pStyle w:val="Odsekzoznamu"/>
        <w:numPr>
          <w:ilvl w:val="0"/>
          <w:numId w:val="9"/>
        </w:numPr>
        <w:rPr>
          <w:rFonts w:ascii="Times New Roman" w:hAnsi="Times New Roman" w:cs="Times New Roman"/>
          <w:szCs w:val="22"/>
        </w:rPr>
      </w:pPr>
      <w:r w:rsidRPr="00EB4543">
        <w:rPr>
          <w:rFonts w:ascii="Times New Roman" w:hAnsi="Times New Roman" w:cs="Times New Roman"/>
          <w:szCs w:val="22"/>
        </w:rPr>
        <w:t>Môže sa vyskytnúť vážna kožná reakcia, známa ako syndróm DRESS. Medzi príznaky DRESS patria: kožná vyrážka, horúčka, opuch lymfatických uzlín a zvýšenie eozinofilov (typ bielych krviniek)</w:t>
      </w:r>
      <w:r w:rsidR="00EE7AC2">
        <w:rPr>
          <w:rFonts w:ascii="Times New Roman" w:hAnsi="Times New Roman" w:cs="Times New Roman"/>
          <w:szCs w:val="22"/>
        </w:rPr>
        <w:t xml:space="preserve"> </w:t>
      </w:r>
      <w:r w:rsidR="00221EF3">
        <w:rPr>
          <w:rFonts w:ascii="Times New Roman" w:hAnsi="Times New Roman" w:cs="Times New Roman"/>
          <w:szCs w:val="22"/>
        </w:rPr>
        <w:t>P</w:t>
      </w:r>
      <w:r w:rsidR="00EE7AC2">
        <w:rPr>
          <w:rFonts w:ascii="Times New Roman" w:hAnsi="Times New Roman" w:cs="Times New Roman"/>
          <w:szCs w:val="22"/>
        </w:rPr>
        <w:t>ozri tiež časť 2</w:t>
      </w:r>
    </w:p>
    <w:p w14:paraId="24D6AD21" w14:textId="3F625D92" w:rsidR="00EE7AC2" w:rsidRPr="00EB4543" w:rsidRDefault="00EE7AC2" w:rsidP="00EB4543">
      <w:pPr>
        <w:pStyle w:val="Odsekzoznamu"/>
        <w:numPr>
          <w:ilvl w:val="0"/>
          <w:numId w:val="9"/>
        </w:numPr>
        <w:rPr>
          <w:rFonts w:ascii="Times New Roman" w:hAnsi="Times New Roman" w:cs="Times New Roman"/>
          <w:szCs w:val="22"/>
        </w:rPr>
      </w:pPr>
      <w:r w:rsidRPr="00EE7AC2">
        <w:rPr>
          <w:rFonts w:ascii="Times New Roman" w:hAnsi="Times New Roman" w:cs="Times New Roman"/>
          <w:szCs w:val="22"/>
        </w:rPr>
        <w:t>Červená, šupinatá rozšírená vyrážka s podkožnými hrčkami a pľuzgiermi, ktorá sa vyskytuje najmä v kožných záhyboch, na trupe a horných končatinách, a ktorá je sprevádzaná horúčkou na začiatku liečby (akútna generalizovaná exantematózna pustulóza). Ak sa u vás vyskytnú t</w:t>
      </w:r>
      <w:r>
        <w:rPr>
          <w:rFonts w:ascii="Times New Roman" w:hAnsi="Times New Roman" w:cs="Times New Roman"/>
          <w:szCs w:val="22"/>
        </w:rPr>
        <w:t>ieto príznaky, prestaňte užívať</w:t>
      </w:r>
      <w:r w:rsidR="00521CE7">
        <w:rPr>
          <w:rFonts w:ascii="Times New Roman" w:hAnsi="Times New Roman" w:cs="Times New Roman"/>
          <w:szCs w:val="22"/>
        </w:rPr>
        <w:t xml:space="preserve"> MIG 4% perorálnu suspenziu</w:t>
      </w:r>
      <w:r w:rsidRPr="00EE7AC2">
        <w:rPr>
          <w:rFonts w:ascii="Times New Roman" w:hAnsi="Times New Roman" w:cs="Times New Roman"/>
          <w:szCs w:val="22"/>
        </w:rPr>
        <w:t xml:space="preserve"> a ihneď vyhľadajte lekársku pomoc. Pozri tiež časť 2.</w:t>
      </w:r>
    </w:p>
    <w:p w14:paraId="5ABC9F82" w14:textId="77777777" w:rsidR="0046146A" w:rsidRDefault="0046146A">
      <w:pPr>
        <w:rPr>
          <w:rFonts w:ascii="Times New Roman" w:hAnsi="Times New Roman" w:cs="Times New Roman"/>
          <w:b/>
          <w:szCs w:val="22"/>
        </w:rPr>
      </w:pPr>
    </w:p>
    <w:p w14:paraId="114013DF" w14:textId="77777777" w:rsidR="00BF38D4" w:rsidRPr="0023414B" w:rsidRDefault="00234B9D">
      <w:pPr>
        <w:rPr>
          <w:rFonts w:ascii="Times New Roman" w:hAnsi="Times New Roman" w:cs="Times New Roman"/>
          <w:szCs w:val="22"/>
        </w:rPr>
      </w:pPr>
      <w:r>
        <w:rPr>
          <w:rFonts w:ascii="Times New Roman" w:hAnsi="Times New Roman" w:cs="Times New Roman"/>
          <w:b/>
          <w:szCs w:val="22"/>
        </w:rPr>
        <w:t>Hlásenie vedľajších účinkov</w:t>
      </w:r>
    </w:p>
    <w:p w14:paraId="62471D17" w14:textId="77777777" w:rsidR="00BF38D4" w:rsidRPr="0023414B" w:rsidRDefault="00234B9D">
      <w:pPr>
        <w:rPr>
          <w:rFonts w:ascii="Times New Roman" w:hAnsi="Times New Roman" w:cs="Times New Roman"/>
          <w:szCs w:val="22"/>
        </w:rPr>
      </w:pPr>
      <w:r>
        <w:rPr>
          <w:rFonts w:ascii="Times New Roman" w:hAnsi="Times New Roman" w:cs="Times New Roman"/>
          <w:szCs w:val="22"/>
        </w:rPr>
        <w:t>Ak sa u vás vyskytne akýkoľvek vedľajší účinok</w:t>
      </w:r>
      <w:r>
        <w:rPr>
          <w:rFonts w:ascii="Times New Roman" w:hAnsi="Times New Roman" w:cs="Times New Roman"/>
          <w:caps/>
          <w:szCs w:val="22"/>
        </w:rPr>
        <w:t xml:space="preserve">, </w:t>
      </w:r>
      <w:r>
        <w:rPr>
          <w:rFonts w:ascii="Times New Roman" w:hAnsi="Times New Roman" w:cs="Times New Roman"/>
          <w:szCs w:val="22"/>
        </w:rPr>
        <w:t xml:space="preserve">obráťte sa na svojho lekára alebo lekárnika. To sa týka aj akýchkoľvek vedľajších účinkov, ktoré nie sú uvedené v tejto písomnej informácii. Vedľajšie účinky môžete hlásiť aj priamo na </w:t>
      </w:r>
      <w:r>
        <w:rPr>
          <w:rFonts w:ascii="Times New Roman" w:hAnsi="Times New Roman" w:cs="Times New Roman"/>
          <w:szCs w:val="22"/>
          <w:shd w:val="clear" w:color="auto" w:fill="C0C0C0"/>
        </w:rPr>
        <w:t>národné centrum hlásenia uvedené v </w:t>
      </w:r>
      <w:hyperlink r:id="rId9" w:history="1">
        <w:r>
          <w:rPr>
            <w:rStyle w:val="Hypertextovprepojenie"/>
            <w:rFonts w:ascii="Times New Roman" w:hAnsi="Times New Roman" w:cs="Times New Roman"/>
            <w:szCs w:val="22"/>
            <w:shd w:val="clear" w:color="auto" w:fill="C0C0C0"/>
          </w:rPr>
          <w:t>Prílohe V</w:t>
        </w:r>
      </w:hyperlink>
      <w:r w:rsidR="005B7965" w:rsidRPr="0023414B">
        <w:rPr>
          <w:rFonts w:ascii="Times New Roman" w:hAnsi="Times New Roman" w:cs="Times New Roman"/>
          <w:szCs w:val="22"/>
        </w:rPr>
        <w:t>. Hlásením vedľajších účinkov môžete prispieť k získaniu ďalších informácií o bezpečnosti tohto lieku.</w:t>
      </w:r>
    </w:p>
    <w:p w14:paraId="5D33D558" w14:textId="77777777" w:rsidR="00BF38D4" w:rsidRPr="0023414B" w:rsidRDefault="00BF38D4">
      <w:pPr>
        <w:rPr>
          <w:rFonts w:ascii="Times New Roman" w:hAnsi="Times New Roman" w:cs="Times New Roman"/>
          <w:szCs w:val="22"/>
        </w:rPr>
      </w:pPr>
    </w:p>
    <w:p w14:paraId="288C7094" w14:textId="77777777" w:rsidR="00BF38D4" w:rsidRPr="0023414B" w:rsidRDefault="00BF38D4">
      <w:pPr>
        <w:pStyle w:val="knZulassung01"/>
        <w:ind w:left="0" w:firstLine="0"/>
        <w:rPr>
          <w:rFonts w:ascii="Times New Roman" w:hAnsi="Times New Roman" w:cs="Times New Roman"/>
          <w:sz w:val="22"/>
          <w:szCs w:val="22"/>
          <w:lang w:val="sk-SK"/>
        </w:rPr>
      </w:pPr>
    </w:p>
    <w:p w14:paraId="2EC7AEEA" w14:textId="77777777" w:rsidR="00BF38D4" w:rsidRPr="0023414B" w:rsidRDefault="00234B9D" w:rsidP="00D35F73">
      <w:pPr>
        <w:pStyle w:val="Textvysvetlivky"/>
        <w:numPr>
          <w:ilvl w:val="0"/>
          <w:numId w:val="5"/>
        </w:numPr>
        <w:tabs>
          <w:tab w:val="clear" w:pos="780"/>
          <w:tab w:val="left" w:pos="0"/>
          <w:tab w:val="left" w:pos="180"/>
        </w:tabs>
        <w:ind w:hanging="780"/>
        <w:rPr>
          <w:rFonts w:ascii="Times New Roman" w:hAnsi="Times New Roman" w:cs="Times New Roman"/>
          <w:b/>
          <w:sz w:val="22"/>
          <w:szCs w:val="22"/>
          <w:lang w:val="sk-SK"/>
        </w:rPr>
      </w:pPr>
      <w:r w:rsidRPr="00234B9D">
        <w:rPr>
          <w:rFonts w:ascii="Times New Roman" w:hAnsi="Times New Roman" w:cs="Times New Roman"/>
          <w:b/>
          <w:sz w:val="22"/>
          <w:szCs w:val="22"/>
          <w:lang w:val="sk-SK"/>
        </w:rPr>
        <w:t xml:space="preserve"> </w:t>
      </w:r>
      <w:r w:rsidRPr="00234B9D">
        <w:rPr>
          <w:rFonts w:ascii="Times New Roman" w:hAnsi="Times New Roman" w:cs="Times New Roman"/>
          <w:b/>
          <w:sz w:val="22"/>
          <w:szCs w:val="22"/>
          <w:lang w:val="sk-SK"/>
        </w:rPr>
        <w:tab/>
        <w:t>Ako uchovávať MIG 4% perorálnu suspenziu</w:t>
      </w:r>
    </w:p>
    <w:p w14:paraId="3D8E15FC" w14:textId="77777777" w:rsidR="00BF38D4" w:rsidRPr="0023414B" w:rsidRDefault="00BF38D4">
      <w:pPr>
        <w:pStyle w:val="Textvysvetlivky"/>
        <w:tabs>
          <w:tab w:val="left" w:pos="180"/>
        </w:tabs>
        <w:rPr>
          <w:rFonts w:ascii="Times New Roman" w:hAnsi="Times New Roman" w:cs="Times New Roman"/>
          <w:b/>
          <w:sz w:val="22"/>
          <w:szCs w:val="22"/>
          <w:lang w:val="sk-SK"/>
        </w:rPr>
      </w:pPr>
    </w:p>
    <w:p w14:paraId="0EEE2942" w14:textId="77777777" w:rsidR="00BF38D4" w:rsidRPr="0023414B" w:rsidRDefault="00234B9D">
      <w:pPr>
        <w:ind w:right="-2"/>
        <w:rPr>
          <w:rFonts w:ascii="Times New Roman" w:hAnsi="Times New Roman" w:cs="Times New Roman"/>
          <w:szCs w:val="22"/>
        </w:rPr>
      </w:pPr>
      <w:r w:rsidRPr="00234B9D">
        <w:rPr>
          <w:rFonts w:ascii="Times New Roman" w:hAnsi="Times New Roman" w:cs="Times New Roman"/>
          <w:szCs w:val="22"/>
        </w:rPr>
        <w:t>Tento liek uchovávajte mimo dohľadu a dosahu detí.</w:t>
      </w:r>
    </w:p>
    <w:p w14:paraId="61B1921B" w14:textId="77777777" w:rsidR="00BF38D4" w:rsidRPr="0023414B" w:rsidRDefault="00BF38D4">
      <w:pPr>
        <w:ind w:right="-2"/>
        <w:rPr>
          <w:rFonts w:ascii="Times New Roman" w:hAnsi="Times New Roman" w:cs="Times New Roman"/>
          <w:szCs w:val="22"/>
        </w:rPr>
      </w:pPr>
    </w:p>
    <w:p w14:paraId="743EFA6F" w14:textId="77777777" w:rsidR="00BF38D4" w:rsidRPr="0023414B" w:rsidRDefault="00234B9D">
      <w:pPr>
        <w:ind w:right="-2"/>
        <w:rPr>
          <w:rFonts w:ascii="Times New Roman" w:hAnsi="Times New Roman" w:cs="Times New Roman"/>
          <w:szCs w:val="22"/>
        </w:rPr>
      </w:pPr>
      <w:r w:rsidRPr="00234B9D">
        <w:rPr>
          <w:rFonts w:ascii="Times New Roman" w:hAnsi="Times New Roman" w:cs="Times New Roman"/>
          <w:szCs w:val="22"/>
        </w:rPr>
        <w:t>Nepoužívajte tento liek po dátume exspirácie, ktorý je uvedený na škatuli a fľaštičke po EXP. Dátum exspirácie sa vzťahuje na posledný deň v danom mesiaci.</w:t>
      </w:r>
    </w:p>
    <w:p w14:paraId="2F1A725B" w14:textId="77777777" w:rsidR="00BF38D4" w:rsidRPr="0023414B" w:rsidRDefault="00BF38D4">
      <w:pPr>
        <w:ind w:right="-2"/>
        <w:rPr>
          <w:rFonts w:ascii="Times New Roman" w:hAnsi="Times New Roman" w:cs="Times New Roman"/>
          <w:szCs w:val="22"/>
        </w:rPr>
      </w:pPr>
    </w:p>
    <w:p w14:paraId="24A1D49E" w14:textId="77777777" w:rsidR="00BF38D4" w:rsidRPr="0023414B" w:rsidRDefault="00234B9D">
      <w:pPr>
        <w:pStyle w:val="knZulassung02"/>
        <w:ind w:left="0"/>
        <w:rPr>
          <w:rFonts w:ascii="Times New Roman" w:hAnsi="Times New Roman" w:cs="Times New Roman"/>
          <w:sz w:val="22"/>
          <w:szCs w:val="22"/>
          <w:lang w:val="sk-SK"/>
        </w:rPr>
      </w:pPr>
      <w:r w:rsidRPr="00234B9D">
        <w:rPr>
          <w:rFonts w:ascii="Times New Roman" w:hAnsi="Times New Roman" w:cs="Times New Roman"/>
          <w:sz w:val="22"/>
          <w:szCs w:val="22"/>
          <w:lang w:val="sk-SK"/>
        </w:rPr>
        <w:t>Tento liek nevyžaduje žiadne zvláštne podmienky na uchovávanie. Po prvom otvorení sa musí liek uchovávať pri teplote do 30 °C.</w:t>
      </w:r>
    </w:p>
    <w:p w14:paraId="6F6676C8" w14:textId="77777777" w:rsidR="00BF38D4" w:rsidRPr="0023414B" w:rsidRDefault="00BF38D4">
      <w:pPr>
        <w:pStyle w:val="knZulassung02"/>
        <w:ind w:left="0"/>
        <w:rPr>
          <w:rFonts w:ascii="Times New Roman" w:hAnsi="Times New Roman" w:cs="Times New Roman"/>
          <w:sz w:val="22"/>
          <w:szCs w:val="22"/>
          <w:lang w:val="sk-SK"/>
        </w:rPr>
      </w:pPr>
    </w:p>
    <w:p w14:paraId="48E7B823" w14:textId="77777777" w:rsidR="00BF38D4" w:rsidRPr="0023414B" w:rsidRDefault="00234B9D">
      <w:pPr>
        <w:pStyle w:val="knZulassung02"/>
        <w:ind w:left="0"/>
        <w:rPr>
          <w:rFonts w:ascii="Times New Roman" w:hAnsi="Times New Roman" w:cs="Times New Roman"/>
          <w:sz w:val="22"/>
          <w:szCs w:val="22"/>
          <w:lang w:val="sk-SK"/>
        </w:rPr>
      </w:pPr>
      <w:r w:rsidRPr="00234B9D">
        <w:rPr>
          <w:rFonts w:ascii="Times New Roman" w:hAnsi="Times New Roman" w:cs="Times New Roman"/>
          <w:sz w:val="22"/>
          <w:szCs w:val="22"/>
          <w:lang w:val="sk-SK"/>
        </w:rPr>
        <w:t>Po prvom otvorení je tento liek stabilný počas 6 mesiacov.</w:t>
      </w:r>
    </w:p>
    <w:p w14:paraId="7C8FFCB0" w14:textId="77777777" w:rsidR="00BF38D4" w:rsidRPr="0023414B" w:rsidRDefault="00BF38D4">
      <w:pPr>
        <w:pStyle w:val="knZulassung02"/>
        <w:ind w:left="0"/>
        <w:rPr>
          <w:rFonts w:ascii="Times New Roman" w:hAnsi="Times New Roman" w:cs="Times New Roman"/>
          <w:sz w:val="22"/>
          <w:szCs w:val="22"/>
          <w:lang w:val="sk-SK"/>
        </w:rPr>
      </w:pPr>
    </w:p>
    <w:p w14:paraId="3ADDF44F" w14:textId="77777777" w:rsidR="00BF38D4" w:rsidRPr="0023414B" w:rsidRDefault="00234B9D">
      <w:pPr>
        <w:pStyle w:val="knZulassung01"/>
        <w:ind w:left="0" w:firstLine="0"/>
        <w:rPr>
          <w:rFonts w:ascii="Times New Roman" w:hAnsi="Times New Roman" w:cs="Times New Roman"/>
          <w:sz w:val="22"/>
          <w:szCs w:val="22"/>
          <w:lang w:val="sk-SK"/>
        </w:rPr>
      </w:pPr>
      <w:r w:rsidRPr="00234B9D">
        <w:rPr>
          <w:rFonts w:ascii="Times New Roman" w:hAnsi="Times New Roman" w:cs="Times New Roman"/>
          <w:sz w:val="22"/>
          <w:szCs w:val="22"/>
          <w:lang w:val="sk-SK"/>
        </w:rPr>
        <w:t>Nelikvidujte lieky odpadovou vodou alebo domovým odpadom. Nepoužitý liek vráťte do lekárne. Tieto opatrenia pomôžu chrániť životné prostredie.</w:t>
      </w:r>
    </w:p>
    <w:p w14:paraId="6FF244A7" w14:textId="77777777" w:rsidR="00BF38D4" w:rsidRPr="0023414B" w:rsidRDefault="00BF38D4">
      <w:pPr>
        <w:pStyle w:val="knZulassung01"/>
        <w:ind w:left="0" w:firstLine="0"/>
        <w:rPr>
          <w:rFonts w:ascii="Times New Roman" w:hAnsi="Times New Roman" w:cs="Times New Roman"/>
          <w:sz w:val="22"/>
          <w:szCs w:val="22"/>
          <w:lang w:val="sk-SK"/>
        </w:rPr>
      </w:pPr>
    </w:p>
    <w:p w14:paraId="3C409F39" w14:textId="77777777" w:rsidR="00BF38D4" w:rsidRPr="0023414B" w:rsidRDefault="00BF38D4">
      <w:pPr>
        <w:pStyle w:val="knZulassung01"/>
        <w:ind w:left="0" w:firstLine="0"/>
        <w:rPr>
          <w:rFonts w:ascii="Times New Roman" w:hAnsi="Times New Roman" w:cs="Times New Roman"/>
          <w:sz w:val="22"/>
          <w:szCs w:val="22"/>
          <w:lang w:val="sk-SK"/>
        </w:rPr>
      </w:pPr>
    </w:p>
    <w:p w14:paraId="16291E8F" w14:textId="77777777" w:rsidR="00BF38D4" w:rsidRPr="0023414B" w:rsidRDefault="00234B9D">
      <w:pPr>
        <w:tabs>
          <w:tab w:val="left" w:pos="180"/>
        </w:tabs>
        <w:ind w:right="-2"/>
        <w:rPr>
          <w:rFonts w:ascii="Times New Roman" w:hAnsi="Times New Roman" w:cs="Times New Roman"/>
          <w:b/>
          <w:szCs w:val="22"/>
        </w:rPr>
      </w:pPr>
      <w:r w:rsidRPr="00234B9D">
        <w:rPr>
          <w:rFonts w:ascii="Times New Roman" w:hAnsi="Times New Roman" w:cs="Times New Roman"/>
          <w:b/>
          <w:szCs w:val="22"/>
        </w:rPr>
        <w:t xml:space="preserve">6. </w:t>
      </w:r>
      <w:r w:rsidRPr="00234B9D">
        <w:rPr>
          <w:rFonts w:ascii="Times New Roman" w:hAnsi="Times New Roman" w:cs="Times New Roman"/>
          <w:b/>
          <w:szCs w:val="22"/>
        </w:rPr>
        <w:tab/>
        <w:t xml:space="preserve">Obsah balenia a ďalšie informácie </w:t>
      </w:r>
    </w:p>
    <w:p w14:paraId="4286070D" w14:textId="77777777" w:rsidR="00BF38D4" w:rsidRPr="0023414B" w:rsidRDefault="00BF38D4">
      <w:pPr>
        <w:tabs>
          <w:tab w:val="left" w:pos="180"/>
        </w:tabs>
        <w:ind w:right="-2"/>
        <w:rPr>
          <w:rFonts w:ascii="Times New Roman" w:hAnsi="Times New Roman" w:cs="Times New Roman"/>
          <w:b/>
          <w:szCs w:val="22"/>
        </w:rPr>
      </w:pPr>
    </w:p>
    <w:p w14:paraId="2AC952EB" w14:textId="77777777" w:rsidR="00BF38D4" w:rsidRPr="0023414B" w:rsidRDefault="00234B9D">
      <w:pPr>
        <w:tabs>
          <w:tab w:val="left" w:pos="180"/>
        </w:tabs>
        <w:ind w:right="-2"/>
        <w:rPr>
          <w:rFonts w:ascii="Times New Roman" w:hAnsi="Times New Roman" w:cs="Times New Roman"/>
          <w:szCs w:val="22"/>
        </w:rPr>
      </w:pPr>
      <w:r w:rsidRPr="00234B9D">
        <w:rPr>
          <w:rFonts w:ascii="Times New Roman" w:hAnsi="Times New Roman" w:cs="Times New Roman"/>
          <w:b/>
          <w:szCs w:val="22"/>
        </w:rPr>
        <w:t>Čo MIG 4% perorálna suspenzia obsahuje</w:t>
      </w:r>
    </w:p>
    <w:p w14:paraId="087EC902" w14:textId="77777777" w:rsidR="00BF38D4" w:rsidRPr="0023414B" w:rsidRDefault="00BF38D4">
      <w:pPr>
        <w:tabs>
          <w:tab w:val="left" w:pos="180"/>
        </w:tabs>
        <w:ind w:right="-2"/>
        <w:rPr>
          <w:rFonts w:ascii="Times New Roman" w:hAnsi="Times New Roman" w:cs="Times New Roman"/>
          <w:szCs w:val="22"/>
        </w:rPr>
      </w:pPr>
    </w:p>
    <w:p w14:paraId="02F1F7B8" w14:textId="77777777" w:rsidR="00BF38D4" w:rsidRPr="0023414B" w:rsidRDefault="00234B9D">
      <w:pPr>
        <w:numPr>
          <w:ilvl w:val="0"/>
          <w:numId w:val="9"/>
        </w:numPr>
        <w:rPr>
          <w:rFonts w:ascii="Times New Roman" w:hAnsi="Times New Roman" w:cs="Times New Roman"/>
          <w:szCs w:val="22"/>
        </w:rPr>
      </w:pPr>
      <w:r w:rsidRPr="00234B9D">
        <w:rPr>
          <w:rFonts w:ascii="Times New Roman" w:hAnsi="Times New Roman" w:cs="Times New Roman"/>
          <w:szCs w:val="22"/>
        </w:rPr>
        <w:t xml:space="preserve">Liečivo je ibuprofén. </w:t>
      </w:r>
    </w:p>
    <w:p w14:paraId="17B904D8" w14:textId="77777777" w:rsidR="00BF38D4" w:rsidRPr="0023414B" w:rsidRDefault="00BF38D4">
      <w:pPr>
        <w:rPr>
          <w:rFonts w:ascii="Times New Roman" w:hAnsi="Times New Roman" w:cs="Times New Roman"/>
          <w:szCs w:val="22"/>
        </w:rPr>
      </w:pPr>
    </w:p>
    <w:p w14:paraId="2FFB9263" w14:textId="77777777" w:rsidR="00BF38D4" w:rsidRPr="0023414B" w:rsidRDefault="005B7965">
      <w:pPr>
        <w:ind w:firstLine="360"/>
        <w:rPr>
          <w:rFonts w:ascii="Times New Roman" w:hAnsi="Times New Roman" w:cs="Times New Roman"/>
          <w:szCs w:val="22"/>
        </w:rPr>
      </w:pPr>
      <w:r w:rsidRPr="0023414B">
        <w:rPr>
          <w:rFonts w:ascii="Times New Roman" w:hAnsi="Times New Roman" w:cs="Times New Roman"/>
          <w:szCs w:val="22"/>
        </w:rPr>
        <w:t xml:space="preserve">1 ml perorálnej suspenzie obsahuje 40 mg </w:t>
      </w:r>
      <w:r w:rsidR="00D5019C" w:rsidRPr="0023414B">
        <w:rPr>
          <w:rFonts w:ascii="Times New Roman" w:hAnsi="Times New Roman" w:cs="Times New Roman"/>
          <w:szCs w:val="22"/>
        </w:rPr>
        <w:t>ibuprofénu</w:t>
      </w:r>
      <w:r w:rsidRPr="0023414B">
        <w:rPr>
          <w:rFonts w:ascii="Times New Roman" w:hAnsi="Times New Roman" w:cs="Times New Roman"/>
          <w:szCs w:val="22"/>
        </w:rPr>
        <w:t xml:space="preserve">. </w:t>
      </w:r>
    </w:p>
    <w:p w14:paraId="612BA81E" w14:textId="77777777" w:rsidR="00BF38D4" w:rsidRPr="0023414B" w:rsidRDefault="00BF38D4">
      <w:pPr>
        <w:ind w:firstLine="360"/>
        <w:rPr>
          <w:rFonts w:ascii="Times New Roman" w:hAnsi="Times New Roman" w:cs="Times New Roman"/>
          <w:szCs w:val="22"/>
        </w:rPr>
      </w:pPr>
    </w:p>
    <w:p w14:paraId="62DD8407" w14:textId="7CE7E9B1" w:rsidR="00BF38D4" w:rsidRPr="0023414B" w:rsidRDefault="005B7965" w:rsidP="00F92219">
      <w:pPr>
        <w:numPr>
          <w:ilvl w:val="0"/>
          <w:numId w:val="9"/>
        </w:numPr>
        <w:rPr>
          <w:rFonts w:ascii="Times New Roman" w:hAnsi="Times New Roman" w:cs="Times New Roman"/>
          <w:szCs w:val="22"/>
        </w:rPr>
      </w:pPr>
      <w:r w:rsidRPr="0023414B">
        <w:rPr>
          <w:rFonts w:ascii="Times New Roman" w:hAnsi="Times New Roman" w:cs="Times New Roman"/>
          <w:szCs w:val="22"/>
        </w:rPr>
        <w:t>Ďalšie zložky sú: benzoát sodný (E211)</w:t>
      </w:r>
      <w:r w:rsidR="002611B6">
        <w:rPr>
          <w:rFonts w:ascii="Times New Roman" w:hAnsi="Times New Roman" w:cs="Times New Roman"/>
          <w:szCs w:val="22"/>
        </w:rPr>
        <w:t>,</w:t>
      </w:r>
      <w:r w:rsidRPr="0023414B">
        <w:rPr>
          <w:rFonts w:ascii="Times New Roman" w:hAnsi="Times New Roman" w:cs="Times New Roman"/>
          <w:szCs w:val="22"/>
        </w:rPr>
        <w:t xml:space="preserve"> </w:t>
      </w:r>
      <w:r w:rsidR="00064B90" w:rsidRPr="00F92219">
        <w:rPr>
          <w:rFonts w:ascii="Times New Roman" w:hAnsi="Times New Roman" w:cs="Times New Roman"/>
          <w:szCs w:val="22"/>
        </w:rPr>
        <w:t>bezvodá</w:t>
      </w:r>
      <w:r w:rsidR="00064B90">
        <w:rPr>
          <w:rFonts w:ascii="Times New Roman" w:hAnsi="Times New Roman" w:cs="Times New Roman"/>
          <w:szCs w:val="22"/>
        </w:rPr>
        <w:t xml:space="preserve"> </w:t>
      </w:r>
      <w:r w:rsidR="00F92219" w:rsidRPr="00F92219">
        <w:rPr>
          <w:rFonts w:ascii="Times New Roman" w:hAnsi="Times New Roman" w:cs="Times New Roman"/>
          <w:szCs w:val="22"/>
        </w:rPr>
        <w:t>kyselina citrónová</w:t>
      </w:r>
      <w:r w:rsidR="00064B90">
        <w:rPr>
          <w:rFonts w:ascii="Times New Roman" w:hAnsi="Times New Roman" w:cs="Times New Roman"/>
          <w:szCs w:val="22"/>
        </w:rPr>
        <w:t>,</w:t>
      </w:r>
      <w:r w:rsidRPr="0023414B">
        <w:rPr>
          <w:rFonts w:ascii="Times New Roman" w:hAnsi="Times New Roman" w:cs="Times New Roman"/>
          <w:szCs w:val="22"/>
        </w:rPr>
        <w:t xml:space="preserve"> </w:t>
      </w:r>
      <w:r w:rsidR="00F92219">
        <w:rPr>
          <w:rFonts w:ascii="Times New Roman" w:hAnsi="Times New Roman" w:cs="Times New Roman"/>
          <w:szCs w:val="22"/>
        </w:rPr>
        <w:t>c</w:t>
      </w:r>
      <w:r w:rsidR="00F92219" w:rsidRPr="00F92219">
        <w:rPr>
          <w:rFonts w:ascii="Times New Roman" w:hAnsi="Times New Roman" w:cs="Times New Roman"/>
          <w:szCs w:val="22"/>
        </w:rPr>
        <w:t>itrónan sodný</w:t>
      </w:r>
      <w:r w:rsidR="00064B90">
        <w:rPr>
          <w:rFonts w:ascii="Times New Roman" w:hAnsi="Times New Roman" w:cs="Times New Roman"/>
          <w:szCs w:val="22"/>
        </w:rPr>
        <w:t>,</w:t>
      </w:r>
      <w:r w:rsidRPr="0023414B">
        <w:rPr>
          <w:rFonts w:ascii="Times New Roman" w:hAnsi="Times New Roman" w:cs="Times New Roman"/>
          <w:szCs w:val="22"/>
        </w:rPr>
        <w:t xml:space="preserve"> sodná soľ sacharínu</w:t>
      </w:r>
      <w:r w:rsidR="0090204E">
        <w:rPr>
          <w:rFonts w:ascii="Times New Roman" w:hAnsi="Times New Roman" w:cs="Times New Roman"/>
          <w:szCs w:val="22"/>
        </w:rPr>
        <w:t>,</w:t>
      </w:r>
      <w:r w:rsidRPr="0023414B">
        <w:rPr>
          <w:rFonts w:ascii="Times New Roman" w:hAnsi="Times New Roman" w:cs="Times New Roman"/>
          <w:szCs w:val="22"/>
        </w:rPr>
        <w:t xml:space="preserve"> chlorid sodný</w:t>
      </w:r>
      <w:r w:rsidR="0090204E">
        <w:rPr>
          <w:rFonts w:ascii="Times New Roman" w:hAnsi="Times New Roman" w:cs="Times New Roman"/>
          <w:szCs w:val="22"/>
        </w:rPr>
        <w:t>,</w:t>
      </w:r>
      <w:r w:rsidRPr="0023414B">
        <w:rPr>
          <w:rFonts w:ascii="Times New Roman" w:hAnsi="Times New Roman" w:cs="Times New Roman"/>
          <w:szCs w:val="22"/>
        </w:rPr>
        <w:t xml:space="preserve"> hypromelóza</w:t>
      </w:r>
      <w:r w:rsidR="0090204E">
        <w:rPr>
          <w:rFonts w:ascii="Times New Roman" w:hAnsi="Times New Roman" w:cs="Times New Roman"/>
          <w:szCs w:val="22"/>
        </w:rPr>
        <w:t>,</w:t>
      </w:r>
      <w:r w:rsidRPr="0023414B">
        <w:rPr>
          <w:rFonts w:ascii="Times New Roman" w:hAnsi="Times New Roman" w:cs="Times New Roman"/>
          <w:szCs w:val="22"/>
        </w:rPr>
        <w:t xml:space="preserve"> xantánová guma</w:t>
      </w:r>
      <w:r w:rsidR="0090204E">
        <w:rPr>
          <w:rFonts w:ascii="Times New Roman" w:hAnsi="Times New Roman" w:cs="Times New Roman"/>
          <w:szCs w:val="22"/>
        </w:rPr>
        <w:t>,</w:t>
      </w:r>
      <w:r w:rsidRPr="0023414B">
        <w:rPr>
          <w:rFonts w:ascii="Times New Roman" w:hAnsi="Times New Roman" w:cs="Times New Roman"/>
          <w:szCs w:val="22"/>
        </w:rPr>
        <w:t xml:space="preserve"> </w:t>
      </w:r>
      <w:r w:rsidR="00064B90" w:rsidRPr="00F92219">
        <w:rPr>
          <w:rFonts w:ascii="Times New Roman" w:hAnsi="Times New Roman" w:cs="Times New Roman"/>
          <w:szCs w:val="22"/>
        </w:rPr>
        <w:t>roztok</w:t>
      </w:r>
      <w:r w:rsidR="00064B90">
        <w:rPr>
          <w:rFonts w:ascii="Times New Roman" w:hAnsi="Times New Roman" w:cs="Times New Roman"/>
          <w:szCs w:val="22"/>
        </w:rPr>
        <w:t xml:space="preserve"> </w:t>
      </w:r>
      <w:r w:rsidR="00F92219">
        <w:rPr>
          <w:rFonts w:ascii="Times New Roman" w:hAnsi="Times New Roman" w:cs="Times New Roman"/>
          <w:szCs w:val="22"/>
        </w:rPr>
        <w:t>m</w:t>
      </w:r>
      <w:r w:rsidR="00F92219" w:rsidRPr="00F92219">
        <w:rPr>
          <w:rFonts w:ascii="Times New Roman" w:hAnsi="Times New Roman" w:cs="Times New Roman"/>
          <w:szCs w:val="22"/>
        </w:rPr>
        <w:t>altitol</w:t>
      </w:r>
      <w:r w:rsidR="00064B90">
        <w:rPr>
          <w:rFonts w:ascii="Times New Roman" w:hAnsi="Times New Roman" w:cs="Times New Roman"/>
          <w:szCs w:val="22"/>
        </w:rPr>
        <w:t>u</w:t>
      </w:r>
      <w:r w:rsidR="00F92219" w:rsidRPr="00F92219">
        <w:rPr>
          <w:rFonts w:ascii="Times New Roman" w:hAnsi="Times New Roman" w:cs="Times New Roman"/>
          <w:szCs w:val="22"/>
        </w:rPr>
        <w:t>,</w:t>
      </w:r>
      <w:r w:rsidRPr="0023414B">
        <w:rPr>
          <w:rFonts w:ascii="Times New Roman" w:hAnsi="Times New Roman" w:cs="Times New Roman"/>
          <w:szCs w:val="22"/>
        </w:rPr>
        <w:t xml:space="preserve"> glycerol (E422), taumatín (E957)</w:t>
      </w:r>
      <w:r w:rsidR="0090204E">
        <w:rPr>
          <w:rFonts w:ascii="Times New Roman" w:hAnsi="Times New Roman" w:cs="Times New Roman"/>
          <w:szCs w:val="22"/>
        </w:rPr>
        <w:t>,</w:t>
      </w:r>
      <w:r w:rsidRPr="0023414B">
        <w:rPr>
          <w:rFonts w:ascii="Times New Roman" w:hAnsi="Times New Roman" w:cs="Times New Roman"/>
          <w:szCs w:val="22"/>
        </w:rPr>
        <w:t xml:space="preserve"> jahodová príchuť (príchute identické s prírodnými látkami, </w:t>
      </w:r>
      <w:r w:rsidR="00234B9D" w:rsidRPr="00234B9D">
        <w:rPr>
          <w:rFonts w:ascii="Times New Roman" w:hAnsi="Times New Roman" w:cs="Times New Roman"/>
          <w:szCs w:val="22"/>
        </w:rPr>
        <w:t>kukuričný maltodextrín, trietylcitrát (E-1505), propylénglykol (E-1520) a benzylalkohol)</w:t>
      </w:r>
      <w:r w:rsidR="0090204E">
        <w:rPr>
          <w:rFonts w:ascii="Times New Roman" w:hAnsi="Times New Roman" w:cs="Times New Roman"/>
          <w:szCs w:val="22"/>
        </w:rPr>
        <w:t>,</w:t>
      </w:r>
      <w:r w:rsidR="00234B9D" w:rsidRPr="00234B9D">
        <w:rPr>
          <w:rFonts w:ascii="Times New Roman" w:hAnsi="Times New Roman" w:cs="Times New Roman"/>
          <w:szCs w:val="22"/>
        </w:rPr>
        <w:t xml:space="preserve"> čistená voda.</w:t>
      </w:r>
    </w:p>
    <w:p w14:paraId="671EE76B" w14:textId="77777777" w:rsidR="00BF38D4" w:rsidRPr="0023414B" w:rsidRDefault="00BF38D4">
      <w:pPr>
        <w:rPr>
          <w:rFonts w:ascii="Times New Roman" w:hAnsi="Times New Roman" w:cs="Times New Roman"/>
          <w:szCs w:val="22"/>
        </w:rPr>
      </w:pPr>
    </w:p>
    <w:p w14:paraId="27A0DCC6" w14:textId="77777777" w:rsidR="00BF38D4" w:rsidRPr="0023414B" w:rsidRDefault="00234B9D">
      <w:pPr>
        <w:ind w:right="-2"/>
        <w:rPr>
          <w:rFonts w:ascii="Times New Roman" w:hAnsi="Times New Roman" w:cs="Times New Roman"/>
          <w:b/>
          <w:szCs w:val="22"/>
        </w:rPr>
      </w:pPr>
      <w:r w:rsidRPr="00234B9D">
        <w:rPr>
          <w:rFonts w:ascii="Times New Roman" w:hAnsi="Times New Roman" w:cs="Times New Roman"/>
          <w:b/>
          <w:szCs w:val="22"/>
        </w:rPr>
        <w:t>Ako vyzerá MIG 4% perorálna suspenzia a obsah balenia</w:t>
      </w:r>
    </w:p>
    <w:p w14:paraId="614256CB" w14:textId="77777777" w:rsidR="00BF38D4" w:rsidRPr="0023414B" w:rsidRDefault="00BF38D4">
      <w:pPr>
        <w:ind w:right="-2"/>
        <w:rPr>
          <w:rFonts w:ascii="Times New Roman" w:hAnsi="Times New Roman" w:cs="Times New Roman"/>
          <w:b/>
          <w:szCs w:val="22"/>
        </w:rPr>
      </w:pPr>
    </w:p>
    <w:p w14:paraId="490892CC" w14:textId="77777777" w:rsidR="00BF38D4" w:rsidRPr="0023414B" w:rsidRDefault="00234B9D">
      <w:pPr>
        <w:rPr>
          <w:rFonts w:ascii="Times New Roman" w:hAnsi="Times New Roman" w:cs="Times New Roman"/>
          <w:szCs w:val="22"/>
        </w:rPr>
      </w:pPr>
      <w:r w:rsidRPr="00234B9D">
        <w:rPr>
          <w:rFonts w:ascii="Times New Roman" w:hAnsi="Times New Roman" w:cs="Times New Roman"/>
          <w:szCs w:val="22"/>
        </w:rPr>
        <w:lastRenderedPageBreak/>
        <w:t>MIG 4% perorálna suspenzia je biela alebo takmer biela viskózna suspenzia.</w:t>
      </w:r>
    </w:p>
    <w:p w14:paraId="68F468E9" w14:textId="77777777" w:rsidR="00BF38D4" w:rsidRPr="0023414B" w:rsidRDefault="00BF38D4">
      <w:pPr>
        <w:rPr>
          <w:rFonts w:ascii="Times New Roman" w:hAnsi="Times New Roman" w:cs="Times New Roman"/>
          <w:szCs w:val="22"/>
        </w:rPr>
      </w:pPr>
    </w:p>
    <w:p w14:paraId="03699375" w14:textId="77777777" w:rsidR="00BF38D4" w:rsidRPr="0023414B" w:rsidRDefault="00234B9D">
      <w:pPr>
        <w:rPr>
          <w:rFonts w:ascii="Times New Roman" w:hAnsi="Times New Roman" w:cs="Times New Roman"/>
          <w:szCs w:val="22"/>
        </w:rPr>
      </w:pPr>
      <w:r w:rsidRPr="00234B9D">
        <w:rPr>
          <w:rFonts w:ascii="Times New Roman" w:hAnsi="Times New Roman" w:cs="Times New Roman"/>
          <w:szCs w:val="22"/>
        </w:rPr>
        <w:t>MIG 4% perorálna suspenzia je balená v plastovej fľaštičke s obsahom 30 ml, 100 ml, 150 ml alebo 200 ml perorálnej suspenzie s bezpečnostným detským uzáverom.</w:t>
      </w:r>
    </w:p>
    <w:p w14:paraId="044A96B2" w14:textId="77777777" w:rsidR="00BF38D4" w:rsidRPr="0023414B" w:rsidRDefault="00BF38D4">
      <w:pPr>
        <w:rPr>
          <w:rFonts w:ascii="Times New Roman" w:hAnsi="Times New Roman" w:cs="Times New Roman"/>
          <w:szCs w:val="22"/>
        </w:rPr>
      </w:pPr>
    </w:p>
    <w:p w14:paraId="3C83DE11" w14:textId="77777777" w:rsidR="00BF38D4" w:rsidRPr="0023414B" w:rsidRDefault="00234B9D">
      <w:pPr>
        <w:autoSpaceDE w:val="0"/>
        <w:rPr>
          <w:rFonts w:ascii="Times New Roman" w:hAnsi="Times New Roman" w:cs="Times New Roman"/>
          <w:szCs w:val="22"/>
        </w:rPr>
      </w:pPr>
      <w:r w:rsidRPr="00234B9D">
        <w:rPr>
          <w:rFonts w:ascii="Times New Roman" w:hAnsi="Times New Roman" w:cs="Times New Roman"/>
          <w:color w:val="000000"/>
          <w:szCs w:val="22"/>
        </w:rPr>
        <w:t>Na trh nemusia byť uvedené všetky veľkosti balenia.</w:t>
      </w:r>
    </w:p>
    <w:p w14:paraId="29EAFCE2" w14:textId="77777777" w:rsidR="00BF38D4" w:rsidRPr="0023414B" w:rsidRDefault="00BF38D4">
      <w:pPr>
        <w:rPr>
          <w:rFonts w:ascii="Times New Roman" w:hAnsi="Times New Roman" w:cs="Times New Roman"/>
          <w:szCs w:val="22"/>
        </w:rPr>
      </w:pPr>
    </w:p>
    <w:p w14:paraId="36F42140" w14:textId="77777777" w:rsidR="00BF38D4" w:rsidRPr="0023414B" w:rsidRDefault="00234B9D">
      <w:pPr>
        <w:rPr>
          <w:rFonts w:ascii="Times New Roman" w:hAnsi="Times New Roman" w:cs="Times New Roman"/>
          <w:szCs w:val="22"/>
        </w:rPr>
      </w:pPr>
      <w:r>
        <w:rPr>
          <w:rStyle w:val="hps"/>
          <w:rFonts w:ascii="Times New Roman" w:hAnsi="Times New Roman" w:cs="Times New Roman"/>
          <w:color w:val="222222"/>
          <w:szCs w:val="22"/>
        </w:rPr>
        <w:t>Na presné</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dávkovanie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je súčasťou balenia polypropylénová</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dávkovacia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striekačka pre perorálne podanie (ústami), odstupňovaná po</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0,25</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ml</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dielikoch</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až</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do 5 ml.</w:t>
      </w:r>
    </w:p>
    <w:p w14:paraId="4EAC621A" w14:textId="77777777" w:rsidR="00BF38D4" w:rsidRPr="0023414B" w:rsidRDefault="00BF38D4">
      <w:pPr>
        <w:rPr>
          <w:rFonts w:ascii="Times New Roman" w:hAnsi="Times New Roman" w:cs="Times New Roman"/>
          <w:szCs w:val="22"/>
        </w:rPr>
      </w:pPr>
    </w:p>
    <w:p w14:paraId="463C4EB8" w14:textId="77777777" w:rsidR="00BF38D4" w:rsidRPr="0023414B" w:rsidRDefault="00234B9D">
      <w:pPr>
        <w:ind w:right="-2"/>
        <w:rPr>
          <w:rFonts w:ascii="Times New Roman" w:hAnsi="Times New Roman" w:cs="Times New Roman"/>
          <w:b/>
          <w:szCs w:val="22"/>
        </w:rPr>
      </w:pPr>
      <w:r>
        <w:rPr>
          <w:rFonts w:ascii="Times New Roman" w:hAnsi="Times New Roman" w:cs="Times New Roman"/>
          <w:b/>
          <w:szCs w:val="22"/>
        </w:rPr>
        <w:t>Držiteľ rozhodnutia o registrácii a výrobca</w:t>
      </w:r>
    </w:p>
    <w:p w14:paraId="12A4C96E" w14:textId="77777777" w:rsidR="00BF38D4" w:rsidRPr="0023414B" w:rsidRDefault="00BF38D4">
      <w:pPr>
        <w:ind w:right="-2"/>
        <w:rPr>
          <w:rFonts w:ascii="Times New Roman" w:hAnsi="Times New Roman" w:cs="Times New Roman"/>
          <w:b/>
          <w:szCs w:val="22"/>
        </w:rPr>
      </w:pPr>
    </w:p>
    <w:p w14:paraId="56D0399B" w14:textId="77777777" w:rsidR="00BF38D4" w:rsidRPr="0023414B" w:rsidRDefault="00234B9D">
      <w:pPr>
        <w:ind w:right="-2"/>
        <w:rPr>
          <w:rFonts w:ascii="Times New Roman" w:hAnsi="Times New Roman" w:cs="Times New Roman"/>
          <w:szCs w:val="22"/>
        </w:rPr>
      </w:pPr>
      <w:r>
        <w:rPr>
          <w:rFonts w:ascii="Times New Roman" w:hAnsi="Times New Roman" w:cs="Times New Roman"/>
          <w:szCs w:val="22"/>
          <w:u w:val="single"/>
        </w:rPr>
        <w:t>Držiteľ rozhodnutia o registrácii</w:t>
      </w:r>
    </w:p>
    <w:p w14:paraId="0D3ED570" w14:textId="77777777"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Berlin-Chemie AG</w:t>
      </w:r>
    </w:p>
    <w:p w14:paraId="3E8EF344" w14:textId="77777777"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Glienicker Weg 125</w:t>
      </w:r>
    </w:p>
    <w:p w14:paraId="0D175FC8" w14:textId="77777777"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12489 Berlín</w:t>
      </w:r>
    </w:p>
    <w:p w14:paraId="54C23A98" w14:textId="77777777"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Nemecko</w:t>
      </w:r>
    </w:p>
    <w:p w14:paraId="3A4EC93D" w14:textId="77777777" w:rsidR="00BF38D4" w:rsidRPr="0023414B" w:rsidRDefault="00BF38D4">
      <w:pPr>
        <w:pStyle w:val="knZulassung02"/>
        <w:autoSpaceDE/>
        <w:ind w:left="0" w:right="0"/>
        <w:rPr>
          <w:rFonts w:ascii="Times New Roman" w:hAnsi="Times New Roman" w:cs="Times New Roman"/>
          <w:sz w:val="22"/>
          <w:szCs w:val="22"/>
          <w:lang w:val="sk-SK"/>
        </w:rPr>
      </w:pPr>
    </w:p>
    <w:p w14:paraId="7B8AF1D6" w14:textId="77777777"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u w:val="single"/>
          <w:lang w:val="sk-SK"/>
        </w:rPr>
        <w:t>Výrobca</w:t>
      </w:r>
    </w:p>
    <w:p w14:paraId="1C6CA64A" w14:textId="77777777"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Laboratorios Alcalá Farma, S.L.</w:t>
      </w:r>
    </w:p>
    <w:p w14:paraId="0F342EFD" w14:textId="77777777"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Avenida de Madrid, 82</w:t>
      </w:r>
    </w:p>
    <w:p w14:paraId="5FFB6C09" w14:textId="77777777"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28802 Alcalá de Henares – Madrid</w:t>
      </w:r>
    </w:p>
    <w:p w14:paraId="4B6C8417" w14:textId="77777777"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Španielsko</w:t>
      </w:r>
    </w:p>
    <w:p w14:paraId="1D1432A3" w14:textId="77777777" w:rsidR="001019A4" w:rsidRPr="0023414B" w:rsidRDefault="001019A4" w:rsidP="001019A4">
      <w:pPr>
        <w:pStyle w:val="knZulassung02"/>
        <w:autoSpaceDE/>
        <w:ind w:left="0" w:right="0"/>
        <w:rPr>
          <w:rFonts w:ascii="Times New Roman" w:hAnsi="Times New Roman" w:cs="Times New Roman"/>
          <w:sz w:val="22"/>
          <w:szCs w:val="22"/>
          <w:lang w:val="sk-SK"/>
        </w:rPr>
      </w:pPr>
    </w:p>
    <w:p w14:paraId="2AE7473F" w14:textId="77777777"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alebo</w:t>
      </w:r>
    </w:p>
    <w:p w14:paraId="05A4FFED" w14:textId="77777777" w:rsidR="001019A4" w:rsidRPr="0023414B" w:rsidRDefault="001019A4" w:rsidP="001019A4">
      <w:pPr>
        <w:pStyle w:val="knZulassung02"/>
        <w:autoSpaceDE/>
        <w:ind w:left="0" w:right="0"/>
        <w:rPr>
          <w:rFonts w:ascii="Times New Roman" w:hAnsi="Times New Roman" w:cs="Times New Roman"/>
          <w:sz w:val="22"/>
          <w:szCs w:val="22"/>
          <w:lang w:val="sk-SK"/>
        </w:rPr>
      </w:pPr>
    </w:p>
    <w:p w14:paraId="25FAD7E1" w14:textId="77777777"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Farmasierra Manufacturing, S.L.</w:t>
      </w:r>
    </w:p>
    <w:p w14:paraId="23388FBB" w14:textId="77777777"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Ctra. Irún, km 26,200</w:t>
      </w:r>
    </w:p>
    <w:p w14:paraId="4BEECD3A" w14:textId="77777777"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28709 San Sebastián de los Reyes – Madrid</w:t>
      </w:r>
    </w:p>
    <w:p w14:paraId="2344112C" w14:textId="77777777"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Španielsko</w:t>
      </w:r>
    </w:p>
    <w:p w14:paraId="05539C6E" w14:textId="77777777" w:rsidR="001019A4" w:rsidRPr="0023414B" w:rsidRDefault="001019A4" w:rsidP="001019A4">
      <w:pPr>
        <w:pStyle w:val="knZulassung02"/>
        <w:autoSpaceDE/>
        <w:ind w:left="0" w:right="0"/>
        <w:rPr>
          <w:rFonts w:ascii="Times New Roman" w:hAnsi="Times New Roman" w:cs="Times New Roman"/>
          <w:sz w:val="22"/>
          <w:szCs w:val="22"/>
          <w:lang w:val="sk-SK"/>
        </w:rPr>
      </w:pPr>
    </w:p>
    <w:p w14:paraId="73A4DA76" w14:textId="77777777"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alebo</w:t>
      </w:r>
    </w:p>
    <w:p w14:paraId="165DCB0B" w14:textId="77777777" w:rsidR="001019A4" w:rsidRPr="0023414B" w:rsidRDefault="001019A4">
      <w:pPr>
        <w:pStyle w:val="knZulassung02"/>
        <w:autoSpaceDE/>
        <w:ind w:left="0" w:right="0"/>
        <w:rPr>
          <w:rFonts w:ascii="Times New Roman" w:hAnsi="Times New Roman" w:cs="Times New Roman"/>
          <w:sz w:val="22"/>
          <w:szCs w:val="22"/>
          <w:lang w:val="sk-SK"/>
        </w:rPr>
      </w:pPr>
    </w:p>
    <w:p w14:paraId="2743274F" w14:textId="77777777"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Berlin-Chemie AG</w:t>
      </w:r>
    </w:p>
    <w:p w14:paraId="5647D205" w14:textId="77777777"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Glienicker Weg 125</w:t>
      </w:r>
    </w:p>
    <w:p w14:paraId="1C50FF3B" w14:textId="77777777"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12489 Berlín</w:t>
      </w:r>
    </w:p>
    <w:p w14:paraId="6A5C461C" w14:textId="77777777"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Nemecko</w:t>
      </w:r>
    </w:p>
    <w:p w14:paraId="70FA8B8B" w14:textId="77777777" w:rsidR="00BF38D4" w:rsidRPr="0023414B" w:rsidRDefault="00BF38D4">
      <w:pPr>
        <w:rPr>
          <w:rFonts w:ascii="Times New Roman" w:hAnsi="Times New Roman" w:cs="Times New Roman"/>
          <w:szCs w:val="22"/>
        </w:rPr>
      </w:pPr>
    </w:p>
    <w:p w14:paraId="56C83880" w14:textId="77777777" w:rsidR="00BF38D4" w:rsidRPr="0023414B" w:rsidRDefault="00234B9D">
      <w:pPr>
        <w:pStyle w:val="Zkladntext"/>
        <w:autoSpaceDE w:val="0"/>
        <w:rPr>
          <w:sz w:val="22"/>
          <w:szCs w:val="22"/>
        </w:rPr>
      </w:pPr>
      <w:r>
        <w:rPr>
          <w:b/>
          <w:bCs/>
          <w:sz w:val="22"/>
          <w:szCs w:val="22"/>
        </w:rPr>
        <w:t>Liek je schválený v členských štátoch Európskeho hospodárskeho priestoru (EHP) pod nasledovnými názvami:</w:t>
      </w:r>
    </w:p>
    <w:p w14:paraId="5A2C5AA5" w14:textId="77777777" w:rsidR="00BF38D4" w:rsidRPr="0023414B" w:rsidRDefault="005B7965">
      <w:pPr>
        <w:tabs>
          <w:tab w:val="left" w:pos="2694"/>
          <w:tab w:val="left" w:pos="4500"/>
        </w:tabs>
        <w:rPr>
          <w:rFonts w:ascii="Times New Roman" w:hAnsi="Times New Roman" w:cs="Times New Roman"/>
          <w:szCs w:val="22"/>
        </w:rPr>
      </w:pPr>
      <w:r w:rsidRPr="0023414B">
        <w:rPr>
          <w:rFonts w:ascii="Times New Roman" w:hAnsi="Times New Roman" w:cs="Times New Roman"/>
          <w:szCs w:val="22"/>
        </w:rPr>
        <w:t xml:space="preserve">Bulharsko </w:t>
      </w:r>
      <w:r w:rsidRPr="0023414B">
        <w:rPr>
          <w:rFonts w:ascii="Times New Roman" w:hAnsi="Times New Roman" w:cs="Times New Roman"/>
          <w:szCs w:val="22"/>
        </w:rPr>
        <w:tab/>
        <w:t>МИГ джуниър</w:t>
      </w:r>
    </w:p>
    <w:p w14:paraId="729E451A" w14:textId="77777777"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Estónsko</w:t>
      </w:r>
      <w:r w:rsidRPr="00234B9D">
        <w:rPr>
          <w:rFonts w:ascii="Times New Roman" w:hAnsi="Times New Roman" w:cs="Times New Roman"/>
          <w:szCs w:val="22"/>
        </w:rPr>
        <w:tab/>
        <w:t>Ibustar forte</w:t>
      </w:r>
    </w:p>
    <w:p w14:paraId="3CCDFC7E" w14:textId="77777777"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Chorvátsko</w:t>
      </w:r>
      <w:r w:rsidRPr="00234B9D">
        <w:rPr>
          <w:rFonts w:ascii="Times New Roman" w:hAnsi="Times New Roman" w:cs="Times New Roman"/>
          <w:szCs w:val="22"/>
        </w:rPr>
        <w:tab/>
      </w:r>
      <w:r w:rsidRPr="00234B9D">
        <w:rPr>
          <w:rFonts w:ascii="Times New Roman" w:hAnsi="Times New Roman" w:cs="Times New Roman"/>
          <w:iCs/>
          <w:szCs w:val="22"/>
        </w:rPr>
        <w:t>Berlistar forte 40 mg/ml oralna suspenzija</w:t>
      </w:r>
    </w:p>
    <w:p w14:paraId="455C45F7" w14:textId="77777777"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Litva</w:t>
      </w:r>
      <w:r w:rsidRPr="00234B9D">
        <w:rPr>
          <w:rFonts w:ascii="Times New Roman" w:hAnsi="Times New Roman" w:cs="Times New Roman"/>
          <w:szCs w:val="22"/>
        </w:rPr>
        <w:tab/>
        <w:t>Ibustar 40 mg/ml geriamoji suspensija, vaikams</w:t>
      </w:r>
    </w:p>
    <w:p w14:paraId="7FF4E68C" w14:textId="77777777"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Lotyšsko</w:t>
      </w:r>
      <w:r w:rsidRPr="00234B9D">
        <w:rPr>
          <w:rFonts w:ascii="Times New Roman" w:hAnsi="Times New Roman" w:cs="Times New Roman"/>
          <w:szCs w:val="22"/>
        </w:rPr>
        <w:tab/>
        <w:t>Ibustar bērniem 200 mg/5 ml suspensija iekšķīgai lietošanai</w:t>
      </w:r>
    </w:p>
    <w:p w14:paraId="713D968C" w14:textId="77777777"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Nemecko</w:t>
      </w:r>
      <w:r w:rsidRPr="00234B9D">
        <w:rPr>
          <w:rFonts w:ascii="Times New Roman" w:hAnsi="Times New Roman" w:cs="Times New Roman"/>
          <w:szCs w:val="22"/>
        </w:rPr>
        <w:tab/>
        <w:t>EUDORLIN Ibuprofen 40 mg / ml Suspension zum Einnehmen</w:t>
      </w:r>
    </w:p>
    <w:p w14:paraId="62C56547" w14:textId="77777777"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Poľsko</w:t>
      </w:r>
      <w:r w:rsidRPr="00234B9D">
        <w:rPr>
          <w:rFonts w:ascii="Times New Roman" w:hAnsi="Times New Roman" w:cs="Times New Roman"/>
          <w:szCs w:val="22"/>
        </w:rPr>
        <w:tab/>
        <w:t>MIG dla dzieci Forte o smaku truskawkowym</w:t>
      </w:r>
    </w:p>
    <w:p w14:paraId="49CB4EB3" w14:textId="77777777"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Slovenská republika</w:t>
      </w:r>
      <w:r w:rsidRPr="00234B9D">
        <w:rPr>
          <w:rFonts w:ascii="Times New Roman" w:hAnsi="Times New Roman" w:cs="Times New Roman"/>
          <w:szCs w:val="22"/>
        </w:rPr>
        <w:tab/>
        <w:t>MIG 4% perorálna suspenzia</w:t>
      </w:r>
    </w:p>
    <w:p w14:paraId="1797172D" w14:textId="77777777"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Španielsko</w:t>
      </w:r>
      <w:r w:rsidRPr="00234B9D">
        <w:rPr>
          <w:rFonts w:ascii="Times New Roman" w:hAnsi="Times New Roman" w:cs="Times New Roman"/>
          <w:szCs w:val="22"/>
        </w:rPr>
        <w:tab/>
      </w:r>
      <w:r w:rsidRPr="00234B9D">
        <w:rPr>
          <w:rFonts w:ascii="Times New Roman" w:hAnsi="Times New Roman" w:cs="Times New Roman"/>
          <w:iCs/>
          <w:szCs w:val="22"/>
        </w:rPr>
        <w:t>EUDORLIN 40 mg/ml suspensión oral</w:t>
      </w:r>
    </w:p>
    <w:p w14:paraId="1A60CD47" w14:textId="77777777" w:rsidR="00BF38D4" w:rsidRPr="0023414B" w:rsidRDefault="00BF38D4">
      <w:pPr>
        <w:tabs>
          <w:tab w:val="left" w:pos="2694"/>
          <w:tab w:val="left" w:pos="4500"/>
        </w:tabs>
        <w:rPr>
          <w:rFonts w:ascii="Times New Roman" w:hAnsi="Times New Roman" w:cs="Times New Roman"/>
          <w:szCs w:val="22"/>
        </w:rPr>
      </w:pPr>
    </w:p>
    <w:p w14:paraId="0EAFCB8D" w14:textId="67FD3697" w:rsidR="00BF38D4" w:rsidRPr="0023414B" w:rsidRDefault="00234B9D">
      <w:pPr>
        <w:pStyle w:val="Zkladntext21"/>
        <w:tabs>
          <w:tab w:val="left" w:pos="0"/>
          <w:tab w:val="left" w:pos="1872"/>
        </w:tabs>
        <w:rPr>
          <w:rFonts w:ascii="Times New Roman" w:hAnsi="Times New Roman" w:cs="Times New Roman"/>
          <w:szCs w:val="22"/>
        </w:rPr>
      </w:pPr>
      <w:r w:rsidRPr="00234B9D">
        <w:rPr>
          <w:rFonts w:ascii="Times New Roman" w:hAnsi="Times New Roman" w:cs="Times New Roman"/>
          <w:b/>
          <w:szCs w:val="22"/>
        </w:rPr>
        <w:t>Táto písomná informácia bola naposledy aktualizovaná v</w:t>
      </w:r>
      <w:r w:rsidR="003C55E2">
        <w:rPr>
          <w:rFonts w:ascii="Times New Roman" w:hAnsi="Times New Roman" w:cs="Times New Roman"/>
          <w:b/>
          <w:szCs w:val="22"/>
        </w:rPr>
        <w:t>o</w:t>
      </w:r>
      <w:r w:rsidR="0082452B">
        <w:rPr>
          <w:rFonts w:ascii="Times New Roman" w:hAnsi="Times New Roman" w:cs="Times New Roman"/>
          <w:b/>
          <w:szCs w:val="22"/>
        </w:rPr>
        <w:t> </w:t>
      </w:r>
      <w:r w:rsidR="003C55E2">
        <w:rPr>
          <w:rFonts w:ascii="Times New Roman" w:hAnsi="Times New Roman" w:cs="Times New Roman"/>
          <w:b/>
          <w:szCs w:val="22"/>
        </w:rPr>
        <w:t>februári 2020</w:t>
      </w:r>
      <w:r w:rsidR="0082452B">
        <w:rPr>
          <w:rFonts w:ascii="Times New Roman" w:hAnsi="Times New Roman" w:cs="Times New Roman"/>
          <w:b/>
          <w:szCs w:val="22"/>
        </w:rPr>
        <w:t xml:space="preserve">. </w:t>
      </w:r>
    </w:p>
    <w:sectPr w:rsidR="00BF38D4" w:rsidRPr="0023414B" w:rsidSect="00BA47CF">
      <w:headerReference w:type="default" r:id="rId10"/>
      <w:footerReference w:type="default" r:id="rId11"/>
      <w:footerReference w:type="first" r:id="rId12"/>
      <w:pgSz w:w="11906" w:h="16838" w:code="9"/>
      <w:pgMar w:top="1134" w:right="1418" w:bottom="1134" w:left="1418" w:header="737" w:footer="737" w:gutter="0"/>
      <w:cols w:space="708"/>
      <w:docGrid w:linePitch="600" w:charSpace="3686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CCCEE" w15:done="0"/>
  <w15:commentEx w15:paraId="5B8EBC06" w15:done="0"/>
  <w15:commentEx w15:paraId="0DD00BDF" w15:done="0"/>
  <w15:commentEx w15:paraId="01642DC0" w15:done="0"/>
  <w15:commentEx w15:paraId="7B3BDA04" w15:done="0"/>
  <w15:commentEx w15:paraId="604E64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B4ECD" w14:textId="77777777" w:rsidR="00E868C6" w:rsidRDefault="00E868C6">
      <w:r>
        <w:separator/>
      </w:r>
    </w:p>
  </w:endnote>
  <w:endnote w:type="continuationSeparator" w:id="0">
    <w:p w14:paraId="746DDDA9" w14:textId="77777777" w:rsidR="00E868C6" w:rsidRDefault="00E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09002413"/>
      <w:docPartObj>
        <w:docPartGallery w:val="Page Numbers (Bottom of Page)"/>
        <w:docPartUnique/>
      </w:docPartObj>
    </w:sdtPr>
    <w:sdtEndPr>
      <w:rPr>
        <w:sz w:val="18"/>
        <w:szCs w:val="18"/>
      </w:rPr>
    </w:sdtEndPr>
    <w:sdtContent>
      <w:p w14:paraId="37058A5C" w14:textId="78BE2BA5" w:rsidR="00E868C6" w:rsidRDefault="007B51D8" w:rsidP="00EB4543">
        <w:pPr>
          <w:pStyle w:val="Pta"/>
          <w:jc w:val="center"/>
        </w:pPr>
        <w:r w:rsidRPr="00234B9D">
          <w:rPr>
            <w:rFonts w:ascii="Times New Roman" w:hAnsi="Times New Roman" w:cs="Times New Roman"/>
            <w:sz w:val="18"/>
            <w:szCs w:val="18"/>
          </w:rPr>
          <w:fldChar w:fldCharType="begin"/>
        </w:r>
        <w:r w:rsidR="00234B9D" w:rsidRPr="00234B9D">
          <w:rPr>
            <w:rFonts w:ascii="Times New Roman" w:hAnsi="Times New Roman" w:cs="Times New Roman"/>
            <w:sz w:val="18"/>
            <w:szCs w:val="18"/>
          </w:rPr>
          <w:instrText>PAGE   \* MERGEFORMAT</w:instrText>
        </w:r>
        <w:r w:rsidRPr="00234B9D">
          <w:rPr>
            <w:rFonts w:ascii="Times New Roman" w:hAnsi="Times New Roman" w:cs="Times New Roman"/>
            <w:sz w:val="18"/>
            <w:szCs w:val="18"/>
          </w:rPr>
          <w:fldChar w:fldCharType="separate"/>
        </w:r>
        <w:r w:rsidR="00EB4543">
          <w:rPr>
            <w:rFonts w:ascii="Times New Roman" w:hAnsi="Times New Roman" w:cs="Times New Roman"/>
            <w:noProof/>
            <w:sz w:val="18"/>
            <w:szCs w:val="18"/>
          </w:rPr>
          <w:t>2</w:t>
        </w:r>
        <w:r w:rsidRPr="00234B9D">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323081"/>
      <w:docPartObj>
        <w:docPartGallery w:val="Page Numbers (Bottom of Page)"/>
        <w:docPartUnique/>
      </w:docPartObj>
    </w:sdtPr>
    <w:sdtEndPr>
      <w:rPr>
        <w:rFonts w:ascii="Times New Roman" w:hAnsi="Times New Roman" w:cs="Times New Roman"/>
        <w:sz w:val="18"/>
        <w:szCs w:val="18"/>
      </w:rPr>
    </w:sdtEndPr>
    <w:sdtContent>
      <w:p w14:paraId="02E11190" w14:textId="77777777" w:rsidR="00E868C6" w:rsidRPr="00E868C6" w:rsidRDefault="007B51D8">
        <w:pPr>
          <w:pStyle w:val="Pta"/>
          <w:jc w:val="center"/>
          <w:rPr>
            <w:rFonts w:ascii="Times New Roman" w:hAnsi="Times New Roman" w:cs="Times New Roman"/>
            <w:sz w:val="18"/>
            <w:szCs w:val="18"/>
          </w:rPr>
        </w:pPr>
        <w:r w:rsidRPr="00234B9D">
          <w:rPr>
            <w:rFonts w:ascii="Times New Roman" w:hAnsi="Times New Roman" w:cs="Times New Roman"/>
            <w:sz w:val="18"/>
            <w:szCs w:val="18"/>
          </w:rPr>
          <w:fldChar w:fldCharType="begin"/>
        </w:r>
        <w:r w:rsidR="00234B9D" w:rsidRPr="00234B9D">
          <w:rPr>
            <w:rFonts w:ascii="Times New Roman" w:hAnsi="Times New Roman" w:cs="Times New Roman"/>
            <w:sz w:val="18"/>
            <w:szCs w:val="18"/>
          </w:rPr>
          <w:instrText>PAGE   \* MERGEFORMAT</w:instrText>
        </w:r>
        <w:r w:rsidRPr="00234B9D">
          <w:rPr>
            <w:rFonts w:ascii="Times New Roman" w:hAnsi="Times New Roman" w:cs="Times New Roman"/>
            <w:sz w:val="18"/>
            <w:szCs w:val="18"/>
          </w:rPr>
          <w:fldChar w:fldCharType="separate"/>
        </w:r>
        <w:r w:rsidR="00BA47CF">
          <w:rPr>
            <w:rFonts w:ascii="Times New Roman" w:hAnsi="Times New Roman" w:cs="Times New Roman"/>
            <w:noProof/>
            <w:sz w:val="18"/>
            <w:szCs w:val="18"/>
          </w:rPr>
          <w:t>1</w:t>
        </w:r>
        <w:r w:rsidRPr="00234B9D">
          <w:rPr>
            <w:rFonts w:ascii="Times New Roman" w:hAnsi="Times New Roman" w:cs="Times New Roman"/>
            <w:sz w:val="18"/>
            <w:szCs w:val="18"/>
          </w:rPr>
          <w:fldChar w:fldCharType="end"/>
        </w:r>
      </w:p>
    </w:sdtContent>
  </w:sdt>
  <w:p w14:paraId="0F6B740B" w14:textId="77777777" w:rsidR="00E868C6" w:rsidRDefault="00E868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27E96" w14:textId="77777777" w:rsidR="00E868C6" w:rsidRDefault="00E868C6">
      <w:r>
        <w:separator/>
      </w:r>
    </w:p>
  </w:footnote>
  <w:footnote w:type="continuationSeparator" w:id="0">
    <w:p w14:paraId="29B37797" w14:textId="77777777" w:rsidR="00E868C6" w:rsidRDefault="00E86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31C3A" w14:textId="5FA28466" w:rsidR="00BA47CF" w:rsidRPr="00D76413" w:rsidRDefault="00BA47CF" w:rsidP="00BA47CF">
    <w:pPr>
      <w:pStyle w:val="Hlavika"/>
      <w:rPr>
        <w:rFonts w:ascii="Times New Roman" w:hAnsi="Times New Roman"/>
        <w:sz w:val="18"/>
        <w:szCs w:val="18"/>
      </w:rPr>
    </w:pPr>
    <w:r w:rsidRPr="00D76413">
      <w:rPr>
        <w:rFonts w:ascii="Times New Roman" w:hAnsi="Times New Roman"/>
        <w:sz w:val="18"/>
        <w:szCs w:val="18"/>
      </w:rPr>
      <w:t>Príloha č.</w:t>
    </w:r>
    <w:r w:rsidR="00EE7AC2">
      <w:rPr>
        <w:rFonts w:ascii="Times New Roman" w:hAnsi="Times New Roman"/>
        <w:sz w:val="18"/>
        <w:szCs w:val="18"/>
      </w:rPr>
      <w:t xml:space="preserve">2 </w:t>
    </w:r>
    <w:r w:rsidRPr="00D76413">
      <w:rPr>
        <w:rFonts w:ascii="Times New Roman" w:hAnsi="Times New Roman"/>
        <w:sz w:val="18"/>
        <w:szCs w:val="18"/>
      </w:rPr>
      <w:t xml:space="preserve">k notifikácii o zmene, </w:t>
    </w:r>
    <w:r w:rsidR="00F94843">
      <w:rPr>
        <w:rFonts w:ascii="Times New Roman" w:hAnsi="Times New Roman" w:cs="Times New Roman"/>
        <w:sz w:val="18"/>
        <w:szCs w:val="18"/>
      </w:rPr>
      <w:t>ev.</w:t>
    </w:r>
    <w:r w:rsidR="0082452B">
      <w:rPr>
        <w:rFonts w:ascii="Times New Roman" w:hAnsi="Times New Roman" w:cs="Times New Roman"/>
        <w:sz w:val="18"/>
        <w:szCs w:val="18"/>
      </w:rPr>
      <w:t xml:space="preserve"> </w:t>
    </w:r>
    <w:r w:rsidR="00F94843">
      <w:rPr>
        <w:rFonts w:ascii="Times New Roman" w:hAnsi="Times New Roman" w:cs="Times New Roman"/>
        <w:sz w:val="18"/>
        <w:szCs w:val="18"/>
      </w:rPr>
      <w:t xml:space="preserve">č.: </w:t>
    </w:r>
    <w:r w:rsidR="00A4557F">
      <w:rPr>
        <w:rFonts w:ascii="Times New Roman" w:hAnsi="Times New Roman" w:cs="Times New Roman"/>
        <w:sz w:val="18"/>
        <w:szCs w:val="18"/>
      </w:rPr>
      <w:t>2019/06743-Z1B</w:t>
    </w:r>
  </w:p>
  <w:p w14:paraId="7FDEC990" w14:textId="77777777" w:rsidR="000A7039" w:rsidRDefault="000A703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lang w:val="sk-SK"/>
      </w:rPr>
    </w:lvl>
  </w:abstractNum>
  <w:abstractNum w:abstractNumId="2">
    <w:nsid w:val="00000003"/>
    <w:multiLevelType w:val="singleLevel"/>
    <w:tmpl w:val="00000003"/>
    <w:name w:val="WW8Num7"/>
    <w:lvl w:ilvl="0">
      <w:start w:val="1"/>
      <w:numFmt w:val="bullet"/>
      <w:lvlText w:val=""/>
      <w:lvlJc w:val="left"/>
      <w:pPr>
        <w:tabs>
          <w:tab w:val="num" w:pos="0"/>
        </w:tabs>
        <w:ind w:left="360" w:hanging="360"/>
      </w:pPr>
      <w:rPr>
        <w:rFonts w:ascii="Symbol" w:hAnsi="Symbol" w:cs="Symbol" w:hint="default"/>
        <w:lang w:val="sk-SK"/>
      </w:rPr>
    </w:lvl>
  </w:abstractNum>
  <w:abstractNum w:abstractNumId="3">
    <w:nsid w:val="00000004"/>
    <w:multiLevelType w:val="singleLevel"/>
    <w:tmpl w:val="00000004"/>
    <w:name w:val="WW8Num8"/>
    <w:lvl w:ilvl="0">
      <w:start w:val="1"/>
      <w:numFmt w:val="decimal"/>
      <w:lvlText w:val="%1."/>
      <w:lvlJc w:val="left"/>
      <w:pPr>
        <w:tabs>
          <w:tab w:val="num" w:pos="709"/>
        </w:tabs>
        <w:ind w:left="720" w:hanging="360"/>
      </w:pPr>
      <w:rPr>
        <w:rFonts w:ascii="Times New Roman" w:hAnsi="Times New Roman" w:cs="Times New Roman" w:hint="default"/>
        <w:b/>
        <w:sz w:val="22"/>
        <w:szCs w:val="22"/>
        <w:lang w:val="sk-SK"/>
      </w:rPr>
    </w:lvl>
  </w:abstractNum>
  <w:abstractNum w:abstractNumId="4">
    <w:nsid w:val="00000005"/>
    <w:multiLevelType w:val="singleLevel"/>
    <w:tmpl w:val="00000005"/>
    <w:name w:val="WW8Num11"/>
    <w:lvl w:ilvl="0">
      <w:start w:val="5"/>
      <w:numFmt w:val="decimal"/>
      <w:lvlText w:val="%1."/>
      <w:lvlJc w:val="left"/>
      <w:pPr>
        <w:tabs>
          <w:tab w:val="num" w:pos="780"/>
        </w:tabs>
        <w:ind w:left="780" w:hanging="420"/>
      </w:pPr>
      <w:rPr>
        <w:rFonts w:ascii="Times New Roman" w:hAnsi="Times New Roman" w:cs="Times New Roman" w:hint="default"/>
        <w:b/>
        <w:sz w:val="22"/>
        <w:szCs w:val="22"/>
        <w:lang w:val="sk-SK"/>
      </w:rPr>
    </w:lvl>
  </w:abstractNum>
  <w:abstractNum w:abstractNumId="5">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szCs w:val="22"/>
      </w:rPr>
    </w:lvl>
  </w:abstractNum>
  <w:abstractNum w:abstractNumId="6">
    <w:nsid w:val="00000007"/>
    <w:multiLevelType w:val="singleLevel"/>
    <w:tmpl w:val="00000007"/>
    <w:name w:val="WW8Num14"/>
    <w:lvl w:ilvl="0">
      <w:start w:val="1"/>
      <w:numFmt w:val="decimal"/>
      <w:lvlText w:val="%1."/>
      <w:lvlJc w:val="left"/>
      <w:pPr>
        <w:tabs>
          <w:tab w:val="num" w:pos="720"/>
        </w:tabs>
        <w:ind w:left="720" w:hanging="360"/>
      </w:pPr>
      <w:rPr>
        <w:rFonts w:ascii="Times New Roman" w:hAnsi="Times New Roman" w:cs="Times New Roman" w:hint="default"/>
        <w:szCs w:val="22"/>
      </w:rPr>
    </w:lvl>
  </w:abstractNum>
  <w:abstractNum w:abstractNumId="7">
    <w:nsid w:val="00000008"/>
    <w:multiLevelType w:val="singleLevel"/>
    <w:tmpl w:val="00000008"/>
    <w:name w:val="WW8Num19"/>
    <w:lvl w:ilvl="0">
      <w:start w:val="1"/>
      <w:numFmt w:val="bullet"/>
      <w:lvlText w:val=""/>
      <w:lvlJc w:val="left"/>
      <w:pPr>
        <w:tabs>
          <w:tab w:val="num" w:pos="0"/>
        </w:tabs>
        <w:ind w:left="1080" w:hanging="360"/>
      </w:pPr>
      <w:rPr>
        <w:rFonts w:ascii="Symbol" w:hAnsi="Symbol" w:cs="Symbol" w:hint="default"/>
      </w:rPr>
    </w:lvl>
  </w:abstractNum>
  <w:abstractNum w:abstractNumId="8">
    <w:nsid w:val="00000009"/>
    <w:multiLevelType w:val="singleLevel"/>
    <w:tmpl w:val="00000009"/>
    <w:lvl w:ilvl="0">
      <w:numFmt w:val="bullet"/>
      <w:lvlText w:val="-"/>
      <w:lvlJc w:val="left"/>
      <w:pPr>
        <w:tabs>
          <w:tab w:val="num" w:pos="0"/>
        </w:tabs>
        <w:ind w:left="360" w:hanging="360"/>
      </w:pPr>
      <w:rPr>
        <w:rFonts w:ascii="Times New Roman" w:hAnsi="Times New Roman" w:cs="Times New Roman"/>
        <w:sz w:val="22"/>
        <w:szCs w:val="22"/>
        <w:lang w:val="sk-SK"/>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Lukesova">
    <w15:presenceInfo w15:providerId="AD" w15:userId="S-1-5-21-3336057172-1046732907-3932253316-2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y"/>
  <w:drawingGridHorizontalSpacing w:val="200"/>
  <w:drawingGridVerticalSpacing w:val="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65"/>
    <w:rsid w:val="00004B56"/>
    <w:rsid w:val="00040199"/>
    <w:rsid w:val="000578FC"/>
    <w:rsid w:val="00064B90"/>
    <w:rsid w:val="00074D7D"/>
    <w:rsid w:val="00095226"/>
    <w:rsid w:val="000A7039"/>
    <w:rsid w:val="000B2F33"/>
    <w:rsid w:val="000F2EDA"/>
    <w:rsid w:val="000F6836"/>
    <w:rsid w:val="001019A4"/>
    <w:rsid w:val="00171953"/>
    <w:rsid w:val="00172F7A"/>
    <w:rsid w:val="001A0364"/>
    <w:rsid w:val="001C78D8"/>
    <w:rsid w:val="001D5A8A"/>
    <w:rsid w:val="001E4F68"/>
    <w:rsid w:val="00203E26"/>
    <w:rsid w:val="00221EF3"/>
    <w:rsid w:val="0023097B"/>
    <w:rsid w:val="0023414B"/>
    <w:rsid w:val="00234B9D"/>
    <w:rsid w:val="00246682"/>
    <w:rsid w:val="002611B6"/>
    <w:rsid w:val="00284E0C"/>
    <w:rsid w:val="00296DE4"/>
    <w:rsid w:val="002A7DD5"/>
    <w:rsid w:val="002F1FB1"/>
    <w:rsid w:val="002F61CD"/>
    <w:rsid w:val="00357CA4"/>
    <w:rsid w:val="003C55E2"/>
    <w:rsid w:val="003E140D"/>
    <w:rsid w:val="004327DD"/>
    <w:rsid w:val="004356C3"/>
    <w:rsid w:val="004361D6"/>
    <w:rsid w:val="00441270"/>
    <w:rsid w:val="0046146A"/>
    <w:rsid w:val="00484E9D"/>
    <w:rsid w:val="004C3AB4"/>
    <w:rsid w:val="004E5407"/>
    <w:rsid w:val="004F736E"/>
    <w:rsid w:val="00521CE7"/>
    <w:rsid w:val="0054531E"/>
    <w:rsid w:val="00561CDC"/>
    <w:rsid w:val="005A6E8C"/>
    <w:rsid w:val="005B7965"/>
    <w:rsid w:val="005C2B61"/>
    <w:rsid w:val="005D1805"/>
    <w:rsid w:val="005D336C"/>
    <w:rsid w:val="005F2108"/>
    <w:rsid w:val="00620091"/>
    <w:rsid w:val="00652214"/>
    <w:rsid w:val="006546B0"/>
    <w:rsid w:val="00674D28"/>
    <w:rsid w:val="00681EB8"/>
    <w:rsid w:val="00683AE8"/>
    <w:rsid w:val="006932CB"/>
    <w:rsid w:val="006B7CA1"/>
    <w:rsid w:val="006C034D"/>
    <w:rsid w:val="006C26D2"/>
    <w:rsid w:val="006F2C1F"/>
    <w:rsid w:val="00761888"/>
    <w:rsid w:val="00762361"/>
    <w:rsid w:val="00774B1C"/>
    <w:rsid w:val="007957FC"/>
    <w:rsid w:val="007B51D8"/>
    <w:rsid w:val="007C78DA"/>
    <w:rsid w:val="007D3F80"/>
    <w:rsid w:val="007E3A60"/>
    <w:rsid w:val="0080696C"/>
    <w:rsid w:val="00814C40"/>
    <w:rsid w:val="008208CF"/>
    <w:rsid w:val="0082452B"/>
    <w:rsid w:val="00830957"/>
    <w:rsid w:val="008A26F9"/>
    <w:rsid w:val="008D27FF"/>
    <w:rsid w:val="0090204E"/>
    <w:rsid w:val="00933F92"/>
    <w:rsid w:val="00986CFF"/>
    <w:rsid w:val="00987832"/>
    <w:rsid w:val="00992F14"/>
    <w:rsid w:val="009F3F3B"/>
    <w:rsid w:val="00A03D46"/>
    <w:rsid w:val="00A420A6"/>
    <w:rsid w:val="00A4557F"/>
    <w:rsid w:val="00A460C6"/>
    <w:rsid w:val="00A62D65"/>
    <w:rsid w:val="00A667ED"/>
    <w:rsid w:val="00A670AF"/>
    <w:rsid w:val="00A7413D"/>
    <w:rsid w:val="00A90F6C"/>
    <w:rsid w:val="00A956AE"/>
    <w:rsid w:val="00B06CE7"/>
    <w:rsid w:val="00B71345"/>
    <w:rsid w:val="00BA47CF"/>
    <w:rsid w:val="00BA74EA"/>
    <w:rsid w:val="00BF38D4"/>
    <w:rsid w:val="00C069F3"/>
    <w:rsid w:val="00C217A2"/>
    <w:rsid w:val="00C234AE"/>
    <w:rsid w:val="00C4550C"/>
    <w:rsid w:val="00C61A8E"/>
    <w:rsid w:val="00C9437F"/>
    <w:rsid w:val="00CF01A5"/>
    <w:rsid w:val="00D13FF5"/>
    <w:rsid w:val="00D16BA2"/>
    <w:rsid w:val="00D2193C"/>
    <w:rsid w:val="00D335C0"/>
    <w:rsid w:val="00D35F73"/>
    <w:rsid w:val="00D5019C"/>
    <w:rsid w:val="00D87412"/>
    <w:rsid w:val="00DF74D9"/>
    <w:rsid w:val="00E3521A"/>
    <w:rsid w:val="00E51650"/>
    <w:rsid w:val="00E868C6"/>
    <w:rsid w:val="00E87E06"/>
    <w:rsid w:val="00E93B7B"/>
    <w:rsid w:val="00E95383"/>
    <w:rsid w:val="00E975FC"/>
    <w:rsid w:val="00EB234A"/>
    <w:rsid w:val="00EB4543"/>
    <w:rsid w:val="00EE4356"/>
    <w:rsid w:val="00EE7AC2"/>
    <w:rsid w:val="00F05A8B"/>
    <w:rsid w:val="00F166D8"/>
    <w:rsid w:val="00F301FF"/>
    <w:rsid w:val="00F530D5"/>
    <w:rsid w:val="00F92219"/>
    <w:rsid w:val="00F94843"/>
    <w:rsid w:val="00F960EB"/>
    <w:rsid w:val="00FE05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oNotEmbedSmartTags/>
  <w:decimalSymbol w:val=","/>
  <w:listSeparator w:val=";"/>
  <w14:docId w14:val="5D74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rFonts w:ascii="Arial" w:hAnsi="Arial" w:cs="Arial"/>
      <w:sz w:val="22"/>
      <w:lang w:eastAsia="ar-SA"/>
    </w:rPr>
  </w:style>
  <w:style w:type="paragraph" w:styleId="Nadpis1">
    <w:name w:val="heading 1"/>
    <w:basedOn w:val="Normlny"/>
    <w:next w:val="Normlny"/>
    <w:link w:val="Nadpis1Char"/>
    <w:uiPriority w:val="9"/>
    <w:qFormat/>
    <w:rsid w:val="005F21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y"/>
    <w:next w:val="Normlny"/>
    <w:qFormat/>
    <w:pPr>
      <w:keepNext/>
      <w:widowControl w:val="0"/>
      <w:numPr>
        <w:ilvl w:val="3"/>
        <w:numId w:val="1"/>
      </w:numPr>
      <w:outlineLvl w:val="3"/>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sz w:val="22"/>
      <w:szCs w:val="22"/>
      <w:lang w:val="sk-SK"/>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sz w:val="16"/>
      <w:szCs w:val="1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lang w:val="sk-SK"/>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sz w:val="16"/>
      <w:szCs w:val="16"/>
    </w:rPr>
  </w:style>
  <w:style w:type="character" w:customStyle="1" w:styleId="WW8Num7z0">
    <w:name w:val="WW8Num7z0"/>
    <w:rPr>
      <w:rFonts w:ascii="Symbol" w:hAnsi="Symbol" w:cs="Symbol" w:hint="default"/>
      <w:lang w:val="sk-SK"/>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hAnsi="Times New Roman" w:cs="Times New Roman" w:hint="default"/>
      <w:b/>
      <w:sz w:val="22"/>
      <w:szCs w:val="22"/>
      <w:lang w:val="sk-SK"/>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hAnsi="Times New Roman" w:cs="Times New Roman" w:hint="default"/>
      <w:b/>
      <w:sz w:val="22"/>
      <w:szCs w:val="22"/>
      <w:lang w:val="sk-SK"/>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16"/>
      <w:szCs w:val="16"/>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hint="default"/>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sz w:val="16"/>
      <w:szCs w:val="16"/>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sz w:val="16"/>
      <w:szCs w:val="16"/>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Predvolenpsmoodseku1">
    <w:name w:val="Predvolené písmo odseku1"/>
  </w:style>
  <w:style w:type="character" w:customStyle="1" w:styleId="Odkaznakomentr1">
    <w:name w:val="Odkaz na komentár1"/>
    <w:rPr>
      <w:sz w:val="16"/>
    </w:rPr>
  </w:style>
  <w:style w:type="character" w:customStyle="1" w:styleId="Standard-Einzug2Char">
    <w:name w:val="Standard-Einzug 2 Char"/>
    <w:rPr>
      <w:rFonts w:ascii="Arial" w:hAnsi="Arial" w:cs="Arial"/>
      <w:sz w:val="24"/>
      <w:szCs w:val="24"/>
      <w:lang w:val="de-DE" w:eastAsia="ar-SA" w:bidi="ar-SA"/>
    </w:rPr>
  </w:style>
  <w:style w:type="character" w:styleId="slostrany">
    <w:name w:val="page number"/>
    <w:basedOn w:val="Predvolenpsmoodseku1"/>
  </w:style>
  <w:style w:type="character" w:customStyle="1" w:styleId="NzovChar">
    <w:name w:val="Názov Char"/>
    <w:rPr>
      <w:rFonts w:ascii="Arial" w:hAnsi="Arial" w:cs="Arial"/>
      <w:b/>
      <w:bCs/>
      <w:szCs w:val="24"/>
      <w:lang w:val="sk-SK" w:eastAsia="ar-SA" w:bidi="ar-SA"/>
    </w:rPr>
  </w:style>
  <w:style w:type="character" w:customStyle="1" w:styleId="CharChar8">
    <w:name w:val="Char Char8"/>
    <w:rPr>
      <w:rFonts w:ascii="Cambria" w:hAnsi="Cambria" w:cs="Times New Roman"/>
      <w:b/>
      <w:bCs/>
      <w:kern w:val="1"/>
      <w:sz w:val="32"/>
      <w:szCs w:val="32"/>
    </w:rPr>
  </w:style>
  <w:style w:type="character" w:customStyle="1" w:styleId="hps">
    <w:name w:val="hps"/>
  </w:style>
  <w:style w:type="character" w:styleId="Hypertextovprepojenie">
    <w:name w:val="Hyperlink"/>
    <w:rPr>
      <w:color w:val="0000FF"/>
      <w:u w:val="single"/>
    </w:rPr>
  </w:style>
  <w:style w:type="character" w:customStyle="1" w:styleId="ZkladntextChar">
    <w:name w:val="Základný text Char"/>
    <w:rPr>
      <w:sz w:val="24"/>
      <w:szCs w:val="24"/>
    </w:rPr>
  </w:style>
  <w:style w:type="character" w:customStyle="1" w:styleId="shorttext">
    <w:name w:val="short_text"/>
  </w:style>
  <w:style w:type="character" w:customStyle="1" w:styleId="atn">
    <w:name w:val="atn"/>
  </w:style>
  <w:style w:type="character" w:customStyle="1" w:styleId="HlavikaChar">
    <w:name w:val="Hlavička Char"/>
    <w:rPr>
      <w:rFonts w:ascii="Arial" w:hAnsi="Arial" w:cs="Arial"/>
      <w:sz w:val="22"/>
    </w:rPr>
  </w:style>
  <w:style w:type="paragraph" w:customStyle="1" w:styleId="Heading">
    <w:name w:val="Heading"/>
    <w:basedOn w:val="Normlny"/>
    <w:next w:val="Zkladntext"/>
    <w:pPr>
      <w:keepNext/>
      <w:spacing w:before="240" w:after="120"/>
    </w:pPr>
    <w:rPr>
      <w:rFonts w:eastAsia="Microsoft YaHei"/>
      <w:sz w:val="28"/>
      <w:szCs w:val="28"/>
    </w:rPr>
  </w:style>
  <w:style w:type="paragraph" w:styleId="Zkladntext">
    <w:name w:val="Body Text"/>
    <w:basedOn w:val="Normlny"/>
    <w:pPr>
      <w:spacing w:after="120"/>
    </w:pPr>
    <w:rPr>
      <w:rFonts w:ascii="Times New Roman" w:hAnsi="Times New Roman" w:cs="Times New Roman"/>
      <w:sz w:val="24"/>
      <w:szCs w:val="24"/>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i/>
      <w:iCs/>
      <w:sz w:val="24"/>
      <w:szCs w:val="24"/>
    </w:rPr>
  </w:style>
  <w:style w:type="paragraph" w:customStyle="1" w:styleId="Index">
    <w:name w:val="Index"/>
    <w:basedOn w:val="Normlny"/>
    <w:pPr>
      <w:suppressLineNumbers/>
    </w:pPr>
  </w:style>
  <w:style w:type="paragraph" w:customStyle="1" w:styleId="Textkomentra1">
    <w:name w:val="Text komentára1"/>
    <w:basedOn w:val="Normlny"/>
    <w:rPr>
      <w:sz w:val="20"/>
    </w:rPr>
  </w:style>
  <w:style w:type="paragraph" w:styleId="Zarkazkladnhotextu">
    <w:name w:val="Body Text Indent"/>
    <w:basedOn w:val="Normlny"/>
    <w:pPr>
      <w:autoSpaceDE w:val="0"/>
      <w:ind w:left="1843"/>
    </w:pPr>
    <w:rPr>
      <w:sz w:val="24"/>
      <w:szCs w:val="24"/>
      <w:lang w:val="de-DE"/>
    </w:rPr>
  </w:style>
  <w:style w:type="paragraph" w:customStyle="1" w:styleId="Standard-Einzug2">
    <w:name w:val="Standard-Einzug 2"/>
    <w:basedOn w:val="Normlny"/>
    <w:pPr>
      <w:spacing w:after="120"/>
      <w:ind w:left="709"/>
    </w:pPr>
    <w:rPr>
      <w:sz w:val="24"/>
      <w:szCs w:val="24"/>
      <w:lang w:val="de-DE"/>
    </w:rPr>
  </w:style>
  <w:style w:type="paragraph" w:customStyle="1" w:styleId="knZulassung02">
    <w:name w:val="knZulassung02"/>
    <w:basedOn w:val="Normlny"/>
    <w:pPr>
      <w:autoSpaceDE w:val="0"/>
      <w:ind w:left="1843" w:right="284"/>
    </w:pPr>
    <w:rPr>
      <w:rFonts w:ascii="Courier" w:hAnsi="Courier" w:cs="Courier"/>
      <w:sz w:val="24"/>
      <w:szCs w:val="24"/>
      <w:lang w:val="de-DE"/>
    </w:rPr>
  </w:style>
  <w:style w:type="paragraph" w:customStyle="1" w:styleId="knZulassung03">
    <w:name w:val="knZulassung03"/>
    <w:basedOn w:val="Normlny"/>
    <w:pPr>
      <w:spacing w:before="120" w:after="120"/>
      <w:ind w:left="2269" w:right="284" w:hanging="426"/>
    </w:pPr>
    <w:rPr>
      <w:szCs w:val="22"/>
      <w:lang w:val="de-DE"/>
    </w:rPr>
  </w:style>
  <w:style w:type="paragraph" w:customStyle="1" w:styleId="knZulassung01">
    <w:name w:val="knZulassung01"/>
    <w:basedOn w:val="Normlny"/>
    <w:pPr>
      <w:autoSpaceDE w:val="0"/>
      <w:ind w:left="1843" w:right="284" w:hanging="1843"/>
    </w:pPr>
    <w:rPr>
      <w:rFonts w:ascii="Courier" w:hAnsi="Courier" w:cs="Courier"/>
      <w:sz w:val="24"/>
      <w:szCs w:val="24"/>
      <w:lang w:val="de-DE"/>
    </w:rPr>
  </w:style>
  <w:style w:type="paragraph" w:customStyle="1" w:styleId="Zarkazkladnhotextu21">
    <w:name w:val="Zarážka základného textu 21"/>
    <w:basedOn w:val="Normlny"/>
    <w:pPr>
      <w:autoSpaceDE w:val="0"/>
      <w:spacing w:line="240" w:lineRule="exact"/>
      <w:ind w:left="1843" w:firstLine="1"/>
    </w:pPr>
    <w:rPr>
      <w:rFonts w:ascii="Courier" w:hAnsi="Courier" w:cs="Courier"/>
      <w:sz w:val="24"/>
      <w:szCs w:val="24"/>
      <w:lang w:val="de-DE"/>
    </w:rPr>
  </w:style>
  <w:style w:type="paragraph" w:customStyle="1" w:styleId="Formatvorlage1">
    <w:name w:val="Formatvorlage1"/>
    <w:basedOn w:val="Normlny"/>
    <w:rPr>
      <w:rFonts w:ascii="Verdana" w:hAnsi="Verdana" w:cs="Verdana"/>
      <w:szCs w:val="22"/>
      <w:lang w:val="de-DE"/>
    </w:rPr>
  </w:style>
  <w:style w:type="paragraph" w:customStyle="1" w:styleId="Textbubliny1">
    <w:name w:val="Text bubliny1"/>
    <w:basedOn w:val="Normlny"/>
    <w:rPr>
      <w:rFonts w:ascii="Tahoma" w:hAnsi="Tahoma" w:cs="Tahoma"/>
      <w:sz w:val="16"/>
      <w:szCs w:val="16"/>
    </w:rPr>
  </w:style>
  <w:style w:type="paragraph" w:customStyle="1" w:styleId="Zkladntext21">
    <w:name w:val="Základný text 21"/>
    <w:basedOn w:val="Normlny"/>
    <w:pPr>
      <w:spacing w:after="120" w:line="480" w:lineRule="auto"/>
    </w:pPr>
  </w:style>
  <w:style w:type="paragraph" w:styleId="Textvysvetlivky">
    <w:name w:val="endnote text"/>
    <w:basedOn w:val="Normlny"/>
    <w:pPr>
      <w:widowControl w:val="0"/>
    </w:pPr>
    <w:rPr>
      <w:rFonts w:ascii="Courier New" w:hAnsi="Courier New" w:cs="Courier New"/>
      <w:sz w:val="24"/>
      <w:lang w:val="nl"/>
    </w:rPr>
  </w:style>
  <w:style w:type="paragraph" w:customStyle="1" w:styleId="Tab-Text-linksbndig">
    <w:name w:val="Tab-Text-linksbündig"/>
    <w:basedOn w:val="Normlny"/>
    <w:rPr>
      <w:spacing w:val="2"/>
      <w:sz w:val="18"/>
    </w:rPr>
  </w:style>
  <w:style w:type="paragraph" w:customStyle="1" w:styleId="Predmetkomentra1">
    <w:name w:val="Predmet komentára1"/>
    <w:basedOn w:val="Textkomentra1"/>
    <w:next w:val="Textkomentra1"/>
    <w:rPr>
      <w:b/>
      <w:bCs/>
    </w:rPr>
  </w:style>
  <w:style w:type="paragraph" w:styleId="Pta">
    <w:name w:val="footer"/>
    <w:basedOn w:val="Normlny"/>
    <w:link w:val="PtaChar"/>
    <w:uiPriority w:val="99"/>
  </w:style>
  <w:style w:type="paragraph" w:styleId="Nzov">
    <w:name w:val="Title"/>
    <w:basedOn w:val="Normlny"/>
    <w:next w:val="Podtitul"/>
    <w:qFormat/>
    <w:pPr>
      <w:widowControl w:val="0"/>
      <w:jc w:val="center"/>
    </w:pPr>
    <w:rPr>
      <w:b/>
      <w:bCs/>
      <w:sz w:val="20"/>
      <w:szCs w:val="24"/>
    </w:rPr>
  </w:style>
  <w:style w:type="paragraph" w:styleId="Podtitul">
    <w:name w:val="Subtitle"/>
    <w:basedOn w:val="Heading"/>
    <w:next w:val="Zkladntext"/>
    <w:qFormat/>
    <w:pPr>
      <w:jc w:val="center"/>
    </w:pPr>
    <w:rPr>
      <w:i/>
      <w:iCs/>
    </w:rPr>
  </w:style>
  <w:style w:type="paragraph" w:customStyle="1" w:styleId="CharChar1CharCharCharCharCharCharCharCharCharCharCharChar">
    <w:name w:val="Char Char1 Char Char Char Char Char Char Char Char Char Char Char Char"/>
    <w:basedOn w:val="Normlny"/>
    <w:pPr>
      <w:spacing w:after="160" w:line="240" w:lineRule="exact"/>
    </w:pPr>
    <w:rPr>
      <w:rFonts w:ascii="Verdana" w:hAnsi="Verdana" w:cs="Verdana"/>
      <w:sz w:val="20"/>
      <w:lang w:val="en-GB"/>
    </w:rPr>
  </w:style>
  <w:style w:type="paragraph" w:styleId="Hlavika">
    <w:name w:val="header"/>
    <w:basedOn w:val="Normlny"/>
    <w:link w:val="HlavikaChar1"/>
  </w:style>
  <w:style w:type="paragraph" w:customStyle="1" w:styleId="Odsekzoznamu1">
    <w:name w:val="Odsek zoznamu1"/>
    <w:basedOn w:val="Normlny"/>
    <w:pPr>
      <w:ind w:left="720" w:hanging="567"/>
    </w:pPr>
    <w:rPr>
      <w:rFonts w:ascii="Times New Roman" w:eastAsia="SimSun" w:hAnsi="Times New Roman" w:cs="Times New Roman"/>
      <w:szCs w:val="24"/>
    </w:rPr>
  </w:style>
  <w:style w:type="paragraph" w:customStyle="1" w:styleId="CharChar1CharCharCharCharCharCharCharCharCharCharCharChar0">
    <w:name w:val="Char Char1 Char Char Char Char Char Char Char Char Char Char Char Char"/>
    <w:basedOn w:val="Normlny"/>
    <w:pPr>
      <w:spacing w:after="160" w:line="240" w:lineRule="exact"/>
    </w:pPr>
    <w:rPr>
      <w:rFonts w:ascii="Verdana" w:hAnsi="Verdana" w:cs="Verdana"/>
      <w:sz w:val="20"/>
      <w:lang w:val="en-GB"/>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5B7965"/>
    <w:rPr>
      <w:rFonts w:ascii="Tahoma" w:hAnsi="Tahoma" w:cs="Tahoma"/>
      <w:sz w:val="16"/>
      <w:szCs w:val="16"/>
    </w:rPr>
  </w:style>
  <w:style w:type="character" w:customStyle="1" w:styleId="TextbublinyChar">
    <w:name w:val="Text bubliny Char"/>
    <w:basedOn w:val="Predvolenpsmoodseku"/>
    <w:link w:val="Textbubliny"/>
    <w:uiPriority w:val="99"/>
    <w:semiHidden/>
    <w:rsid w:val="005B7965"/>
    <w:rPr>
      <w:rFonts w:ascii="Tahoma" w:hAnsi="Tahoma" w:cs="Tahoma"/>
      <w:sz w:val="16"/>
      <w:szCs w:val="16"/>
      <w:lang w:eastAsia="ar-SA"/>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basedOn w:val="Predvolenpsmoodseku"/>
    <w:link w:val="Textkomentra"/>
    <w:uiPriority w:val="99"/>
    <w:rPr>
      <w:rFonts w:ascii="Arial" w:hAnsi="Arial" w:cs="Arial"/>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BA74EA"/>
    <w:rPr>
      <w:b/>
      <w:bCs/>
    </w:rPr>
  </w:style>
  <w:style w:type="character" w:customStyle="1" w:styleId="PredmetkomentraChar">
    <w:name w:val="Predmet komentára Char"/>
    <w:basedOn w:val="TextkomentraChar"/>
    <w:link w:val="Predmetkomentra"/>
    <w:uiPriority w:val="99"/>
    <w:semiHidden/>
    <w:rsid w:val="00BA74EA"/>
    <w:rPr>
      <w:rFonts w:ascii="Arial" w:hAnsi="Arial" w:cs="Arial"/>
      <w:b/>
      <w:bCs/>
      <w:lang w:eastAsia="ar-SA"/>
    </w:rPr>
  </w:style>
  <w:style w:type="character" w:customStyle="1" w:styleId="HlavikaChar1">
    <w:name w:val="Hlavička Char1"/>
    <w:basedOn w:val="Predvolenpsmoodseku"/>
    <w:link w:val="Hlavika"/>
    <w:rsid w:val="00D13FF5"/>
    <w:rPr>
      <w:rFonts w:ascii="Arial" w:hAnsi="Arial" w:cs="Arial"/>
      <w:sz w:val="22"/>
      <w:lang w:eastAsia="ar-SA"/>
    </w:rPr>
  </w:style>
  <w:style w:type="character" w:customStyle="1" w:styleId="PtaChar">
    <w:name w:val="Päta Char"/>
    <w:basedOn w:val="Predvolenpsmoodseku"/>
    <w:link w:val="Pta"/>
    <w:uiPriority w:val="99"/>
    <w:rsid w:val="00D35F73"/>
    <w:rPr>
      <w:rFonts w:ascii="Arial" w:hAnsi="Arial" w:cs="Arial"/>
      <w:sz w:val="22"/>
      <w:lang w:eastAsia="ar-SA"/>
    </w:rPr>
  </w:style>
  <w:style w:type="paragraph" w:customStyle="1" w:styleId="CharChar1CharCharCharCharCharCharCharCharCharCharCharChar1">
    <w:name w:val="Char Char1 Char Char Char Char Char Char Char Char Char Char Char Char"/>
    <w:basedOn w:val="Normlny"/>
    <w:rsid w:val="002A7DD5"/>
    <w:pPr>
      <w:suppressAutoHyphens w:val="0"/>
      <w:spacing w:after="160" w:line="240" w:lineRule="exact"/>
    </w:pPr>
    <w:rPr>
      <w:rFonts w:ascii="Verdana" w:hAnsi="Verdana" w:cs="Verdana"/>
      <w:sz w:val="20"/>
      <w:lang w:val="en-GB" w:eastAsia="en-US"/>
    </w:rPr>
  </w:style>
  <w:style w:type="paragraph" w:customStyle="1" w:styleId="CharChar1CharCharCharCharCharCharCharCharCharCharCharChar2">
    <w:name w:val="Char Char1 Char Char Char Char Char Char Char Char Char Char Char Char"/>
    <w:basedOn w:val="Normlny"/>
    <w:rsid w:val="00EB234A"/>
    <w:pPr>
      <w:suppressAutoHyphens w:val="0"/>
      <w:spacing w:after="160" w:line="240" w:lineRule="exact"/>
    </w:pPr>
    <w:rPr>
      <w:rFonts w:ascii="Verdana" w:hAnsi="Verdana" w:cs="Verdana"/>
      <w:sz w:val="20"/>
      <w:lang w:val="en-GB" w:eastAsia="en-US"/>
    </w:rPr>
  </w:style>
  <w:style w:type="character" w:customStyle="1" w:styleId="Nadpis1Char">
    <w:name w:val="Nadpis 1 Char"/>
    <w:basedOn w:val="Predvolenpsmoodseku"/>
    <w:link w:val="Nadpis1"/>
    <w:uiPriority w:val="9"/>
    <w:rsid w:val="005F2108"/>
    <w:rPr>
      <w:rFonts w:asciiTheme="majorHAnsi" w:eastAsiaTheme="majorEastAsia" w:hAnsiTheme="majorHAnsi" w:cstheme="majorBidi"/>
      <w:b/>
      <w:bCs/>
      <w:color w:val="365F91" w:themeColor="accent1" w:themeShade="BF"/>
      <w:sz w:val="28"/>
      <w:szCs w:val="28"/>
      <w:lang w:eastAsia="ar-SA"/>
    </w:rPr>
  </w:style>
  <w:style w:type="paragraph" w:styleId="Odsekzoznamu">
    <w:name w:val="List Paragraph"/>
    <w:basedOn w:val="Normlny"/>
    <w:uiPriority w:val="34"/>
    <w:qFormat/>
    <w:rsid w:val="00EE7A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rFonts w:ascii="Arial" w:hAnsi="Arial" w:cs="Arial"/>
      <w:sz w:val="22"/>
      <w:lang w:eastAsia="ar-SA"/>
    </w:rPr>
  </w:style>
  <w:style w:type="paragraph" w:styleId="Nadpis1">
    <w:name w:val="heading 1"/>
    <w:basedOn w:val="Normlny"/>
    <w:next w:val="Normlny"/>
    <w:link w:val="Nadpis1Char"/>
    <w:uiPriority w:val="9"/>
    <w:qFormat/>
    <w:rsid w:val="005F21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y"/>
    <w:next w:val="Normlny"/>
    <w:qFormat/>
    <w:pPr>
      <w:keepNext/>
      <w:widowControl w:val="0"/>
      <w:numPr>
        <w:ilvl w:val="3"/>
        <w:numId w:val="1"/>
      </w:numPr>
      <w:outlineLvl w:val="3"/>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sz w:val="22"/>
      <w:szCs w:val="22"/>
      <w:lang w:val="sk-SK"/>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sz w:val="16"/>
      <w:szCs w:val="1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lang w:val="sk-SK"/>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sz w:val="16"/>
      <w:szCs w:val="16"/>
    </w:rPr>
  </w:style>
  <w:style w:type="character" w:customStyle="1" w:styleId="WW8Num7z0">
    <w:name w:val="WW8Num7z0"/>
    <w:rPr>
      <w:rFonts w:ascii="Symbol" w:hAnsi="Symbol" w:cs="Symbol" w:hint="default"/>
      <w:lang w:val="sk-SK"/>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hAnsi="Times New Roman" w:cs="Times New Roman" w:hint="default"/>
      <w:b/>
      <w:sz w:val="22"/>
      <w:szCs w:val="22"/>
      <w:lang w:val="sk-SK"/>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hAnsi="Times New Roman" w:cs="Times New Roman" w:hint="default"/>
      <w:b/>
      <w:sz w:val="22"/>
      <w:szCs w:val="22"/>
      <w:lang w:val="sk-SK"/>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16"/>
      <w:szCs w:val="16"/>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hint="default"/>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sz w:val="16"/>
      <w:szCs w:val="16"/>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sz w:val="16"/>
      <w:szCs w:val="16"/>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Predvolenpsmoodseku1">
    <w:name w:val="Predvolené písmo odseku1"/>
  </w:style>
  <w:style w:type="character" w:customStyle="1" w:styleId="Odkaznakomentr1">
    <w:name w:val="Odkaz na komentár1"/>
    <w:rPr>
      <w:sz w:val="16"/>
    </w:rPr>
  </w:style>
  <w:style w:type="character" w:customStyle="1" w:styleId="Standard-Einzug2Char">
    <w:name w:val="Standard-Einzug 2 Char"/>
    <w:rPr>
      <w:rFonts w:ascii="Arial" w:hAnsi="Arial" w:cs="Arial"/>
      <w:sz w:val="24"/>
      <w:szCs w:val="24"/>
      <w:lang w:val="de-DE" w:eastAsia="ar-SA" w:bidi="ar-SA"/>
    </w:rPr>
  </w:style>
  <w:style w:type="character" w:styleId="slostrany">
    <w:name w:val="page number"/>
    <w:basedOn w:val="Predvolenpsmoodseku1"/>
  </w:style>
  <w:style w:type="character" w:customStyle="1" w:styleId="NzovChar">
    <w:name w:val="Názov Char"/>
    <w:rPr>
      <w:rFonts w:ascii="Arial" w:hAnsi="Arial" w:cs="Arial"/>
      <w:b/>
      <w:bCs/>
      <w:szCs w:val="24"/>
      <w:lang w:val="sk-SK" w:eastAsia="ar-SA" w:bidi="ar-SA"/>
    </w:rPr>
  </w:style>
  <w:style w:type="character" w:customStyle="1" w:styleId="CharChar8">
    <w:name w:val="Char Char8"/>
    <w:rPr>
      <w:rFonts w:ascii="Cambria" w:hAnsi="Cambria" w:cs="Times New Roman"/>
      <w:b/>
      <w:bCs/>
      <w:kern w:val="1"/>
      <w:sz w:val="32"/>
      <w:szCs w:val="32"/>
    </w:rPr>
  </w:style>
  <w:style w:type="character" w:customStyle="1" w:styleId="hps">
    <w:name w:val="hps"/>
  </w:style>
  <w:style w:type="character" w:styleId="Hypertextovprepojenie">
    <w:name w:val="Hyperlink"/>
    <w:rPr>
      <w:color w:val="0000FF"/>
      <w:u w:val="single"/>
    </w:rPr>
  </w:style>
  <w:style w:type="character" w:customStyle="1" w:styleId="ZkladntextChar">
    <w:name w:val="Základný text Char"/>
    <w:rPr>
      <w:sz w:val="24"/>
      <w:szCs w:val="24"/>
    </w:rPr>
  </w:style>
  <w:style w:type="character" w:customStyle="1" w:styleId="shorttext">
    <w:name w:val="short_text"/>
  </w:style>
  <w:style w:type="character" w:customStyle="1" w:styleId="atn">
    <w:name w:val="atn"/>
  </w:style>
  <w:style w:type="character" w:customStyle="1" w:styleId="HlavikaChar">
    <w:name w:val="Hlavička Char"/>
    <w:rPr>
      <w:rFonts w:ascii="Arial" w:hAnsi="Arial" w:cs="Arial"/>
      <w:sz w:val="22"/>
    </w:rPr>
  </w:style>
  <w:style w:type="paragraph" w:customStyle="1" w:styleId="Heading">
    <w:name w:val="Heading"/>
    <w:basedOn w:val="Normlny"/>
    <w:next w:val="Zkladntext"/>
    <w:pPr>
      <w:keepNext/>
      <w:spacing w:before="240" w:after="120"/>
    </w:pPr>
    <w:rPr>
      <w:rFonts w:eastAsia="Microsoft YaHei"/>
      <w:sz w:val="28"/>
      <w:szCs w:val="28"/>
    </w:rPr>
  </w:style>
  <w:style w:type="paragraph" w:styleId="Zkladntext">
    <w:name w:val="Body Text"/>
    <w:basedOn w:val="Normlny"/>
    <w:pPr>
      <w:spacing w:after="120"/>
    </w:pPr>
    <w:rPr>
      <w:rFonts w:ascii="Times New Roman" w:hAnsi="Times New Roman" w:cs="Times New Roman"/>
      <w:sz w:val="24"/>
      <w:szCs w:val="24"/>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i/>
      <w:iCs/>
      <w:sz w:val="24"/>
      <w:szCs w:val="24"/>
    </w:rPr>
  </w:style>
  <w:style w:type="paragraph" w:customStyle="1" w:styleId="Index">
    <w:name w:val="Index"/>
    <w:basedOn w:val="Normlny"/>
    <w:pPr>
      <w:suppressLineNumbers/>
    </w:pPr>
  </w:style>
  <w:style w:type="paragraph" w:customStyle="1" w:styleId="Textkomentra1">
    <w:name w:val="Text komentára1"/>
    <w:basedOn w:val="Normlny"/>
    <w:rPr>
      <w:sz w:val="20"/>
    </w:rPr>
  </w:style>
  <w:style w:type="paragraph" w:styleId="Zarkazkladnhotextu">
    <w:name w:val="Body Text Indent"/>
    <w:basedOn w:val="Normlny"/>
    <w:pPr>
      <w:autoSpaceDE w:val="0"/>
      <w:ind w:left="1843"/>
    </w:pPr>
    <w:rPr>
      <w:sz w:val="24"/>
      <w:szCs w:val="24"/>
      <w:lang w:val="de-DE"/>
    </w:rPr>
  </w:style>
  <w:style w:type="paragraph" w:customStyle="1" w:styleId="Standard-Einzug2">
    <w:name w:val="Standard-Einzug 2"/>
    <w:basedOn w:val="Normlny"/>
    <w:pPr>
      <w:spacing w:after="120"/>
      <w:ind w:left="709"/>
    </w:pPr>
    <w:rPr>
      <w:sz w:val="24"/>
      <w:szCs w:val="24"/>
      <w:lang w:val="de-DE"/>
    </w:rPr>
  </w:style>
  <w:style w:type="paragraph" w:customStyle="1" w:styleId="knZulassung02">
    <w:name w:val="knZulassung02"/>
    <w:basedOn w:val="Normlny"/>
    <w:pPr>
      <w:autoSpaceDE w:val="0"/>
      <w:ind w:left="1843" w:right="284"/>
    </w:pPr>
    <w:rPr>
      <w:rFonts w:ascii="Courier" w:hAnsi="Courier" w:cs="Courier"/>
      <w:sz w:val="24"/>
      <w:szCs w:val="24"/>
      <w:lang w:val="de-DE"/>
    </w:rPr>
  </w:style>
  <w:style w:type="paragraph" w:customStyle="1" w:styleId="knZulassung03">
    <w:name w:val="knZulassung03"/>
    <w:basedOn w:val="Normlny"/>
    <w:pPr>
      <w:spacing w:before="120" w:after="120"/>
      <w:ind w:left="2269" w:right="284" w:hanging="426"/>
    </w:pPr>
    <w:rPr>
      <w:szCs w:val="22"/>
      <w:lang w:val="de-DE"/>
    </w:rPr>
  </w:style>
  <w:style w:type="paragraph" w:customStyle="1" w:styleId="knZulassung01">
    <w:name w:val="knZulassung01"/>
    <w:basedOn w:val="Normlny"/>
    <w:pPr>
      <w:autoSpaceDE w:val="0"/>
      <w:ind w:left="1843" w:right="284" w:hanging="1843"/>
    </w:pPr>
    <w:rPr>
      <w:rFonts w:ascii="Courier" w:hAnsi="Courier" w:cs="Courier"/>
      <w:sz w:val="24"/>
      <w:szCs w:val="24"/>
      <w:lang w:val="de-DE"/>
    </w:rPr>
  </w:style>
  <w:style w:type="paragraph" w:customStyle="1" w:styleId="Zarkazkladnhotextu21">
    <w:name w:val="Zarážka základného textu 21"/>
    <w:basedOn w:val="Normlny"/>
    <w:pPr>
      <w:autoSpaceDE w:val="0"/>
      <w:spacing w:line="240" w:lineRule="exact"/>
      <w:ind w:left="1843" w:firstLine="1"/>
    </w:pPr>
    <w:rPr>
      <w:rFonts w:ascii="Courier" w:hAnsi="Courier" w:cs="Courier"/>
      <w:sz w:val="24"/>
      <w:szCs w:val="24"/>
      <w:lang w:val="de-DE"/>
    </w:rPr>
  </w:style>
  <w:style w:type="paragraph" w:customStyle="1" w:styleId="Formatvorlage1">
    <w:name w:val="Formatvorlage1"/>
    <w:basedOn w:val="Normlny"/>
    <w:rPr>
      <w:rFonts w:ascii="Verdana" w:hAnsi="Verdana" w:cs="Verdana"/>
      <w:szCs w:val="22"/>
      <w:lang w:val="de-DE"/>
    </w:rPr>
  </w:style>
  <w:style w:type="paragraph" w:customStyle="1" w:styleId="Textbubliny1">
    <w:name w:val="Text bubliny1"/>
    <w:basedOn w:val="Normlny"/>
    <w:rPr>
      <w:rFonts w:ascii="Tahoma" w:hAnsi="Tahoma" w:cs="Tahoma"/>
      <w:sz w:val="16"/>
      <w:szCs w:val="16"/>
    </w:rPr>
  </w:style>
  <w:style w:type="paragraph" w:customStyle="1" w:styleId="Zkladntext21">
    <w:name w:val="Základný text 21"/>
    <w:basedOn w:val="Normlny"/>
    <w:pPr>
      <w:spacing w:after="120" w:line="480" w:lineRule="auto"/>
    </w:pPr>
  </w:style>
  <w:style w:type="paragraph" w:styleId="Textvysvetlivky">
    <w:name w:val="endnote text"/>
    <w:basedOn w:val="Normlny"/>
    <w:pPr>
      <w:widowControl w:val="0"/>
    </w:pPr>
    <w:rPr>
      <w:rFonts w:ascii="Courier New" w:hAnsi="Courier New" w:cs="Courier New"/>
      <w:sz w:val="24"/>
      <w:lang w:val="nl"/>
    </w:rPr>
  </w:style>
  <w:style w:type="paragraph" w:customStyle="1" w:styleId="Tab-Text-linksbndig">
    <w:name w:val="Tab-Text-linksbündig"/>
    <w:basedOn w:val="Normlny"/>
    <w:rPr>
      <w:spacing w:val="2"/>
      <w:sz w:val="18"/>
    </w:rPr>
  </w:style>
  <w:style w:type="paragraph" w:customStyle="1" w:styleId="Predmetkomentra1">
    <w:name w:val="Predmet komentára1"/>
    <w:basedOn w:val="Textkomentra1"/>
    <w:next w:val="Textkomentra1"/>
    <w:rPr>
      <w:b/>
      <w:bCs/>
    </w:rPr>
  </w:style>
  <w:style w:type="paragraph" w:styleId="Pta">
    <w:name w:val="footer"/>
    <w:basedOn w:val="Normlny"/>
    <w:link w:val="PtaChar"/>
    <w:uiPriority w:val="99"/>
  </w:style>
  <w:style w:type="paragraph" w:styleId="Nzov">
    <w:name w:val="Title"/>
    <w:basedOn w:val="Normlny"/>
    <w:next w:val="Podtitul"/>
    <w:qFormat/>
    <w:pPr>
      <w:widowControl w:val="0"/>
      <w:jc w:val="center"/>
    </w:pPr>
    <w:rPr>
      <w:b/>
      <w:bCs/>
      <w:sz w:val="20"/>
      <w:szCs w:val="24"/>
    </w:rPr>
  </w:style>
  <w:style w:type="paragraph" w:styleId="Podtitul">
    <w:name w:val="Subtitle"/>
    <w:basedOn w:val="Heading"/>
    <w:next w:val="Zkladntext"/>
    <w:qFormat/>
    <w:pPr>
      <w:jc w:val="center"/>
    </w:pPr>
    <w:rPr>
      <w:i/>
      <w:iCs/>
    </w:rPr>
  </w:style>
  <w:style w:type="paragraph" w:customStyle="1" w:styleId="CharChar1CharCharCharCharCharCharCharCharCharCharCharChar">
    <w:name w:val="Char Char1 Char Char Char Char Char Char Char Char Char Char Char Char"/>
    <w:basedOn w:val="Normlny"/>
    <w:pPr>
      <w:spacing w:after="160" w:line="240" w:lineRule="exact"/>
    </w:pPr>
    <w:rPr>
      <w:rFonts w:ascii="Verdana" w:hAnsi="Verdana" w:cs="Verdana"/>
      <w:sz w:val="20"/>
      <w:lang w:val="en-GB"/>
    </w:rPr>
  </w:style>
  <w:style w:type="paragraph" w:styleId="Hlavika">
    <w:name w:val="header"/>
    <w:basedOn w:val="Normlny"/>
    <w:link w:val="HlavikaChar1"/>
  </w:style>
  <w:style w:type="paragraph" w:customStyle="1" w:styleId="Odsekzoznamu1">
    <w:name w:val="Odsek zoznamu1"/>
    <w:basedOn w:val="Normlny"/>
    <w:pPr>
      <w:ind w:left="720" w:hanging="567"/>
    </w:pPr>
    <w:rPr>
      <w:rFonts w:ascii="Times New Roman" w:eastAsia="SimSun" w:hAnsi="Times New Roman" w:cs="Times New Roman"/>
      <w:szCs w:val="24"/>
    </w:rPr>
  </w:style>
  <w:style w:type="paragraph" w:customStyle="1" w:styleId="CharChar1CharCharCharCharCharCharCharCharCharCharCharChar0">
    <w:name w:val="Char Char1 Char Char Char Char Char Char Char Char Char Char Char Char"/>
    <w:basedOn w:val="Normlny"/>
    <w:pPr>
      <w:spacing w:after="160" w:line="240" w:lineRule="exact"/>
    </w:pPr>
    <w:rPr>
      <w:rFonts w:ascii="Verdana" w:hAnsi="Verdana" w:cs="Verdana"/>
      <w:sz w:val="20"/>
      <w:lang w:val="en-GB"/>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5B7965"/>
    <w:rPr>
      <w:rFonts w:ascii="Tahoma" w:hAnsi="Tahoma" w:cs="Tahoma"/>
      <w:sz w:val="16"/>
      <w:szCs w:val="16"/>
    </w:rPr>
  </w:style>
  <w:style w:type="character" w:customStyle="1" w:styleId="TextbublinyChar">
    <w:name w:val="Text bubliny Char"/>
    <w:basedOn w:val="Predvolenpsmoodseku"/>
    <w:link w:val="Textbubliny"/>
    <w:uiPriority w:val="99"/>
    <w:semiHidden/>
    <w:rsid w:val="005B7965"/>
    <w:rPr>
      <w:rFonts w:ascii="Tahoma" w:hAnsi="Tahoma" w:cs="Tahoma"/>
      <w:sz w:val="16"/>
      <w:szCs w:val="16"/>
      <w:lang w:eastAsia="ar-SA"/>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basedOn w:val="Predvolenpsmoodseku"/>
    <w:link w:val="Textkomentra"/>
    <w:uiPriority w:val="99"/>
    <w:rPr>
      <w:rFonts w:ascii="Arial" w:hAnsi="Arial" w:cs="Arial"/>
      <w:lang w:eastAsia="ar-SA"/>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BA74EA"/>
    <w:rPr>
      <w:b/>
      <w:bCs/>
    </w:rPr>
  </w:style>
  <w:style w:type="character" w:customStyle="1" w:styleId="PredmetkomentraChar">
    <w:name w:val="Predmet komentára Char"/>
    <w:basedOn w:val="TextkomentraChar"/>
    <w:link w:val="Predmetkomentra"/>
    <w:uiPriority w:val="99"/>
    <w:semiHidden/>
    <w:rsid w:val="00BA74EA"/>
    <w:rPr>
      <w:rFonts w:ascii="Arial" w:hAnsi="Arial" w:cs="Arial"/>
      <w:b/>
      <w:bCs/>
      <w:lang w:eastAsia="ar-SA"/>
    </w:rPr>
  </w:style>
  <w:style w:type="character" w:customStyle="1" w:styleId="HlavikaChar1">
    <w:name w:val="Hlavička Char1"/>
    <w:basedOn w:val="Predvolenpsmoodseku"/>
    <w:link w:val="Hlavika"/>
    <w:rsid w:val="00D13FF5"/>
    <w:rPr>
      <w:rFonts w:ascii="Arial" w:hAnsi="Arial" w:cs="Arial"/>
      <w:sz w:val="22"/>
      <w:lang w:eastAsia="ar-SA"/>
    </w:rPr>
  </w:style>
  <w:style w:type="character" w:customStyle="1" w:styleId="PtaChar">
    <w:name w:val="Päta Char"/>
    <w:basedOn w:val="Predvolenpsmoodseku"/>
    <w:link w:val="Pta"/>
    <w:uiPriority w:val="99"/>
    <w:rsid w:val="00D35F73"/>
    <w:rPr>
      <w:rFonts w:ascii="Arial" w:hAnsi="Arial" w:cs="Arial"/>
      <w:sz w:val="22"/>
      <w:lang w:eastAsia="ar-SA"/>
    </w:rPr>
  </w:style>
  <w:style w:type="paragraph" w:customStyle="1" w:styleId="CharChar1CharCharCharCharCharCharCharCharCharCharCharChar1">
    <w:name w:val="Char Char1 Char Char Char Char Char Char Char Char Char Char Char Char"/>
    <w:basedOn w:val="Normlny"/>
    <w:rsid w:val="002A7DD5"/>
    <w:pPr>
      <w:suppressAutoHyphens w:val="0"/>
      <w:spacing w:after="160" w:line="240" w:lineRule="exact"/>
    </w:pPr>
    <w:rPr>
      <w:rFonts w:ascii="Verdana" w:hAnsi="Verdana" w:cs="Verdana"/>
      <w:sz w:val="20"/>
      <w:lang w:val="en-GB" w:eastAsia="en-US"/>
    </w:rPr>
  </w:style>
  <w:style w:type="paragraph" w:customStyle="1" w:styleId="CharChar1CharCharCharCharCharCharCharCharCharCharCharChar2">
    <w:name w:val="Char Char1 Char Char Char Char Char Char Char Char Char Char Char Char"/>
    <w:basedOn w:val="Normlny"/>
    <w:rsid w:val="00EB234A"/>
    <w:pPr>
      <w:suppressAutoHyphens w:val="0"/>
      <w:spacing w:after="160" w:line="240" w:lineRule="exact"/>
    </w:pPr>
    <w:rPr>
      <w:rFonts w:ascii="Verdana" w:hAnsi="Verdana" w:cs="Verdana"/>
      <w:sz w:val="20"/>
      <w:lang w:val="en-GB" w:eastAsia="en-US"/>
    </w:rPr>
  </w:style>
  <w:style w:type="character" w:customStyle="1" w:styleId="Nadpis1Char">
    <w:name w:val="Nadpis 1 Char"/>
    <w:basedOn w:val="Predvolenpsmoodseku"/>
    <w:link w:val="Nadpis1"/>
    <w:uiPriority w:val="9"/>
    <w:rsid w:val="005F2108"/>
    <w:rPr>
      <w:rFonts w:asciiTheme="majorHAnsi" w:eastAsiaTheme="majorEastAsia" w:hAnsiTheme="majorHAnsi" w:cstheme="majorBidi"/>
      <w:b/>
      <w:bCs/>
      <w:color w:val="365F91" w:themeColor="accent1" w:themeShade="BF"/>
      <w:sz w:val="28"/>
      <w:szCs w:val="28"/>
      <w:lang w:eastAsia="ar-SA"/>
    </w:rPr>
  </w:style>
  <w:style w:type="paragraph" w:styleId="Odsekzoznamu">
    <w:name w:val="List Paragraph"/>
    <w:basedOn w:val="Normlny"/>
    <w:uiPriority w:val="34"/>
    <w:qFormat/>
    <w:rsid w:val="00EE7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4597</Words>
  <Characters>26205</Characters>
  <Application>Microsoft Office Word</Application>
  <DocSecurity>0</DocSecurity>
  <Lines>218</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PACKAGE LEAFLET: INFORMATION FOR THE USER</vt:lpstr>
      <vt:lpstr>PACKAGE LEAFLET: INFORMATION FOR THE USER</vt:lpstr>
    </vt:vector>
  </TitlesOfParts>
  <Company>Hewlett-Packard Company</Company>
  <LinksUpToDate>false</LinksUpToDate>
  <CharactersWithSpaces>30741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uzivatel</dc:creator>
  <cp:lastModifiedBy>Uhnáková Milota</cp:lastModifiedBy>
  <cp:revision>2</cp:revision>
  <cp:lastPrinted>2017-04-19T06:33:00Z</cp:lastPrinted>
  <dcterms:created xsi:type="dcterms:W3CDTF">2020-02-25T14:48:00Z</dcterms:created>
  <dcterms:modified xsi:type="dcterms:W3CDTF">2020-02-25T14:48:00Z</dcterms:modified>
</cp:coreProperties>
</file>