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036ED" w14:textId="77777777" w:rsidR="00A354F1" w:rsidRPr="00891D76" w:rsidRDefault="00A354F1" w:rsidP="00A354F1">
      <w:pPr>
        <w:tabs>
          <w:tab w:val="clear" w:pos="567"/>
        </w:tabs>
        <w:spacing w:line="240" w:lineRule="auto"/>
        <w:jc w:val="center"/>
        <w:outlineLvl w:val="0"/>
      </w:pPr>
      <w:r w:rsidRPr="00BF5AB0">
        <w:rPr>
          <w:b/>
        </w:rPr>
        <w:t xml:space="preserve">Písomná informácia pre </w:t>
      </w:r>
      <w:r>
        <w:rPr>
          <w:b/>
          <w:szCs w:val="22"/>
        </w:rPr>
        <w:t>používateľa</w:t>
      </w:r>
    </w:p>
    <w:p w14:paraId="72F7E29C" w14:textId="77777777" w:rsidR="00A354F1" w:rsidRPr="0082445A" w:rsidRDefault="00A354F1" w:rsidP="00A354F1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2ABD6393" w14:textId="77777777" w:rsidR="009D192F" w:rsidRDefault="00DB0E4C" w:rsidP="00A354F1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>
        <w:rPr>
          <w:b/>
        </w:rPr>
        <w:t xml:space="preserve">Vardessin </w:t>
      </w:r>
    </w:p>
    <w:p w14:paraId="3EA1BD45" w14:textId="77777777" w:rsidR="00A354F1" w:rsidRPr="00A72672" w:rsidRDefault="00DB0E4C" w:rsidP="00A354F1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>
        <w:rPr>
          <w:b/>
        </w:rPr>
        <w:t>20 IU/ml injekčný roztok</w:t>
      </w:r>
    </w:p>
    <w:p w14:paraId="5DE6C2C0" w14:textId="77777777" w:rsidR="002E60D5" w:rsidRDefault="002E60D5" w:rsidP="00A354F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</w:p>
    <w:p w14:paraId="78CA32E9" w14:textId="5E1D1E68" w:rsidR="00A354F1" w:rsidRDefault="00DB0E4C" w:rsidP="00A354F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>
        <w:t>argipres</w:t>
      </w:r>
      <w:r w:rsidR="002E60D5">
        <w:t>í</w:t>
      </w:r>
      <w:r>
        <w:t>n</w:t>
      </w:r>
    </w:p>
    <w:p w14:paraId="00101BD2" w14:textId="77777777" w:rsidR="00EB5A57" w:rsidRPr="00891D76" w:rsidRDefault="00EB5A57" w:rsidP="00A354F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</w:p>
    <w:p w14:paraId="0507EE7B" w14:textId="77777777" w:rsidR="00A354F1" w:rsidRPr="0024136E" w:rsidRDefault="00A354F1" w:rsidP="00D62122">
      <w:pPr>
        <w:tabs>
          <w:tab w:val="clear" w:pos="567"/>
        </w:tabs>
        <w:suppressAutoHyphens/>
        <w:spacing w:line="240" w:lineRule="auto"/>
        <w:ind w:left="142" w:hanging="142"/>
        <w:jc w:val="both"/>
      </w:pPr>
      <w:r w:rsidRPr="0024136E">
        <w:rPr>
          <w:b/>
        </w:rPr>
        <w:t>Pozorne si prečítajte celú písomnú informáciu predtým, ako začnete používať tento liek, pretože obsahuje pre vás dôležité informácie.</w:t>
      </w:r>
    </w:p>
    <w:p w14:paraId="1C549817" w14:textId="77777777" w:rsidR="00A354F1" w:rsidRPr="0024136E" w:rsidRDefault="00A354F1" w:rsidP="00D6212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both"/>
      </w:pPr>
      <w:r w:rsidRPr="0024136E">
        <w:t>Túto písomnú informáciu si uschovajte. Možno bude potrebné, aby ste si ju znovu prečítali.</w:t>
      </w:r>
    </w:p>
    <w:p w14:paraId="745B5C59" w14:textId="77777777" w:rsidR="00A354F1" w:rsidRPr="0024136E" w:rsidRDefault="00A354F1" w:rsidP="00D6212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both"/>
      </w:pPr>
      <w:r w:rsidRPr="0024136E">
        <w:t>Ak máte akékoľvek ďalšie otázky, obráťte sa na svojho lekára,</w:t>
      </w:r>
      <w:r w:rsidR="0049695D" w:rsidRPr="0024136E">
        <w:t xml:space="preserve"> </w:t>
      </w:r>
      <w:r w:rsidRPr="0024136E">
        <w:t>lekárnika</w:t>
      </w:r>
      <w:r w:rsidR="0049695D" w:rsidRPr="0024136E">
        <w:t xml:space="preserve"> </w:t>
      </w:r>
      <w:r w:rsidRPr="0024136E">
        <w:t>alebo zdravotnú sestru.</w:t>
      </w:r>
    </w:p>
    <w:p w14:paraId="6FF2C095" w14:textId="77777777" w:rsidR="00A354F1" w:rsidRPr="0024136E" w:rsidRDefault="00A354F1" w:rsidP="00D62122">
      <w:pPr>
        <w:spacing w:line="240" w:lineRule="auto"/>
        <w:ind w:left="567" w:right="-2" w:hanging="567"/>
        <w:jc w:val="both"/>
      </w:pPr>
      <w:r w:rsidRPr="0024136E">
        <w:t>-</w:t>
      </w:r>
      <w:r w:rsidRPr="0024136E">
        <w:tab/>
        <w:t>Tento liek bol predpísaný iba vám. Nedávajte ho nikomu inému. Môže mu uškodiť, dokonca aj vtedy, ak má rovnaké prejavy ochorenia ako vy.</w:t>
      </w:r>
    </w:p>
    <w:p w14:paraId="4ED316E1" w14:textId="77777777" w:rsidR="00A354F1" w:rsidRPr="0024136E" w:rsidRDefault="00A354F1" w:rsidP="00D62122">
      <w:pPr>
        <w:numPr>
          <w:ilvl w:val="0"/>
          <w:numId w:val="1"/>
        </w:numPr>
        <w:spacing w:line="240" w:lineRule="auto"/>
        <w:ind w:left="567" w:hanging="567"/>
        <w:jc w:val="both"/>
      </w:pPr>
      <w:r w:rsidRPr="0024136E">
        <w:t>Ak sa u vás vyskytne akýkoľvek vedľajší účinok, obráťte sa na svojho lekára,</w:t>
      </w:r>
      <w:r w:rsidR="0049695D" w:rsidRPr="0024136E">
        <w:t xml:space="preserve"> </w:t>
      </w:r>
      <w:r w:rsidRPr="0024136E">
        <w:t>lekárnika</w:t>
      </w:r>
      <w:r w:rsidR="0049695D" w:rsidRPr="0024136E">
        <w:t xml:space="preserve"> </w:t>
      </w:r>
      <w:r w:rsidRPr="0024136E">
        <w:t>alebo zdravotnú sestru. To sa týka aj akýchkoľvek vedľajších účinkov, ktoré nie sú uvedené v tejto písomnej informácii. Pozri časť 4.</w:t>
      </w:r>
    </w:p>
    <w:p w14:paraId="13218E3B" w14:textId="77777777" w:rsidR="00A354F1" w:rsidRPr="0024136E" w:rsidRDefault="00A354F1" w:rsidP="00D62122">
      <w:pPr>
        <w:tabs>
          <w:tab w:val="clear" w:pos="567"/>
        </w:tabs>
        <w:spacing w:line="240" w:lineRule="auto"/>
        <w:ind w:right="-2"/>
        <w:jc w:val="both"/>
      </w:pPr>
    </w:p>
    <w:p w14:paraId="095A34C5" w14:textId="77777777" w:rsidR="00A354F1" w:rsidRPr="0024136E" w:rsidRDefault="00A354F1" w:rsidP="00D62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</w:pPr>
      <w:r w:rsidRPr="0024136E">
        <w:rPr>
          <w:b/>
        </w:rPr>
        <w:t>V tejto písomnej informácii sa dozviete:</w:t>
      </w:r>
    </w:p>
    <w:p w14:paraId="64A71A0B" w14:textId="77777777" w:rsidR="00A354F1" w:rsidRPr="0024136E" w:rsidRDefault="00A354F1" w:rsidP="00D62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</w:pPr>
    </w:p>
    <w:p w14:paraId="799F05D6" w14:textId="77777777" w:rsidR="00A354F1" w:rsidRPr="0024136E" w:rsidRDefault="00A354F1" w:rsidP="00D62122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</w:pPr>
      <w:r w:rsidRPr="0024136E">
        <w:t xml:space="preserve">Čo je </w:t>
      </w:r>
      <w:r w:rsidR="008F18B8" w:rsidRPr="0024136E">
        <w:t>Vardessin</w:t>
      </w:r>
      <w:r w:rsidRPr="0024136E">
        <w:t xml:space="preserve"> a na čo sa používa</w:t>
      </w:r>
    </w:p>
    <w:p w14:paraId="64AFEDE2" w14:textId="77777777" w:rsidR="00A354F1" w:rsidRPr="0024136E" w:rsidRDefault="00A354F1" w:rsidP="00D62122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</w:pPr>
      <w:r w:rsidRPr="0024136E">
        <w:t>Čo potrebujete vedieť predtým, ako použijete</w:t>
      </w:r>
      <w:r w:rsidR="008F18B8" w:rsidRPr="0024136E">
        <w:t xml:space="preserve"> Vardessin</w:t>
      </w:r>
    </w:p>
    <w:p w14:paraId="4C45DCC7" w14:textId="77777777" w:rsidR="00A354F1" w:rsidRPr="0024136E" w:rsidRDefault="00A354F1" w:rsidP="00D62122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</w:pPr>
      <w:r w:rsidRPr="0024136E">
        <w:t xml:space="preserve">Ako používať </w:t>
      </w:r>
      <w:r w:rsidR="008F18B8" w:rsidRPr="0024136E">
        <w:t>Vardessin</w:t>
      </w:r>
    </w:p>
    <w:p w14:paraId="2F33AACA" w14:textId="77777777" w:rsidR="00A354F1" w:rsidRPr="0024136E" w:rsidRDefault="00A354F1" w:rsidP="00D62122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</w:pPr>
      <w:r w:rsidRPr="0024136E">
        <w:t>Možné vedľajšie účinky</w:t>
      </w:r>
    </w:p>
    <w:p w14:paraId="6C2BE1D2" w14:textId="77777777" w:rsidR="00A354F1" w:rsidRPr="0024136E" w:rsidRDefault="00A354F1" w:rsidP="00D62122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</w:pPr>
      <w:r w:rsidRPr="0024136E">
        <w:t xml:space="preserve">Ako uchovávať </w:t>
      </w:r>
      <w:r w:rsidR="008F18B8" w:rsidRPr="0024136E">
        <w:t>Vardessin</w:t>
      </w:r>
    </w:p>
    <w:p w14:paraId="6A831858" w14:textId="77777777" w:rsidR="00A354F1" w:rsidRPr="0024136E" w:rsidRDefault="00A354F1" w:rsidP="00D62122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</w:pPr>
      <w:r w:rsidRPr="0024136E">
        <w:t>Obsah balenia a ďalšie informácie</w:t>
      </w:r>
    </w:p>
    <w:p w14:paraId="4249C6E7" w14:textId="77777777" w:rsidR="00A354F1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23606B14" w14:textId="77777777" w:rsidR="002265B9" w:rsidRPr="0082445A" w:rsidRDefault="002265B9" w:rsidP="00D6212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44F8ABF7" w14:textId="77777777" w:rsidR="00A354F1" w:rsidRPr="00891D76" w:rsidRDefault="00A354F1" w:rsidP="00D62122">
      <w:pPr>
        <w:keepNext/>
        <w:numPr>
          <w:ilvl w:val="0"/>
          <w:numId w:val="3"/>
        </w:numPr>
        <w:spacing w:line="240" w:lineRule="auto"/>
        <w:ind w:left="567" w:right="-2"/>
        <w:jc w:val="both"/>
        <w:rPr>
          <w:b/>
        </w:rPr>
      </w:pPr>
      <w:r w:rsidRPr="00BF5AB0">
        <w:rPr>
          <w:b/>
        </w:rPr>
        <w:t xml:space="preserve">Čo je </w:t>
      </w:r>
      <w:r w:rsidR="00883160">
        <w:rPr>
          <w:b/>
        </w:rPr>
        <w:t>Vardessin</w:t>
      </w:r>
      <w:r w:rsidRPr="00BF5AB0">
        <w:rPr>
          <w:b/>
        </w:rPr>
        <w:t xml:space="preserve"> a</w:t>
      </w:r>
      <w:r>
        <w:rPr>
          <w:b/>
          <w:noProof/>
        </w:rPr>
        <w:t> </w:t>
      </w:r>
      <w:r w:rsidRPr="00BF5AB0">
        <w:rPr>
          <w:b/>
        </w:rPr>
        <w:t>na čo sa používa</w:t>
      </w:r>
    </w:p>
    <w:p w14:paraId="12EA0A6F" w14:textId="77777777" w:rsidR="00A354F1" w:rsidRPr="00891D76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379F06C9" w14:textId="30EC75A5" w:rsidR="00883160" w:rsidRDefault="009D192F" w:rsidP="00D62122">
      <w:pPr>
        <w:tabs>
          <w:tab w:val="clear" w:pos="567"/>
        </w:tabs>
        <w:spacing w:line="240" w:lineRule="auto"/>
        <w:ind w:right="-2"/>
        <w:jc w:val="both"/>
      </w:pPr>
      <w:r>
        <w:t xml:space="preserve">Liek </w:t>
      </w:r>
      <w:r w:rsidR="00883160">
        <w:t>Vardessin obsahuje argipres</w:t>
      </w:r>
      <w:r w:rsidR="002E60D5">
        <w:t>í</w:t>
      </w:r>
      <w:r w:rsidR="00883160">
        <w:t xml:space="preserve">n, ktorý je podobný prirodzene sa vyskytujúcemu hormónu vo </w:t>
      </w:r>
      <w:r w:rsidR="002E60D5">
        <w:t>v</w:t>
      </w:r>
      <w:r w:rsidR="00883160">
        <w:t>ašom tele. Je to antidiuretikum, ktoré pomáha zabrániť nadmernej strate vody močením a tiež zužuje niektoré krvné cievy v tele.</w:t>
      </w:r>
    </w:p>
    <w:p w14:paraId="6AD42B47" w14:textId="77777777" w:rsidR="00883160" w:rsidRDefault="00883160" w:rsidP="00D62122">
      <w:pPr>
        <w:tabs>
          <w:tab w:val="clear" w:pos="567"/>
        </w:tabs>
        <w:spacing w:line="240" w:lineRule="auto"/>
        <w:ind w:right="-2"/>
        <w:jc w:val="both"/>
      </w:pPr>
    </w:p>
    <w:p w14:paraId="688D2FF6" w14:textId="77777777" w:rsidR="00883160" w:rsidRDefault="00883160" w:rsidP="00D62122">
      <w:pPr>
        <w:tabs>
          <w:tab w:val="clear" w:pos="567"/>
        </w:tabs>
        <w:spacing w:line="240" w:lineRule="auto"/>
        <w:ind w:right="-2"/>
        <w:jc w:val="both"/>
      </w:pPr>
      <w:r>
        <w:t>Vardessin sa používa na liečbu:</w:t>
      </w:r>
    </w:p>
    <w:p w14:paraId="0B75E33C" w14:textId="7A69FDED" w:rsidR="00883160" w:rsidRDefault="00883160" w:rsidP="00D62122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right="-2"/>
        <w:jc w:val="both"/>
      </w:pPr>
      <w:r>
        <w:t xml:space="preserve">diabetes insipidus. Toto je zriedkavá forma </w:t>
      </w:r>
      <w:r w:rsidR="009D192F">
        <w:t>cukrovky</w:t>
      </w:r>
      <w:r>
        <w:t>, ktorá spôsobuje produkciu veľkého množstva moču. Vardessin zvyšuje množstvo vody absorbovanej späť do obličiek.</w:t>
      </w:r>
    </w:p>
    <w:p w14:paraId="449B39BB" w14:textId="4BCA5D54" w:rsidR="00883160" w:rsidRDefault="00883160" w:rsidP="00D62122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right="-2"/>
        <w:jc w:val="both"/>
      </w:pPr>
      <w:r>
        <w:t>krvácani</w:t>
      </w:r>
      <w:r w:rsidR="005A7919">
        <w:t>a</w:t>
      </w:r>
      <w:r>
        <w:t xml:space="preserve"> zo zväčšených žíl v pažeráku.</w:t>
      </w:r>
    </w:p>
    <w:p w14:paraId="120298F9" w14:textId="77777777" w:rsidR="00A354F1" w:rsidRPr="00A72672" w:rsidRDefault="00883160" w:rsidP="00D62122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right="-2"/>
        <w:jc w:val="both"/>
      </w:pPr>
      <w:r>
        <w:t>dospel</w:t>
      </w:r>
      <w:r w:rsidR="00B44097">
        <w:t>ý</w:t>
      </w:r>
      <w:r w:rsidR="005A7919">
        <w:t>ch</w:t>
      </w:r>
      <w:r>
        <w:t xml:space="preserve"> s</w:t>
      </w:r>
      <w:r w:rsidR="005A7919">
        <w:t>o</w:t>
      </w:r>
      <w:r>
        <w:t xml:space="preserve"> septickým šokom, ktorí majú nízky krvný tlak aj napriek </w:t>
      </w:r>
      <w:r w:rsidR="005A7919">
        <w:t>podávaniu</w:t>
      </w:r>
      <w:r>
        <w:t xml:space="preserve"> tekut</w:t>
      </w:r>
      <w:r w:rsidR="005A7919">
        <w:t>ín</w:t>
      </w:r>
      <w:r>
        <w:t xml:space="preserve"> a katecholamín</w:t>
      </w:r>
      <w:r w:rsidR="005A7919">
        <w:t>ov</w:t>
      </w:r>
      <w:r>
        <w:t>.</w:t>
      </w:r>
    </w:p>
    <w:p w14:paraId="08B33A5D" w14:textId="77777777" w:rsidR="00A354F1" w:rsidRDefault="00A354F1" w:rsidP="00D62122">
      <w:pPr>
        <w:tabs>
          <w:tab w:val="clear" w:pos="567"/>
        </w:tabs>
        <w:spacing w:line="240" w:lineRule="auto"/>
        <w:ind w:right="-2"/>
        <w:jc w:val="both"/>
      </w:pPr>
    </w:p>
    <w:p w14:paraId="5ED2B436" w14:textId="77777777" w:rsidR="002265B9" w:rsidRPr="00A72672" w:rsidRDefault="002265B9" w:rsidP="00D62122">
      <w:pPr>
        <w:tabs>
          <w:tab w:val="clear" w:pos="567"/>
        </w:tabs>
        <w:spacing w:line="240" w:lineRule="auto"/>
        <w:ind w:right="-2"/>
        <w:jc w:val="both"/>
      </w:pPr>
    </w:p>
    <w:p w14:paraId="54585ED2" w14:textId="77777777" w:rsidR="00A354F1" w:rsidRPr="00BF5AB0" w:rsidRDefault="00A354F1" w:rsidP="00D62122">
      <w:pPr>
        <w:keepNext/>
        <w:numPr>
          <w:ilvl w:val="0"/>
          <w:numId w:val="3"/>
        </w:numPr>
        <w:spacing w:line="240" w:lineRule="auto"/>
        <w:ind w:left="567" w:right="-2"/>
        <w:jc w:val="both"/>
        <w:rPr>
          <w:b/>
        </w:rPr>
      </w:pPr>
      <w:r w:rsidRPr="00BF5AB0">
        <w:rPr>
          <w:b/>
        </w:rPr>
        <w:t>Čo potrebujete vedieť predtým, ako použijete</w:t>
      </w:r>
      <w:r w:rsidR="005A4F20">
        <w:rPr>
          <w:b/>
        </w:rPr>
        <w:t xml:space="preserve"> Vardessin</w:t>
      </w:r>
    </w:p>
    <w:p w14:paraId="5D3A8B02" w14:textId="77777777" w:rsidR="00A354F1" w:rsidRPr="00085939" w:rsidRDefault="00A354F1" w:rsidP="00D62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i/>
        </w:rPr>
      </w:pPr>
    </w:p>
    <w:p w14:paraId="29F3BB12" w14:textId="77777777" w:rsidR="00A354F1" w:rsidRPr="00891D76" w:rsidRDefault="00A354F1" w:rsidP="00D62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</w:pPr>
      <w:r w:rsidRPr="00BF5AB0">
        <w:rPr>
          <w:b/>
        </w:rPr>
        <w:t>Nepoužívajte</w:t>
      </w:r>
      <w:r w:rsidR="00CD7898">
        <w:rPr>
          <w:b/>
        </w:rPr>
        <w:t xml:space="preserve"> Vardessin</w:t>
      </w:r>
    </w:p>
    <w:p w14:paraId="065C783C" w14:textId="2D6B3589" w:rsidR="00A354F1" w:rsidRDefault="00A354F1" w:rsidP="00D62122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</w:pPr>
      <w:r w:rsidRPr="00BF5AB0">
        <w:t xml:space="preserve">ak ste alergický na </w:t>
      </w:r>
      <w:r w:rsidR="00B46D08">
        <w:t>argipres</w:t>
      </w:r>
      <w:r w:rsidR="00C433CF">
        <w:t>í</w:t>
      </w:r>
      <w:r w:rsidR="00B46D08">
        <w:t>n</w:t>
      </w:r>
      <w:r w:rsidRPr="00BF5AB0">
        <w:t xml:space="preserve"> alebo na </w:t>
      </w:r>
      <w:r w:rsidRPr="00891D76">
        <w:t>ktorúkoľvek z</w:t>
      </w:r>
      <w:r>
        <w:t> </w:t>
      </w:r>
      <w:r w:rsidRPr="00BF5AB0">
        <w:t>ďalších zložiek tohto lieku (uvedených v</w:t>
      </w:r>
      <w:r>
        <w:t> </w:t>
      </w:r>
      <w:r w:rsidRPr="00BF5AB0">
        <w:t>časti 6).</w:t>
      </w:r>
    </w:p>
    <w:p w14:paraId="247D4F58" w14:textId="67C6D72B" w:rsidR="00B46D08" w:rsidRDefault="00B46D08" w:rsidP="00D62122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</w:pPr>
      <w:r>
        <w:rPr>
          <w:rStyle w:val="tlid-translation"/>
        </w:rPr>
        <w:t xml:space="preserve">ak </w:t>
      </w:r>
      <w:r w:rsidR="009D192F">
        <w:rPr>
          <w:rStyle w:val="tlid-translation"/>
        </w:rPr>
        <w:t>máte</w:t>
      </w:r>
      <w:r>
        <w:rPr>
          <w:rStyle w:val="tlid-translation"/>
        </w:rPr>
        <w:t xml:space="preserve"> určitý typ ochorenia obličiek nazývan</w:t>
      </w:r>
      <w:r w:rsidR="00467B5E">
        <w:rPr>
          <w:rStyle w:val="tlid-translation"/>
        </w:rPr>
        <w:t>ý</w:t>
      </w:r>
      <w:r>
        <w:rPr>
          <w:rStyle w:val="tlid-translation"/>
        </w:rPr>
        <w:t xml:space="preserve"> chronická nefritída s retenciou dusíka (lekár vám poradí).</w:t>
      </w:r>
    </w:p>
    <w:p w14:paraId="7659A9A0" w14:textId="1EE6A1DE" w:rsidR="00B46D08" w:rsidRDefault="00B46D08" w:rsidP="00D62122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</w:pPr>
      <w:r>
        <w:rPr>
          <w:rStyle w:val="tlid-translation"/>
        </w:rPr>
        <w:t xml:space="preserve">ak </w:t>
      </w:r>
      <w:r w:rsidR="009D192F">
        <w:rPr>
          <w:rStyle w:val="tlid-translation"/>
        </w:rPr>
        <w:t xml:space="preserve">máte </w:t>
      </w:r>
      <w:r>
        <w:rPr>
          <w:rStyle w:val="tlid-translation"/>
        </w:rPr>
        <w:t>ak</w:t>
      </w:r>
      <w:r w:rsidR="009D192F">
        <w:rPr>
          <w:rStyle w:val="tlid-translation"/>
        </w:rPr>
        <w:t>é</w:t>
      </w:r>
      <w:r>
        <w:rPr>
          <w:rStyle w:val="tlid-translation"/>
        </w:rPr>
        <w:t>koľvek ochoren</w:t>
      </w:r>
      <w:r w:rsidR="009D192F">
        <w:rPr>
          <w:rStyle w:val="tlid-translation"/>
        </w:rPr>
        <w:t>ie</w:t>
      </w:r>
      <w:r>
        <w:rPr>
          <w:rStyle w:val="tlid-translation"/>
        </w:rPr>
        <w:t xml:space="preserve"> alebo stav</w:t>
      </w:r>
      <w:r w:rsidR="009D192F">
        <w:rPr>
          <w:rStyle w:val="tlid-translation"/>
        </w:rPr>
        <w:t xml:space="preserve"> </w:t>
      </w:r>
      <w:r>
        <w:rPr>
          <w:rStyle w:val="tlid-translation"/>
        </w:rPr>
        <w:t>spojený s vašimi cievami, najmä cievami srdca.</w:t>
      </w:r>
    </w:p>
    <w:p w14:paraId="68CD43FA" w14:textId="77777777" w:rsidR="00B46D08" w:rsidRPr="00BF5AB0" w:rsidRDefault="00B46D08" w:rsidP="00D62122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</w:pPr>
      <w:r>
        <w:rPr>
          <w:rStyle w:val="tlid-translation"/>
        </w:rPr>
        <w:t>ak budete dostávať halogénované anestetiká, ako je halotan, izofluran, enfluran, desfluran a sevofluran.</w:t>
      </w:r>
    </w:p>
    <w:p w14:paraId="25B5BA8B" w14:textId="77777777" w:rsidR="00A354F1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47C22F7A" w14:textId="77777777" w:rsidR="00B46D08" w:rsidRDefault="00B46D08" w:rsidP="00D6212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B46D08">
        <w:t>Poraďte sa so svojím lekárom, ak sa na vás niečo z vyššie uvedeného vzťahuje skôr, ako začnete liek užívať.</w:t>
      </w:r>
    </w:p>
    <w:p w14:paraId="7FA43202" w14:textId="77777777" w:rsidR="00B46D08" w:rsidRPr="00891D76" w:rsidRDefault="00B46D08" w:rsidP="00D6212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591F7CFF" w14:textId="77777777" w:rsidR="00A354F1" w:rsidRPr="00085939" w:rsidRDefault="00A354F1" w:rsidP="00D62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</w:rPr>
      </w:pPr>
      <w:r w:rsidRPr="00891D76">
        <w:rPr>
          <w:b/>
        </w:rPr>
        <w:t>Upozornenia a</w:t>
      </w:r>
      <w:r>
        <w:rPr>
          <w:b/>
          <w:noProof/>
        </w:rPr>
        <w:t> </w:t>
      </w:r>
      <w:r w:rsidRPr="00BF5AB0">
        <w:rPr>
          <w:b/>
        </w:rPr>
        <w:t>opatrenia</w:t>
      </w:r>
    </w:p>
    <w:p w14:paraId="280B2FA9" w14:textId="77777777" w:rsidR="00A354F1" w:rsidRPr="00BF5AB0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BF5AB0">
        <w:t>Predtým, ako začnete používať</w:t>
      </w:r>
      <w:r w:rsidR="00E91109">
        <w:t xml:space="preserve"> Vardessin</w:t>
      </w:r>
      <w:r w:rsidRPr="00BF5AB0">
        <w:t>, obráťte sa na svojho lekára alebo zdravotnú sestru</w:t>
      </w:r>
      <w:r w:rsidR="00A11807">
        <w:t>:</w:t>
      </w:r>
    </w:p>
    <w:p w14:paraId="503024E2" w14:textId="1C67E67B" w:rsidR="00A11807" w:rsidRDefault="00A11807" w:rsidP="00D62122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right="-2"/>
        <w:jc w:val="both"/>
      </w:pPr>
      <w:r>
        <w:rPr>
          <w:rStyle w:val="tlid-translation"/>
        </w:rPr>
        <w:t xml:space="preserve">ak </w:t>
      </w:r>
      <w:r w:rsidR="00C433CF">
        <w:rPr>
          <w:rStyle w:val="tlid-translation"/>
        </w:rPr>
        <w:t>máte</w:t>
      </w:r>
      <w:r>
        <w:rPr>
          <w:rStyle w:val="tlid-translation"/>
        </w:rPr>
        <w:t xml:space="preserve"> astmou alebo in</w:t>
      </w:r>
      <w:r w:rsidR="009D192F">
        <w:rPr>
          <w:rStyle w:val="tlid-translation"/>
        </w:rPr>
        <w:t>é alergické stavy</w:t>
      </w:r>
    </w:p>
    <w:p w14:paraId="6203DEAC" w14:textId="5901BBEC" w:rsidR="00A11807" w:rsidRDefault="00A11807" w:rsidP="00D62122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right="-2"/>
        <w:jc w:val="both"/>
      </w:pPr>
      <w:r>
        <w:rPr>
          <w:rStyle w:val="tlid-translation"/>
        </w:rPr>
        <w:lastRenderedPageBreak/>
        <w:t>ak má</w:t>
      </w:r>
      <w:r w:rsidR="009D192F">
        <w:rPr>
          <w:rStyle w:val="tlid-translation"/>
        </w:rPr>
        <w:t>vat</w:t>
      </w:r>
      <w:r>
        <w:rPr>
          <w:rStyle w:val="tlid-translation"/>
        </w:rPr>
        <w:t>e migrénu</w:t>
      </w:r>
    </w:p>
    <w:p w14:paraId="49824DE4" w14:textId="77777777" w:rsidR="00A11807" w:rsidRDefault="00A11807" w:rsidP="00D62122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right="-2"/>
        <w:jc w:val="both"/>
      </w:pPr>
      <w:r>
        <w:rPr>
          <w:rStyle w:val="tlid-translation"/>
        </w:rPr>
        <w:t>ak máte epilepsiu (záchvaty)</w:t>
      </w:r>
    </w:p>
    <w:p w14:paraId="26F302C4" w14:textId="7AD9B419" w:rsidR="00A11807" w:rsidRDefault="00A11807" w:rsidP="00D62122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right="-2"/>
        <w:jc w:val="both"/>
      </w:pPr>
      <w:r>
        <w:rPr>
          <w:rStyle w:val="tlid-translation"/>
        </w:rPr>
        <w:t xml:space="preserve">ak </w:t>
      </w:r>
      <w:r w:rsidR="00C433CF">
        <w:rPr>
          <w:rStyle w:val="tlid-translation"/>
        </w:rPr>
        <w:t xml:space="preserve">máte </w:t>
      </w:r>
      <w:r>
        <w:rPr>
          <w:rStyle w:val="tlid-translation"/>
        </w:rPr>
        <w:t>vysoký krvný tlak, chorob</w:t>
      </w:r>
      <w:r w:rsidR="007774E4">
        <w:rPr>
          <w:rStyle w:val="tlid-translation"/>
        </w:rPr>
        <w:t>ou srdca</w:t>
      </w:r>
    </w:p>
    <w:p w14:paraId="53BDD1FF" w14:textId="693D7E5B" w:rsidR="00D62122" w:rsidRDefault="00A11807" w:rsidP="00D62122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right="-2"/>
        <w:jc w:val="both"/>
      </w:pPr>
      <w:r>
        <w:rPr>
          <w:rStyle w:val="tlid-translation"/>
        </w:rPr>
        <w:t xml:space="preserve">ak </w:t>
      </w:r>
      <w:r w:rsidR="002265B9">
        <w:rPr>
          <w:rStyle w:val="tlid-translation"/>
        </w:rPr>
        <w:t xml:space="preserve">sa vám </w:t>
      </w:r>
      <w:r>
        <w:rPr>
          <w:rStyle w:val="tlid-translation"/>
        </w:rPr>
        <w:t>upcháva</w:t>
      </w:r>
      <w:r w:rsidR="002265B9">
        <w:rPr>
          <w:rStyle w:val="tlid-translation"/>
        </w:rPr>
        <w:t xml:space="preserve">jú </w:t>
      </w:r>
      <w:r>
        <w:rPr>
          <w:rStyle w:val="tlid-translation"/>
        </w:rPr>
        <w:t>krvn</w:t>
      </w:r>
      <w:r w:rsidR="002265B9">
        <w:rPr>
          <w:rStyle w:val="tlid-translation"/>
        </w:rPr>
        <w:t>é</w:t>
      </w:r>
      <w:r>
        <w:rPr>
          <w:rStyle w:val="tlid-translation"/>
        </w:rPr>
        <w:t xml:space="preserve"> ciev</w:t>
      </w:r>
      <w:r w:rsidR="002265B9">
        <w:rPr>
          <w:rStyle w:val="tlid-translation"/>
        </w:rPr>
        <w:t>y</w:t>
      </w:r>
      <w:r>
        <w:rPr>
          <w:rStyle w:val="tlid-translation"/>
        </w:rPr>
        <w:t xml:space="preserve"> srdca (napr. </w:t>
      </w:r>
      <w:r w:rsidR="007774E4">
        <w:rPr>
          <w:rStyle w:val="tlid-translation"/>
        </w:rPr>
        <w:t>koronárn</w:t>
      </w:r>
      <w:r w:rsidR="00C31E51">
        <w:rPr>
          <w:rStyle w:val="tlid-translation"/>
        </w:rPr>
        <w:t>ou</w:t>
      </w:r>
      <w:r w:rsidR="007774E4">
        <w:rPr>
          <w:rStyle w:val="tlid-translation"/>
        </w:rPr>
        <w:t xml:space="preserve"> artéri</w:t>
      </w:r>
      <w:r w:rsidR="00C31E51">
        <w:rPr>
          <w:rStyle w:val="tlid-translation"/>
        </w:rPr>
        <w:t>ou</w:t>
      </w:r>
      <w:r>
        <w:rPr>
          <w:rStyle w:val="tlid-translation"/>
        </w:rPr>
        <w:t>)</w:t>
      </w:r>
    </w:p>
    <w:p w14:paraId="342E17B4" w14:textId="77777777" w:rsidR="00D62122" w:rsidRDefault="00D62122" w:rsidP="00D62122">
      <w:pPr>
        <w:tabs>
          <w:tab w:val="clear" w:pos="567"/>
        </w:tabs>
        <w:spacing w:line="240" w:lineRule="auto"/>
        <w:ind w:right="-2"/>
        <w:jc w:val="both"/>
        <w:rPr>
          <w:rStyle w:val="tlid-translation"/>
        </w:rPr>
      </w:pPr>
    </w:p>
    <w:p w14:paraId="675015BA" w14:textId="7101E3FC" w:rsidR="00D62122" w:rsidRDefault="00C433CF" w:rsidP="00D62122">
      <w:pPr>
        <w:tabs>
          <w:tab w:val="clear" w:pos="567"/>
        </w:tabs>
        <w:spacing w:line="240" w:lineRule="auto"/>
        <w:ind w:right="-2"/>
        <w:jc w:val="both"/>
        <w:rPr>
          <w:rStyle w:val="tlid-translation"/>
        </w:rPr>
      </w:pPr>
      <w:r>
        <w:rPr>
          <w:rStyle w:val="tlid-translation"/>
        </w:rPr>
        <w:t xml:space="preserve">Na </w:t>
      </w:r>
      <w:r w:rsidR="00A11807">
        <w:rPr>
          <w:rStyle w:val="tlid-translation"/>
        </w:rPr>
        <w:t>liečb</w:t>
      </w:r>
      <w:r>
        <w:rPr>
          <w:rStyle w:val="tlid-translation"/>
        </w:rPr>
        <w:t>u</w:t>
      </w:r>
      <w:r w:rsidR="00A11807">
        <w:rPr>
          <w:rStyle w:val="tlid-translation"/>
        </w:rPr>
        <w:t xml:space="preserve"> septického šoku môže byť liek Vardessin podáva</w:t>
      </w:r>
      <w:r w:rsidR="007774E4">
        <w:rPr>
          <w:rStyle w:val="tlid-translation"/>
        </w:rPr>
        <w:t>ný</w:t>
      </w:r>
      <w:r w:rsidR="00A11807">
        <w:rPr>
          <w:rStyle w:val="tlid-translation"/>
        </w:rPr>
        <w:t xml:space="preserve"> </w:t>
      </w:r>
      <w:r w:rsidR="007774E4">
        <w:rPr>
          <w:rStyle w:val="tlid-translation"/>
        </w:rPr>
        <w:t>len</w:t>
      </w:r>
      <w:r w:rsidR="00A11807">
        <w:rPr>
          <w:rStyle w:val="tlid-translation"/>
        </w:rPr>
        <w:t xml:space="preserve"> v prípade, že iné opatrenia (substitúcia tekut</w:t>
      </w:r>
      <w:r w:rsidR="007774E4">
        <w:rPr>
          <w:rStyle w:val="tlid-translation"/>
        </w:rPr>
        <w:t>inami</w:t>
      </w:r>
      <w:r w:rsidR="00A11807">
        <w:rPr>
          <w:rStyle w:val="tlid-translation"/>
        </w:rPr>
        <w:t xml:space="preserve"> a lieky na zvýšenie krvného tlaku nazývané katecholamíny) nefungujú.</w:t>
      </w:r>
    </w:p>
    <w:p w14:paraId="065E6966" w14:textId="77777777" w:rsidR="00D62122" w:rsidRDefault="00A11807" w:rsidP="00D62122">
      <w:pPr>
        <w:tabs>
          <w:tab w:val="clear" w:pos="567"/>
        </w:tabs>
        <w:spacing w:line="240" w:lineRule="auto"/>
        <w:ind w:right="-2"/>
        <w:jc w:val="both"/>
        <w:rPr>
          <w:rStyle w:val="tlid-translation"/>
        </w:rPr>
      </w:pPr>
      <w:r>
        <w:rPr>
          <w:rStyle w:val="tlid-translation"/>
        </w:rPr>
        <w:t xml:space="preserve">Počas liečby liekom Vardessin je nutné starostlivo sledovať </w:t>
      </w:r>
      <w:r w:rsidR="00492BA1">
        <w:rPr>
          <w:rStyle w:val="tlid-translation"/>
        </w:rPr>
        <w:t>V</w:t>
      </w:r>
      <w:r>
        <w:rPr>
          <w:rStyle w:val="tlid-translation"/>
        </w:rPr>
        <w:t>áš stav:</w:t>
      </w:r>
    </w:p>
    <w:p w14:paraId="6EFE25F3" w14:textId="77777777" w:rsidR="00D62122" w:rsidRDefault="00A11807" w:rsidP="00D62122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right="-2"/>
        <w:jc w:val="both"/>
      </w:pPr>
      <w:r>
        <w:rPr>
          <w:rStyle w:val="tlid-translation"/>
        </w:rPr>
        <w:t>možno budete potrebovať pravidelné krvné testy a elektrokardiogramový záznam;</w:t>
      </w:r>
    </w:p>
    <w:p w14:paraId="2702C873" w14:textId="7E854D30" w:rsidR="00D62122" w:rsidRDefault="00AB2924" w:rsidP="00D62122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right="-2"/>
        <w:jc w:val="both"/>
        <w:rPr>
          <w:rStyle w:val="tlid-translation"/>
        </w:rPr>
      </w:pPr>
      <w:r>
        <w:rPr>
          <w:rStyle w:val="tlid-translation"/>
        </w:rPr>
        <w:t>v</w:t>
      </w:r>
      <w:r w:rsidR="00A11807">
        <w:rPr>
          <w:rStyle w:val="tlid-translation"/>
        </w:rPr>
        <w:t xml:space="preserve">aša pokožka môže byť sledovaná kvôli nedostatočnému prietoku krvi (bledosť, </w:t>
      </w:r>
      <w:r>
        <w:rPr>
          <w:rStyle w:val="tlid-translation"/>
        </w:rPr>
        <w:t>chlad</w:t>
      </w:r>
      <w:r w:rsidR="00A11807">
        <w:rPr>
          <w:rStyle w:val="tlid-translation"/>
        </w:rPr>
        <w:t>, bolesť, nezvyčajné pocity);</w:t>
      </w:r>
    </w:p>
    <w:p w14:paraId="30D0B048" w14:textId="77777777" w:rsidR="00A354F1" w:rsidRDefault="00A11807" w:rsidP="00D62122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right="-2"/>
        <w:jc w:val="both"/>
        <w:rPr>
          <w:rStyle w:val="tlid-translation"/>
        </w:rPr>
      </w:pPr>
      <w:r>
        <w:rPr>
          <w:rStyle w:val="tlid-translation"/>
        </w:rPr>
        <w:t>môžete byť pozorovaní kvôli možnému zadržiavani</w:t>
      </w:r>
      <w:r w:rsidR="005E4F9A">
        <w:rPr>
          <w:rStyle w:val="tlid-translation"/>
        </w:rPr>
        <w:t>u</w:t>
      </w:r>
      <w:r>
        <w:rPr>
          <w:rStyle w:val="tlid-translation"/>
        </w:rPr>
        <w:t xml:space="preserve"> tekutín (malátnosť, ospalosť, bolesti hlavy a v závažných prípadoch - kóma a kŕče).</w:t>
      </w:r>
    </w:p>
    <w:p w14:paraId="51077F17" w14:textId="77777777" w:rsidR="00D62122" w:rsidRPr="00891D76" w:rsidRDefault="00D62122" w:rsidP="00D62122">
      <w:pPr>
        <w:tabs>
          <w:tab w:val="clear" w:pos="567"/>
        </w:tabs>
        <w:spacing w:line="240" w:lineRule="auto"/>
        <w:ind w:right="-2"/>
        <w:jc w:val="both"/>
      </w:pPr>
    </w:p>
    <w:p w14:paraId="27A37364" w14:textId="77777777" w:rsidR="00A354F1" w:rsidRPr="00A72672" w:rsidRDefault="00A354F1" w:rsidP="00D62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</w:rPr>
      </w:pPr>
      <w:r w:rsidRPr="0082445A">
        <w:rPr>
          <w:b/>
        </w:rPr>
        <w:t>Deti a</w:t>
      </w:r>
      <w:r>
        <w:rPr>
          <w:b/>
        </w:rPr>
        <w:t> </w:t>
      </w:r>
      <w:r w:rsidRPr="0082445A">
        <w:rPr>
          <w:b/>
        </w:rPr>
        <w:t>dospievajúci</w:t>
      </w:r>
    </w:p>
    <w:p w14:paraId="448E9B98" w14:textId="77777777" w:rsidR="00A354F1" w:rsidRDefault="007774E4" w:rsidP="00D62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t xml:space="preserve">Neodporúča sa používať </w:t>
      </w:r>
      <w:r w:rsidR="006A3D14" w:rsidRPr="006A3D14">
        <w:t>Vardessin u detí a mladistvých do 18 rokov.</w:t>
      </w:r>
    </w:p>
    <w:p w14:paraId="2DF3EF03" w14:textId="77777777" w:rsidR="006A3D14" w:rsidRPr="001960DE" w:rsidRDefault="006A3D14" w:rsidP="00D62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022502F0" w14:textId="77777777" w:rsidR="00A354F1" w:rsidRPr="0082445A" w:rsidRDefault="00A354F1" w:rsidP="00D62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 w:rsidRPr="00BF5AB0">
        <w:rPr>
          <w:b/>
        </w:rPr>
        <w:t xml:space="preserve">Iné lieky </w:t>
      </w:r>
      <w:r w:rsidRPr="00891D76">
        <w:rPr>
          <w:b/>
        </w:rPr>
        <w:t>a</w:t>
      </w:r>
      <w:r>
        <w:rPr>
          <w:b/>
        </w:rPr>
        <w:t> </w:t>
      </w:r>
      <w:r w:rsidR="0065395A">
        <w:rPr>
          <w:b/>
        </w:rPr>
        <w:t>Vardessin</w:t>
      </w:r>
    </w:p>
    <w:p w14:paraId="60EE512E" w14:textId="77777777" w:rsidR="00A354F1" w:rsidRPr="00891D76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 w:rsidRPr="00A72672">
        <w:t>Ak teraz používate alebo ste v</w:t>
      </w:r>
      <w:r>
        <w:t> </w:t>
      </w:r>
      <w:r w:rsidRPr="00BF5AB0">
        <w:t>poslednom čase používali, či práve budete používať</w:t>
      </w:r>
      <w:r w:rsidRPr="00085939">
        <w:t xml:space="preserve"> </w:t>
      </w:r>
      <w:r w:rsidRPr="00BF5AB0">
        <w:t>ďalšie lieky, povedzte to svojmu lekárovi</w:t>
      </w:r>
      <w:r w:rsidR="0065395A">
        <w:t xml:space="preserve"> </w:t>
      </w:r>
      <w:r w:rsidRPr="00BF5AB0">
        <w:t>alebo</w:t>
      </w:r>
      <w:r w:rsidR="0065395A">
        <w:t xml:space="preserve"> </w:t>
      </w:r>
      <w:r w:rsidRPr="00BF5AB0">
        <w:t>lekárnikovi.</w:t>
      </w:r>
    </w:p>
    <w:p w14:paraId="31AD410F" w14:textId="77777777" w:rsidR="00A354F1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</w:p>
    <w:p w14:paraId="5EA5A3C8" w14:textId="77777777" w:rsidR="003D1FA7" w:rsidRPr="0061201C" w:rsidRDefault="003D1FA7" w:rsidP="003D1F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</w:rPr>
      </w:pPr>
      <w:r w:rsidRPr="0061201C">
        <w:rPr>
          <w:b/>
          <w:bCs/>
        </w:rPr>
        <w:t>Nasledujúce informácie sú nesmierne dôležité, pretože niektoré lieky môžu posilniť alebo oslabiť účinky ostatných liekov.</w:t>
      </w:r>
    </w:p>
    <w:p w14:paraId="13890680" w14:textId="77777777" w:rsidR="003D1FA7" w:rsidRDefault="0032752F" w:rsidP="003D1F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>
        <w:rPr>
          <w:b/>
          <w:bCs/>
        </w:rPr>
        <w:t>I</w:t>
      </w:r>
      <w:r w:rsidR="003D1FA7" w:rsidRPr="0061201C">
        <w:rPr>
          <w:b/>
          <w:bCs/>
        </w:rPr>
        <w:t>nformujte svojho lekára</w:t>
      </w:r>
      <w:r>
        <w:rPr>
          <w:b/>
          <w:bCs/>
        </w:rPr>
        <w:t xml:space="preserve"> najmä</w:t>
      </w:r>
      <w:r w:rsidR="003D1FA7" w:rsidRPr="0061201C">
        <w:rPr>
          <w:b/>
          <w:bCs/>
        </w:rPr>
        <w:t xml:space="preserve"> ak užívate niektorý z nasledujúcich liekov:</w:t>
      </w:r>
    </w:p>
    <w:p w14:paraId="0ACB23FC" w14:textId="77777777" w:rsidR="003D1FA7" w:rsidRDefault="003D1FA7" w:rsidP="0061201C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</w:pPr>
      <w:r>
        <w:t xml:space="preserve">lieky vyvolávajúce syndróm neprimeranej </w:t>
      </w:r>
      <w:r w:rsidR="008B002F">
        <w:t xml:space="preserve">sekrécie </w:t>
      </w:r>
      <w:r>
        <w:t>antidiuretick</w:t>
      </w:r>
      <w:r w:rsidR="008B002F">
        <w:t xml:space="preserve">ého hormónu, </w:t>
      </w:r>
      <w:r>
        <w:t xml:space="preserve">napr. </w:t>
      </w:r>
      <w:r w:rsidR="00FA4BE9">
        <w:t>l</w:t>
      </w:r>
      <w:r>
        <w:t>ieky, ktoré kontrolujú záchvaty (karbamazepín</w:t>
      </w:r>
      <w:r w:rsidR="00FA4BE9">
        <w:t>,</w:t>
      </w:r>
      <w:r>
        <w:t xml:space="preserve"> felbamát)</w:t>
      </w:r>
    </w:p>
    <w:p w14:paraId="2E3038F7" w14:textId="77777777" w:rsidR="003D1FA7" w:rsidRDefault="003D1FA7" w:rsidP="0061201C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</w:pPr>
      <w:r>
        <w:t>iné lieky používané na liečbu cukrovky (chloropropamid)</w:t>
      </w:r>
    </w:p>
    <w:p w14:paraId="0B061AF9" w14:textId="5AEF23BF" w:rsidR="003D1FA7" w:rsidRDefault="00AB2924" w:rsidP="0061201C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</w:pPr>
      <w:r>
        <w:t xml:space="preserve">látky </w:t>
      </w:r>
      <w:r w:rsidR="003D1FA7">
        <w:t>znižujúce hladinu lipidov (klofibrát)</w:t>
      </w:r>
    </w:p>
    <w:p w14:paraId="044581A0" w14:textId="77777777" w:rsidR="003D1FA7" w:rsidRDefault="003D1FA7" w:rsidP="0061201C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</w:pPr>
      <w:r>
        <w:t xml:space="preserve">lieky používané na liečbu depresie (napr. </w:t>
      </w:r>
      <w:r w:rsidR="0021134A">
        <w:t>a</w:t>
      </w:r>
      <w:r>
        <w:t>mitriptylín, fluoxetín, paroxetín, sertralín, escitalopram, citalopram) alebo psychiatrick</w:t>
      </w:r>
      <w:r w:rsidR="0021134A">
        <w:t>ých</w:t>
      </w:r>
      <w:r>
        <w:t xml:space="preserve"> por</w:t>
      </w:r>
      <w:r w:rsidR="0021134A">
        <w:t>ú</w:t>
      </w:r>
      <w:r>
        <w:t>ch (haloperidol)</w:t>
      </w:r>
    </w:p>
    <w:p w14:paraId="798A8F51" w14:textId="77777777" w:rsidR="003D1FA7" w:rsidRDefault="0061201C" w:rsidP="0061201C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</w:pPr>
      <w:r>
        <w:t>l</w:t>
      </w:r>
      <w:r w:rsidR="003D1FA7">
        <w:t>ieky používané pri substitučnej terapii kortikosteroid</w:t>
      </w:r>
      <w:r w:rsidR="0021134A">
        <w:t>mi</w:t>
      </w:r>
      <w:r w:rsidR="003D1FA7">
        <w:t xml:space="preserve"> (</w:t>
      </w:r>
      <w:r w:rsidR="0021134A">
        <w:t>f</w:t>
      </w:r>
      <w:r w:rsidR="003D1FA7">
        <w:t>ludrokortizón)</w:t>
      </w:r>
    </w:p>
    <w:p w14:paraId="53A91F78" w14:textId="77777777" w:rsidR="0061201C" w:rsidRDefault="003D1FA7" w:rsidP="0061201C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</w:pPr>
      <w:r>
        <w:t>lieky obsahujúce močovinu (u niektorých prípravkov na kožu a na ucho)</w:t>
      </w:r>
    </w:p>
    <w:p w14:paraId="1A2920FA" w14:textId="77777777" w:rsidR="003D1FA7" w:rsidRDefault="003D1FA7" w:rsidP="0061201C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</w:pPr>
      <w:r>
        <w:t xml:space="preserve">lieky, pri ktorých je podozrenie, že spôsobujú diabetes insipidus, napr. </w:t>
      </w:r>
      <w:r w:rsidR="0021134A">
        <w:t>a</w:t>
      </w:r>
      <w:r>
        <w:t>ntibiotiká (demeklocyklin)</w:t>
      </w:r>
    </w:p>
    <w:p w14:paraId="36E2DD41" w14:textId="77777777" w:rsidR="003D1FA7" w:rsidRDefault="003D1FA7" w:rsidP="0061201C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</w:pPr>
      <w:r>
        <w:t>lieky používané na liečbu mánie (lítium) alebo iných psychiatrických porúch (klozapín)</w:t>
      </w:r>
    </w:p>
    <w:p w14:paraId="384ED690" w14:textId="77777777" w:rsidR="003D1FA7" w:rsidRDefault="003D1FA7" w:rsidP="0061201C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</w:pPr>
      <w:r>
        <w:t>lieky používané na liečbu infekcie HIV, cytomegalovírus</w:t>
      </w:r>
      <w:r w:rsidR="00C564F5">
        <w:t>ov</w:t>
      </w:r>
      <w:r>
        <w:t xml:space="preserve"> a herpetických vírusov (foscarnet)</w:t>
      </w:r>
    </w:p>
    <w:p w14:paraId="438A24E2" w14:textId="77777777" w:rsidR="003D1FA7" w:rsidRDefault="003D1FA7" w:rsidP="0061201C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</w:pPr>
      <w:r>
        <w:t>protizápalové lie</w:t>
      </w:r>
      <w:r w:rsidR="0021134A">
        <w:t>ky</w:t>
      </w:r>
      <w:r>
        <w:t xml:space="preserve"> (indometacín)</w:t>
      </w:r>
    </w:p>
    <w:p w14:paraId="25B5D263" w14:textId="77777777" w:rsidR="003D1FA7" w:rsidRDefault="003D1FA7" w:rsidP="0061201C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</w:pPr>
      <w:r>
        <w:t>slučkové diuretikum (furosemid), používané na liečbu retencie tekutín (edém) u ľudí s kongestívnym srdcovým zlyhaním, ochorením pečene alebo poruchou obličiek ako je nefrotický syndróm</w:t>
      </w:r>
    </w:p>
    <w:p w14:paraId="4B54E31A" w14:textId="77777777" w:rsidR="003D1FA7" w:rsidRDefault="003D1FA7" w:rsidP="0061201C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</w:pPr>
      <w:r>
        <w:t>gangliové blokátory používané na vyvolanie kontrolovanej hypotenzi</w:t>
      </w:r>
      <w:r w:rsidR="000A3726">
        <w:t>e</w:t>
      </w:r>
      <w:r>
        <w:t xml:space="preserve"> počas chirurgických zákrokov a pri hyperten</w:t>
      </w:r>
      <w:r w:rsidR="000A3726">
        <w:t>zných</w:t>
      </w:r>
      <w:r>
        <w:t xml:space="preserve"> kr</w:t>
      </w:r>
      <w:r w:rsidR="000A3726">
        <w:t>í</w:t>
      </w:r>
      <w:r>
        <w:t>zach</w:t>
      </w:r>
    </w:p>
    <w:p w14:paraId="12992CB2" w14:textId="77777777" w:rsidR="003D1FA7" w:rsidRDefault="003D1FA7" w:rsidP="0061201C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</w:pPr>
      <w:r>
        <w:t xml:space="preserve">iné lieky používané na liečbu nízkeho krvného tlaku alebo srdcovej zástavy zvané katecholamíny (napr. </w:t>
      </w:r>
      <w:r w:rsidR="0061201C">
        <w:t>n</w:t>
      </w:r>
      <w:r>
        <w:t>orepinefrín).</w:t>
      </w:r>
    </w:p>
    <w:p w14:paraId="195470BF" w14:textId="77777777" w:rsidR="003D1FA7" w:rsidRDefault="003D1FA7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</w:p>
    <w:p w14:paraId="57761F2F" w14:textId="77777777" w:rsidR="00A354F1" w:rsidRDefault="00C418D6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Cs/>
        </w:rPr>
      </w:pPr>
      <w:r>
        <w:rPr>
          <w:b/>
        </w:rPr>
        <w:t>Vardessin</w:t>
      </w:r>
      <w:r w:rsidR="00A354F1" w:rsidRPr="00A72672">
        <w:rPr>
          <w:b/>
        </w:rPr>
        <w:t xml:space="preserve"> a</w:t>
      </w:r>
      <w:r w:rsidR="00DB4584">
        <w:rPr>
          <w:b/>
        </w:rPr>
        <w:t> </w:t>
      </w:r>
      <w:r w:rsidR="00A354F1" w:rsidRPr="00BF5AB0">
        <w:rPr>
          <w:b/>
        </w:rPr>
        <w:t>alkohol</w:t>
      </w:r>
    </w:p>
    <w:p w14:paraId="69973912" w14:textId="77777777" w:rsidR="00DB4584" w:rsidRDefault="00DB4584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Cs/>
        </w:rPr>
      </w:pPr>
      <w:r>
        <w:rPr>
          <w:rStyle w:val="tlid-translation"/>
        </w:rPr>
        <w:t xml:space="preserve">Nepite alkohol pred použitím </w:t>
      </w:r>
      <w:r w:rsidR="000A3726">
        <w:rPr>
          <w:rStyle w:val="tlid-translation"/>
        </w:rPr>
        <w:t xml:space="preserve">lieku </w:t>
      </w:r>
      <w:r>
        <w:rPr>
          <w:rStyle w:val="tlid-translation"/>
        </w:rPr>
        <w:t xml:space="preserve">Vardessin. Alkohol môže </w:t>
      </w:r>
      <w:r w:rsidR="000A3726">
        <w:rPr>
          <w:rStyle w:val="tlid-translation"/>
        </w:rPr>
        <w:t xml:space="preserve">blokovať </w:t>
      </w:r>
      <w:r>
        <w:rPr>
          <w:rStyle w:val="tlid-translation"/>
        </w:rPr>
        <w:t>účinnosť lieku Vardessin.</w:t>
      </w:r>
    </w:p>
    <w:p w14:paraId="69755010" w14:textId="77777777" w:rsidR="00DB4584" w:rsidRPr="00DB4584" w:rsidRDefault="00DB4584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Cs/>
        </w:rPr>
      </w:pPr>
    </w:p>
    <w:p w14:paraId="548D5E90" w14:textId="77777777" w:rsidR="00A354F1" w:rsidRPr="00891D76" w:rsidRDefault="00A354F1" w:rsidP="00D62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</w:rPr>
      </w:pPr>
      <w:r w:rsidRPr="00A72672">
        <w:rPr>
          <w:b/>
        </w:rPr>
        <w:t>Tehotenstvo a</w:t>
      </w:r>
      <w:r w:rsidR="00DB4584">
        <w:rPr>
          <w:b/>
        </w:rPr>
        <w:t> </w:t>
      </w:r>
      <w:r w:rsidRPr="00BF5AB0">
        <w:rPr>
          <w:b/>
        </w:rPr>
        <w:t>dojčenie</w:t>
      </w:r>
      <w:r w:rsidR="00DB4584">
        <w:rPr>
          <w:b/>
        </w:rPr>
        <w:t xml:space="preserve"> </w:t>
      </w:r>
      <w:r w:rsidRPr="00BF5AB0">
        <w:rPr>
          <w:b/>
        </w:rPr>
        <w:t>a plodnosť</w:t>
      </w:r>
    </w:p>
    <w:p w14:paraId="4E71919A" w14:textId="77777777" w:rsidR="00A354F1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82445A">
        <w:t>Ak ste tehotná alebo dojčíte, ak si myslíte, že ste tehotná alebo ak plánujete otehotnieť, poraďte sa so</w:t>
      </w:r>
      <w:r>
        <w:t xml:space="preserve"> </w:t>
      </w:r>
      <w:r w:rsidRPr="00BF5AB0">
        <w:t>svojím lekárom</w:t>
      </w:r>
      <w:r w:rsidR="00A036D6">
        <w:t xml:space="preserve"> </w:t>
      </w:r>
      <w:r w:rsidRPr="00BF5AB0">
        <w:t>alebo</w:t>
      </w:r>
      <w:r w:rsidR="00A036D6">
        <w:t xml:space="preserve"> </w:t>
      </w:r>
      <w:r w:rsidRPr="00BF5AB0">
        <w:t>lekárnikom predtým, ako začnete užívať tento liek.</w:t>
      </w:r>
    </w:p>
    <w:p w14:paraId="75EBB23C" w14:textId="77777777" w:rsidR="001A2510" w:rsidRDefault="001A2510" w:rsidP="001A251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t>Použitie prípravku Vardessin počas tehotenstva a dojčenia sa neodporúča, iba ak by to lekár považoval za potrebné. Pokiaľ je nutné dojčenie, zlikvidujte materské mlieko po podaní Vardessinu po dobu 1,5 hodiny.</w:t>
      </w:r>
    </w:p>
    <w:p w14:paraId="6E219A36" w14:textId="77777777" w:rsidR="00A036D6" w:rsidRPr="00891D76" w:rsidRDefault="001A2510" w:rsidP="001A251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t>Tento liek v niekoľkých štúdiách na zvieratách zhoršil plodnosť</w:t>
      </w:r>
      <w:r w:rsidR="000A3726">
        <w:t xml:space="preserve"> samcov</w:t>
      </w:r>
      <w:r>
        <w:t>. Vplyv na ľudskú plodnosť nie je známy.</w:t>
      </w:r>
    </w:p>
    <w:p w14:paraId="1A25F18C" w14:textId="77777777" w:rsidR="00A354F1" w:rsidRPr="0082445A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3CB038F0" w14:textId="77777777" w:rsidR="00A354F1" w:rsidRPr="00A72672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</w:pPr>
      <w:r w:rsidRPr="00A72672">
        <w:rPr>
          <w:b/>
        </w:rPr>
        <w:lastRenderedPageBreak/>
        <w:t>Vedenie vozidiel a obsluha strojov</w:t>
      </w:r>
    </w:p>
    <w:p w14:paraId="4F85280D" w14:textId="233B333A" w:rsidR="00A354F1" w:rsidRDefault="0020330F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 w:rsidRPr="0020330F">
        <w:t xml:space="preserve">Liek </w:t>
      </w:r>
      <w:r w:rsidR="00777096">
        <w:t>Vardessin</w:t>
      </w:r>
      <w:r w:rsidRPr="0020330F">
        <w:t xml:space="preserve"> môže mať vplyv na schopnosť viesť a bezpečne obsluhovať st</w:t>
      </w:r>
      <w:r w:rsidR="00C64FE7">
        <w:t>r</w:t>
      </w:r>
      <w:r w:rsidRPr="0020330F">
        <w:t>oj</w:t>
      </w:r>
      <w:r w:rsidR="00C64FE7">
        <w:t>e</w:t>
      </w:r>
      <w:r w:rsidRPr="0020330F">
        <w:t>, pretože po podaní injekcie môžete cítiť závraty. Poraďte sa so svojím lekárom.</w:t>
      </w:r>
    </w:p>
    <w:p w14:paraId="425E64E5" w14:textId="77777777" w:rsidR="0020330F" w:rsidRDefault="0020330F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</w:p>
    <w:p w14:paraId="3A518DCB" w14:textId="77777777" w:rsidR="00C64FE7" w:rsidRPr="00A72672" w:rsidRDefault="00C64FE7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bookmarkStart w:id="0" w:name="_GoBack"/>
      <w:bookmarkEnd w:id="0"/>
    </w:p>
    <w:p w14:paraId="65B96E19" w14:textId="77777777" w:rsidR="00A354F1" w:rsidRPr="00891D76" w:rsidRDefault="00A354F1" w:rsidP="00D62122">
      <w:pPr>
        <w:keepNext/>
        <w:numPr>
          <w:ilvl w:val="0"/>
          <w:numId w:val="3"/>
        </w:numPr>
        <w:spacing w:line="240" w:lineRule="auto"/>
        <w:ind w:left="567" w:right="-2"/>
        <w:jc w:val="both"/>
        <w:rPr>
          <w:b/>
        </w:rPr>
      </w:pPr>
      <w:r w:rsidRPr="00BF5AB0">
        <w:rPr>
          <w:b/>
        </w:rPr>
        <w:t>Ako používať</w:t>
      </w:r>
      <w:r w:rsidR="00BB2464">
        <w:rPr>
          <w:b/>
        </w:rPr>
        <w:t xml:space="preserve"> Vardessin</w:t>
      </w:r>
    </w:p>
    <w:p w14:paraId="15C1AE9E" w14:textId="77777777" w:rsidR="00A354F1" w:rsidRPr="0082445A" w:rsidRDefault="00A354F1" w:rsidP="00D62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</w:p>
    <w:p w14:paraId="4254AEB4" w14:textId="3128ED92" w:rsidR="001C750F" w:rsidRDefault="001C750F" w:rsidP="001C750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t>Je veľmi pravdepodobné, ž</w:t>
      </w:r>
      <w:r w:rsidR="000A3726">
        <w:t>e keď</w:t>
      </w:r>
      <w:r>
        <w:t xml:space="preserve"> Vám bude prípravok Vardessin aplikovaný</w:t>
      </w:r>
      <w:r w:rsidR="000A3726">
        <w:t xml:space="preserve">, </w:t>
      </w:r>
      <w:r w:rsidR="000A3726" w:rsidRPr="000A3726">
        <w:t>budete hospitalizovan</w:t>
      </w:r>
      <w:r w:rsidR="00C64FE7">
        <w:t>ý</w:t>
      </w:r>
      <w:r w:rsidR="000A3726" w:rsidRPr="000A3726">
        <w:t xml:space="preserve"> v nemocnici</w:t>
      </w:r>
      <w:r>
        <w:t>.</w:t>
      </w:r>
    </w:p>
    <w:p w14:paraId="45BEF7EC" w14:textId="77777777" w:rsidR="001C750F" w:rsidRDefault="001C750F" w:rsidP="001C750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4A39EBFB" w14:textId="77777777" w:rsidR="001C750F" w:rsidRDefault="001C750F" w:rsidP="001C750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0A3726">
        <w:rPr>
          <w:i/>
          <w:iCs/>
        </w:rPr>
        <w:t xml:space="preserve">Liečba diabetes insipidus: </w:t>
      </w:r>
      <w:r>
        <w:t>Tento liek Vám bude podávaný pomocou injekcie pod kožu alebo priamo do svalu každé štyri hodiny. Váš lekár rozhodne o najvhodnejšej dávke a ceste podania v závislosti na vašich príznakoch.</w:t>
      </w:r>
    </w:p>
    <w:p w14:paraId="2B1ECE75" w14:textId="77777777" w:rsidR="001C750F" w:rsidRDefault="001C750F" w:rsidP="001C750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57E322EA" w14:textId="0A2EC80B" w:rsidR="00A354F1" w:rsidRDefault="001C750F" w:rsidP="001C750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0A3726">
        <w:rPr>
          <w:i/>
          <w:iCs/>
        </w:rPr>
        <w:t>Liečba krvácanie z pažeráka:</w:t>
      </w:r>
      <w:r>
        <w:t xml:space="preserve"> Tento liek </w:t>
      </w:r>
      <w:r w:rsidR="00001913">
        <w:t xml:space="preserve">je riedený </w:t>
      </w:r>
      <w:r w:rsidR="009D192F">
        <w:t xml:space="preserve">v roztoku </w:t>
      </w:r>
      <w:r w:rsidR="00001913">
        <w:t xml:space="preserve">cukru a </w:t>
      </w:r>
      <w:r>
        <w:t xml:space="preserve">pomaly kvapká ihlou do žily. </w:t>
      </w:r>
      <w:bookmarkStart w:id="1" w:name="_Hlk31683217"/>
      <w:r>
        <w:t>Váš lekár rozhodne o najvhodnejšej dávke a ceste podania v závislosti na vašich príznakoch.</w:t>
      </w:r>
    </w:p>
    <w:bookmarkEnd w:id="1"/>
    <w:p w14:paraId="3FBF3EA1" w14:textId="77777777" w:rsidR="00E7671A" w:rsidRDefault="00E7671A" w:rsidP="001C750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26D2753D" w14:textId="3FBD04D8" w:rsidR="00E7671A" w:rsidRDefault="00E7671A" w:rsidP="00E7671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E7671A">
        <w:rPr>
          <w:i/>
          <w:iCs/>
        </w:rPr>
        <w:t>Liečba septického šoku:</w:t>
      </w:r>
      <w:r>
        <w:t xml:space="preserve"> Tento liek je podávaný ako dlhodobá infúzia riedená v roztoku cukru alebo </w:t>
      </w:r>
      <w:r w:rsidR="009D192F">
        <w:t xml:space="preserve">vo </w:t>
      </w:r>
      <w:r>
        <w:t>fyzi</w:t>
      </w:r>
      <w:r w:rsidR="005034A6">
        <w:t>o</w:t>
      </w:r>
      <w:r>
        <w:t>l</w:t>
      </w:r>
      <w:r w:rsidR="005034A6">
        <w:t>o</w:t>
      </w:r>
      <w:r>
        <w:t>gick</w:t>
      </w:r>
      <w:r w:rsidR="005034A6">
        <w:t>o</w:t>
      </w:r>
      <w:r>
        <w:t xml:space="preserve">m roztoku a pomaly kvapká ihlou do žily. </w:t>
      </w:r>
      <w:r w:rsidRPr="00E7671A">
        <w:rPr>
          <w:i/>
          <w:iCs/>
        </w:rPr>
        <w:t xml:space="preserve"> </w:t>
      </w:r>
      <w:r>
        <w:t xml:space="preserve">Váš lekár rozhodne o najvhodnejšej dávke a ceste podania v závislosti na </w:t>
      </w:r>
      <w:r w:rsidR="00C64FE7">
        <w:t>v</w:t>
      </w:r>
      <w:r>
        <w:t>ašich príznakoch.</w:t>
      </w:r>
    </w:p>
    <w:p w14:paraId="72E87B53" w14:textId="77777777" w:rsidR="00A354F1" w:rsidRPr="00A72672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</w:p>
    <w:p w14:paraId="5BD01B02" w14:textId="77777777" w:rsidR="00A354F1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Cs/>
        </w:rPr>
      </w:pPr>
      <w:r w:rsidRPr="00A72672">
        <w:rPr>
          <w:b/>
        </w:rPr>
        <w:t xml:space="preserve">Ak použijete viac </w:t>
      </w:r>
      <w:r w:rsidR="001C750F">
        <w:rPr>
          <w:b/>
        </w:rPr>
        <w:t>Vardessinu</w:t>
      </w:r>
      <w:r w:rsidRPr="00A72672">
        <w:rPr>
          <w:b/>
        </w:rPr>
        <w:t>, ako máte</w:t>
      </w:r>
    </w:p>
    <w:p w14:paraId="59A8FF4E" w14:textId="516FAACF" w:rsidR="00D43371" w:rsidRPr="00D43371" w:rsidRDefault="00D43371" w:rsidP="00D433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Cs/>
        </w:rPr>
      </w:pPr>
      <w:r w:rsidRPr="00D43371">
        <w:rPr>
          <w:bCs/>
        </w:rPr>
        <w:t>Tento injekč</w:t>
      </w:r>
      <w:r w:rsidR="00483798">
        <w:rPr>
          <w:bCs/>
        </w:rPr>
        <w:t>ný</w:t>
      </w:r>
      <w:r w:rsidRPr="00D43371">
        <w:rPr>
          <w:bCs/>
        </w:rPr>
        <w:t xml:space="preserve"> liek bude podávať lekár, preto je nepravdepodobné, že </w:t>
      </w:r>
      <w:r w:rsidR="00C64FE7">
        <w:rPr>
          <w:bCs/>
        </w:rPr>
        <w:t>v</w:t>
      </w:r>
      <w:r w:rsidRPr="00D43371">
        <w:rPr>
          <w:bCs/>
        </w:rPr>
        <w:t>ám bude podané viac</w:t>
      </w:r>
      <w:r w:rsidR="000F55F3">
        <w:rPr>
          <w:bCs/>
        </w:rPr>
        <w:t xml:space="preserve"> lieku</w:t>
      </w:r>
      <w:r w:rsidRPr="00D43371">
        <w:rPr>
          <w:bCs/>
        </w:rPr>
        <w:t>, než je nevyhnutné. Ak si však myslíte, že vám bolo podané príliš veľa</w:t>
      </w:r>
      <w:r w:rsidR="000F55F3">
        <w:rPr>
          <w:bCs/>
        </w:rPr>
        <w:t xml:space="preserve"> lieku</w:t>
      </w:r>
      <w:r w:rsidRPr="00D43371">
        <w:rPr>
          <w:bCs/>
        </w:rPr>
        <w:t>, bezodkladne informujte svoj</w:t>
      </w:r>
      <w:r w:rsidR="000F55F3">
        <w:rPr>
          <w:bCs/>
        </w:rPr>
        <w:t>ho</w:t>
      </w:r>
      <w:r w:rsidRPr="00D43371">
        <w:rPr>
          <w:bCs/>
        </w:rPr>
        <w:t xml:space="preserve"> lekár</w:t>
      </w:r>
      <w:r w:rsidR="001E705B">
        <w:rPr>
          <w:bCs/>
        </w:rPr>
        <w:t>a</w:t>
      </w:r>
      <w:r w:rsidRPr="00D43371">
        <w:rPr>
          <w:bCs/>
        </w:rPr>
        <w:t>. Ak po podaní tohto lieku zaznamenáte bolesť na hrudníku, informujte o tom ihneď svojho lekára.</w:t>
      </w:r>
    </w:p>
    <w:p w14:paraId="43573C89" w14:textId="77777777" w:rsidR="00D43371" w:rsidRPr="00D43371" w:rsidRDefault="00D43371" w:rsidP="00D433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Cs/>
        </w:rPr>
      </w:pPr>
      <w:r w:rsidRPr="00D43371">
        <w:rPr>
          <w:bCs/>
        </w:rPr>
        <w:t>Ak máte akékoľvek ďalšie otázky týkajúce sa použitia tohto lieku, opýtajte sa svojho lekára.</w:t>
      </w:r>
    </w:p>
    <w:p w14:paraId="04BA2E83" w14:textId="77777777" w:rsidR="00A354F1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759709CA" w14:textId="77777777" w:rsidR="00C64FE7" w:rsidRPr="00A72672" w:rsidRDefault="00C64FE7" w:rsidP="00D6212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3E5F7F0C" w14:textId="77777777" w:rsidR="00A354F1" w:rsidRPr="00891D76" w:rsidRDefault="00A354F1" w:rsidP="00D62122">
      <w:pPr>
        <w:keepNext/>
        <w:numPr>
          <w:ilvl w:val="0"/>
          <w:numId w:val="3"/>
        </w:numPr>
        <w:spacing w:line="240" w:lineRule="auto"/>
        <w:ind w:left="567" w:right="-2"/>
        <w:jc w:val="both"/>
      </w:pPr>
      <w:r w:rsidRPr="00BF5AB0">
        <w:rPr>
          <w:b/>
        </w:rPr>
        <w:t>Možné vedľajšie účinky</w:t>
      </w:r>
    </w:p>
    <w:p w14:paraId="7099C227" w14:textId="77777777" w:rsidR="00A354F1" w:rsidRPr="0082445A" w:rsidRDefault="00A354F1" w:rsidP="00D62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55BA475B" w14:textId="77777777" w:rsidR="00A354F1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</w:pPr>
      <w:r w:rsidRPr="00A72672">
        <w:t>Tak ako všetky lieky, aj tento liek môže spôsobovať vedľajšie účinky, hoci sa neprejavia u</w:t>
      </w:r>
      <w:r>
        <w:t> </w:t>
      </w:r>
      <w:r w:rsidRPr="00BF5AB0">
        <w:t>každého.</w:t>
      </w:r>
    </w:p>
    <w:p w14:paraId="66504B31" w14:textId="77777777" w:rsidR="00D04169" w:rsidRPr="00891D76" w:rsidRDefault="00D04169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</w:pPr>
    </w:p>
    <w:p w14:paraId="31618E8A" w14:textId="43F8A6F5" w:rsidR="00DC7886" w:rsidRDefault="00DC7886" w:rsidP="00DC78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>
        <w:t xml:space="preserve">Všetky lieky môžu vyvolať alergickú reakciu. Pokiaľ </w:t>
      </w:r>
      <w:r w:rsidR="00D04169">
        <w:t xml:space="preserve">sa objaví </w:t>
      </w:r>
      <w:r>
        <w:t>náhl</w:t>
      </w:r>
      <w:r w:rsidR="00D04169">
        <w:t>y</w:t>
      </w:r>
      <w:r>
        <w:t xml:space="preserve"> sipot, ťažkosti s dýchaním, opuch očných viečok, tváre alebo pier, vyrážka alebo svrben</w:t>
      </w:r>
      <w:r w:rsidR="00D04169">
        <w:t>ie</w:t>
      </w:r>
      <w:r>
        <w:t xml:space="preserve"> (</w:t>
      </w:r>
      <w:r w:rsidR="00D04169">
        <w:t>postihujúce</w:t>
      </w:r>
      <w:r>
        <w:t xml:space="preserve"> celé </w:t>
      </w:r>
      <w:r w:rsidR="00C64FE7">
        <w:t>v</w:t>
      </w:r>
      <w:r>
        <w:t>aše telo), okamžite kontaktujte lekára, pretože ak ne</w:t>
      </w:r>
      <w:r w:rsidR="00D04169">
        <w:t>dôjde k okamžitej liečbe</w:t>
      </w:r>
      <w:r>
        <w:t>, môže to viesť k infarktu.</w:t>
      </w:r>
    </w:p>
    <w:p w14:paraId="06A601A7" w14:textId="1FA2F0D1" w:rsidR="00DC7886" w:rsidRDefault="00DC7886" w:rsidP="00DC78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>
        <w:t xml:space="preserve">Vardessin môže spôsobiť "intoxikáciu vodou". </w:t>
      </w:r>
      <w:r w:rsidR="00C64FE7">
        <w:t xml:space="preserve">Prejavy </w:t>
      </w:r>
      <w:r>
        <w:t xml:space="preserve">tohto stavu sú ospalosť, nezáujem o nič (ľahostajnosť) a bolesti hlavy. Ak spozorujete niektorý z týchto príznakov, ihneď to oznámte zdravotnej sestre alebo </w:t>
      </w:r>
      <w:r w:rsidR="00C64FE7">
        <w:t xml:space="preserve">vášmu </w:t>
      </w:r>
      <w:r>
        <w:t xml:space="preserve">lekárovi. Ak </w:t>
      </w:r>
      <w:r w:rsidR="0067699F">
        <w:t>nedôjde k náprave stavu</w:t>
      </w:r>
      <w:r>
        <w:t>, intoxikácia vodou môže viesť k záchvatu alebo dokonca kóm</w:t>
      </w:r>
      <w:r w:rsidR="0067699F">
        <w:t>e</w:t>
      </w:r>
      <w:r>
        <w:t>.</w:t>
      </w:r>
    </w:p>
    <w:p w14:paraId="299A1C04" w14:textId="77777777" w:rsidR="00DC7886" w:rsidRDefault="00DC7886" w:rsidP="00DC78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</w:p>
    <w:p w14:paraId="18318FB6" w14:textId="77777777" w:rsidR="00DC7886" w:rsidRDefault="00DC7886" w:rsidP="00DC78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>
        <w:t>Frekvencia nasledujúcich nežiaducich reakcií nie je známa (nedá sa odhadnúť z dostupných údajov). Môže Vás postihnúť ktorýkoľvek z nasledujúce vedľajších účinkov:</w:t>
      </w:r>
    </w:p>
    <w:p w14:paraId="4062ECD1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nízka hladina sodíka v krvi (hyponatriémia)</w:t>
      </w:r>
    </w:p>
    <w:p w14:paraId="2E23F481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nadmerné množstvo vody v tele (intoxikácia vodou)</w:t>
      </w:r>
    </w:p>
    <w:p w14:paraId="3467C5E4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stav zníženej perfúzie tkanív, čo má za následok nedostatočné dodávanie kyslíka a živín, ktoré sú nevyhnutné pre bunkovú funkciu (hemoragický šok)</w:t>
      </w:r>
    </w:p>
    <w:p w14:paraId="0C1F8B2E" w14:textId="77777777" w:rsidR="00DC7886" w:rsidRDefault="00C449A5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zníženie</w:t>
      </w:r>
      <w:r w:rsidR="00DC7886">
        <w:t xml:space="preserve"> poč</w:t>
      </w:r>
      <w:r>
        <w:t xml:space="preserve">tu </w:t>
      </w:r>
      <w:r w:rsidR="00DC7886">
        <w:t>krvných doštičiek</w:t>
      </w:r>
    </w:p>
    <w:p w14:paraId="312B24E6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nekontrolované krvácanie</w:t>
      </w:r>
    </w:p>
    <w:p w14:paraId="5F336671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alergické/anafylaktické reakcie (vrátane šoku) sa môžu objaviť u citlivých pacientov.</w:t>
      </w:r>
    </w:p>
    <w:p w14:paraId="51EDE38D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bolesť hlavy</w:t>
      </w:r>
    </w:p>
    <w:p w14:paraId="2E3F84A5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závrat</w:t>
      </w:r>
    </w:p>
    <w:p w14:paraId="55D08169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bolesť na hrudníku v dôsledku angíny pectoris</w:t>
      </w:r>
    </w:p>
    <w:p w14:paraId="3B018052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znížená funkcia srdca (zástava srdca)</w:t>
      </w:r>
    </w:p>
    <w:p w14:paraId="43A4A833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zlyhanie srdca</w:t>
      </w:r>
    </w:p>
    <w:p w14:paraId="1ED58146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nepravidelný a rýchly srdcový rytmus (fibrilácia predsiení)</w:t>
      </w:r>
    </w:p>
    <w:p w14:paraId="7FCD1E9C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lastRenderedPageBreak/>
        <w:t>pomalý srdcový rytmus (bradykardia)</w:t>
      </w:r>
    </w:p>
    <w:p w14:paraId="7B1C521C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obmedzený prietok krvi v srdcových tkanivách (ischémia myokardu)</w:t>
      </w:r>
    </w:p>
    <w:p w14:paraId="0886FDBA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bledosť</w:t>
      </w:r>
    </w:p>
    <w:p w14:paraId="3DC07E4B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obmedzen</w:t>
      </w:r>
      <w:r w:rsidR="00136D80">
        <w:t>é</w:t>
      </w:r>
      <w:r>
        <w:t xml:space="preserve"> pr</w:t>
      </w:r>
      <w:r w:rsidR="00C449A5">
        <w:t>ekrvenie</w:t>
      </w:r>
      <w:r>
        <w:t xml:space="preserve"> v končatinách (periférn</w:t>
      </w:r>
      <w:r w:rsidR="00C449A5">
        <w:t>a</w:t>
      </w:r>
      <w:r>
        <w:t xml:space="preserve"> cievn</w:t>
      </w:r>
      <w:r w:rsidR="00C449A5">
        <w:t>a</w:t>
      </w:r>
      <w:r>
        <w:t xml:space="preserve"> ischémia), vrátane odumreti</w:t>
      </w:r>
      <w:r w:rsidR="00C449A5">
        <w:t>a</w:t>
      </w:r>
      <w:r>
        <w:t xml:space="preserve"> tkaniva (gangréna) v jednotlivých prípadoch</w:t>
      </w:r>
    </w:p>
    <w:p w14:paraId="1CB9E627" w14:textId="77777777" w:rsidR="00400D4E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dýchavičnosť</w:t>
      </w:r>
    </w:p>
    <w:p w14:paraId="22BF3705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plynatosť</w:t>
      </w:r>
    </w:p>
    <w:p w14:paraId="1CAE6DEC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nevoľnosť</w:t>
      </w:r>
    </w:p>
    <w:p w14:paraId="6ABBA590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vracanie</w:t>
      </w:r>
    </w:p>
    <w:p w14:paraId="3BCB734F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hnačka</w:t>
      </w:r>
    </w:p>
    <w:p w14:paraId="07136A0E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bolesť brucha</w:t>
      </w:r>
    </w:p>
    <w:p w14:paraId="0ED85216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n</w:t>
      </w:r>
      <w:r w:rsidR="00C449A5">
        <w:t>utkanie</w:t>
      </w:r>
      <w:r>
        <w:t xml:space="preserve"> k vyprázdňovaniu</w:t>
      </w:r>
    </w:p>
    <w:p w14:paraId="1BD1D5E9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nedostatočný prísun krvi do tenkého čreva (mezenterická ischémia)</w:t>
      </w:r>
    </w:p>
    <w:p w14:paraId="5C07FCCC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zvýšené hladiny bilirubínu v krvi</w:t>
      </w:r>
    </w:p>
    <w:p w14:paraId="3979FDF2" w14:textId="77777777" w:rsidR="00DC7886" w:rsidRDefault="00C449A5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odumretie</w:t>
      </w:r>
      <w:r w:rsidR="00DC7886">
        <w:t xml:space="preserve"> tkaniva (gangréna)</w:t>
      </w:r>
    </w:p>
    <w:p w14:paraId="180FEC9B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nadmerné potenie</w:t>
      </w:r>
    </w:p>
    <w:p w14:paraId="35F4B8EC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žihľavka</w:t>
      </w:r>
    </w:p>
    <w:p w14:paraId="0866FB92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lézie spôsobené blokádou prekrveni</w:t>
      </w:r>
      <w:r w:rsidR="00C449A5">
        <w:t>a</w:t>
      </w:r>
      <w:r>
        <w:t xml:space="preserve"> (ischemické lézie)</w:t>
      </w:r>
    </w:p>
    <w:p w14:paraId="71CDCE9A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opuch (zadržiavanie tekutín)</w:t>
      </w:r>
    </w:p>
    <w:p w14:paraId="7F7BDD7B" w14:textId="77777777" w:rsidR="00DC7886" w:rsidRDefault="00DC7886" w:rsidP="00400D4E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jc w:val="both"/>
      </w:pPr>
      <w:r>
        <w:t>akútna nedostatočnosť obličiek</w:t>
      </w:r>
    </w:p>
    <w:p w14:paraId="4DECBB7B" w14:textId="77777777" w:rsidR="00DC7886" w:rsidRDefault="00DC7886" w:rsidP="00DC78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</w:p>
    <w:p w14:paraId="0DE14B02" w14:textId="77777777" w:rsidR="00A354F1" w:rsidRDefault="00DC7886" w:rsidP="00DC78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>
        <w:t>Ak sa vyskytne ktorýkoľvek z týchto vedľajších účinkov, okamžite ukončite liečbu a kontaktujte svojho lekára.</w:t>
      </w:r>
    </w:p>
    <w:p w14:paraId="17073FBB" w14:textId="77777777" w:rsidR="00DC7886" w:rsidRPr="001960DE" w:rsidRDefault="00DC7886" w:rsidP="00DC78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rFonts w:ascii="TimesNewRoman" w:hAnsi="TimesNewRoman"/>
        </w:rPr>
      </w:pPr>
    </w:p>
    <w:p w14:paraId="0C249EA9" w14:textId="77777777" w:rsidR="00A354F1" w:rsidRPr="00853C5F" w:rsidRDefault="00A354F1" w:rsidP="00D62122">
      <w:pPr>
        <w:keepNext/>
        <w:numPr>
          <w:ilvl w:val="12"/>
          <w:numId w:val="0"/>
        </w:numPr>
        <w:spacing w:line="240" w:lineRule="auto"/>
        <w:jc w:val="both"/>
        <w:outlineLvl w:val="0"/>
        <w:rPr>
          <w:b/>
        </w:rPr>
      </w:pPr>
      <w:r w:rsidRPr="00BF5AB0">
        <w:rPr>
          <w:b/>
        </w:rPr>
        <w:t>Hlásenie vedľajších účinkov</w:t>
      </w:r>
    </w:p>
    <w:p w14:paraId="73E775EF" w14:textId="77777777" w:rsidR="00DC7886" w:rsidRDefault="00A354F1" w:rsidP="00D62122">
      <w:pPr>
        <w:pStyle w:val="BodytextAgency"/>
        <w:spacing w:after="0" w:line="240" w:lineRule="auto"/>
        <w:jc w:val="both"/>
        <w:rPr>
          <w:rFonts w:ascii="Times New Roman" w:hAnsi="Times New Roman"/>
          <w:sz w:val="22"/>
        </w:rPr>
      </w:pPr>
      <w:r w:rsidRPr="00085939">
        <w:rPr>
          <w:rFonts w:ascii="Times New Roman" w:hAnsi="Times New Roman"/>
          <w:sz w:val="22"/>
        </w:rPr>
        <w:t>Ak sa u</w:t>
      </w:r>
      <w:r>
        <w:rPr>
          <w:rFonts w:ascii="Times New Roman" w:hAnsi="Times New Roman"/>
          <w:noProof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vás vyskytne akýkoľvek vedľajší účinok, obráťte sa na svojho lekára,</w:t>
      </w:r>
      <w:r w:rsidR="0068034D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lekárnika</w:t>
      </w:r>
      <w:r w:rsidR="002411BE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alebo zdravotnú sestru.</w:t>
      </w:r>
      <w:r w:rsidRPr="00085939">
        <w:rPr>
          <w:rFonts w:ascii="Times New Roman" w:hAnsi="Times New Roman"/>
          <w:color w:val="FF0000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To sa týka aj akýchkoľvek vedľajších účinkov, ktoré nie sú uvedené v</w:t>
      </w:r>
      <w:r>
        <w:rPr>
          <w:rFonts w:ascii="Times New Roman" w:hAnsi="Times New Roman"/>
          <w:noProof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tejto písomnej informácii.</w:t>
      </w:r>
      <w:r w:rsidRPr="00BF5AB0">
        <w:t xml:space="preserve"> </w:t>
      </w:r>
      <w:r w:rsidRPr="00085939">
        <w:rPr>
          <w:rFonts w:ascii="Times New Roman" w:hAnsi="Times New Roman"/>
          <w:sz w:val="22"/>
        </w:rPr>
        <w:t>Vedľajšie účinky môžete hlásiť aj priamo</w:t>
      </w:r>
      <w:r>
        <w:rPr>
          <w:rFonts w:ascii="Times New Roman" w:hAnsi="Times New Roman"/>
          <w:sz w:val="22"/>
        </w:rPr>
        <w:t xml:space="preserve"> na</w:t>
      </w:r>
      <w:r w:rsidRPr="00085939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  <w:highlight w:val="lightGray"/>
        </w:rPr>
        <w:t>národn</w:t>
      </w:r>
      <w:r>
        <w:rPr>
          <w:rFonts w:ascii="Times New Roman" w:hAnsi="Times New Roman"/>
          <w:sz w:val="22"/>
          <w:highlight w:val="lightGray"/>
        </w:rPr>
        <w:t>é</w:t>
      </w:r>
      <w:r w:rsidRPr="00085939">
        <w:rPr>
          <w:rFonts w:ascii="Times New Roman" w:hAnsi="Times New Roman"/>
          <w:sz w:val="22"/>
          <w:highlight w:val="lightGray"/>
        </w:rPr>
        <w:t xml:space="preserve"> </w:t>
      </w:r>
      <w:r>
        <w:rPr>
          <w:rFonts w:ascii="Times New Roman" w:hAnsi="Times New Roman"/>
          <w:sz w:val="22"/>
          <w:highlight w:val="lightGray"/>
        </w:rPr>
        <w:t>centrum</w:t>
      </w:r>
      <w:r w:rsidRPr="00085939">
        <w:rPr>
          <w:rFonts w:ascii="Times New Roman" w:hAnsi="Times New Roman"/>
          <w:sz w:val="22"/>
          <w:highlight w:val="lightGray"/>
        </w:rPr>
        <w:t xml:space="preserve"> hlásenia uvedené v </w:t>
      </w:r>
      <w:hyperlink r:id="rId7" w:history="1">
        <w:r w:rsidRPr="00B328C1">
          <w:rPr>
            <w:rStyle w:val="Hypertextovprepojenie1"/>
            <w:rFonts w:ascii="Times New Roman" w:hAnsi="Times New Roman"/>
            <w:sz w:val="22"/>
            <w:highlight w:val="lightGray"/>
          </w:rPr>
          <w:t>Prílohe V</w:t>
        </w:r>
      </w:hyperlink>
      <w:r w:rsidRPr="00085939">
        <w:rPr>
          <w:rFonts w:ascii="Times New Roman" w:hAnsi="Times New Roman"/>
          <w:sz w:val="22"/>
        </w:rPr>
        <w:t xml:space="preserve">. </w:t>
      </w:r>
    </w:p>
    <w:p w14:paraId="11A4490A" w14:textId="77777777" w:rsidR="00A354F1" w:rsidRPr="00085939" w:rsidRDefault="00A354F1" w:rsidP="00D62122">
      <w:pPr>
        <w:pStyle w:val="BodytextAgency"/>
        <w:spacing w:after="0" w:line="240" w:lineRule="auto"/>
        <w:jc w:val="both"/>
        <w:rPr>
          <w:rFonts w:ascii="Times New Roman" w:hAnsi="Times New Roman"/>
          <w:sz w:val="22"/>
        </w:rPr>
      </w:pPr>
      <w:r w:rsidRPr="00085939">
        <w:rPr>
          <w:rFonts w:ascii="Times New Roman" w:hAnsi="Times New Roman"/>
          <w:sz w:val="22"/>
        </w:rPr>
        <w:t>Hlásením vedľajších účinkov môžete prispieť k získaniu ďalších informácií o bezpečnosti tohto lieku.</w:t>
      </w:r>
    </w:p>
    <w:p w14:paraId="6692B7CF" w14:textId="77777777" w:rsidR="00A354F1" w:rsidRDefault="00A354F1" w:rsidP="00D62122">
      <w:pPr>
        <w:autoSpaceDE w:val="0"/>
        <w:autoSpaceDN w:val="0"/>
        <w:adjustRightInd w:val="0"/>
        <w:spacing w:line="240" w:lineRule="auto"/>
        <w:jc w:val="both"/>
      </w:pPr>
    </w:p>
    <w:p w14:paraId="25A25C5D" w14:textId="77777777" w:rsidR="00C64FE7" w:rsidRPr="00891D76" w:rsidRDefault="00C64FE7" w:rsidP="00D62122">
      <w:pPr>
        <w:autoSpaceDE w:val="0"/>
        <w:autoSpaceDN w:val="0"/>
        <w:adjustRightInd w:val="0"/>
        <w:spacing w:line="240" w:lineRule="auto"/>
        <w:jc w:val="both"/>
      </w:pPr>
    </w:p>
    <w:p w14:paraId="60BE1F4B" w14:textId="77777777" w:rsidR="00A354F1" w:rsidRPr="00891D76" w:rsidRDefault="00A354F1" w:rsidP="00D62122">
      <w:pPr>
        <w:keepNext/>
        <w:numPr>
          <w:ilvl w:val="0"/>
          <w:numId w:val="3"/>
        </w:numPr>
        <w:spacing w:line="240" w:lineRule="auto"/>
        <w:ind w:left="567" w:right="-2"/>
        <w:jc w:val="both"/>
        <w:rPr>
          <w:b/>
        </w:rPr>
      </w:pPr>
      <w:r w:rsidRPr="00BF5AB0">
        <w:rPr>
          <w:b/>
        </w:rPr>
        <w:t xml:space="preserve">Ako uchovávať </w:t>
      </w:r>
      <w:r w:rsidR="00400D4E">
        <w:rPr>
          <w:b/>
        </w:rPr>
        <w:t>Vardessin</w:t>
      </w:r>
    </w:p>
    <w:p w14:paraId="78C37355" w14:textId="77777777" w:rsidR="00A354F1" w:rsidRPr="0082445A" w:rsidRDefault="00A354F1" w:rsidP="00D62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</w:p>
    <w:p w14:paraId="7D2C8414" w14:textId="77777777" w:rsidR="00A354F1" w:rsidRPr="00A72672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 w:rsidRPr="00A72672">
        <w:t>Tento liek uchovávajte mimo dohľadu a dosahu detí.</w:t>
      </w:r>
    </w:p>
    <w:p w14:paraId="2FD3EB61" w14:textId="77777777" w:rsidR="00A354F1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</w:p>
    <w:p w14:paraId="6FF9A24E" w14:textId="48FD4403" w:rsidR="007C7952" w:rsidRDefault="007C7952" w:rsidP="007C795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>
        <w:t xml:space="preserve">Neotvorené: Uchovávajte v chladničke (2 ° C-8 ° C). </w:t>
      </w:r>
      <w:r w:rsidR="00C64FE7">
        <w:t>Neuchovávajte v mrazničke</w:t>
      </w:r>
      <w:r>
        <w:t>.</w:t>
      </w:r>
    </w:p>
    <w:p w14:paraId="56D481C5" w14:textId="77777777" w:rsidR="007C7952" w:rsidRDefault="007C7952" w:rsidP="007C795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</w:p>
    <w:p w14:paraId="31835116" w14:textId="6F8C2E6C" w:rsidR="007C7952" w:rsidRDefault="007C7952" w:rsidP="007C795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>
        <w:t xml:space="preserve">Po prvom otvorení: </w:t>
      </w:r>
      <w:r w:rsidR="000E62E1">
        <w:t>okamžite</w:t>
      </w:r>
      <w:r w:rsidR="00C64FE7">
        <w:t xml:space="preserve"> narieďte</w:t>
      </w:r>
      <w:r>
        <w:t>.</w:t>
      </w:r>
    </w:p>
    <w:p w14:paraId="15CA8FC3" w14:textId="77777777" w:rsidR="00C64FE7" w:rsidRDefault="00C64FE7" w:rsidP="00C64FE7">
      <w:pPr>
        <w:spacing w:line="240" w:lineRule="auto"/>
        <w:jc w:val="both"/>
      </w:pPr>
      <w:r>
        <w:t>Po zriedení 20 IU (1 ml) Vardessinu v 100 ml 5% glukózy: na okamžité použitie.</w:t>
      </w:r>
    </w:p>
    <w:p w14:paraId="0CED2199" w14:textId="77777777" w:rsidR="007C7952" w:rsidRDefault="007C7952" w:rsidP="007C795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>
        <w:t xml:space="preserve">Po zriedení </w:t>
      </w:r>
      <w:r w:rsidR="005F5CE0">
        <w:t xml:space="preserve">s </w:t>
      </w:r>
      <w:r>
        <w:t>0,9% chloridom sodným alebo 5% glukózou na 0,1 jednotk</w:t>
      </w:r>
      <w:r w:rsidR="000E62E1">
        <w:t>u</w:t>
      </w:r>
      <w:r>
        <w:t>/ ml alebo 1 jednotku/ml:</w:t>
      </w:r>
    </w:p>
    <w:p w14:paraId="002EA973" w14:textId="77777777" w:rsidR="007C7952" w:rsidRDefault="007C7952" w:rsidP="007C795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>
        <w:t xml:space="preserve">Chemická a fyzikálna stabilita po </w:t>
      </w:r>
      <w:r w:rsidR="000E62E1">
        <w:t>nariedení</w:t>
      </w:r>
      <w:r>
        <w:t xml:space="preserve"> bola preukázaná počas 18 hodín pri izbovej teplote alebo 24 hodín pri 2 ° C-8 ° C.</w:t>
      </w:r>
    </w:p>
    <w:p w14:paraId="19276377" w14:textId="77777777" w:rsidR="007C7952" w:rsidRDefault="007C7952" w:rsidP="007C795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>
        <w:t>Z mikrobiologického hľadiska sa má liek použiť okamžite. Ak sa nepoužije okamžite, za čas a podmienky uchovávania pred použitím zodpovedá používateľ a za normálnych okolností by nemal byť dlhší ako 24 hodín pri 2 až 8 ° C, pokiaľ k riedeni</w:t>
      </w:r>
      <w:r w:rsidR="000E62E1">
        <w:t>u</w:t>
      </w:r>
      <w:r>
        <w:t xml:space="preserve"> nedošlo za kontrolovaných a</w:t>
      </w:r>
      <w:r w:rsidR="000E62E1">
        <w:t xml:space="preserve"> validovaných </w:t>
      </w:r>
      <w:r>
        <w:t>aseptických podmienok.</w:t>
      </w:r>
    </w:p>
    <w:p w14:paraId="171F9909" w14:textId="77777777" w:rsidR="007C7952" w:rsidRDefault="007C7952" w:rsidP="007C795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</w:p>
    <w:p w14:paraId="323EB715" w14:textId="77777777" w:rsidR="00A354F1" w:rsidRPr="00BF5AB0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 w:rsidRPr="00BF5AB0">
        <w:t>Nepoužívajte tento liek po dátume exspi</w:t>
      </w:r>
      <w:r w:rsidRPr="00891D76">
        <w:t>rácie, kt</w:t>
      </w:r>
      <w:r w:rsidRPr="0082445A">
        <w:t>orý je uvedený na škatuľke</w:t>
      </w:r>
      <w:r w:rsidR="007C7952">
        <w:t xml:space="preserve"> </w:t>
      </w:r>
      <w:r w:rsidRPr="0082445A">
        <w:t>po</w:t>
      </w:r>
      <w:r>
        <w:t xml:space="preserve"> </w:t>
      </w:r>
      <w:r w:rsidR="007C7952">
        <w:t xml:space="preserve">EXP. </w:t>
      </w:r>
      <w:r w:rsidRPr="00BF5AB0">
        <w:t>Dátum exspirácie sa vzťahuje na</w:t>
      </w:r>
      <w:r>
        <w:t xml:space="preserve"> </w:t>
      </w:r>
      <w:r w:rsidRPr="00BF5AB0">
        <w:t>posledný deň v</w:t>
      </w:r>
      <w:r>
        <w:t> </w:t>
      </w:r>
      <w:r w:rsidRPr="00BF5AB0">
        <w:t>danom mesiaci</w:t>
      </w:r>
      <w:r>
        <w:t>.</w:t>
      </w:r>
    </w:p>
    <w:p w14:paraId="2B02713C" w14:textId="77777777" w:rsidR="00A354F1" w:rsidRPr="00891D76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</w:p>
    <w:p w14:paraId="17BED73A" w14:textId="77777777" w:rsidR="00A354F1" w:rsidRPr="00A72672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 w:rsidRPr="00A72672">
        <w:t xml:space="preserve">Nelikvidujte lieky odpadovou vodou alebo domovým odpadom. </w:t>
      </w:r>
      <w:r w:rsidR="000E62E1">
        <w:t xml:space="preserve">Spýtajte sa svojho lekárnika, ako likvidovať liek, ktorý už nepoužívate. </w:t>
      </w:r>
      <w:r w:rsidRPr="00A72672">
        <w:t>Tieto opatrenia pomôžu chrániť životné prostredie.</w:t>
      </w:r>
    </w:p>
    <w:p w14:paraId="0F538A0A" w14:textId="77777777" w:rsidR="00A354F1" w:rsidRPr="00A72672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</w:p>
    <w:p w14:paraId="12E35D6E" w14:textId="77777777" w:rsidR="00A354F1" w:rsidRPr="00891D76" w:rsidRDefault="00A354F1" w:rsidP="00D62122">
      <w:pPr>
        <w:keepNext/>
        <w:numPr>
          <w:ilvl w:val="0"/>
          <w:numId w:val="3"/>
        </w:numPr>
        <w:spacing w:line="240" w:lineRule="auto"/>
        <w:ind w:left="567" w:right="-2"/>
        <w:jc w:val="both"/>
        <w:rPr>
          <w:b/>
        </w:rPr>
      </w:pPr>
      <w:r w:rsidRPr="00BF5AB0">
        <w:rPr>
          <w:b/>
        </w:rPr>
        <w:lastRenderedPageBreak/>
        <w:t>Obsah balenia a ďalšie informácie</w:t>
      </w:r>
    </w:p>
    <w:p w14:paraId="3783F67D" w14:textId="77777777" w:rsidR="00A354F1" w:rsidRPr="0082445A" w:rsidRDefault="00A354F1" w:rsidP="00D62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5C93F5B8" w14:textId="77777777" w:rsidR="00A354F1" w:rsidRPr="00085939" w:rsidRDefault="00A354F1" w:rsidP="00D62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</w:rPr>
      </w:pPr>
      <w:r w:rsidRPr="00A72672">
        <w:rPr>
          <w:b/>
        </w:rPr>
        <w:t xml:space="preserve">Čo </w:t>
      </w:r>
      <w:r w:rsidR="000931AD">
        <w:rPr>
          <w:b/>
        </w:rPr>
        <w:t>Vardessin</w:t>
      </w:r>
      <w:r w:rsidRPr="00A72672">
        <w:rPr>
          <w:b/>
        </w:rPr>
        <w:t xml:space="preserve"> obsahuje</w:t>
      </w:r>
    </w:p>
    <w:p w14:paraId="33468BA8" w14:textId="7BE7E00F" w:rsidR="00A354F1" w:rsidRPr="00BF5AB0" w:rsidRDefault="00A354F1" w:rsidP="00D62122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jc w:val="both"/>
        <w:rPr>
          <w:i/>
        </w:rPr>
      </w:pPr>
      <w:r w:rsidRPr="00BF5AB0">
        <w:t xml:space="preserve">Liečivo je </w:t>
      </w:r>
      <w:r w:rsidR="009C6EC5">
        <w:t>argipres</w:t>
      </w:r>
      <w:r w:rsidR="005F5CE0">
        <w:t>í</w:t>
      </w:r>
      <w:r w:rsidR="009C6EC5">
        <w:t>n.</w:t>
      </w:r>
      <w:r w:rsidR="00E35CDA">
        <w:t xml:space="preserve"> Jedna ampul</w:t>
      </w:r>
      <w:r w:rsidR="009D192F">
        <w:t>k</w:t>
      </w:r>
      <w:r w:rsidR="00E35CDA">
        <w:t>a s 1 ml roztoku obsahuje 20 IU argipres</w:t>
      </w:r>
      <w:r w:rsidR="005F5CE0">
        <w:t>í</w:t>
      </w:r>
      <w:r w:rsidR="00E35CDA">
        <w:t>nu (ako acetát).</w:t>
      </w:r>
    </w:p>
    <w:p w14:paraId="34687084" w14:textId="098B9730" w:rsidR="00A354F1" w:rsidRPr="00BF5AB0" w:rsidRDefault="00A354F1" w:rsidP="00D62122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jc w:val="both"/>
      </w:pPr>
      <w:r w:rsidRPr="00891D76">
        <w:t>Ďalšie pomocné látky</w:t>
      </w:r>
      <w:r w:rsidR="009C6EC5">
        <w:t xml:space="preserve"> </w:t>
      </w:r>
      <w:r w:rsidRPr="00891D76">
        <w:t>sú</w:t>
      </w:r>
      <w:r w:rsidR="009C6EC5">
        <w:t xml:space="preserve"> kyselina octová, voda pre </w:t>
      </w:r>
      <w:r w:rsidR="005F5CE0">
        <w:t>injekcie</w:t>
      </w:r>
      <w:r w:rsidR="009C6EC5">
        <w:t>.</w:t>
      </w:r>
    </w:p>
    <w:p w14:paraId="25B1528B" w14:textId="77777777" w:rsidR="00A354F1" w:rsidRPr="00891D76" w:rsidRDefault="00A354F1" w:rsidP="00D62122">
      <w:pPr>
        <w:tabs>
          <w:tab w:val="clear" w:pos="567"/>
        </w:tabs>
        <w:spacing w:line="240" w:lineRule="auto"/>
        <w:ind w:right="-2"/>
        <w:jc w:val="both"/>
      </w:pPr>
    </w:p>
    <w:p w14:paraId="1EB86921" w14:textId="77777777" w:rsidR="00A354F1" w:rsidRPr="00891D76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</w:rPr>
      </w:pPr>
      <w:r w:rsidRPr="0082445A">
        <w:rPr>
          <w:b/>
        </w:rPr>
        <w:t xml:space="preserve">Ako vyzerá </w:t>
      </w:r>
      <w:r w:rsidR="008877E2">
        <w:rPr>
          <w:b/>
        </w:rPr>
        <w:t>Vardessin</w:t>
      </w:r>
      <w:r w:rsidRPr="0082445A">
        <w:rPr>
          <w:b/>
        </w:rPr>
        <w:t xml:space="preserve"> a</w:t>
      </w:r>
      <w:r>
        <w:rPr>
          <w:b/>
        </w:rPr>
        <w:t> </w:t>
      </w:r>
      <w:r w:rsidRPr="00BF5AB0">
        <w:rPr>
          <w:b/>
        </w:rPr>
        <w:t>obsah balenia</w:t>
      </w:r>
    </w:p>
    <w:p w14:paraId="23A5C72B" w14:textId="77777777" w:rsidR="00893CEA" w:rsidRDefault="00893CEA" w:rsidP="00893CE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29D68E98" w14:textId="4B33CA1A" w:rsidR="00893CEA" w:rsidRDefault="00893CEA" w:rsidP="00893CE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t xml:space="preserve">Číra, bezfarebná </w:t>
      </w:r>
      <w:r w:rsidR="008D1D74">
        <w:t xml:space="preserve">kvapalina </w:t>
      </w:r>
      <w:r>
        <w:t>bez viditeľných častíc.</w:t>
      </w:r>
    </w:p>
    <w:p w14:paraId="27292C1F" w14:textId="77777777" w:rsidR="00893CEA" w:rsidRDefault="00893CEA" w:rsidP="00893CE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718E5F00" w14:textId="77777777" w:rsidR="00893CEA" w:rsidRDefault="00893CEA" w:rsidP="00893CE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t>Každá ampulka obsahuje 1 ml roztoku. V krabičke je 10 ampuliek.</w:t>
      </w:r>
    </w:p>
    <w:p w14:paraId="7DDF769C" w14:textId="77777777" w:rsidR="00893CEA" w:rsidRDefault="00893CEA" w:rsidP="00893CE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37C95704" w14:textId="77777777" w:rsidR="00114CE8" w:rsidRPr="0082445A" w:rsidRDefault="00114CE8" w:rsidP="00893CE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421C1350" w14:textId="77777777" w:rsidR="00A354F1" w:rsidRPr="00E22BC2" w:rsidRDefault="00A354F1" w:rsidP="00D62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</w:rPr>
      </w:pPr>
      <w:r w:rsidRPr="00E22BC2">
        <w:rPr>
          <w:b/>
        </w:rPr>
        <w:t>Držiteľ rozhodnutia o registrácii a výrobca</w:t>
      </w:r>
    </w:p>
    <w:p w14:paraId="4A1DC7B8" w14:textId="77777777" w:rsidR="00114CE8" w:rsidRPr="00E22BC2" w:rsidRDefault="00114CE8" w:rsidP="00114CE8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  <w:r w:rsidRPr="00E22BC2">
        <w:rPr>
          <w:lang w:val="sk-SK"/>
        </w:rPr>
        <w:t>ARDEZ Pharma, spol. s r.o.</w:t>
      </w:r>
    </w:p>
    <w:p w14:paraId="7383A7A5" w14:textId="77777777" w:rsidR="00114CE8" w:rsidRPr="00E22BC2" w:rsidRDefault="00114CE8" w:rsidP="00114CE8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  <w:r w:rsidRPr="00E22BC2">
        <w:rPr>
          <w:lang w:val="sk-SK"/>
        </w:rPr>
        <w:t>V Borovičkách 278</w:t>
      </w:r>
    </w:p>
    <w:p w14:paraId="1CC361ED" w14:textId="77777777" w:rsidR="00114CE8" w:rsidRPr="00E22BC2" w:rsidRDefault="00114CE8" w:rsidP="00114CE8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  <w:r w:rsidRPr="00E22BC2">
        <w:rPr>
          <w:lang w:val="sk-SK"/>
        </w:rPr>
        <w:t>252 26 Kosoř</w:t>
      </w:r>
    </w:p>
    <w:p w14:paraId="0E9073AD" w14:textId="77777777" w:rsidR="00114CE8" w:rsidRPr="00E22BC2" w:rsidRDefault="00114CE8" w:rsidP="00114CE8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  <w:r w:rsidRPr="00E22BC2">
        <w:rPr>
          <w:lang w:val="sk-SK"/>
        </w:rPr>
        <w:t>Česká republika</w:t>
      </w:r>
    </w:p>
    <w:p w14:paraId="56B27EA0" w14:textId="77777777" w:rsidR="00114CE8" w:rsidRPr="00E22BC2" w:rsidRDefault="00114CE8" w:rsidP="00114CE8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18B0A49B" w14:textId="77777777" w:rsidR="00114CE8" w:rsidRPr="00E22BC2" w:rsidRDefault="00114CE8" w:rsidP="00114CE8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lang w:val="sk-SK"/>
        </w:rPr>
      </w:pPr>
      <w:r w:rsidRPr="00E22BC2">
        <w:rPr>
          <w:b/>
          <w:bCs/>
          <w:lang w:val="sk-SK"/>
        </w:rPr>
        <w:t>Výrobca</w:t>
      </w:r>
    </w:p>
    <w:p w14:paraId="4BA7980A" w14:textId="77777777" w:rsidR="00114CE8" w:rsidRPr="00E22BC2" w:rsidRDefault="00114CE8" w:rsidP="00114CE8">
      <w:pPr>
        <w:pStyle w:val="Normln1"/>
        <w:numPr>
          <w:ilvl w:val="12"/>
          <w:numId w:val="0"/>
        </w:numPr>
        <w:ind w:right="-2"/>
        <w:jc w:val="both"/>
        <w:rPr>
          <w:noProof/>
          <w:szCs w:val="22"/>
          <w:lang w:val="sk-SK"/>
        </w:rPr>
      </w:pPr>
      <w:r w:rsidRPr="00E22BC2">
        <w:rPr>
          <w:noProof/>
          <w:szCs w:val="22"/>
          <w:lang w:val="sk-SK"/>
        </w:rPr>
        <w:t>Pharmazet Group s.r.o.</w:t>
      </w:r>
    </w:p>
    <w:p w14:paraId="77808747" w14:textId="77777777" w:rsidR="00114CE8" w:rsidRPr="00E22BC2" w:rsidRDefault="00114CE8" w:rsidP="00114CE8">
      <w:pPr>
        <w:pStyle w:val="Normln1"/>
        <w:numPr>
          <w:ilvl w:val="12"/>
          <w:numId w:val="0"/>
        </w:numPr>
        <w:ind w:right="-2"/>
        <w:jc w:val="both"/>
        <w:rPr>
          <w:noProof/>
          <w:szCs w:val="22"/>
          <w:lang w:val="sk-SK"/>
        </w:rPr>
      </w:pPr>
      <w:r w:rsidRPr="00E22BC2">
        <w:rPr>
          <w:noProof/>
          <w:szCs w:val="22"/>
          <w:lang w:val="sk-SK"/>
        </w:rPr>
        <w:t>Třtinová 260/1</w:t>
      </w:r>
    </w:p>
    <w:p w14:paraId="18D2B238" w14:textId="77777777" w:rsidR="00114CE8" w:rsidRPr="00E22BC2" w:rsidRDefault="00114CE8" w:rsidP="00114CE8">
      <w:pPr>
        <w:pStyle w:val="Normln1"/>
        <w:numPr>
          <w:ilvl w:val="12"/>
          <w:numId w:val="0"/>
        </w:numPr>
        <w:ind w:right="-2"/>
        <w:jc w:val="both"/>
        <w:rPr>
          <w:noProof/>
          <w:szCs w:val="22"/>
          <w:lang w:val="sk-SK"/>
        </w:rPr>
      </w:pPr>
      <w:r w:rsidRPr="00E22BC2">
        <w:rPr>
          <w:noProof/>
          <w:szCs w:val="22"/>
          <w:lang w:val="sk-SK"/>
        </w:rPr>
        <w:t>196 00 Praha 9</w:t>
      </w:r>
    </w:p>
    <w:p w14:paraId="660BD8E5" w14:textId="77777777" w:rsidR="00A354F1" w:rsidRPr="00E22BC2" w:rsidRDefault="00114CE8" w:rsidP="00114C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 w:rsidRPr="00E22BC2">
        <w:rPr>
          <w:noProof/>
          <w:szCs w:val="22"/>
        </w:rPr>
        <w:t>Česká republika</w:t>
      </w:r>
    </w:p>
    <w:p w14:paraId="6F8CBF20" w14:textId="77777777" w:rsidR="00A354F1" w:rsidRPr="00A72672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</w:p>
    <w:p w14:paraId="058D2B16" w14:textId="77777777" w:rsidR="00E22BC2" w:rsidRDefault="00E22BC2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</w:rPr>
      </w:pPr>
      <w:r w:rsidRPr="0011334A">
        <w:rPr>
          <w:b/>
          <w:szCs w:val="22"/>
        </w:rPr>
        <w:t>Liek je schválený v členských štátoch Európskeho hospodárskeho priestoru (EHP) pod nasledovnými názvami:</w:t>
      </w:r>
    </w:p>
    <w:p w14:paraId="13BA933B" w14:textId="77777777" w:rsidR="00E22BC2" w:rsidRDefault="00E22BC2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Cs/>
          <w:szCs w:val="22"/>
        </w:rPr>
      </w:pPr>
    </w:p>
    <w:p w14:paraId="77AF06A9" w14:textId="77777777" w:rsidR="00E22BC2" w:rsidRDefault="00E22BC2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Cs/>
          <w:szCs w:val="22"/>
        </w:rPr>
      </w:pPr>
      <w:r>
        <w:rPr>
          <w:bCs/>
          <w:szCs w:val="22"/>
        </w:rPr>
        <w:t>Česká republika</w:t>
      </w:r>
      <w:r>
        <w:rPr>
          <w:bCs/>
          <w:szCs w:val="22"/>
        </w:rPr>
        <w:tab/>
      </w:r>
      <w:r>
        <w:rPr>
          <w:bCs/>
          <w:szCs w:val="22"/>
        </w:rPr>
        <w:tab/>
        <w:t>Vardessin</w:t>
      </w:r>
    </w:p>
    <w:p w14:paraId="109F857F" w14:textId="77777777" w:rsidR="00E22BC2" w:rsidRPr="00E22BC2" w:rsidRDefault="00E22BC2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Cs/>
          <w:szCs w:val="22"/>
        </w:rPr>
      </w:pPr>
      <w:r>
        <w:rPr>
          <w:bCs/>
          <w:szCs w:val="22"/>
        </w:rPr>
        <w:t>Slovenská republika</w:t>
      </w:r>
      <w:r>
        <w:rPr>
          <w:bCs/>
          <w:szCs w:val="22"/>
        </w:rPr>
        <w:tab/>
      </w:r>
      <w:r>
        <w:rPr>
          <w:bCs/>
          <w:szCs w:val="22"/>
        </w:rPr>
        <w:tab/>
        <w:t>Vardessin</w:t>
      </w:r>
    </w:p>
    <w:p w14:paraId="52D1159A" w14:textId="77777777" w:rsidR="00E22BC2" w:rsidRPr="00E22BC2" w:rsidRDefault="00E22BC2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Cs/>
          <w:szCs w:val="22"/>
        </w:rPr>
      </w:pPr>
    </w:p>
    <w:p w14:paraId="3A36A530" w14:textId="6D243EBA" w:rsidR="00A354F1" w:rsidRPr="00085939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</w:pPr>
      <w:r w:rsidRPr="00BF5AB0">
        <w:rPr>
          <w:b/>
        </w:rPr>
        <w:t>Táto písomná informácia bola naposledy aktualizovaná v</w:t>
      </w:r>
      <w:r w:rsidR="005F5CE0">
        <w:rPr>
          <w:b/>
          <w:noProof/>
        </w:rPr>
        <w:t> apríli 2020.</w:t>
      </w:r>
    </w:p>
    <w:p w14:paraId="5D6C0005" w14:textId="77777777" w:rsidR="00A354F1" w:rsidRPr="00BF5AB0" w:rsidRDefault="00A354F1" w:rsidP="00D62122">
      <w:pPr>
        <w:numPr>
          <w:ilvl w:val="12"/>
          <w:numId w:val="0"/>
        </w:numPr>
        <w:spacing w:line="240" w:lineRule="auto"/>
        <w:ind w:right="-2"/>
        <w:jc w:val="both"/>
      </w:pPr>
    </w:p>
    <w:p w14:paraId="1349BB00" w14:textId="77777777" w:rsidR="00A354F1" w:rsidRPr="00A72672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 w:rsidRPr="0082445A">
        <w:t>------------------------------------------------------------------------------------------------------------------------</w:t>
      </w:r>
    </w:p>
    <w:p w14:paraId="0E97BA28" w14:textId="77777777" w:rsidR="00A354F1" w:rsidRPr="00A72672" w:rsidRDefault="00A354F1" w:rsidP="00D62122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jc w:val="both"/>
      </w:pPr>
    </w:p>
    <w:p w14:paraId="6DCD4B1F" w14:textId="77777777" w:rsidR="00A354F1" w:rsidRPr="008972DF" w:rsidRDefault="00A354F1" w:rsidP="00D6212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jc w:val="both"/>
        <w:rPr>
          <w:b/>
          <w:bCs/>
          <w:i/>
        </w:rPr>
      </w:pPr>
      <w:r w:rsidRPr="008972DF">
        <w:rPr>
          <w:b/>
          <w:bCs/>
        </w:rPr>
        <w:t>Nasledujúca informácia je určená len pre zdravotníckych pracovníkov:</w:t>
      </w:r>
    </w:p>
    <w:p w14:paraId="77C7E61C" w14:textId="77777777" w:rsidR="00A354F1" w:rsidRPr="00BF5AB0" w:rsidRDefault="00A354F1" w:rsidP="00D6212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4AD3B822" w14:textId="77777777" w:rsidR="008972DF" w:rsidRPr="008972DF" w:rsidRDefault="008972DF" w:rsidP="008972DF">
      <w:pPr>
        <w:jc w:val="both"/>
        <w:rPr>
          <w:i/>
          <w:iCs/>
        </w:rPr>
      </w:pPr>
      <w:r w:rsidRPr="008972DF">
        <w:rPr>
          <w:i/>
          <w:iCs/>
        </w:rPr>
        <w:t>Dávkovanie:</w:t>
      </w:r>
    </w:p>
    <w:p w14:paraId="374BC2D9" w14:textId="77777777" w:rsidR="008972DF" w:rsidRDefault="008972DF" w:rsidP="008972DF">
      <w:pPr>
        <w:jc w:val="both"/>
      </w:pPr>
    </w:p>
    <w:p w14:paraId="707ED825" w14:textId="77777777" w:rsidR="008972DF" w:rsidRDefault="008972DF" w:rsidP="008972DF">
      <w:pPr>
        <w:jc w:val="both"/>
      </w:pPr>
      <w:r>
        <w:t>Prípravok Vardessin 20 IU/ml injekčný roztok sa musí pred intravenóznym podaním</w:t>
      </w:r>
      <w:r w:rsidR="00E35CDA">
        <w:t xml:space="preserve"> zriediť</w:t>
      </w:r>
      <w:r>
        <w:t xml:space="preserve">. </w:t>
      </w:r>
      <w:r w:rsidR="00E35CDA">
        <w:t>Na</w:t>
      </w:r>
      <w:r>
        <w:t xml:space="preserve"> liečbu krvácani</w:t>
      </w:r>
      <w:r w:rsidR="00E35CDA">
        <w:t>a</w:t>
      </w:r>
      <w:r>
        <w:t xml:space="preserve"> z pažerákových varixov zrieďte 20 IU (1 ml) prípravku Vardessin v 100 ml 5% roztoku glukózy.</w:t>
      </w:r>
    </w:p>
    <w:p w14:paraId="4D36F110" w14:textId="3F7D8CEC" w:rsidR="008972DF" w:rsidRDefault="008972DF" w:rsidP="008972DF">
      <w:pPr>
        <w:jc w:val="both"/>
      </w:pPr>
      <w:r>
        <w:t>Na liečbu septického šoku zrieďte prípravok Vardessin</w:t>
      </w:r>
      <w:r w:rsidR="005F5CE0">
        <w:t xml:space="preserve"> </w:t>
      </w:r>
      <w:r w:rsidR="00C83290">
        <w:t>v</w:t>
      </w:r>
      <w:r w:rsidR="005F5CE0">
        <w:t xml:space="preserve"> </w:t>
      </w:r>
      <w:r>
        <w:t xml:space="preserve"> 0,9% </w:t>
      </w:r>
      <w:r w:rsidR="00C83290">
        <w:t xml:space="preserve">roztoku </w:t>
      </w:r>
      <w:r>
        <w:t xml:space="preserve">chloridu sodného alebo </w:t>
      </w:r>
      <w:r w:rsidR="00C83290">
        <w:t xml:space="preserve">v </w:t>
      </w:r>
      <w:r>
        <w:t xml:space="preserve">5% </w:t>
      </w:r>
      <w:r w:rsidR="00C83290">
        <w:t xml:space="preserve">roztoku </w:t>
      </w:r>
      <w:r>
        <w:t>glukózy (objem rozpúšťadla závisí od stavu tekutín pacienta):</w:t>
      </w:r>
    </w:p>
    <w:p w14:paraId="4FCAC2C3" w14:textId="1F66FB1B" w:rsidR="008972DF" w:rsidRDefault="008972DF" w:rsidP="008972DF">
      <w:pPr>
        <w:pStyle w:val="Odsekzoznamu"/>
        <w:numPr>
          <w:ilvl w:val="0"/>
          <w:numId w:val="10"/>
        </w:numPr>
        <w:tabs>
          <w:tab w:val="clear" w:pos="567"/>
        </w:tabs>
        <w:jc w:val="both"/>
      </w:pPr>
      <w:r>
        <w:t xml:space="preserve">pacient </w:t>
      </w:r>
      <w:r w:rsidR="0059094D">
        <w:t>bez reštrikcie</w:t>
      </w:r>
      <w:r>
        <w:t xml:space="preserve"> tekutín - </w:t>
      </w:r>
      <w:r w:rsidR="00C83290">
        <w:t xml:space="preserve"> na </w:t>
      </w:r>
      <w:r>
        <w:t>0,1 IU/ml (zmiešajte 50 IU [2,5 ml] Vardessinu s 500 ml rozpúšťadla);</w:t>
      </w:r>
    </w:p>
    <w:p w14:paraId="309E8569" w14:textId="6337FB17" w:rsidR="008972DF" w:rsidRDefault="008972DF" w:rsidP="008972DF">
      <w:pPr>
        <w:pStyle w:val="Odsekzoznamu"/>
        <w:numPr>
          <w:ilvl w:val="0"/>
          <w:numId w:val="10"/>
        </w:numPr>
        <w:tabs>
          <w:tab w:val="clear" w:pos="567"/>
        </w:tabs>
        <w:jc w:val="both"/>
      </w:pPr>
      <w:r>
        <w:t xml:space="preserve">pacient </w:t>
      </w:r>
      <w:r w:rsidR="0059094D">
        <w:t>s reštrikciou</w:t>
      </w:r>
      <w:r>
        <w:t xml:space="preserve"> tekutín -</w:t>
      </w:r>
      <w:r w:rsidR="00C83290">
        <w:t xml:space="preserve"> na</w:t>
      </w:r>
      <w:r>
        <w:t xml:space="preserve"> 1 IU/ml (zmiešajte 100 IU [5 ml] Vardessinu so 100 ml rozpúšťadla).</w:t>
      </w:r>
    </w:p>
    <w:p w14:paraId="4C70ED6D" w14:textId="77777777" w:rsidR="008972DF" w:rsidRDefault="008972DF" w:rsidP="008972DF">
      <w:pPr>
        <w:jc w:val="both"/>
      </w:pPr>
    </w:p>
    <w:p w14:paraId="23515819" w14:textId="77777777" w:rsidR="008972DF" w:rsidRPr="008972DF" w:rsidRDefault="008972DF" w:rsidP="008972DF">
      <w:pPr>
        <w:jc w:val="both"/>
        <w:rPr>
          <w:i/>
          <w:iCs/>
          <w:u w:val="single"/>
        </w:rPr>
      </w:pPr>
      <w:r w:rsidRPr="008972DF">
        <w:rPr>
          <w:i/>
          <w:iCs/>
          <w:u w:val="single"/>
        </w:rPr>
        <w:t>Pediatrická populácia</w:t>
      </w:r>
    </w:p>
    <w:p w14:paraId="02AD8756" w14:textId="77777777" w:rsidR="008972DF" w:rsidRDefault="008972DF" w:rsidP="008972DF">
      <w:pPr>
        <w:jc w:val="both"/>
      </w:pPr>
    </w:p>
    <w:p w14:paraId="562D8FF5" w14:textId="603F68A6" w:rsidR="008972DF" w:rsidRDefault="0059094D" w:rsidP="008972DF">
      <w:pPr>
        <w:jc w:val="both"/>
      </w:pPr>
      <w:r>
        <w:t xml:space="preserve">Liek </w:t>
      </w:r>
      <w:r w:rsidR="008972DF">
        <w:t xml:space="preserve">Vardessin sa neodporúča u detí a </w:t>
      </w:r>
      <w:r>
        <w:t xml:space="preserve">dospievajúcich </w:t>
      </w:r>
      <w:r w:rsidR="008972DF">
        <w:t>do 18 rokov.</w:t>
      </w:r>
    </w:p>
    <w:p w14:paraId="2CF8A02B" w14:textId="77777777" w:rsidR="008972DF" w:rsidRDefault="008972DF" w:rsidP="008972DF">
      <w:pPr>
        <w:jc w:val="both"/>
      </w:pPr>
    </w:p>
    <w:p w14:paraId="59256D42" w14:textId="0AD6D869" w:rsidR="008972DF" w:rsidRPr="008972DF" w:rsidRDefault="008972DF" w:rsidP="008972DF">
      <w:pPr>
        <w:jc w:val="both"/>
        <w:rPr>
          <w:i/>
          <w:iCs/>
          <w:u w:val="single"/>
        </w:rPr>
      </w:pPr>
      <w:r w:rsidRPr="008972DF">
        <w:rPr>
          <w:i/>
          <w:iCs/>
          <w:u w:val="single"/>
        </w:rPr>
        <w:t>Starš</w:t>
      </w:r>
      <w:r w:rsidR="0059094D">
        <w:rPr>
          <w:i/>
          <w:iCs/>
          <w:u w:val="single"/>
        </w:rPr>
        <w:t>ia populácia</w:t>
      </w:r>
    </w:p>
    <w:p w14:paraId="0BDD5C70" w14:textId="77777777" w:rsidR="008972DF" w:rsidRDefault="008972DF" w:rsidP="008972DF">
      <w:pPr>
        <w:jc w:val="both"/>
      </w:pPr>
    </w:p>
    <w:p w14:paraId="462FF7E6" w14:textId="2F04FFF8" w:rsidR="008972DF" w:rsidRDefault="008972DF" w:rsidP="008972DF">
      <w:pPr>
        <w:jc w:val="both"/>
      </w:pPr>
      <w:r>
        <w:lastRenderedPageBreak/>
        <w:t xml:space="preserve">Klinické štúdie </w:t>
      </w:r>
      <w:r w:rsidR="00E35CDA">
        <w:t xml:space="preserve">s </w:t>
      </w:r>
      <w:r>
        <w:t>vazopresín</w:t>
      </w:r>
      <w:r w:rsidR="00E35CDA">
        <w:t>om</w:t>
      </w:r>
      <w:r>
        <w:t xml:space="preserve"> nezahŕňali dostatočný počet jedincov vo veku 65 a viac rokov, aby bolo možné určiť, či reagujú odlišne </w:t>
      </w:r>
      <w:r w:rsidR="0059094D">
        <w:t xml:space="preserve">ako </w:t>
      </w:r>
      <w:r>
        <w:t>mladš</w:t>
      </w:r>
      <w:r w:rsidR="0059094D">
        <w:t>ie</w:t>
      </w:r>
      <w:r>
        <w:t xml:space="preserve"> </w:t>
      </w:r>
      <w:r w:rsidR="0059094D">
        <w:t>subjekty</w:t>
      </w:r>
      <w:r>
        <w:t>. Iné hlásené klinické skúsenosti nezistili rozdiely v odpovediach medzi staršími a mladšími pacientmi. Všeobecne</w:t>
      </w:r>
      <w:r w:rsidR="00E35CDA">
        <w:t xml:space="preserve">, dávka pre staršieho pacienta </w:t>
      </w:r>
      <w:r w:rsidR="0059094D">
        <w:t>má</w:t>
      </w:r>
      <w:r w:rsidR="00E35CDA">
        <w:t xml:space="preserve"> byť volená s opatrnosťou, </w:t>
      </w:r>
      <w:r>
        <w:t xml:space="preserve">zvyčajne </w:t>
      </w:r>
      <w:r w:rsidR="0059094D">
        <w:t>má</w:t>
      </w:r>
      <w:r w:rsidR="00E35CDA">
        <w:t xml:space="preserve"> začínať na </w:t>
      </w:r>
      <w:r>
        <w:t>spodn</w:t>
      </w:r>
      <w:r w:rsidR="00E35CDA">
        <w:t>ej</w:t>
      </w:r>
      <w:r>
        <w:t xml:space="preserve"> </w:t>
      </w:r>
      <w:r w:rsidR="00E35CDA">
        <w:t>hranici</w:t>
      </w:r>
      <w:r>
        <w:t xml:space="preserve"> dávkovania, </w:t>
      </w:r>
      <w:r w:rsidR="00E35CDA">
        <w:t>odrážajúc vyššiu frekvenciu zníženej funkcie pečene</w:t>
      </w:r>
      <w:r>
        <w:t>, obličiek alebo srdca a súbežné ochorenia alebo inú liečbu liekmi.</w:t>
      </w:r>
    </w:p>
    <w:p w14:paraId="394609C6" w14:textId="77777777" w:rsidR="008972DF" w:rsidRDefault="008972DF" w:rsidP="008972DF">
      <w:pPr>
        <w:jc w:val="both"/>
      </w:pPr>
    </w:p>
    <w:p w14:paraId="4EF1B4E4" w14:textId="77777777" w:rsidR="008972DF" w:rsidRPr="00DD37CD" w:rsidRDefault="008972DF" w:rsidP="008972DF">
      <w:pPr>
        <w:jc w:val="both"/>
        <w:rPr>
          <w:i/>
          <w:iCs/>
        </w:rPr>
      </w:pPr>
      <w:r w:rsidRPr="006D57B9">
        <w:rPr>
          <w:i/>
          <w:iCs/>
          <w:u w:val="single"/>
        </w:rPr>
        <w:t>Pacienti s poškodením pečene</w:t>
      </w:r>
      <w:r w:rsidRPr="00DD37CD">
        <w:rPr>
          <w:i/>
          <w:iCs/>
        </w:rPr>
        <w:t>:</w:t>
      </w:r>
    </w:p>
    <w:p w14:paraId="29B55F01" w14:textId="77777777" w:rsidR="008972DF" w:rsidRDefault="008972DF" w:rsidP="008972DF">
      <w:pPr>
        <w:jc w:val="both"/>
      </w:pPr>
    </w:p>
    <w:p w14:paraId="2E0A6A7A" w14:textId="77777777" w:rsidR="008972DF" w:rsidRDefault="008972DF" w:rsidP="008972DF">
      <w:pPr>
        <w:jc w:val="both"/>
      </w:pPr>
      <w:r>
        <w:t>Keďže neboli vykonané žiadne klinické štúdie u pacientov s poškodením pečene, nie sú</w:t>
      </w:r>
      <w:r w:rsidR="00106AC8">
        <w:t xml:space="preserve"> pre liečbu týchto pacientov </w:t>
      </w:r>
      <w:r>
        <w:t>stanoven</w:t>
      </w:r>
      <w:r w:rsidR="00106AC8">
        <w:t>é</w:t>
      </w:r>
      <w:r>
        <w:t xml:space="preserve"> </w:t>
      </w:r>
      <w:r w:rsidR="00106AC8">
        <w:t>odporúčania</w:t>
      </w:r>
      <w:r>
        <w:t>.</w:t>
      </w:r>
    </w:p>
    <w:p w14:paraId="60A39E3D" w14:textId="77777777" w:rsidR="008972DF" w:rsidRDefault="008972DF" w:rsidP="008972DF">
      <w:pPr>
        <w:jc w:val="both"/>
      </w:pPr>
    </w:p>
    <w:p w14:paraId="7FFA74C8" w14:textId="77777777" w:rsidR="008972DF" w:rsidRPr="00DD37CD" w:rsidRDefault="008972DF" w:rsidP="008972DF">
      <w:pPr>
        <w:jc w:val="both"/>
        <w:rPr>
          <w:i/>
          <w:iCs/>
          <w:u w:val="single"/>
        </w:rPr>
      </w:pPr>
      <w:r w:rsidRPr="00DD37CD">
        <w:rPr>
          <w:i/>
          <w:iCs/>
          <w:u w:val="single"/>
        </w:rPr>
        <w:t>Pacienti s poškodením obličiek</w:t>
      </w:r>
    </w:p>
    <w:p w14:paraId="465F08B4" w14:textId="77777777" w:rsidR="008972DF" w:rsidRDefault="008972DF" w:rsidP="008972DF">
      <w:pPr>
        <w:jc w:val="both"/>
      </w:pPr>
    </w:p>
    <w:p w14:paraId="46DDB888" w14:textId="77777777" w:rsidR="00106AC8" w:rsidRDefault="00106AC8" w:rsidP="00106AC8">
      <w:pPr>
        <w:jc w:val="both"/>
      </w:pPr>
      <w:r>
        <w:t>Keďže neboli vykonané žiadne klinické štúdie u pacientov s poškodením obličiek, nie sú pre liečbu týchto pacientov stanovené odporúčania.</w:t>
      </w:r>
    </w:p>
    <w:p w14:paraId="42FD1CC3" w14:textId="77777777" w:rsidR="000722A5" w:rsidRDefault="000722A5" w:rsidP="00106AC8">
      <w:pPr>
        <w:jc w:val="both"/>
      </w:pPr>
    </w:p>
    <w:sectPr w:rsidR="000722A5" w:rsidSect="006D57B9">
      <w:headerReference w:type="default" r:id="rId8"/>
      <w:footerReference w:type="default" r:id="rId9"/>
      <w:footerReference w:type="first" r:id="rId10"/>
      <w:endnotePr>
        <w:numFmt w:val="decimal"/>
      </w:endnotePr>
      <w:pgSz w:w="11907" w:h="16840" w:code="9"/>
      <w:pgMar w:top="1418" w:right="1134" w:bottom="1418" w:left="1134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2A2CA" w16cex:dateUtc="2020-04-16T0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ADB475" w16cid:durableId="2242A22E"/>
  <w16cid:commentId w16cid:paraId="7BB00686" w16cid:durableId="2242A2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1EC37" w14:textId="77777777" w:rsidR="00C31DA1" w:rsidRDefault="00C31DA1">
      <w:pPr>
        <w:spacing w:line="240" w:lineRule="auto"/>
      </w:pPr>
      <w:r>
        <w:separator/>
      </w:r>
    </w:p>
  </w:endnote>
  <w:endnote w:type="continuationSeparator" w:id="0">
    <w:p w14:paraId="3A421A75" w14:textId="77777777" w:rsidR="00C31DA1" w:rsidRDefault="00C31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E9079" w14:textId="77777777" w:rsidR="00CA12AB" w:rsidRPr="00A72672" w:rsidRDefault="00A354F1" w:rsidP="00085939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A72672">
      <w:rPr>
        <w:rStyle w:val="slostrany1"/>
        <w:rFonts w:eastAsia="Verdana"/>
      </w:rPr>
      <w:fldChar w:fldCharType="begin"/>
    </w:r>
    <w:r w:rsidRPr="00A72672">
      <w:rPr>
        <w:rStyle w:val="slostrany1"/>
        <w:rFonts w:eastAsia="Verdana"/>
      </w:rPr>
      <w:instrText xml:space="preserve">PAGE  </w:instrText>
    </w:r>
    <w:r w:rsidRPr="00A72672">
      <w:rPr>
        <w:rStyle w:val="slostrany1"/>
        <w:rFonts w:eastAsia="Verdana"/>
      </w:rPr>
      <w:fldChar w:fldCharType="separate"/>
    </w:r>
    <w:r w:rsidR="006D57B9">
      <w:rPr>
        <w:rStyle w:val="slostrany1"/>
        <w:rFonts w:eastAsia="Verdana"/>
      </w:rPr>
      <w:t>1</w:t>
    </w:r>
    <w:r w:rsidRPr="00A72672">
      <w:rPr>
        <w:rStyle w:val="slostrany1"/>
        <w:rFonts w:eastAsia="Verda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97949" w14:textId="77777777" w:rsidR="00CA12AB" w:rsidRDefault="00A354F1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  <w:rFonts w:eastAsia="Verdana"/>
      </w:rPr>
      <w:fldChar w:fldCharType="begin"/>
    </w:r>
    <w:r w:rsidRPr="00A72672">
      <w:rPr>
        <w:rStyle w:val="slostrany1"/>
        <w:rFonts w:eastAsia="Verdana"/>
      </w:rPr>
      <w:instrText xml:space="preserve">PAGE  </w:instrText>
    </w:r>
    <w:r w:rsidRPr="00BF5AB0">
      <w:rPr>
        <w:rStyle w:val="slostrany1"/>
        <w:rFonts w:eastAsia="Verdana"/>
      </w:rPr>
      <w:fldChar w:fldCharType="separate"/>
    </w:r>
    <w:r>
      <w:rPr>
        <w:rStyle w:val="slostrany1"/>
        <w:rFonts w:eastAsia="Verdana"/>
      </w:rPr>
      <w:t>1</w:t>
    </w:r>
    <w:r w:rsidRPr="00BF5AB0">
      <w:rPr>
        <w:rStyle w:val="slostrany1"/>
        <w:rFonts w:eastAsia="Verda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3BDB1" w14:textId="77777777" w:rsidR="00C31DA1" w:rsidRDefault="00C31DA1">
      <w:pPr>
        <w:spacing w:line="240" w:lineRule="auto"/>
      </w:pPr>
      <w:r>
        <w:separator/>
      </w:r>
    </w:p>
  </w:footnote>
  <w:footnote w:type="continuationSeparator" w:id="0">
    <w:p w14:paraId="2E6D1113" w14:textId="77777777" w:rsidR="00C31DA1" w:rsidRDefault="00C31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07EF5" w14:textId="77777777" w:rsidR="002E60D5" w:rsidRPr="00864F5B" w:rsidRDefault="002E60D5" w:rsidP="002E60D5">
    <w:pPr>
      <w:pStyle w:val="Hlavika"/>
      <w:rPr>
        <w:sz w:val="18"/>
        <w:szCs w:val="18"/>
      </w:rPr>
    </w:pPr>
    <w:r w:rsidRPr="00864F5B">
      <w:rPr>
        <w:sz w:val="18"/>
        <w:szCs w:val="18"/>
      </w:rPr>
      <w:t>Schválený text k rozhodnutiu o registrácii, ev.č.:2018/06504-REG</w:t>
    </w:r>
  </w:p>
  <w:p w14:paraId="12633F8B" w14:textId="77777777" w:rsidR="002E60D5" w:rsidRDefault="002E60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4625E9"/>
    <w:multiLevelType w:val="hybridMultilevel"/>
    <w:tmpl w:val="26ECB81A"/>
    <w:lvl w:ilvl="0" w:tplc="8E0E1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F6F"/>
    <w:multiLevelType w:val="hybridMultilevel"/>
    <w:tmpl w:val="99EC7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D1C32"/>
    <w:multiLevelType w:val="hybridMultilevel"/>
    <w:tmpl w:val="C6D0B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5CFE"/>
    <w:multiLevelType w:val="hybridMultilevel"/>
    <w:tmpl w:val="1598E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F14CF"/>
    <w:multiLevelType w:val="hybridMultilevel"/>
    <w:tmpl w:val="6FC0A652"/>
    <w:lvl w:ilvl="0" w:tplc="0B44AA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64A86B0" w:tentative="1">
      <w:start w:val="1"/>
      <w:numFmt w:val="lowerLetter"/>
      <w:lvlText w:val="%2."/>
      <w:lvlJc w:val="left"/>
      <w:pPr>
        <w:ind w:left="1440" w:hanging="360"/>
      </w:pPr>
    </w:lvl>
    <w:lvl w:ilvl="2" w:tplc="A078BA9A" w:tentative="1">
      <w:start w:val="1"/>
      <w:numFmt w:val="lowerRoman"/>
      <w:lvlText w:val="%3."/>
      <w:lvlJc w:val="right"/>
      <w:pPr>
        <w:ind w:left="2160" w:hanging="180"/>
      </w:pPr>
    </w:lvl>
    <w:lvl w:ilvl="3" w:tplc="5630EE6C" w:tentative="1">
      <w:start w:val="1"/>
      <w:numFmt w:val="decimal"/>
      <w:lvlText w:val="%4."/>
      <w:lvlJc w:val="left"/>
      <w:pPr>
        <w:ind w:left="2880" w:hanging="360"/>
      </w:pPr>
    </w:lvl>
    <w:lvl w:ilvl="4" w:tplc="329A8E16" w:tentative="1">
      <w:start w:val="1"/>
      <w:numFmt w:val="lowerLetter"/>
      <w:lvlText w:val="%5."/>
      <w:lvlJc w:val="left"/>
      <w:pPr>
        <w:ind w:left="3600" w:hanging="360"/>
      </w:pPr>
    </w:lvl>
    <w:lvl w:ilvl="5" w:tplc="5450DEBA" w:tentative="1">
      <w:start w:val="1"/>
      <w:numFmt w:val="lowerRoman"/>
      <w:lvlText w:val="%6."/>
      <w:lvlJc w:val="right"/>
      <w:pPr>
        <w:ind w:left="4320" w:hanging="180"/>
      </w:pPr>
    </w:lvl>
    <w:lvl w:ilvl="6" w:tplc="253A8236" w:tentative="1">
      <w:start w:val="1"/>
      <w:numFmt w:val="decimal"/>
      <w:lvlText w:val="%7."/>
      <w:lvlJc w:val="left"/>
      <w:pPr>
        <w:ind w:left="5040" w:hanging="360"/>
      </w:pPr>
    </w:lvl>
    <w:lvl w:ilvl="7" w:tplc="DD96745E" w:tentative="1">
      <w:start w:val="1"/>
      <w:numFmt w:val="lowerLetter"/>
      <w:lvlText w:val="%8."/>
      <w:lvlJc w:val="left"/>
      <w:pPr>
        <w:ind w:left="5760" w:hanging="360"/>
      </w:pPr>
    </w:lvl>
    <w:lvl w:ilvl="8" w:tplc="9B521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C0446"/>
    <w:multiLevelType w:val="hybridMultilevel"/>
    <w:tmpl w:val="B20E620E"/>
    <w:lvl w:ilvl="0" w:tplc="F0C43A8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9E54705C" w:tentative="1">
      <w:start w:val="1"/>
      <w:numFmt w:val="lowerLetter"/>
      <w:lvlText w:val="%2."/>
      <w:lvlJc w:val="left"/>
      <w:pPr>
        <w:ind w:left="1440" w:hanging="360"/>
      </w:pPr>
    </w:lvl>
    <w:lvl w:ilvl="2" w:tplc="05B0A13A" w:tentative="1">
      <w:start w:val="1"/>
      <w:numFmt w:val="lowerRoman"/>
      <w:lvlText w:val="%3."/>
      <w:lvlJc w:val="right"/>
      <w:pPr>
        <w:ind w:left="2160" w:hanging="180"/>
      </w:pPr>
    </w:lvl>
    <w:lvl w:ilvl="3" w:tplc="B4D6F57E" w:tentative="1">
      <w:start w:val="1"/>
      <w:numFmt w:val="decimal"/>
      <w:lvlText w:val="%4."/>
      <w:lvlJc w:val="left"/>
      <w:pPr>
        <w:ind w:left="2880" w:hanging="360"/>
      </w:pPr>
    </w:lvl>
    <w:lvl w:ilvl="4" w:tplc="9702D614" w:tentative="1">
      <w:start w:val="1"/>
      <w:numFmt w:val="lowerLetter"/>
      <w:lvlText w:val="%5."/>
      <w:lvlJc w:val="left"/>
      <w:pPr>
        <w:ind w:left="3600" w:hanging="360"/>
      </w:pPr>
    </w:lvl>
    <w:lvl w:ilvl="5" w:tplc="46DCD2D8" w:tentative="1">
      <w:start w:val="1"/>
      <w:numFmt w:val="lowerRoman"/>
      <w:lvlText w:val="%6."/>
      <w:lvlJc w:val="right"/>
      <w:pPr>
        <w:ind w:left="4320" w:hanging="180"/>
      </w:pPr>
    </w:lvl>
    <w:lvl w:ilvl="6" w:tplc="68227336" w:tentative="1">
      <w:start w:val="1"/>
      <w:numFmt w:val="decimal"/>
      <w:lvlText w:val="%7."/>
      <w:lvlJc w:val="left"/>
      <w:pPr>
        <w:ind w:left="5040" w:hanging="360"/>
      </w:pPr>
    </w:lvl>
    <w:lvl w:ilvl="7" w:tplc="540E2EEA" w:tentative="1">
      <w:start w:val="1"/>
      <w:numFmt w:val="lowerLetter"/>
      <w:lvlText w:val="%8."/>
      <w:lvlJc w:val="left"/>
      <w:pPr>
        <w:ind w:left="5760" w:hanging="360"/>
      </w:pPr>
    </w:lvl>
    <w:lvl w:ilvl="8" w:tplc="129EA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C5E8C"/>
    <w:multiLevelType w:val="hybridMultilevel"/>
    <w:tmpl w:val="FC2E1760"/>
    <w:lvl w:ilvl="0" w:tplc="8E0E1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340EB"/>
    <w:multiLevelType w:val="hybridMultilevel"/>
    <w:tmpl w:val="69545B64"/>
    <w:lvl w:ilvl="0" w:tplc="8E0E1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xNDU2NDC1MDc0NjFU0lEKTi0uzszPAykwrAUAZtPa5iwAAAA="/>
  </w:docVars>
  <w:rsids>
    <w:rsidRoot w:val="00A354F1"/>
    <w:rsid w:val="00001913"/>
    <w:rsid w:val="000118AE"/>
    <w:rsid w:val="00025E72"/>
    <w:rsid w:val="000722A5"/>
    <w:rsid w:val="000931AD"/>
    <w:rsid w:val="00094CAA"/>
    <w:rsid w:val="000A3726"/>
    <w:rsid w:val="000E62E1"/>
    <w:rsid w:val="000F55F3"/>
    <w:rsid w:val="00106AC8"/>
    <w:rsid w:val="00114CE8"/>
    <w:rsid w:val="00123DE2"/>
    <w:rsid w:val="00136D80"/>
    <w:rsid w:val="00197FA2"/>
    <w:rsid w:val="001A2510"/>
    <w:rsid w:val="001C750F"/>
    <w:rsid w:val="001E705B"/>
    <w:rsid w:val="0020330F"/>
    <w:rsid w:val="0021134A"/>
    <w:rsid w:val="002265B9"/>
    <w:rsid w:val="002411BE"/>
    <w:rsid w:val="0024136E"/>
    <w:rsid w:val="002E60D5"/>
    <w:rsid w:val="0032752F"/>
    <w:rsid w:val="003D1FA7"/>
    <w:rsid w:val="00400D4E"/>
    <w:rsid w:val="00467B5E"/>
    <w:rsid w:val="00483798"/>
    <w:rsid w:val="00492BA1"/>
    <w:rsid w:val="0049695D"/>
    <w:rsid w:val="004E7A88"/>
    <w:rsid w:val="004F5CAA"/>
    <w:rsid w:val="005034A6"/>
    <w:rsid w:val="0059094D"/>
    <w:rsid w:val="005A4F20"/>
    <w:rsid w:val="005A5F0A"/>
    <w:rsid w:val="005A7919"/>
    <w:rsid w:val="005A7B6C"/>
    <w:rsid w:val="005C7375"/>
    <w:rsid w:val="005E4F9A"/>
    <w:rsid w:val="005F5CE0"/>
    <w:rsid w:val="0061201C"/>
    <w:rsid w:val="00642111"/>
    <w:rsid w:val="0065395A"/>
    <w:rsid w:val="00664376"/>
    <w:rsid w:val="00674D58"/>
    <w:rsid w:val="0067699F"/>
    <w:rsid w:val="0068034D"/>
    <w:rsid w:val="006A3D14"/>
    <w:rsid w:val="006D57B9"/>
    <w:rsid w:val="00777096"/>
    <w:rsid w:val="007774E4"/>
    <w:rsid w:val="007C7952"/>
    <w:rsid w:val="00883160"/>
    <w:rsid w:val="008877E2"/>
    <w:rsid w:val="00893CEA"/>
    <w:rsid w:val="008972DF"/>
    <w:rsid w:val="008B002F"/>
    <w:rsid w:val="008D1D74"/>
    <w:rsid w:val="008F18B8"/>
    <w:rsid w:val="009C6EC5"/>
    <w:rsid w:val="009D192F"/>
    <w:rsid w:val="00A036D6"/>
    <w:rsid w:val="00A11807"/>
    <w:rsid w:val="00A354F1"/>
    <w:rsid w:val="00AB2924"/>
    <w:rsid w:val="00B3345F"/>
    <w:rsid w:val="00B44097"/>
    <w:rsid w:val="00B46D08"/>
    <w:rsid w:val="00B679F1"/>
    <w:rsid w:val="00BB2464"/>
    <w:rsid w:val="00C31DA1"/>
    <w:rsid w:val="00C31E51"/>
    <w:rsid w:val="00C418D6"/>
    <w:rsid w:val="00C433CF"/>
    <w:rsid w:val="00C449A5"/>
    <w:rsid w:val="00C564F5"/>
    <w:rsid w:val="00C64FE7"/>
    <w:rsid w:val="00C83290"/>
    <w:rsid w:val="00C91F99"/>
    <w:rsid w:val="00CD7898"/>
    <w:rsid w:val="00D04169"/>
    <w:rsid w:val="00D43371"/>
    <w:rsid w:val="00D62122"/>
    <w:rsid w:val="00DB0E4C"/>
    <w:rsid w:val="00DB4584"/>
    <w:rsid w:val="00DC7886"/>
    <w:rsid w:val="00DD37CD"/>
    <w:rsid w:val="00E22BC2"/>
    <w:rsid w:val="00E35CDA"/>
    <w:rsid w:val="00E7671A"/>
    <w:rsid w:val="00E91109"/>
    <w:rsid w:val="00EB5A57"/>
    <w:rsid w:val="00F44C40"/>
    <w:rsid w:val="00F554EE"/>
    <w:rsid w:val="00FA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FFA6"/>
  <w15:chartTrackingRefBased/>
  <w15:docId w15:val="{FB387DAA-D4F4-4A26-8832-0D581712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54F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A354F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A354F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slostrany1">
    <w:name w:val="Číslo strany1"/>
    <w:basedOn w:val="Predvolenpsmoodseku"/>
    <w:uiPriority w:val="99"/>
    <w:rsid w:val="00A354F1"/>
  </w:style>
  <w:style w:type="character" w:customStyle="1" w:styleId="Hypertextovprepojenie1">
    <w:name w:val="Hypertextové prepojenie1"/>
    <w:uiPriority w:val="99"/>
    <w:rsid w:val="00A354F1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A354F1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A354F1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Odsekzoznamu1">
    <w:name w:val="Odsek zoznamu1"/>
    <w:basedOn w:val="Normlny"/>
    <w:uiPriority w:val="34"/>
    <w:qFormat/>
    <w:rsid w:val="00A354F1"/>
    <w:pPr>
      <w:ind w:left="720"/>
      <w:contextualSpacing/>
    </w:pPr>
  </w:style>
  <w:style w:type="character" w:customStyle="1" w:styleId="HlavikaChar">
    <w:name w:val="Hlavička Char"/>
    <w:link w:val="Hlavika1"/>
    <w:uiPriority w:val="99"/>
    <w:locked/>
    <w:rsid w:val="00A354F1"/>
    <w:rPr>
      <w:rFonts w:ascii="Arial" w:eastAsia="Times New Roman" w:hAnsi="Arial" w:cs="Times New Roman"/>
      <w:sz w:val="20"/>
      <w:szCs w:val="20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A354F1"/>
    <w:rPr>
      <w:rFonts w:ascii="Arial" w:eastAsia="Times New Roman" w:hAnsi="Arial" w:cs="Times New Roman"/>
      <w:noProof/>
      <w:sz w:val="16"/>
      <w:szCs w:val="20"/>
      <w:lang w:val="sk-SK" w:eastAsia="sk-SK" w:bidi="sk-SK"/>
    </w:rPr>
  </w:style>
  <w:style w:type="character" w:customStyle="1" w:styleId="tlid-translation">
    <w:name w:val="tlid-translation"/>
    <w:rsid w:val="00A354F1"/>
  </w:style>
  <w:style w:type="paragraph" w:styleId="Odsekzoznamu">
    <w:name w:val="List Paragraph"/>
    <w:basedOn w:val="Normlny"/>
    <w:uiPriority w:val="34"/>
    <w:qFormat/>
    <w:rsid w:val="00883160"/>
    <w:pPr>
      <w:ind w:left="720"/>
      <w:contextualSpacing/>
    </w:pPr>
  </w:style>
  <w:style w:type="paragraph" w:customStyle="1" w:styleId="Normln1">
    <w:name w:val="Normální1"/>
    <w:qFormat/>
    <w:rsid w:val="00114CE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Hlavika">
    <w:name w:val="header"/>
    <w:basedOn w:val="Normlny"/>
    <w:link w:val="HlavikaChar1"/>
    <w:uiPriority w:val="99"/>
    <w:unhideWhenUsed/>
    <w:rsid w:val="002E60D5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2E60D5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2E60D5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2E60D5"/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64F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4FE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4FE7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4F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4FE7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4F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4FE7"/>
    <w:rPr>
      <w:rFonts w:ascii="Segoe UI" w:eastAsia="Times New Roman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1978</Words>
  <Characters>11277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Závrská</dc:creator>
  <cp:keywords/>
  <dc:description/>
  <cp:lastModifiedBy>Kristína Ráczová</cp:lastModifiedBy>
  <cp:revision>4</cp:revision>
  <dcterms:created xsi:type="dcterms:W3CDTF">2020-04-16T07:24:00Z</dcterms:created>
  <dcterms:modified xsi:type="dcterms:W3CDTF">2020-04-21T04:33:00Z</dcterms:modified>
</cp:coreProperties>
</file>