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3E" w:rsidRPr="00201149" w:rsidRDefault="00B577A9" w:rsidP="0004513E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201149">
        <w:rPr>
          <w:b/>
          <w:noProof/>
          <w:szCs w:val="22"/>
        </w:rPr>
        <w:t>P</w:t>
      </w:r>
      <w:r w:rsidR="0004513E" w:rsidRPr="00201149">
        <w:rPr>
          <w:b/>
          <w:noProof/>
          <w:szCs w:val="22"/>
        </w:rPr>
        <w:t>ísomná informácia pre používateľa</w:t>
      </w:r>
    </w:p>
    <w:p w:rsidR="0004513E" w:rsidRPr="00201149" w:rsidRDefault="0004513E" w:rsidP="0004513E">
      <w:pPr>
        <w:jc w:val="center"/>
        <w:rPr>
          <w:noProof/>
          <w:szCs w:val="22"/>
        </w:rPr>
      </w:pPr>
    </w:p>
    <w:p w:rsidR="00B577A9" w:rsidRPr="00201149" w:rsidRDefault="00B577A9" w:rsidP="00C74895">
      <w:pPr>
        <w:ind w:left="0" w:firstLine="0"/>
        <w:rPr>
          <w:noProof/>
          <w:szCs w:val="22"/>
        </w:rPr>
      </w:pP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Alopurinol Sandoz 100 mg</w:t>
      </w: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  <w:highlight w:val="lightGray"/>
        </w:rPr>
        <w:t>Alopurinol Sandoz 300 mg</w:t>
      </w:r>
    </w:p>
    <w:p w:rsidR="00B577A9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tablety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04513E" w:rsidRPr="00201149" w:rsidRDefault="0093616C" w:rsidP="0004513E">
      <w:pPr>
        <w:numPr>
          <w:ilvl w:val="12"/>
          <w:numId w:val="0"/>
        </w:numPr>
        <w:jc w:val="center"/>
        <w:rPr>
          <w:noProof/>
          <w:szCs w:val="22"/>
        </w:rPr>
      </w:pPr>
      <w:r w:rsidRPr="00201149">
        <w:rPr>
          <w:szCs w:val="22"/>
        </w:rPr>
        <w:t>alopurinol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04513E" w:rsidRPr="00201149" w:rsidRDefault="0004513E" w:rsidP="0004513E">
      <w:pPr>
        <w:rPr>
          <w:noProof/>
          <w:szCs w:val="22"/>
        </w:rPr>
      </w:pPr>
    </w:p>
    <w:p w:rsidR="0004513E" w:rsidRPr="00201149" w:rsidRDefault="0004513E" w:rsidP="00B577A9">
      <w:pPr>
        <w:ind w:left="0" w:right="-2" w:firstLine="0"/>
        <w:rPr>
          <w:noProof/>
          <w:szCs w:val="22"/>
        </w:rPr>
      </w:pPr>
      <w:r w:rsidRPr="00201149">
        <w:rPr>
          <w:b/>
          <w:noProof/>
          <w:szCs w:val="22"/>
        </w:rPr>
        <w:t>Pozorne si prečítajte celú písomnú informáciu predtým, ako začnete užívať</w:t>
      </w:r>
      <w:r w:rsidRPr="00201149">
        <w:rPr>
          <w:noProof/>
          <w:szCs w:val="22"/>
        </w:rPr>
        <w:t xml:space="preserve"> </w:t>
      </w:r>
      <w:r w:rsidRPr="00201149">
        <w:rPr>
          <w:b/>
          <w:noProof/>
          <w:szCs w:val="22"/>
        </w:rPr>
        <w:t>tento liek, pretože obsahuje pre vás dôležité informácie.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Túto písomnú informáciu si uschovajte. Možno bude potrebné, aby ste si ju znovu prečítali.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Ak máte akékoľvek ďalšie otázky, obráťte sa na svojho lekára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B577A9" w:rsidRPr="00201149">
        <w:rPr>
          <w:noProof/>
          <w:szCs w:val="22"/>
        </w:rPr>
        <w:t>.</w:t>
      </w:r>
    </w:p>
    <w:p w:rsidR="0004513E" w:rsidRPr="00201149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04513E" w:rsidRPr="00201149" w:rsidRDefault="0004513E" w:rsidP="0004513E">
      <w:pPr>
        <w:rPr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201149">
        <w:rPr>
          <w:noProof/>
          <w:szCs w:val="22"/>
        </w:rPr>
        <w:t xml:space="preserve">lekára </w:t>
      </w:r>
      <w:r w:rsidRPr="00201149">
        <w:rPr>
          <w:szCs w:val="22"/>
        </w:rPr>
        <w:t>alebo</w:t>
      </w:r>
      <w:r w:rsidRPr="00201149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67425" w:rsidRPr="00201149" w:rsidRDefault="00367425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V tejto písomnej informácii sa dozviete</w:t>
      </w:r>
      <w:r w:rsidRPr="00201149">
        <w:rPr>
          <w:noProof/>
          <w:szCs w:val="22"/>
        </w:rPr>
        <w:t>: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1.</w:t>
      </w:r>
      <w:r w:rsidRPr="00201149">
        <w:rPr>
          <w:noProof/>
          <w:szCs w:val="22"/>
        </w:rPr>
        <w:tab/>
        <w:t xml:space="preserve">Čo je </w:t>
      </w:r>
      <w:r w:rsidR="00E33FF1" w:rsidRPr="00201149">
        <w:rPr>
          <w:noProof/>
          <w:szCs w:val="22"/>
        </w:rPr>
        <w:t>A</w:t>
      </w:r>
      <w:r w:rsidR="0093616C" w:rsidRPr="00201149">
        <w:rPr>
          <w:noProof/>
          <w:szCs w:val="22"/>
        </w:rPr>
        <w:t>lopurinol</w:t>
      </w:r>
      <w:r w:rsidR="003C49C8" w:rsidRPr="00201149">
        <w:rPr>
          <w:noProof/>
          <w:szCs w:val="22"/>
        </w:rPr>
        <w:t xml:space="preserve"> Sandoz </w:t>
      </w:r>
      <w:r w:rsidRPr="00201149">
        <w:rPr>
          <w:noProof/>
          <w:szCs w:val="22"/>
        </w:rPr>
        <w:t>a na čo sa používa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2.</w:t>
      </w:r>
      <w:r w:rsidRPr="00201149">
        <w:rPr>
          <w:noProof/>
          <w:szCs w:val="22"/>
        </w:rPr>
        <w:tab/>
        <w:t>Čo potrebujete vedieť predtým, ako užijete</w:t>
      </w:r>
      <w:r w:rsidR="003C49C8" w:rsidRPr="00201149">
        <w:rPr>
          <w:noProof/>
          <w:szCs w:val="22"/>
        </w:rPr>
        <w:t xml:space="preserve"> A</w:t>
      </w:r>
      <w:r w:rsidR="0093616C" w:rsidRPr="00201149">
        <w:rPr>
          <w:noProof/>
          <w:szCs w:val="22"/>
        </w:rPr>
        <w:t xml:space="preserve">lopurinol </w:t>
      </w:r>
      <w:r w:rsidR="003C49C8" w:rsidRPr="00201149">
        <w:rPr>
          <w:noProof/>
          <w:szCs w:val="22"/>
        </w:rPr>
        <w:t>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3.</w:t>
      </w:r>
      <w:r w:rsidRPr="00201149">
        <w:rPr>
          <w:noProof/>
          <w:szCs w:val="22"/>
        </w:rPr>
        <w:tab/>
        <w:t>Ako užívať</w:t>
      </w:r>
      <w:r w:rsidR="003C49C8" w:rsidRPr="00201149">
        <w:rPr>
          <w:noProof/>
          <w:szCs w:val="22"/>
        </w:rPr>
        <w:t xml:space="preserve"> </w:t>
      </w:r>
      <w:r w:rsidR="0093616C" w:rsidRPr="00201149">
        <w:rPr>
          <w:noProof/>
          <w:szCs w:val="22"/>
        </w:rPr>
        <w:t xml:space="preserve">Alopurinol Sandoz 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4.</w:t>
      </w:r>
      <w:r w:rsidRPr="00201149">
        <w:rPr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5.</w:t>
      </w:r>
      <w:r w:rsidRPr="00201149">
        <w:rPr>
          <w:noProof/>
          <w:szCs w:val="22"/>
        </w:rPr>
        <w:tab/>
        <w:t xml:space="preserve">Ako uchovávať </w:t>
      </w:r>
      <w:r w:rsidR="0093616C" w:rsidRPr="00201149">
        <w:rPr>
          <w:noProof/>
          <w:szCs w:val="22"/>
        </w:rPr>
        <w:t>Alopurinol 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6.</w:t>
      </w:r>
      <w:r w:rsidRPr="00201149">
        <w:rPr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1.</w:t>
      </w:r>
      <w:r w:rsidRPr="00201149">
        <w:rPr>
          <w:b/>
          <w:noProof/>
          <w:szCs w:val="22"/>
        </w:rPr>
        <w:tab/>
        <w:t>Čo</w:t>
      </w:r>
      <w:r w:rsidRPr="00201149">
        <w:rPr>
          <w:b/>
          <w:szCs w:val="22"/>
        </w:rPr>
        <w:t xml:space="preserve"> je </w:t>
      </w:r>
      <w:r w:rsidR="0093616C" w:rsidRPr="00201149">
        <w:rPr>
          <w:b/>
          <w:noProof/>
          <w:szCs w:val="22"/>
        </w:rPr>
        <w:t>Alopurinol Sandoz</w:t>
      </w:r>
      <w:r w:rsidRPr="00201149">
        <w:rPr>
          <w:b/>
          <w:noProof/>
          <w:szCs w:val="22"/>
        </w:rPr>
        <w:t xml:space="preserve"> a </w:t>
      </w:r>
      <w:r w:rsidRPr="00201149">
        <w:rPr>
          <w:b/>
          <w:szCs w:val="22"/>
        </w:rPr>
        <w:t xml:space="preserve">na </w:t>
      </w:r>
      <w:r w:rsidRPr="00201149">
        <w:rPr>
          <w:b/>
          <w:noProof/>
          <w:szCs w:val="22"/>
        </w:rPr>
        <w:t>čo sa používa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139CC" w:rsidRPr="00201149" w:rsidRDefault="0093616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 xml:space="preserve">Alopurinol Sandoz patrí do skupiny liekov </w:t>
      </w:r>
      <w:r w:rsidR="005139CC" w:rsidRPr="00201149">
        <w:rPr>
          <w:szCs w:val="22"/>
        </w:rPr>
        <w:t>nazývaných inhibítory enzýmov, ktoré regulujú rýchlosť niektorých osobitných chemi</w:t>
      </w:r>
      <w:r w:rsidR="000230AD" w:rsidRPr="00201149">
        <w:rPr>
          <w:szCs w:val="22"/>
        </w:rPr>
        <w:t>ckých zmien vo v</w:t>
      </w:r>
      <w:r w:rsidR="005139CC" w:rsidRPr="00201149">
        <w:rPr>
          <w:szCs w:val="22"/>
        </w:rPr>
        <w:t>ašom tele.</w:t>
      </w:r>
    </w:p>
    <w:p w:rsidR="0093616C" w:rsidRPr="00201149" w:rsidRDefault="005139C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>Alopurinol Sandoz sa používa na dlhodobú, preventívnu liečbu dny</w:t>
      </w:r>
      <w:r w:rsidR="001E723B" w:rsidRPr="00201149">
        <w:rPr>
          <w:szCs w:val="22"/>
        </w:rPr>
        <w:t>.</w:t>
      </w:r>
      <w:r w:rsidR="00052AA2" w:rsidRPr="00201149">
        <w:rPr>
          <w:szCs w:val="22"/>
        </w:rPr>
        <w:t xml:space="preserve"> </w:t>
      </w:r>
      <w:r w:rsidRPr="00201149">
        <w:rPr>
          <w:szCs w:val="22"/>
        </w:rPr>
        <w:t xml:space="preserve">Môže sa použiť aj na liečbu iných stavov spôsobených nadmerným množstvom kyseliny močovej v tele, vrátane obličkových kameňov a ďalších </w:t>
      </w:r>
      <w:r w:rsidR="001E723B" w:rsidRPr="00201149">
        <w:rPr>
          <w:szCs w:val="22"/>
        </w:rPr>
        <w:t>ochorení</w:t>
      </w:r>
      <w:r w:rsidRPr="00201149">
        <w:rPr>
          <w:szCs w:val="22"/>
        </w:rPr>
        <w:t xml:space="preserve"> obličiek</w:t>
      </w:r>
      <w:r w:rsidR="0093616C" w:rsidRPr="00201149">
        <w:rPr>
          <w:szCs w:val="22"/>
        </w:rPr>
        <w:t>.</w:t>
      </w:r>
    </w:p>
    <w:p w:rsidR="0093616C" w:rsidRPr="00201149" w:rsidRDefault="0093616C" w:rsidP="0093616C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2.</w:t>
      </w:r>
      <w:r w:rsidRPr="00201149">
        <w:rPr>
          <w:b/>
          <w:noProof/>
          <w:szCs w:val="22"/>
        </w:rPr>
        <w:tab/>
        <w:t>Čo potrebujete vedieť predtým, ako užijete</w:t>
      </w:r>
      <w:r w:rsidR="00CE26DF" w:rsidRPr="00201149">
        <w:rPr>
          <w:b/>
          <w:noProof/>
          <w:szCs w:val="22"/>
        </w:rPr>
        <w:t xml:space="preserve"> </w:t>
      </w:r>
      <w:r w:rsidR="00372ADA" w:rsidRPr="00201149">
        <w:rPr>
          <w:b/>
          <w:noProof/>
          <w:szCs w:val="22"/>
        </w:rPr>
        <w:t>Alopurinol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Neužívajte</w:t>
      </w:r>
      <w:r w:rsidR="006E6A09" w:rsidRPr="00201149">
        <w:rPr>
          <w:b/>
          <w:noProof/>
          <w:szCs w:val="22"/>
        </w:rPr>
        <w:t xml:space="preserve"> A</w:t>
      </w:r>
      <w:r w:rsidR="00372ADA" w:rsidRPr="00201149">
        <w:rPr>
          <w:b/>
          <w:noProof/>
          <w:szCs w:val="22"/>
        </w:rPr>
        <w:t>lopurinol Sandoz</w:t>
      </w:r>
    </w:p>
    <w:p w:rsidR="00372ADA" w:rsidRPr="00201149" w:rsidRDefault="006E6A09" w:rsidP="006E6A09">
      <w:pPr>
        <w:pStyle w:val="Default"/>
        <w:numPr>
          <w:ilvl w:val="0"/>
          <w:numId w:val="1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ste alergický na a</w:t>
      </w:r>
      <w:r w:rsidR="00372ADA" w:rsidRPr="00201149">
        <w:rPr>
          <w:sz w:val="22"/>
          <w:szCs w:val="22"/>
        </w:rPr>
        <w:t>lopurinol</w:t>
      </w:r>
      <w:r w:rsidR="00372ADA" w:rsidRPr="00201149">
        <w:rPr>
          <w:b/>
          <w:sz w:val="22"/>
          <w:szCs w:val="22"/>
        </w:rPr>
        <w:t xml:space="preserve"> </w:t>
      </w:r>
      <w:r w:rsidRPr="00201149">
        <w:rPr>
          <w:sz w:val="22"/>
          <w:szCs w:val="22"/>
        </w:rPr>
        <w:t xml:space="preserve">alebo </w:t>
      </w:r>
      <w:r w:rsidR="00372ADA" w:rsidRPr="00201149">
        <w:rPr>
          <w:sz w:val="22"/>
          <w:szCs w:val="22"/>
        </w:rPr>
        <w:t>na ktorúkoľvek z ďalších zložiek tohto lieku (uvedených v časti 6).</w:t>
      </w:r>
    </w:p>
    <w:p w:rsidR="006E6A09" w:rsidRPr="00201149" w:rsidRDefault="006E6A09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Upozornenia a opatrenia</w:t>
      </w:r>
    </w:p>
    <w:p w:rsidR="0004513E" w:rsidRDefault="0004513E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Predtým, ako začnete užívať</w:t>
      </w:r>
      <w:r w:rsidR="002A6D0E" w:rsidRPr="00201149">
        <w:rPr>
          <w:noProof/>
          <w:szCs w:val="22"/>
        </w:rPr>
        <w:t xml:space="preserve"> A</w:t>
      </w:r>
      <w:r w:rsidR="00372ADA" w:rsidRPr="00201149">
        <w:rPr>
          <w:noProof/>
          <w:szCs w:val="22"/>
        </w:rPr>
        <w:t>lopurinol</w:t>
      </w:r>
      <w:r w:rsidR="002A6D0E" w:rsidRPr="00201149">
        <w:rPr>
          <w:noProof/>
          <w:szCs w:val="22"/>
        </w:rPr>
        <w:t xml:space="preserve"> Sandoz</w:t>
      </w:r>
      <w:r w:rsidRPr="00201149">
        <w:rPr>
          <w:noProof/>
          <w:szCs w:val="22"/>
        </w:rPr>
        <w:t>, obráťte sa na svojho lekára</w:t>
      </w:r>
      <w:r w:rsidR="002A6D0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A6D0E" w:rsidRPr="00201149">
        <w:rPr>
          <w:noProof/>
          <w:szCs w:val="22"/>
        </w:rPr>
        <w:t xml:space="preserve"> lekárnika:</w:t>
      </w:r>
    </w:p>
    <w:p w:rsidR="002432C5" w:rsidRPr="002432C5" w:rsidRDefault="002432C5" w:rsidP="006B2AF5">
      <w:pPr>
        <w:pStyle w:val="Odsekzoznamu"/>
        <w:numPr>
          <w:ilvl w:val="0"/>
          <w:numId w:val="17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552292">
        <w:rPr>
          <w:noProof/>
          <w:szCs w:val="22"/>
        </w:rPr>
        <w:t>ste čínskeho</w:t>
      </w:r>
      <w:r w:rsidR="0050435C">
        <w:rPr>
          <w:noProof/>
          <w:szCs w:val="22"/>
        </w:rPr>
        <w:t xml:space="preserve"> (národnosť Han)</w:t>
      </w:r>
      <w:r>
        <w:rPr>
          <w:noProof/>
          <w:szCs w:val="22"/>
        </w:rPr>
        <w:t>, africk</w:t>
      </w:r>
      <w:r w:rsidR="0050435C">
        <w:rPr>
          <w:noProof/>
          <w:szCs w:val="22"/>
        </w:rPr>
        <w:t>ého</w:t>
      </w:r>
      <w:r>
        <w:rPr>
          <w:noProof/>
          <w:szCs w:val="22"/>
        </w:rPr>
        <w:t xml:space="preserve"> alebo indick</w:t>
      </w:r>
      <w:r w:rsidR="0050435C">
        <w:rPr>
          <w:noProof/>
          <w:szCs w:val="22"/>
        </w:rPr>
        <w:t>ého</w:t>
      </w:r>
      <w:r>
        <w:rPr>
          <w:noProof/>
          <w:szCs w:val="22"/>
        </w:rPr>
        <w:t xml:space="preserve"> pôvod</w:t>
      </w:r>
      <w:r w:rsidR="0050435C">
        <w:rPr>
          <w:noProof/>
          <w:szCs w:val="22"/>
        </w:rPr>
        <w:t>u.</w:t>
      </w:r>
    </w:p>
    <w:p w:rsidR="002A6D0E" w:rsidRPr="00201149" w:rsidRDefault="002A6D0E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</w:t>
      </w:r>
      <w:r w:rsidR="00052AA2" w:rsidRPr="00201149">
        <w:rPr>
          <w:sz w:val="22"/>
          <w:szCs w:val="22"/>
        </w:rPr>
        <w:t xml:space="preserve"> </w:t>
      </w:r>
      <w:r w:rsidR="001E723B" w:rsidRPr="00201149">
        <w:rPr>
          <w:sz w:val="22"/>
          <w:szCs w:val="22"/>
        </w:rPr>
        <w:t>ťažkosti s</w:t>
      </w:r>
      <w:r w:rsidRPr="00201149">
        <w:rPr>
          <w:sz w:val="22"/>
          <w:szCs w:val="22"/>
        </w:rPr>
        <w:t xml:space="preserve"> </w:t>
      </w:r>
      <w:r w:rsidR="00372ADA" w:rsidRPr="00201149">
        <w:rPr>
          <w:sz w:val="22"/>
          <w:szCs w:val="22"/>
        </w:rPr>
        <w:t>oblič</w:t>
      </w:r>
      <w:r w:rsidR="001E723B" w:rsidRPr="00201149">
        <w:rPr>
          <w:sz w:val="22"/>
          <w:szCs w:val="22"/>
        </w:rPr>
        <w:t>kami</w:t>
      </w:r>
      <w:r w:rsidR="00372ADA" w:rsidRPr="00201149">
        <w:rPr>
          <w:sz w:val="22"/>
          <w:szCs w:val="22"/>
        </w:rPr>
        <w:t xml:space="preserve"> alebo </w:t>
      </w:r>
      <w:r w:rsidRPr="00201149">
        <w:rPr>
          <w:sz w:val="22"/>
          <w:szCs w:val="22"/>
        </w:rPr>
        <w:t>peče</w:t>
      </w:r>
      <w:r w:rsidR="001E723B" w:rsidRPr="00201149">
        <w:rPr>
          <w:sz w:val="22"/>
          <w:szCs w:val="22"/>
        </w:rPr>
        <w:t>ňou</w:t>
      </w:r>
      <w:r w:rsidR="00052AA2" w:rsidRPr="00201149">
        <w:rPr>
          <w:sz w:val="22"/>
          <w:szCs w:val="22"/>
        </w:rPr>
        <w:t>.</w:t>
      </w:r>
      <w:r w:rsidR="00372ADA" w:rsidRPr="00201149">
        <w:rPr>
          <w:sz w:val="22"/>
          <w:szCs w:val="22"/>
        </w:rPr>
        <w:t xml:space="preserve"> Váš lekár </w:t>
      </w:r>
      <w:r w:rsidR="000230AD" w:rsidRPr="00201149">
        <w:rPr>
          <w:sz w:val="22"/>
          <w:szCs w:val="22"/>
        </w:rPr>
        <w:t>v</w:t>
      </w:r>
      <w:r w:rsidR="00372ADA" w:rsidRPr="00201149">
        <w:rPr>
          <w:sz w:val="22"/>
          <w:szCs w:val="22"/>
        </w:rPr>
        <w:t xml:space="preserve">ám môže predpísať nižšiu dávku lieku alebo </w:t>
      </w:r>
      <w:r w:rsidR="000230AD" w:rsidRPr="00201149">
        <w:rPr>
          <w:sz w:val="22"/>
          <w:szCs w:val="22"/>
        </w:rPr>
        <w:t>v</w:t>
      </w:r>
      <w:r w:rsidR="00543CB2" w:rsidRPr="00201149">
        <w:rPr>
          <w:sz w:val="22"/>
          <w:szCs w:val="22"/>
        </w:rPr>
        <w:t xml:space="preserve">ám predĺži časový odstup medzi dávkami. Lekár </w:t>
      </w:r>
      <w:r w:rsidR="000230AD" w:rsidRPr="00201149">
        <w:rPr>
          <w:sz w:val="22"/>
          <w:szCs w:val="22"/>
        </w:rPr>
        <w:t>vás</w:t>
      </w:r>
      <w:r w:rsidR="00543CB2" w:rsidRPr="00201149">
        <w:rPr>
          <w:sz w:val="22"/>
          <w:szCs w:val="22"/>
        </w:rPr>
        <w:t xml:space="preserve"> bude pozornejšie sledovať.</w:t>
      </w:r>
    </w:p>
    <w:p w:rsidR="00543CB2" w:rsidRPr="00201149" w:rsidRDefault="00543CB2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ťažkosti so srdcom alebo máte vysoký krvný tlak</w:t>
      </w:r>
      <w:r w:rsidR="002432C5">
        <w:rPr>
          <w:sz w:val="22"/>
          <w:szCs w:val="22"/>
        </w:rPr>
        <w:t xml:space="preserve"> a ak užívate diuretiká </w:t>
      </w:r>
      <w:r w:rsidR="0050435C">
        <w:rPr>
          <w:sz w:val="22"/>
          <w:szCs w:val="22"/>
        </w:rPr>
        <w:t xml:space="preserve">(lieky na odvodnenie) </w:t>
      </w:r>
      <w:r w:rsidR="002432C5">
        <w:rPr>
          <w:sz w:val="22"/>
          <w:szCs w:val="22"/>
        </w:rPr>
        <w:t>a/alebo lieky nazývané ACE inhibítory</w:t>
      </w:r>
      <w:r w:rsidRPr="00201149">
        <w:rPr>
          <w:sz w:val="22"/>
          <w:szCs w:val="22"/>
        </w:rPr>
        <w:t>,</w:t>
      </w:r>
    </w:p>
    <w:p w:rsidR="00120ED1" w:rsidRDefault="000230AD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záchvat dny</w:t>
      </w:r>
      <w:r w:rsidR="00120ED1">
        <w:rPr>
          <w:sz w:val="22"/>
          <w:szCs w:val="22"/>
        </w:rPr>
        <w:t>,</w:t>
      </w:r>
    </w:p>
    <w:p w:rsidR="002A6D0E" w:rsidRPr="00201149" w:rsidRDefault="00120ED1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problémy so štítnou žľazou.</w:t>
      </w:r>
    </w:p>
    <w:p w:rsidR="000230AD" w:rsidRPr="00201149" w:rsidRDefault="000230AD" w:rsidP="000230AD">
      <w:pPr>
        <w:pStyle w:val="Default"/>
        <w:spacing w:after="38"/>
        <w:rPr>
          <w:sz w:val="22"/>
          <w:szCs w:val="22"/>
        </w:rPr>
      </w:pPr>
      <w:r w:rsidRPr="00201149">
        <w:rPr>
          <w:sz w:val="22"/>
          <w:szCs w:val="22"/>
        </w:rPr>
        <w:lastRenderedPageBreak/>
        <w:t>Ak si nie ste istý, či sa vás týka niektorý z vyššie uvedených stavov, poraďte sa so svojím lekárom alebo lekárnikom, pred začatím liečby alopurinolom.</w:t>
      </w:r>
    </w:p>
    <w:p w:rsidR="000230AD" w:rsidRPr="00201149" w:rsidRDefault="000230AD" w:rsidP="003314BC">
      <w:pPr>
        <w:pStyle w:val="Default"/>
        <w:rPr>
          <w:b/>
          <w:bCs/>
          <w:sz w:val="22"/>
          <w:szCs w:val="22"/>
        </w:rPr>
      </w:pPr>
    </w:p>
    <w:p w:rsidR="004918F0" w:rsidRPr="00201149" w:rsidRDefault="000230AD" w:rsidP="000230AD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Pri užívaní alopurinolu boli zaznamenané závažné kožné vyrážky (hypersenzitívny syndróm, Stevensov-Johnsonov syndróm a toxická epidermálna nekrolýza)</w:t>
      </w:r>
      <w:r w:rsidR="00151FFE" w:rsidRPr="00201149">
        <w:rPr>
          <w:rFonts w:eastAsiaTheme="minorHAnsi"/>
          <w:szCs w:val="22"/>
          <w:lang w:eastAsia="en-US"/>
        </w:rPr>
        <w:t xml:space="preserve">. </w:t>
      </w:r>
      <w:r w:rsidRPr="00201149">
        <w:rPr>
          <w:rFonts w:eastAsiaTheme="minorHAnsi"/>
          <w:szCs w:val="22"/>
          <w:lang w:eastAsia="en-US"/>
        </w:rPr>
        <w:t>Vyrážky sa zvyčajne objav</w:t>
      </w:r>
      <w:r w:rsidR="00151FFE" w:rsidRPr="00201149">
        <w:rPr>
          <w:rFonts w:eastAsiaTheme="minorHAnsi"/>
          <w:szCs w:val="22"/>
          <w:lang w:eastAsia="en-US"/>
        </w:rPr>
        <w:t>ili</w:t>
      </w:r>
      <w:r w:rsidRPr="00201149">
        <w:rPr>
          <w:rFonts w:eastAsiaTheme="minorHAnsi"/>
          <w:szCs w:val="22"/>
          <w:lang w:eastAsia="en-US"/>
        </w:rPr>
        <w:t xml:space="preserve"> </w:t>
      </w:r>
      <w:r w:rsidR="00151FFE" w:rsidRPr="00201149">
        <w:rPr>
          <w:rFonts w:eastAsiaTheme="minorHAnsi"/>
          <w:szCs w:val="22"/>
          <w:lang w:eastAsia="en-US"/>
        </w:rPr>
        <w:t>vo forme</w:t>
      </w:r>
      <w:r w:rsidRPr="00201149">
        <w:rPr>
          <w:rFonts w:eastAsiaTheme="minorHAnsi"/>
          <w:szCs w:val="22"/>
          <w:lang w:eastAsia="en-US"/>
        </w:rPr>
        <w:t xml:space="preserve"> vred</w:t>
      </w:r>
      <w:r w:rsidR="00151FFE" w:rsidRPr="00201149">
        <w:rPr>
          <w:rFonts w:eastAsiaTheme="minorHAnsi"/>
          <w:szCs w:val="22"/>
          <w:lang w:eastAsia="en-US"/>
        </w:rPr>
        <w:t>ov</w:t>
      </w:r>
      <w:r w:rsidRPr="00201149">
        <w:rPr>
          <w:rFonts w:eastAsiaTheme="minorHAnsi"/>
          <w:szCs w:val="22"/>
          <w:lang w:eastAsia="en-US"/>
        </w:rPr>
        <w:t xml:space="preserve"> v ústach, v hrdle, v nose,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 xml:space="preserve">na </w:t>
      </w:r>
      <w:r w:rsidR="00367425" w:rsidRPr="00201149">
        <w:rPr>
          <w:rFonts w:eastAsiaTheme="minorHAnsi"/>
          <w:szCs w:val="22"/>
          <w:lang w:eastAsia="en-US"/>
        </w:rPr>
        <w:t>pohlavných orgánoch</w:t>
      </w:r>
      <w:r w:rsidRPr="00201149">
        <w:rPr>
          <w:rFonts w:eastAsiaTheme="minorHAnsi"/>
          <w:szCs w:val="22"/>
          <w:lang w:eastAsia="en-US"/>
        </w:rPr>
        <w:t xml:space="preserve"> alebo </w:t>
      </w:r>
      <w:r w:rsidR="00367425" w:rsidRPr="00201149">
        <w:rPr>
          <w:rFonts w:eastAsiaTheme="minorHAnsi"/>
          <w:szCs w:val="22"/>
          <w:lang w:eastAsia="en-US"/>
        </w:rPr>
        <w:t xml:space="preserve">ako </w:t>
      </w:r>
      <w:r w:rsidRPr="00201149">
        <w:rPr>
          <w:rFonts w:eastAsiaTheme="minorHAnsi"/>
          <w:szCs w:val="22"/>
          <w:lang w:eastAsia="en-US"/>
        </w:rPr>
        <w:t>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 xml:space="preserve">viek (červené a opuchnuté oči). </w:t>
      </w:r>
      <w:r w:rsidR="004918F0" w:rsidRPr="00201149">
        <w:rPr>
          <w:rFonts w:eastAsiaTheme="minorHAnsi"/>
          <w:szCs w:val="22"/>
          <w:lang w:eastAsia="en-US"/>
        </w:rPr>
        <w:t xml:space="preserve">Týmto závažným kožným reakciám predchádzali príznaky podobné chrípke, ako sú horúčka, bolesť hlavy, celkové bolesti tela (ako pri chrípke). </w:t>
      </w:r>
      <w:r w:rsidRPr="00201149">
        <w:rPr>
          <w:rFonts w:eastAsiaTheme="minorHAnsi"/>
          <w:szCs w:val="22"/>
          <w:lang w:eastAsia="en-US"/>
        </w:rPr>
        <w:t>Vyrážka sa môže vyvinúť do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>rozsiahlych pľuzgierov alebo odlupovania kože.</w:t>
      </w:r>
      <w:r w:rsidR="004918F0" w:rsidRPr="00201149">
        <w:rPr>
          <w:rFonts w:eastAsiaTheme="minorHAnsi"/>
          <w:szCs w:val="22"/>
          <w:lang w:eastAsia="en-US"/>
        </w:rPr>
        <w:t xml:space="preserve"> Tieto závažné kožné reakcie </w:t>
      </w:r>
      <w:r w:rsidR="00D70683" w:rsidRPr="00201149">
        <w:rPr>
          <w:rFonts w:eastAsiaTheme="minorHAnsi"/>
          <w:szCs w:val="22"/>
          <w:lang w:eastAsia="en-US"/>
        </w:rPr>
        <w:t xml:space="preserve">môžu byť častejšie u ľudí čínskeho (národnosť Han), thajského </w:t>
      </w:r>
      <w:r w:rsidR="00D70683" w:rsidRPr="00201149">
        <w:rPr>
          <w:rFonts w:eastAsiaTheme="minorHAnsi"/>
          <w:bCs/>
          <w:szCs w:val="22"/>
          <w:lang w:eastAsia="en-US"/>
        </w:rPr>
        <w:t xml:space="preserve">alebo kórejského </w:t>
      </w:r>
      <w:r w:rsidR="00D70683" w:rsidRPr="00201149">
        <w:rPr>
          <w:rFonts w:eastAsiaTheme="minorHAnsi"/>
          <w:szCs w:val="22"/>
          <w:lang w:eastAsia="en-US"/>
        </w:rPr>
        <w:t xml:space="preserve">pôvodu. </w:t>
      </w:r>
      <w:r w:rsidR="00D70683" w:rsidRPr="00201149">
        <w:rPr>
          <w:rFonts w:eastAsiaTheme="minorHAnsi"/>
          <w:bCs/>
          <w:szCs w:val="22"/>
          <w:lang w:eastAsia="en-US"/>
        </w:rPr>
        <w:t>Chronické ochorenie obličiek môže dodatočne zvýšiť riziko pre týchto pacientov.</w:t>
      </w:r>
    </w:p>
    <w:p w:rsidR="00BB0F8F" w:rsidRPr="00120ED1" w:rsidRDefault="000230AD" w:rsidP="00BB0F8F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120ED1">
        <w:rPr>
          <w:rFonts w:eastAsiaTheme="minorHAnsi"/>
          <w:szCs w:val="22"/>
          <w:lang w:eastAsia="en-US"/>
        </w:rPr>
        <w:t xml:space="preserve">Ak sa u vás </w:t>
      </w:r>
      <w:r w:rsidR="00BB0F8F" w:rsidRPr="00120ED1">
        <w:rPr>
          <w:rFonts w:eastAsiaTheme="minorHAnsi"/>
          <w:szCs w:val="22"/>
          <w:lang w:eastAsia="en-US"/>
        </w:rPr>
        <w:t xml:space="preserve">objavia vyrážky alebo vyššie uvedené kožné reakcie, </w:t>
      </w:r>
      <w:r w:rsidR="00BB0F8F" w:rsidRPr="006B2AF5">
        <w:rPr>
          <w:rFonts w:eastAsiaTheme="minorHAnsi"/>
          <w:szCs w:val="22"/>
          <w:lang w:eastAsia="en-US"/>
        </w:rPr>
        <w:t>prestaňte užívať alopurinol a ihneď vyhľadajte svojho lekára.</w:t>
      </w:r>
    </w:p>
    <w:p w:rsidR="000230AD" w:rsidRDefault="000230AD" w:rsidP="000230AD">
      <w:pPr>
        <w:pStyle w:val="Default"/>
        <w:rPr>
          <w:bCs/>
          <w:sz w:val="22"/>
          <w:szCs w:val="22"/>
        </w:rPr>
      </w:pPr>
    </w:p>
    <w:p w:rsidR="0050435C" w:rsidRDefault="0050435C" w:rsidP="0050435C">
      <w:pPr>
        <w:ind w:left="0" w:firstLine="0"/>
        <w:rPr>
          <w:szCs w:val="22"/>
          <w:lang w:eastAsia="cs-CZ"/>
        </w:rPr>
      </w:pPr>
      <w:r>
        <w:rPr>
          <w:szCs w:val="22"/>
        </w:rPr>
        <w:t>Ak máte nádorové ochorenie alebo Leschov-Nyhanov syndróm, môže sa zvýšiť množstvo kyseliny močovej v moči. Aby ste tomu zabránili, je dôležité prijímať dostatok tekutín, aby ste zriedili váš moč.</w:t>
      </w:r>
    </w:p>
    <w:p w:rsidR="0050435C" w:rsidRDefault="0050435C" w:rsidP="0050435C">
      <w:pPr>
        <w:rPr>
          <w:szCs w:val="22"/>
        </w:rPr>
      </w:pPr>
    </w:p>
    <w:p w:rsidR="0050435C" w:rsidRDefault="0050435C" w:rsidP="0050435C">
      <w:pPr>
        <w:rPr>
          <w:szCs w:val="22"/>
        </w:rPr>
      </w:pPr>
      <w:r>
        <w:rPr>
          <w:szCs w:val="22"/>
        </w:rPr>
        <w:t>V prípade, že máte obličkové kamene, môžu sa zmenšiť a vojsť do močového traktu.</w:t>
      </w:r>
    </w:p>
    <w:p w:rsidR="00120ED1" w:rsidRPr="006B2AF5" w:rsidRDefault="00120ED1" w:rsidP="00120ED1">
      <w:pPr>
        <w:ind w:left="0" w:firstLine="0"/>
        <w:rPr>
          <w:noProof/>
          <w:szCs w:val="22"/>
          <w:highlight w:val="yellow"/>
        </w:rPr>
      </w:pPr>
    </w:p>
    <w:p w:rsidR="0050435C" w:rsidRPr="006B2AF5" w:rsidRDefault="0050435C" w:rsidP="006B2AF5">
      <w:pPr>
        <w:rPr>
          <w:b/>
          <w:noProof/>
          <w:szCs w:val="22"/>
        </w:rPr>
      </w:pPr>
      <w:r w:rsidRPr="006B2AF5">
        <w:rPr>
          <w:b/>
          <w:noProof/>
          <w:szCs w:val="22"/>
        </w:rPr>
        <w:t>Deti</w:t>
      </w:r>
    </w:p>
    <w:p w:rsidR="0050435C" w:rsidRDefault="0050435C" w:rsidP="0050435C">
      <w:pPr>
        <w:ind w:left="0" w:firstLine="0"/>
        <w:rPr>
          <w:szCs w:val="22"/>
        </w:rPr>
      </w:pPr>
      <w:r w:rsidRPr="0050435C">
        <w:rPr>
          <w:szCs w:val="22"/>
        </w:rPr>
        <w:t>Použitie u detí je zriedkav</w:t>
      </w:r>
      <w:r w:rsidR="004A251E">
        <w:rPr>
          <w:szCs w:val="22"/>
        </w:rPr>
        <w:t>o indikované</w:t>
      </w:r>
      <w:r w:rsidRPr="0050435C">
        <w:rPr>
          <w:szCs w:val="22"/>
        </w:rPr>
        <w:t>, okrem niektorých</w:t>
      </w:r>
      <w:r>
        <w:rPr>
          <w:szCs w:val="22"/>
        </w:rPr>
        <w:t xml:space="preserve"> typov nádorových ochorení (obzvlášť leukémi</w:t>
      </w:r>
      <w:r w:rsidR="007201BD">
        <w:rPr>
          <w:szCs w:val="22"/>
        </w:rPr>
        <w:t>e</w:t>
      </w:r>
      <w:r>
        <w:rPr>
          <w:szCs w:val="22"/>
        </w:rPr>
        <w:t xml:space="preserve">) alebo </w:t>
      </w:r>
      <w:r w:rsidR="004A251E">
        <w:rPr>
          <w:szCs w:val="22"/>
        </w:rPr>
        <w:t>určitých</w:t>
      </w:r>
      <w:r>
        <w:rPr>
          <w:szCs w:val="22"/>
        </w:rPr>
        <w:t xml:space="preserve"> porúch enzýmov ako napr. Leschov-Nyhanov syndróm.</w:t>
      </w:r>
    </w:p>
    <w:p w:rsidR="00120ED1" w:rsidRPr="00201149" w:rsidRDefault="00120ED1" w:rsidP="00120ED1">
      <w:pPr>
        <w:pStyle w:val="Default"/>
        <w:rPr>
          <w:bCs/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b/>
          <w:noProof/>
          <w:szCs w:val="22"/>
        </w:rPr>
        <w:t>Iné lieky a</w:t>
      </w:r>
      <w:r w:rsidR="00DE3DEF" w:rsidRPr="00201149">
        <w:rPr>
          <w:b/>
          <w:noProof/>
          <w:szCs w:val="22"/>
        </w:rPr>
        <w:t> </w:t>
      </w:r>
      <w:r w:rsidR="00587F97" w:rsidRPr="00201149">
        <w:rPr>
          <w:b/>
          <w:noProof/>
          <w:szCs w:val="22"/>
        </w:rPr>
        <w:t>A</w:t>
      </w:r>
      <w:r w:rsidR="00DE3DEF" w:rsidRPr="00201149">
        <w:rPr>
          <w:b/>
          <w:noProof/>
          <w:szCs w:val="22"/>
        </w:rPr>
        <w:t xml:space="preserve">lopurinol </w:t>
      </w:r>
      <w:r w:rsidR="00587F97" w:rsidRPr="00201149">
        <w:rPr>
          <w:b/>
          <w:noProof/>
          <w:szCs w:val="22"/>
        </w:rPr>
        <w:t>Sandoz</w:t>
      </w:r>
    </w:p>
    <w:p w:rsidR="00073152" w:rsidRPr="00201149" w:rsidRDefault="00DE3DEF" w:rsidP="00073152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Skôr ako začnete užívať tento liek, povedzte svojmu lekárovi, ak užívate</w:t>
      </w:r>
      <w:r w:rsidR="00073152" w:rsidRPr="00201149">
        <w:rPr>
          <w:b/>
          <w:sz w:val="22"/>
          <w:szCs w:val="22"/>
        </w:rPr>
        <w:t xml:space="preserve">: </w:t>
      </w:r>
    </w:p>
    <w:p w:rsidR="00A95A28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6</w:t>
      </w:r>
      <w:r w:rsidRPr="00201149">
        <w:rPr>
          <w:sz w:val="22"/>
          <w:szCs w:val="22"/>
        </w:rPr>
        <w:noBreakHyphen/>
        <w:t>merkaptopurín (používaný na liečbu rakoviny krvi)</w:t>
      </w:r>
      <w:r w:rsidR="000374DB" w:rsidRPr="00201149">
        <w:rPr>
          <w:sz w:val="22"/>
          <w:szCs w:val="22"/>
        </w:rPr>
        <w:t>,</w:t>
      </w:r>
    </w:p>
    <w:p w:rsidR="00073152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azatioprin, cyklosporín (používané na potlačenie imunitného systému). Treba vziať na vedomie že vedľajšie účinky cyklosporínu sa môžu objaviť častejšie.</w:t>
      </w:r>
    </w:p>
    <w:p w:rsidR="00A95A28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vidarabín (používaný na liečbu herpesu). Treba vziať na vedomie že vedľajšie účinky vidarabínu sa môžu objaviť častejšie. Ak sa vyskytnú, buďte obzvlášť opatrný.</w:t>
      </w:r>
    </w:p>
    <w:p w:rsidR="00120ED1" w:rsidRPr="004B0FDA" w:rsidRDefault="0050435C" w:rsidP="0050435C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didanozín používaný na liečbu HIV (vírus ľudskej imunodeficiencie) infekcie</w:t>
      </w:r>
    </w:p>
    <w:p w:rsidR="00120ED1" w:rsidRPr="0050435C" w:rsidRDefault="0050435C" w:rsidP="0050435C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50435C">
        <w:rPr>
          <w:sz w:val="22"/>
          <w:szCs w:val="22"/>
        </w:rPr>
        <w:t>ampicilín</w:t>
      </w:r>
      <w:r>
        <w:rPr>
          <w:sz w:val="22"/>
          <w:szCs w:val="22"/>
        </w:rPr>
        <w:t xml:space="preserve"> a </w:t>
      </w:r>
      <w:r w:rsidRPr="0050435C">
        <w:rPr>
          <w:sz w:val="22"/>
          <w:szCs w:val="22"/>
        </w:rPr>
        <w:t>amoxicilín</w:t>
      </w:r>
      <w:r>
        <w:rPr>
          <w:sz w:val="22"/>
          <w:szCs w:val="22"/>
        </w:rPr>
        <w:t xml:space="preserve"> (</w:t>
      </w:r>
      <w:r w:rsidRPr="0050435C">
        <w:rPr>
          <w:sz w:val="22"/>
          <w:szCs w:val="22"/>
        </w:rPr>
        <w:t>používané na liečbu bakteriálnych infekcií</w:t>
      </w:r>
      <w:r>
        <w:rPr>
          <w:sz w:val="22"/>
          <w:szCs w:val="22"/>
        </w:rPr>
        <w:t>)</w:t>
      </w:r>
    </w:p>
    <w:p w:rsidR="00A95A28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salicyláty (používané na t</w:t>
      </w:r>
      <w:r w:rsidR="000374DB" w:rsidRPr="00201149">
        <w:rPr>
          <w:sz w:val="22"/>
          <w:szCs w:val="22"/>
        </w:rPr>
        <w:t>lmenie</w:t>
      </w:r>
      <w:r w:rsidRPr="00201149">
        <w:rPr>
          <w:sz w:val="22"/>
          <w:szCs w:val="22"/>
        </w:rPr>
        <w:t xml:space="preserve"> bolesti, horúčky alebo zápalu, napr. kyselina acetylsalicylová).</w:t>
      </w:r>
    </w:p>
    <w:p w:rsidR="00BC17B5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probenecid (používaný na liečbu dny)</w:t>
      </w:r>
      <w:r w:rsidR="000374DB" w:rsidRPr="00201149">
        <w:rPr>
          <w:sz w:val="22"/>
          <w:szCs w:val="22"/>
        </w:rPr>
        <w:t>,</w:t>
      </w:r>
    </w:p>
    <w:p w:rsidR="00BC17B5" w:rsidRPr="00201149" w:rsidRDefault="00B02ED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chlórpropamid (používaný na liečbu </w:t>
      </w:r>
      <w:r w:rsidR="000374DB" w:rsidRPr="00201149">
        <w:rPr>
          <w:sz w:val="22"/>
          <w:szCs w:val="22"/>
        </w:rPr>
        <w:t>cukrovky</w:t>
      </w:r>
      <w:r w:rsidRPr="00201149">
        <w:rPr>
          <w:sz w:val="22"/>
          <w:szCs w:val="22"/>
        </w:rPr>
        <w:t>). Môže byť potrebné zníženie dávky chlórpropamidu, hlavne u pacientov s poruchou funkcie obličiek.</w:t>
      </w:r>
    </w:p>
    <w:p w:rsidR="00B02ED8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w</w:t>
      </w:r>
      <w:r w:rsidR="00B02ED8" w:rsidRPr="00201149">
        <w:rPr>
          <w:sz w:val="22"/>
          <w:szCs w:val="22"/>
        </w:rPr>
        <w:t>arfarín</w:t>
      </w:r>
      <w:r w:rsidRPr="00201149">
        <w:rPr>
          <w:sz w:val="22"/>
          <w:szCs w:val="22"/>
        </w:rPr>
        <w:t xml:space="preserve">, fenoprokumón, acenokumarol (používané na zriedenie krvi). Váš lekár vám bude častejšie kontrolovať </w:t>
      </w:r>
      <w:r w:rsidR="007E69BD" w:rsidRPr="00201149">
        <w:rPr>
          <w:sz w:val="22"/>
          <w:szCs w:val="22"/>
        </w:rPr>
        <w:t xml:space="preserve">zrážavosť </w:t>
      </w:r>
      <w:r w:rsidRPr="00201149">
        <w:rPr>
          <w:sz w:val="22"/>
          <w:szCs w:val="22"/>
        </w:rPr>
        <w:t>krvi a ak to bude potrebné, zníži dávkovanie lieku.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fenytoín (používaný na liečbu epilepsie)</w:t>
      </w:r>
      <w:r w:rsidR="000374DB" w:rsidRPr="00201149">
        <w:rPr>
          <w:sz w:val="22"/>
          <w:szCs w:val="22"/>
        </w:rPr>
        <w:t>,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teofylín (používaný na liečbu astmy a iných ochorení </w:t>
      </w:r>
      <w:r w:rsidR="007E69BD" w:rsidRPr="00201149">
        <w:rPr>
          <w:sz w:val="22"/>
          <w:szCs w:val="22"/>
        </w:rPr>
        <w:t>súvisiacich s </w:t>
      </w:r>
      <w:r w:rsidRPr="00201149">
        <w:rPr>
          <w:color w:val="000000" w:themeColor="text1"/>
          <w:sz w:val="22"/>
          <w:szCs w:val="22"/>
        </w:rPr>
        <w:t>dých</w:t>
      </w:r>
      <w:r w:rsidR="007E69BD" w:rsidRPr="00201149">
        <w:rPr>
          <w:color w:val="000000" w:themeColor="text1"/>
          <w:sz w:val="22"/>
          <w:szCs w:val="22"/>
        </w:rPr>
        <w:t>aním).</w:t>
      </w:r>
      <w:r w:rsidRPr="00201149">
        <w:rPr>
          <w:sz w:val="22"/>
          <w:szCs w:val="22"/>
        </w:rPr>
        <w:t xml:space="preserve"> Váš lekár </w:t>
      </w:r>
      <w:r w:rsidR="00745394" w:rsidRPr="00201149">
        <w:rPr>
          <w:sz w:val="22"/>
          <w:szCs w:val="22"/>
        </w:rPr>
        <w:t>vám zmeria</w:t>
      </w:r>
      <w:r w:rsidRPr="00201149">
        <w:rPr>
          <w:sz w:val="22"/>
          <w:szCs w:val="22"/>
        </w:rPr>
        <w:t xml:space="preserve"> hladinu teofylínu v krvi, najmä na začiatku liečby alopurinolom</w:t>
      </w:r>
      <w:r w:rsidR="00745394" w:rsidRPr="00201149">
        <w:rPr>
          <w:sz w:val="22"/>
          <w:szCs w:val="22"/>
        </w:rPr>
        <w:t xml:space="preserve"> alebo pri zmenách v dávkovaní lieku.</w:t>
      </w:r>
    </w:p>
    <w:p w:rsidR="00745394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ampicilín a amoxicilín (používané na liečbu bakteriálnych infekcií). Keďže je pravdepodobn</w:t>
      </w:r>
      <w:r w:rsidR="000374DB" w:rsidRPr="00201149">
        <w:rPr>
          <w:sz w:val="22"/>
          <w:szCs w:val="22"/>
        </w:rPr>
        <w:t>ý</w:t>
      </w:r>
      <w:r w:rsidRPr="00201149">
        <w:rPr>
          <w:sz w:val="22"/>
          <w:szCs w:val="22"/>
        </w:rPr>
        <w:t xml:space="preserve"> výskyt alergických reakcií, pacienti majú podľa možnosti užívať iné antibiotiká. </w:t>
      </w:r>
    </w:p>
    <w:p w:rsidR="00120ED1" w:rsidRPr="00842479" w:rsidRDefault="0050435C" w:rsidP="0050435C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lieky na </w:t>
      </w:r>
      <w:r w:rsidR="004A251E">
        <w:rPr>
          <w:sz w:val="22"/>
          <w:szCs w:val="22"/>
        </w:rPr>
        <w:t>problémy so</w:t>
      </w:r>
      <w:r>
        <w:rPr>
          <w:sz w:val="22"/>
          <w:szCs w:val="22"/>
        </w:rPr>
        <w:t xml:space="preserve"> srdc</w:t>
      </w:r>
      <w:r w:rsidR="004A251E">
        <w:rPr>
          <w:sz w:val="22"/>
          <w:szCs w:val="22"/>
        </w:rPr>
        <w:t>om</w:t>
      </w:r>
      <w:r>
        <w:rPr>
          <w:sz w:val="22"/>
          <w:szCs w:val="22"/>
        </w:rPr>
        <w:t xml:space="preserve"> alebo vysoký krvný tlak, ako sú ACE inhibítory alebo tablety</w:t>
      </w:r>
      <w:r w:rsidR="00204A2F">
        <w:rPr>
          <w:sz w:val="22"/>
          <w:szCs w:val="22"/>
        </w:rPr>
        <w:t xml:space="preserve"> na odvodnenie</w:t>
      </w:r>
      <w:r>
        <w:rPr>
          <w:sz w:val="22"/>
          <w:szCs w:val="22"/>
        </w:rPr>
        <w:t xml:space="preserve"> (diuretiká)</w:t>
      </w:r>
    </w:p>
    <w:p w:rsidR="00794C99" w:rsidRPr="00201149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lie</w:t>
      </w:r>
      <w:r w:rsidR="00120ED1">
        <w:rPr>
          <w:sz w:val="22"/>
          <w:szCs w:val="22"/>
        </w:rPr>
        <w:t>ky</w:t>
      </w:r>
      <w:r w:rsidRPr="00201149">
        <w:rPr>
          <w:sz w:val="22"/>
          <w:szCs w:val="22"/>
        </w:rPr>
        <w:t xml:space="preserve"> na liečbu agresívnych foriem nádorov, ako sú</w:t>
      </w:r>
      <w:r w:rsidR="000374DB" w:rsidRPr="00201149">
        <w:rPr>
          <w:sz w:val="22"/>
          <w:szCs w:val="22"/>
        </w:rPr>
        <w:t>: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cyklofosfamid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doxorubicín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bleomycín</w:t>
      </w:r>
    </w:p>
    <w:p w:rsidR="007E69BD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prokarbazín</w:t>
      </w:r>
    </w:p>
    <w:p w:rsidR="00120ED1" w:rsidRDefault="00E27EFB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mechlóretamín</w:t>
      </w:r>
    </w:p>
    <w:p w:rsidR="00794C99" w:rsidRPr="00201149" w:rsidRDefault="00120ED1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>
        <w:rPr>
          <w:sz w:val="22"/>
          <w:szCs w:val="22"/>
        </w:rPr>
        <w:lastRenderedPageBreak/>
        <w:t>alkylh</w:t>
      </w:r>
      <w:r w:rsidR="00797715">
        <w:rPr>
          <w:sz w:val="22"/>
          <w:szCs w:val="22"/>
        </w:rPr>
        <w:t>alogeni</w:t>
      </w:r>
      <w:r>
        <w:rPr>
          <w:sz w:val="22"/>
          <w:szCs w:val="22"/>
        </w:rPr>
        <w:t>dy.</w:t>
      </w:r>
    </w:p>
    <w:p w:rsidR="00E27EFB" w:rsidRPr="00201149" w:rsidRDefault="00E27EFB" w:rsidP="00E27EFB">
      <w:pPr>
        <w:pStyle w:val="Default"/>
        <w:spacing w:after="35"/>
        <w:ind w:left="567"/>
        <w:rPr>
          <w:sz w:val="22"/>
          <w:szCs w:val="22"/>
        </w:rPr>
      </w:pPr>
      <w:r w:rsidRPr="00201149">
        <w:rPr>
          <w:sz w:val="22"/>
          <w:szCs w:val="22"/>
        </w:rPr>
        <w:t>Váš lekár vám bude pravidelne kontrolovať krvný obraz.</w:t>
      </w:r>
    </w:p>
    <w:p w:rsidR="00E27EFB" w:rsidRPr="00201149" w:rsidRDefault="00E27EFB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didanozín (používaný na liečbu HIV infekcií)</w:t>
      </w:r>
    </w:p>
    <w:p w:rsidR="00BD77FF" w:rsidRPr="00201149" w:rsidRDefault="00BD77FF" w:rsidP="00BD77FF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kaptopril (používaný na liečbu vysokého krvného tlaku).</w:t>
      </w:r>
    </w:p>
    <w:p w:rsidR="00FA7A2E" w:rsidRPr="00201149" w:rsidRDefault="00D70683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bCs/>
          <w:sz w:val="22"/>
          <w:szCs w:val="22"/>
        </w:rPr>
        <w:t>Ak sa súbežne užíva hydroxid hlinitý,</w:t>
      </w:r>
      <w:r w:rsidR="00BD77FF" w:rsidRPr="00201149">
        <w:rPr>
          <w:bCs/>
          <w:sz w:val="22"/>
          <w:szCs w:val="22"/>
        </w:rPr>
        <w:t xml:space="preserve"> </w:t>
      </w:r>
      <w:r w:rsidRPr="00201149">
        <w:rPr>
          <w:bCs/>
          <w:sz w:val="22"/>
          <w:szCs w:val="22"/>
        </w:rPr>
        <w:t>alopurinol môže mať oslabený účinok. Medzi týmito dvoma liekmi musí byť minimálne 3 hodinový časový odstup.</w:t>
      </w:r>
    </w:p>
    <w:p w:rsidR="00D70683" w:rsidRPr="00201149" w:rsidRDefault="00D70683" w:rsidP="00D7068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35"/>
        <w:ind w:left="567" w:hanging="567"/>
        <w:rPr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>Pri podávaní alopurinolu a cytostatík (napr. cyklofosfamid, doxorubicín, bleomycín, prokarbazín, alkylhalogenidy) sa dyskrázie krvi (ochorenia krvi) vyskytujú častejšie , ako keď sa tieto liečivá podávajú samostatne. Preto sa má pravidelne sledovať krvný obraz.</w:t>
      </w:r>
    </w:p>
    <w:p w:rsidR="00D70683" w:rsidRPr="00201149" w:rsidRDefault="00E27EFB" w:rsidP="00D70683">
      <w:pPr>
        <w:pStyle w:val="Default"/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Riziko výskytu kožných reakcií môže stúpať, hlavne ak máte dlhodobo zníženú funkciu obličiek.</w:t>
      </w:r>
    </w:p>
    <w:p w:rsidR="00BB0C62" w:rsidRPr="00201149" w:rsidRDefault="00BB0C62" w:rsidP="00E27EFB">
      <w:pPr>
        <w:pStyle w:val="Default"/>
        <w:spacing w:after="35"/>
        <w:ind w:left="567"/>
        <w:rPr>
          <w:sz w:val="22"/>
          <w:szCs w:val="22"/>
        </w:rPr>
      </w:pPr>
    </w:p>
    <w:p w:rsidR="00587F97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:rsidR="00E27EFB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Tehotenstvo </w:t>
      </w:r>
      <w:r w:rsidR="00F437EC" w:rsidRPr="00201149">
        <w:rPr>
          <w:b/>
          <w:noProof/>
          <w:szCs w:val="22"/>
        </w:rPr>
        <w:t>a </w:t>
      </w:r>
      <w:r w:rsidRPr="00201149">
        <w:rPr>
          <w:b/>
          <w:noProof/>
          <w:szCs w:val="22"/>
        </w:rPr>
        <w:t>dojčenie</w:t>
      </w:r>
    </w:p>
    <w:p w:rsidR="0089364E" w:rsidRPr="00201149" w:rsidRDefault="00D70683" w:rsidP="00A342CF">
      <w:pPr>
        <w:pStyle w:val="Default"/>
        <w:rPr>
          <w:bCs/>
          <w:sz w:val="22"/>
          <w:szCs w:val="22"/>
        </w:rPr>
      </w:pPr>
      <w:r w:rsidRPr="00201149">
        <w:rPr>
          <w:bCs/>
          <w:sz w:val="22"/>
          <w:szCs w:val="22"/>
        </w:rPr>
        <w:t>Alopurinol je vylučovaný do ľudského mlieka. Počas dojčenia sa užívanie alopurinolu neodporúča.</w:t>
      </w:r>
    </w:p>
    <w:p w:rsidR="00A342CF" w:rsidRPr="00201149" w:rsidRDefault="00B8698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Vedenie vozidiel a obsluha strojov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Alopurinol môže vyvolať závraty, ospa</w:t>
      </w:r>
      <w:r w:rsidR="007E69BD" w:rsidRPr="00201149">
        <w:rPr>
          <w:noProof/>
          <w:szCs w:val="22"/>
        </w:rPr>
        <w:t>nlivosť</w:t>
      </w:r>
      <w:r w:rsidRPr="00201149">
        <w:rPr>
          <w:noProof/>
          <w:szCs w:val="22"/>
        </w:rPr>
        <w:t xml:space="preserve"> a môže mať vplyv na vašu koordináciu. Ak pociťujete niečo z uvedeného, neveďte vozidlá, neobsluhujte stroje ani sa nezúčastňujte na nebezpečných činnostiach.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Alopurinol Sandoz obsahuje laktózu. 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Ak vám váš lekár povedal, že neznášate niek</w:t>
      </w:r>
      <w:r w:rsidR="00B319F8" w:rsidRPr="00201149">
        <w:rPr>
          <w:noProof/>
          <w:szCs w:val="22"/>
        </w:rPr>
        <w:t>to</w:t>
      </w:r>
      <w:r w:rsidRPr="00201149">
        <w:rPr>
          <w:noProof/>
          <w:szCs w:val="22"/>
        </w:rPr>
        <w:t xml:space="preserve">ré cukry, </w:t>
      </w:r>
      <w:r w:rsidR="00B319F8" w:rsidRPr="00201149">
        <w:rPr>
          <w:noProof/>
          <w:szCs w:val="22"/>
        </w:rPr>
        <w:t>kontaktujte svojho lekára pred užitím tohto</w:t>
      </w:r>
      <w:r w:rsidRPr="00201149">
        <w:rPr>
          <w:noProof/>
          <w:szCs w:val="22"/>
        </w:rPr>
        <w:t xml:space="preserve"> liek</w:t>
      </w:r>
      <w:r w:rsidR="00B319F8" w:rsidRPr="00201149">
        <w:rPr>
          <w:noProof/>
          <w:szCs w:val="22"/>
        </w:rPr>
        <w:t>u</w:t>
      </w:r>
      <w:r w:rsidRPr="00201149">
        <w:rPr>
          <w:noProof/>
          <w:szCs w:val="22"/>
        </w:rPr>
        <w:t>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3.</w:t>
      </w:r>
      <w:r w:rsidRPr="00201149">
        <w:rPr>
          <w:b/>
          <w:noProof/>
          <w:szCs w:val="22"/>
        </w:rPr>
        <w:tab/>
        <w:t>Ako užívať</w:t>
      </w:r>
      <w:r w:rsidR="00A342CF" w:rsidRPr="00201149">
        <w:rPr>
          <w:b/>
          <w:noProof/>
          <w:szCs w:val="22"/>
        </w:rPr>
        <w:t xml:space="preserve"> A</w:t>
      </w:r>
      <w:r w:rsidR="00CB207A" w:rsidRPr="00201149">
        <w:rPr>
          <w:b/>
          <w:noProof/>
          <w:szCs w:val="22"/>
        </w:rPr>
        <w:t>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342CF" w:rsidRPr="00201149" w:rsidRDefault="0004513E" w:rsidP="00A342CF">
      <w:pPr>
        <w:ind w:left="0" w:firstLine="0"/>
        <w:rPr>
          <w:szCs w:val="22"/>
        </w:rPr>
      </w:pPr>
      <w:r w:rsidRPr="00201149">
        <w:rPr>
          <w:bCs/>
          <w:noProof/>
          <w:szCs w:val="22"/>
        </w:rPr>
        <w:t xml:space="preserve">Vždy užívajte </w:t>
      </w:r>
      <w:r w:rsidRPr="00201149">
        <w:rPr>
          <w:noProof/>
          <w:szCs w:val="22"/>
        </w:rPr>
        <w:t>tento liek</w:t>
      </w:r>
      <w:r w:rsidRPr="00201149">
        <w:rPr>
          <w:bCs/>
          <w:noProof/>
          <w:szCs w:val="22"/>
        </w:rPr>
        <w:t xml:space="preserve"> presne tak, ako vám povedal váš lekár. Ak si nie ste niečím istý, overte si to u svojho lekára</w:t>
      </w:r>
      <w:r w:rsidR="00CB7D1E" w:rsidRPr="00201149">
        <w:rPr>
          <w:bCs/>
          <w:noProof/>
          <w:szCs w:val="22"/>
        </w:rPr>
        <w:t xml:space="preserve"> alebo lekárnika</w:t>
      </w:r>
      <w:r w:rsidR="00A342CF" w:rsidRPr="00201149">
        <w:rPr>
          <w:bCs/>
          <w:noProof/>
          <w:szCs w:val="22"/>
        </w:rPr>
        <w:t>.</w:t>
      </w:r>
    </w:p>
    <w:p w:rsidR="00A342CF" w:rsidRPr="00201149" w:rsidRDefault="00A342CF" w:rsidP="00A342CF">
      <w:pPr>
        <w:ind w:left="0" w:firstLine="0"/>
        <w:rPr>
          <w:szCs w:val="22"/>
        </w:rPr>
      </w:pPr>
    </w:p>
    <w:p w:rsidR="00CB7D1E" w:rsidRPr="00201149" w:rsidRDefault="00CB7D1E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Tablety sa majú prehĺtať </w:t>
      </w:r>
      <w:r w:rsidR="00052AA2" w:rsidRPr="00201149">
        <w:rPr>
          <w:sz w:val="22"/>
          <w:szCs w:val="22"/>
        </w:rPr>
        <w:t xml:space="preserve">najlepšie </w:t>
      </w:r>
      <w:r w:rsidR="00313797" w:rsidRPr="00201149">
        <w:rPr>
          <w:sz w:val="22"/>
          <w:szCs w:val="22"/>
        </w:rPr>
        <w:t xml:space="preserve">s </w:t>
      </w:r>
      <w:r w:rsidRPr="00201149">
        <w:rPr>
          <w:sz w:val="22"/>
          <w:szCs w:val="22"/>
        </w:rPr>
        <w:t xml:space="preserve">pohárom vody. </w:t>
      </w:r>
      <w:r w:rsidR="00313797" w:rsidRPr="00201149">
        <w:rPr>
          <w:sz w:val="22"/>
          <w:szCs w:val="22"/>
        </w:rPr>
        <w:t xml:space="preserve">Deliaca ryha iba pomáha rozlomiť tabletu, aby sa dala ľahšie prehltnúť. </w:t>
      </w:r>
      <w:r w:rsidR="00052AA2" w:rsidRPr="00201149">
        <w:rPr>
          <w:sz w:val="22"/>
          <w:szCs w:val="22"/>
        </w:rPr>
        <w:t xml:space="preserve">Tablety užívajte </w:t>
      </w:r>
      <w:r w:rsidRPr="00201149">
        <w:rPr>
          <w:sz w:val="22"/>
          <w:szCs w:val="22"/>
        </w:rPr>
        <w:t xml:space="preserve">po jedle. </w:t>
      </w:r>
      <w:r w:rsidR="004B4902" w:rsidRPr="00201149">
        <w:rPr>
          <w:sz w:val="22"/>
          <w:szCs w:val="22"/>
        </w:rPr>
        <w:t xml:space="preserve">Ak </w:t>
      </w:r>
      <w:r w:rsidRPr="00201149">
        <w:rPr>
          <w:sz w:val="22"/>
          <w:szCs w:val="22"/>
        </w:rPr>
        <w:t>užívate tento liek, pite dostatočné množstvo tekutín (2</w:t>
      </w:r>
      <w:r w:rsidRPr="00201149">
        <w:rPr>
          <w:sz w:val="22"/>
          <w:szCs w:val="22"/>
        </w:rPr>
        <w:noBreakHyphen/>
        <w:t>3 litre denne).</w:t>
      </w:r>
    </w:p>
    <w:p w:rsidR="00CB7D1E" w:rsidRPr="00201149" w:rsidRDefault="00CB7D1E" w:rsidP="00055651">
      <w:pPr>
        <w:pStyle w:val="Default"/>
        <w:rPr>
          <w:sz w:val="22"/>
          <w:szCs w:val="22"/>
        </w:rPr>
      </w:pPr>
    </w:p>
    <w:p w:rsidR="00A342CF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Odporúčaná</w:t>
      </w:r>
      <w:r w:rsidR="00A342CF" w:rsidRPr="00201149">
        <w:rPr>
          <w:sz w:val="22"/>
          <w:szCs w:val="22"/>
        </w:rPr>
        <w:t xml:space="preserve"> dávka </w:t>
      </w:r>
      <w:r w:rsidR="00CB7D1E" w:rsidRPr="00201149">
        <w:rPr>
          <w:sz w:val="22"/>
          <w:szCs w:val="22"/>
        </w:rPr>
        <w:t>je:</w:t>
      </w:r>
    </w:p>
    <w:p w:rsidR="00120ED1" w:rsidRPr="00201149" w:rsidRDefault="00120ED1" w:rsidP="00055651">
      <w:pPr>
        <w:pStyle w:val="Default"/>
        <w:rPr>
          <w:sz w:val="22"/>
          <w:szCs w:val="22"/>
        </w:rPr>
      </w:pPr>
    </w:p>
    <w:p w:rsidR="00873121" w:rsidRPr="00201149" w:rsidRDefault="004B4902" w:rsidP="00055651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873121" w:rsidRPr="00201149">
        <w:rPr>
          <w:b/>
          <w:sz w:val="22"/>
          <w:szCs w:val="22"/>
        </w:rPr>
        <w:t>u dospelých (vrátane st</w:t>
      </w:r>
      <w:r w:rsidR="001A32ED" w:rsidRPr="00201149">
        <w:rPr>
          <w:b/>
          <w:sz w:val="22"/>
          <w:szCs w:val="22"/>
        </w:rPr>
        <w:t>ar</w:t>
      </w:r>
      <w:r w:rsidR="00873121" w:rsidRPr="00201149">
        <w:rPr>
          <w:b/>
          <w:sz w:val="22"/>
          <w:szCs w:val="22"/>
        </w:rPr>
        <w:t>ších ľudí)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Začiatočná dávka: 100</w:t>
      </w:r>
      <w:r w:rsidRPr="00201149">
        <w:rPr>
          <w:sz w:val="22"/>
          <w:szCs w:val="22"/>
        </w:rPr>
        <w:noBreakHyphen/>
        <w:t>300 mg/deň.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Po začatí liečby vám môže váš lekár predpísať aj protizápalové lieky alebo kolchicín na mesiac liečby alebo viac na prevenciu záchvatov dnavej artritídy.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Dávku alopurinolu vám môžu upraviť podľa závažnosti vášho stavu. 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Udržiavacia dávka je: 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mierne závažné stavy, 100</w:t>
      </w:r>
      <w:r w:rsidRPr="00201149">
        <w:rPr>
          <w:sz w:val="22"/>
          <w:szCs w:val="22"/>
        </w:rPr>
        <w:noBreakHyphen/>
        <w:t>200 mg/deň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stredne závažné stavy, 300</w:t>
      </w:r>
      <w:r w:rsidRPr="00201149">
        <w:rPr>
          <w:sz w:val="22"/>
          <w:szCs w:val="22"/>
        </w:rPr>
        <w:noBreakHyphen/>
        <w:t>600 mg/deň</w:t>
      </w:r>
    </w:p>
    <w:p w:rsidR="0005565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závažné stavy, 700</w:t>
      </w:r>
      <w:r w:rsidRPr="00201149">
        <w:rPr>
          <w:sz w:val="22"/>
          <w:szCs w:val="22"/>
        </w:rPr>
        <w:noBreakHyphen/>
        <w:t>900 mg/deň.</w:t>
      </w:r>
      <w:r w:rsidR="00A342CF" w:rsidRPr="00201149">
        <w:rPr>
          <w:sz w:val="22"/>
          <w:szCs w:val="22"/>
        </w:rPr>
        <w:t xml:space="preserve"> </w:t>
      </w:r>
    </w:p>
    <w:p w:rsidR="00A342CF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Váš lekár vám môže zmeniť dávku lieku aj keď máte zníženú funkciu obličiek a pečene, obzvlášť ak ste starší pacient.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lastRenderedPageBreak/>
        <w:t>Ak denná dávka presiahne 300 mg/deň a</w:t>
      </w:r>
      <w:r w:rsidR="0019184A" w:rsidRPr="00201149">
        <w:rPr>
          <w:sz w:val="22"/>
          <w:szCs w:val="22"/>
        </w:rPr>
        <w:t> </w:t>
      </w:r>
      <w:r w:rsidR="004B4902" w:rsidRPr="00201149">
        <w:rPr>
          <w:sz w:val="22"/>
          <w:szCs w:val="22"/>
        </w:rPr>
        <w:t xml:space="preserve">máte </w:t>
      </w:r>
      <w:r w:rsidR="0019184A" w:rsidRPr="00201149">
        <w:rPr>
          <w:sz w:val="22"/>
          <w:szCs w:val="22"/>
        </w:rPr>
        <w:t>žalúdočno-črevn</w:t>
      </w:r>
      <w:r w:rsidR="004B4902" w:rsidRPr="00201149">
        <w:rPr>
          <w:sz w:val="22"/>
          <w:szCs w:val="22"/>
        </w:rPr>
        <w:t>é</w:t>
      </w:r>
      <w:r w:rsidR="0019184A" w:rsidRPr="00201149">
        <w:rPr>
          <w:sz w:val="22"/>
          <w:szCs w:val="22"/>
        </w:rPr>
        <w:t xml:space="preserve"> vedľa</w:t>
      </w:r>
      <w:r w:rsidR="00690561" w:rsidRPr="00201149">
        <w:rPr>
          <w:sz w:val="22"/>
          <w:szCs w:val="22"/>
        </w:rPr>
        <w:t>j</w:t>
      </w:r>
      <w:r w:rsidR="0019184A" w:rsidRPr="00201149">
        <w:rPr>
          <w:sz w:val="22"/>
          <w:szCs w:val="22"/>
        </w:rPr>
        <w:t>š</w:t>
      </w:r>
      <w:r w:rsidR="004B4902" w:rsidRPr="00201149">
        <w:rPr>
          <w:sz w:val="22"/>
          <w:szCs w:val="22"/>
        </w:rPr>
        <w:t>ie</w:t>
      </w:r>
      <w:r w:rsidR="0019184A" w:rsidRPr="00201149">
        <w:rPr>
          <w:sz w:val="22"/>
          <w:szCs w:val="22"/>
        </w:rPr>
        <w:t xml:space="preserve"> účink</w:t>
      </w:r>
      <w:r w:rsidR="004B4902" w:rsidRPr="00201149">
        <w:rPr>
          <w:sz w:val="22"/>
          <w:szCs w:val="22"/>
        </w:rPr>
        <w:t>y,</w:t>
      </w:r>
      <w:r w:rsidR="0019184A" w:rsidRPr="00201149">
        <w:rPr>
          <w:sz w:val="22"/>
          <w:szCs w:val="22"/>
        </w:rPr>
        <w:t xml:space="preserve"> ako sú nevoľnosť a vracanie (pozri časť 4), váš lekár vám môže predpísať alopurinol v rozdelených dávkach, aby sa znížilo riziko týchto účinkov.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19184A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Ak máte závažné ochorenie obličiek</w:t>
      </w:r>
    </w:p>
    <w:p w:rsidR="0019184A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menej ako 100 mg denne</w:t>
      </w:r>
    </w:p>
    <w:p w:rsidR="00F02BCB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100 mg s dlhším časovým odstupom ako jeden deň.</w:t>
      </w:r>
    </w:p>
    <w:p w:rsidR="00873121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chodíte na dialýzu dva</w:t>
      </w:r>
      <w:r w:rsidR="004B4902" w:rsidRPr="00201149">
        <w:rPr>
          <w:sz w:val="22"/>
          <w:szCs w:val="22"/>
        </w:rPr>
        <w:t>-</w:t>
      </w:r>
      <w:r w:rsidRPr="00201149">
        <w:rPr>
          <w:sz w:val="22"/>
          <w:szCs w:val="22"/>
        </w:rPr>
        <w:t xml:space="preserve"> až trikrát týždenne, váš lekár vám môže predpísať dávku 300 mg alebo 400 mg, ktorú budete užívať hne</w:t>
      </w:r>
      <w:r w:rsidR="001A32ED" w:rsidRPr="00201149">
        <w:rPr>
          <w:sz w:val="22"/>
          <w:szCs w:val="22"/>
        </w:rPr>
        <w:t>ď</w:t>
      </w:r>
      <w:r w:rsidRPr="00201149">
        <w:rPr>
          <w:sz w:val="22"/>
          <w:szCs w:val="22"/>
        </w:rPr>
        <w:t xml:space="preserve"> po dialýze.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</w:p>
    <w:p w:rsidR="00772172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Užívanie</w:t>
      </w:r>
      <w:r w:rsidR="00772172" w:rsidRPr="00201149">
        <w:rPr>
          <w:b/>
          <w:sz w:val="22"/>
          <w:szCs w:val="22"/>
        </w:rPr>
        <w:t xml:space="preserve"> u detí a dospievajúcich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873121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F02BCB" w:rsidRPr="00201149">
        <w:rPr>
          <w:b/>
          <w:sz w:val="22"/>
          <w:szCs w:val="22"/>
        </w:rPr>
        <w:t>u detí (mladších ako 15 rokov)</w:t>
      </w:r>
      <w:r w:rsidR="00D14F49" w:rsidRPr="00201149">
        <w:rPr>
          <w:b/>
          <w:sz w:val="22"/>
          <w:szCs w:val="22"/>
        </w:rPr>
        <w:t xml:space="preserve"> </w:t>
      </w:r>
      <w:r w:rsidR="00D14F49" w:rsidRPr="00201149">
        <w:rPr>
          <w:sz w:val="22"/>
          <w:szCs w:val="22"/>
        </w:rPr>
        <w:t>s telesnou hmotnosťou 15 kg alebo viac</w:t>
      </w:r>
    </w:p>
    <w:p w:rsidR="00D14F49" w:rsidRPr="00201149" w:rsidRDefault="00D14F49" w:rsidP="00D14F49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D14F49" w:rsidRPr="00201149" w:rsidRDefault="00D14F49" w:rsidP="00D14F49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  <w:highlight w:val="lightGray"/>
        </w:rPr>
        <w:t xml:space="preserve">Použitie u detí (mladších ako 15 rokov) </w:t>
      </w:r>
      <w:r w:rsidRPr="00201149">
        <w:rPr>
          <w:sz w:val="22"/>
          <w:szCs w:val="22"/>
          <w:highlight w:val="lightGray"/>
        </w:rPr>
        <w:t>s telesnou hmotnosťou 45 kg alebo viac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Zvyčajná dávka: 10 až 20 mg na kilogram telesnej hmotnosti denne, rozdelených do 3 dávok.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Maximálna dávka: 400 mg alopurinolu denne.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Liečba môže prebiehať súbežne s podávaním protizápalových liekov alebo kolchicínu, dávku je možné upraviť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ak máte zníženú funkciu obličiek a</w:t>
      </w:r>
      <w:r w:rsidR="004B4902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pečene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alebo je možné rozdeliť dávku, aby sa znížilo riziko žalúdočno-črevných vedľajších účinkov, podobne ako </w:t>
      </w:r>
      <w:r w:rsidR="004B4902" w:rsidRPr="00201149">
        <w:rPr>
          <w:sz w:val="22"/>
          <w:szCs w:val="22"/>
        </w:rPr>
        <w:t>je uvedené pre</w:t>
      </w:r>
      <w:r w:rsidRPr="00201149">
        <w:rPr>
          <w:sz w:val="22"/>
          <w:szCs w:val="22"/>
        </w:rPr>
        <w:t> dospelých vyššie.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</w:p>
    <w:p w:rsidR="00A342CF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užijete viac </w:t>
      </w:r>
      <w:r w:rsidR="00055651" w:rsidRPr="00201149">
        <w:rPr>
          <w:b/>
          <w:noProof/>
          <w:sz w:val="22"/>
          <w:szCs w:val="22"/>
        </w:rPr>
        <w:t>A</w:t>
      </w:r>
      <w:r w:rsidR="00D14F49" w:rsidRPr="00201149">
        <w:rPr>
          <w:b/>
          <w:noProof/>
          <w:sz w:val="22"/>
          <w:szCs w:val="22"/>
        </w:rPr>
        <w:t xml:space="preserve">lopurinolu </w:t>
      </w:r>
      <w:r w:rsidR="00055651" w:rsidRPr="00201149">
        <w:rPr>
          <w:b/>
          <w:noProof/>
          <w:sz w:val="22"/>
          <w:szCs w:val="22"/>
        </w:rPr>
        <w:t>Sandoz</w:t>
      </w:r>
      <w:r w:rsidRPr="00201149">
        <w:rPr>
          <w:b/>
          <w:bCs/>
          <w:sz w:val="22"/>
          <w:szCs w:val="22"/>
        </w:rPr>
        <w:t xml:space="preserve">, ako máte </w:t>
      </w:r>
    </w:p>
    <w:p w:rsidR="00055651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užijete</w:t>
      </w:r>
      <w:r w:rsidR="00D14F49" w:rsidRPr="00201149">
        <w:rPr>
          <w:sz w:val="22"/>
          <w:szCs w:val="22"/>
        </w:rPr>
        <w:t xml:space="preserve"> vy (alebo niekto iný)</w:t>
      </w:r>
      <w:r w:rsidRPr="00201149">
        <w:rPr>
          <w:sz w:val="22"/>
          <w:szCs w:val="22"/>
        </w:rPr>
        <w:t xml:space="preserve"> priveľa tabliet </w:t>
      </w:r>
      <w:r w:rsidR="00D14F49" w:rsidRPr="00201149">
        <w:rPr>
          <w:sz w:val="22"/>
          <w:szCs w:val="22"/>
        </w:rPr>
        <w:t xml:space="preserve">naraz alebo ak si myslíte, že </w:t>
      </w:r>
      <w:r w:rsidR="008C1988" w:rsidRPr="00201149">
        <w:rPr>
          <w:sz w:val="22"/>
          <w:szCs w:val="22"/>
        </w:rPr>
        <w:t>tablety prehltlo dieťa, ihneď vyhľadajte najbližšiu pohotovosť alebo svojho lekára. Predávkovanie pravdepodobne vyvolá účinky, ako sú nevoľnosť, vracanie, hnačka alebo závraty. Túto písomnú informáciu, všetky zvyšné tablety a obal zoberte, prosím, so sebou na pohotovosť alebo k svojmu lekárovi, aby vedeli</w:t>
      </w:r>
      <w:r w:rsidR="004B4902" w:rsidRPr="00201149">
        <w:rPr>
          <w:sz w:val="22"/>
          <w:szCs w:val="22"/>
        </w:rPr>
        <w:t>,</w:t>
      </w:r>
      <w:r w:rsidR="008C1988" w:rsidRPr="00201149">
        <w:rPr>
          <w:sz w:val="22"/>
          <w:szCs w:val="22"/>
        </w:rPr>
        <w:t xml:space="preserve"> aké tablety ste užili.</w:t>
      </w:r>
    </w:p>
    <w:p w:rsidR="008C1988" w:rsidRPr="00201149" w:rsidRDefault="008C1988" w:rsidP="00055651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b/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zabudnete užiť </w:t>
      </w:r>
      <w:r w:rsidR="00055651" w:rsidRPr="00201149">
        <w:rPr>
          <w:b/>
          <w:noProof/>
          <w:sz w:val="22"/>
          <w:szCs w:val="22"/>
        </w:rPr>
        <w:t>A</w:t>
      </w:r>
      <w:r w:rsidR="008C1988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Ak zabudnete užiť </w:t>
      </w:r>
      <w:r w:rsidR="006943BD" w:rsidRPr="00201149">
        <w:rPr>
          <w:sz w:val="22"/>
          <w:szCs w:val="22"/>
        </w:rPr>
        <w:t xml:space="preserve">tabletu, </w:t>
      </w:r>
      <w:r w:rsidRPr="00201149">
        <w:rPr>
          <w:sz w:val="22"/>
          <w:szCs w:val="22"/>
        </w:rPr>
        <w:t>užite</w:t>
      </w:r>
      <w:r w:rsidR="006943BD" w:rsidRPr="00201149">
        <w:rPr>
          <w:sz w:val="22"/>
          <w:szCs w:val="22"/>
        </w:rPr>
        <w:t xml:space="preserve"> jednu tabletu</w:t>
      </w:r>
      <w:r w:rsidRPr="00201149">
        <w:rPr>
          <w:sz w:val="22"/>
          <w:szCs w:val="22"/>
        </w:rPr>
        <w:t xml:space="preserve"> hneď, ako si spomeniete</w:t>
      </w:r>
      <w:r w:rsidR="006943BD" w:rsidRPr="00201149">
        <w:rPr>
          <w:sz w:val="22"/>
          <w:szCs w:val="22"/>
        </w:rPr>
        <w:t xml:space="preserve">, </w:t>
      </w:r>
      <w:r w:rsidR="004B4902" w:rsidRPr="00201149">
        <w:rPr>
          <w:sz w:val="22"/>
          <w:szCs w:val="22"/>
        </w:rPr>
        <w:t xml:space="preserve">ak </w:t>
      </w:r>
      <w:r w:rsidR="006943BD" w:rsidRPr="00201149">
        <w:rPr>
          <w:sz w:val="22"/>
          <w:szCs w:val="22"/>
        </w:rPr>
        <w:t xml:space="preserve">sa </w:t>
      </w:r>
      <w:r w:rsidR="004B4902" w:rsidRPr="00201149">
        <w:rPr>
          <w:sz w:val="22"/>
          <w:szCs w:val="22"/>
        </w:rPr>
        <w:t xml:space="preserve">už </w:t>
      </w:r>
      <w:r w:rsidR="006943BD" w:rsidRPr="00201149">
        <w:rPr>
          <w:sz w:val="22"/>
          <w:szCs w:val="22"/>
        </w:rPr>
        <w:t>neblíži čas podania ďalšej dávky.</w:t>
      </w:r>
      <w:r w:rsidRPr="00201149">
        <w:rPr>
          <w:sz w:val="22"/>
          <w:szCs w:val="22"/>
        </w:rPr>
        <w:t xml:space="preserve"> Neužívajte dvojnásobnú dávku, aby ste nahradili vynechanú </w:t>
      </w:r>
      <w:r w:rsidR="006943BD" w:rsidRPr="00201149">
        <w:rPr>
          <w:sz w:val="22"/>
          <w:szCs w:val="22"/>
        </w:rPr>
        <w:t>dávku. Ďalšiu dávku užite vo zvyčajnom čase.</w:t>
      </w:r>
    </w:p>
    <w:p w:rsidR="00055651" w:rsidRPr="00201149" w:rsidRDefault="00055651" w:rsidP="00A342CF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prestanete užívať </w:t>
      </w:r>
      <w:r w:rsidR="00055651" w:rsidRPr="00201149">
        <w:rPr>
          <w:b/>
          <w:noProof/>
          <w:sz w:val="22"/>
          <w:szCs w:val="22"/>
        </w:rPr>
        <w:t>A</w:t>
      </w:r>
      <w:r w:rsidR="006943BD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3072C5" w:rsidP="00A342CF">
      <w:pPr>
        <w:ind w:left="0" w:firstLine="0"/>
        <w:rPr>
          <w:bCs/>
          <w:noProof/>
          <w:szCs w:val="22"/>
        </w:rPr>
      </w:pPr>
      <w:r w:rsidRPr="00201149">
        <w:rPr>
          <w:szCs w:val="22"/>
        </w:rPr>
        <w:t xml:space="preserve">Tento liek máte užívať tak dlho, ako vám povedal váš lekár. </w:t>
      </w:r>
      <w:r w:rsidR="00A342CF" w:rsidRPr="00201149">
        <w:rPr>
          <w:szCs w:val="22"/>
        </w:rPr>
        <w:t xml:space="preserve">Neprestaňte </w:t>
      </w:r>
      <w:r w:rsidR="00772172" w:rsidRPr="00201149">
        <w:rPr>
          <w:szCs w:val="22"/>
        </w:rPr>
        <w:t xml:space="preserve">liek </w:t>
      </w:r>
      <w:r w:rsidR="00A342CF" w:rsidRPr="00201149">
        <w:rPr>
          <w:szCs w:val="22"/>
        </w:rPr>
        <w:t xml:space="preserve">užívať, </w:t>
      </w:r>
      <w:r w:rsidR="00825EA5" w:rsidRPr="00201149">
        <w:rPr>
          <w:szCs w:val="22"/>
        </w:rPr>
        <w:t xml:space="preserve">ak </w:t>
      </w:r>
      <w:r w:rsidR="00A342CF" w:rsidRPr="00201149">
        <w:rPr>
          <w:szCs w:val="22"/>
        </w:rPr>
        <w:t>vám to neodporuč</w:t>
      </w:r>
      <w:r w:rsidR="00772172" w:rsidRPr="00201149">
        <w:rPr>
          <w:szCs w:val="22"/>
        </w:rPr>
        <w:t>il</w:t>
      </w:r>
      <w:r w:rsidR="00A342CF" w:rsidRPr="00201149">
        <w:rPr>
          <w:szCs w:val="22"/>
        </w:rPr>
        <w:t xml:space="preserve"> váš lekár.</w:t>
      </w:r>
    </w:p>
    <w:p w:rsidR="0004513E" w:rsidRPr="00201149" w:rsidRDefault="0004513E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  <w:r w:rsidRPr="00201149">
        <w:rPr>
          <w:bCs/>
          <w:noProof/>
          <w:szCs w:val="22"/>
        </w:rPr>
        <w:t>Ak máte akékoľvek ďalšie otázky týkajúce sa použitia tohto lieku, opýtajte sa svojho lekára alebo lekárnika.</w:t>
      </w: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4.</w:t>
      </w:r>
      <w:r w:rsidRPr="00201149">
        <w:rPr>
          <w:b/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01149">
        <w:rPr>
          <w:noProof/>
          <w:szCs w:val="22"/>
        </w:rPr>
        <w:t>Tak ako všetky lieky, aj tento liek môže spôsobovať vedľajšie účinky, hoci sa neprejavia u každého.</w:t>
      </w:r>
      <w:r w:rsidR="00902704" w:rsidRPr="00201149">
        <w:rPr>
          <w:noProof/>
          <w:szCs w:val="22"/>
        </w:rPr>
        <w:t xml:space="preserve"> Počas liečby týmto liekom sa môžu vyskytnúť nasledujúce vedľajšie účinky: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5294D" w:rsidRDefault="00902704" w:rsidP="0055294D">
      <w:pPr>
        <w:pStyle w:val="Default"/>
        <w:rPr>
          <w:b/>
          <w:bCs/>
          <w:sz w:val="22"/>
          <w:szCs w:val="22"/>
        </w:rPr>
      </w:pPr>
      <w:r w:rsidRPr="00201149">
        <w:rPr>
          <w:b/>
          <w:bCs/>
          <w:sz w:val="22"/>
          <w:szCs w:val="22"/>
        </w:rPr>
        <w:t>Ak sa u vás vyskytne akýkoľvek z nasleduj</w:t>
      </w:r>
      <w:r w:rsidR="008D3A4E" w:rsidRPr="00201149">
        <w:rPr>
          <w:b/>
          <w:bCs/>
          <w:sz w:val="22"/>
          <w:szCs w:val="22"/>
        </w:rPr>
        <w:t>úcich vedľajších účinkov, prestaň</w:t>
      </w:r>
      <w:r w:rsidRPr="00201149">
        <w:rPr>
          <w:b/>
          <w:bCs/>
          <w:sz w:val="22"/>
          <w:szCs w:val="22"/>
        </w:rPr>
        <w:t xml:space="preserve">te užívať tablety a ihneď sa poraďte so svojím lekárom: </w:t>
      </w:r>
    </w:p>
    <w:p w:rsidR="00120ED1" w:rsidRDefault="00120ED1" w:rsidP="0055294D">
      <w:pPr>
        <w:pStyle w:val="Default"/>
        <w:rPr>
          <w:sz w:val="22"/>
          <w:szCs w:val="22"/>
        </w:rPr>
      </w:pPr>
    </w:p>
    <w:p w:rsidR="00120ED1" w:rsidRPr="006B2AF5" w:rsidRDefault="00120ED1" w:rsidP="0055294D">
      <w:pPr>
        <w:pStyle w:val="Default"/>
        <w:rPr>
          <w:b/>
          <w:sz w:val="22"/>
          <w:szCs w:val="22"/>
        </w:rPr>
      </w:pPr>
      <w:r w:rsidRPr="006B2AF5">
        <w:rPr>
          <w:b/>
          <w:sz w:val="22"/>
          <w:szCs w:val="22"/>
        </w:rPr>
        <w:t>Hypersenzitivita</w:t>
      </w:r>
    </w:p>
    <w:p w:rsidR="00120ED1" w:rsidRPr="00201149" w:rsidRDefault="00120ED1" w:rsidP="005529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Príznaky môžu zahŕňať:</w:t>
      </w:r>
    </w:p>
    <w:p w:rsidR="009E6268" w:rsidRPr="00201149" w:rsidRDefault="0055294D" w:rsidP="0055294D">
      <w:pPr>
        <w:numPr>
          <w:ilvl w:val="12"/>
          <w:numId w:val="0"/>
        </w:numPr>
        <w:ind w:right="-29"/>
        <w:rPr>
          <w:i/>
          <w:iCs/>
          <w:szCs w:val="22"/>
        </w:rPr>
      </w:pPr>
      <w:r w:rsidRPr="00201149">
        <w:rPr>
          <w:i/>
          <w:iCs/>
          <w:szCs w:val="22"/>
        </w:rPr>
        <w:t xml:space="preserve">Menej časté (môžu </w:t>
      </w:r>
      <w:r w:rsidR="00825EA5" w:rsidRPr="00201149">
        <w:rPr>
          <w:i/>
          <w:iCs/>
          <w:szCs w:val="22"/>
        </w:rPr>
        <w:t xml:space="preserve">postihovať menej ako </w:t>
      </w:r>
      <w:r w:rsidRPr="00201149">
        <w:rPr>
          <w:i/>
          <w:iCs/>
          <w:szCs w:val="22"/>
        </w:rPr>
        <w:t xml:space="preserve">1 zo 100 </w:t>
      </w:r>
      <w:r w:rsidR="00825EA5" w:rsidRPr="00201149">
        <w:rPr>
          <w:i/>
          <w:iCs/>
          <w:szCs w:val="22"/>
        </w:rPr>
        <w:t>osôb</w:t>
      </w:r>
      <w:r w:rsidR="00902704" w:rsidRPr="00201149">
        <w:rPr>
          <w:i/>
          <w:iCs/>
          <w:szCs w:val="22"/>
        </w:rPr>
        <w:t>)</w:t>
      </w:r>
    </w:p>
    <w:p w:rsidR="00902704" w:rsidRPr="00201149" w:rsidRDefault="00902704" w:rsidP="0055294D">
      <w:pPr>
        <w:numPr>
          <w:ilvl w:val="12"/>
          <w:numId w:val="0"/>
        </w:numPr>
        <w:ind w:right="-29"/>
        <w:rPr>
          <w:iCs/>
          <w:szCs w:val="22"/>
        </w:rPr>
      </w:pPr>
      <w:r w:rsidRPr="00201149">
        <w:rPr>
          <w:iCs/>
          <w:szCs w:val="22"/>
        </w:rPr>
        <w:t>Ak máte alergickú reakciu, prestaňte užívať Alopurinol Sandoz a </w:t>
      </w:r>
      <w:r w:rsidR="008D3A4E" w:rsidRPr="00201149">
        <w:rPr>
          <w:iCs/>
          <w:szCs w:val="22"/>
        </w:rPr>
        <w:t>i</w:t>
      </w:r>
      <w:r w:rsidRPr="00201149">
        <w:rPr>
          <w:iCs/>
          <w:szCs w:val="22"/>
        </w:rPr>
        <w:t>hneď vyhľadajte svojho lekára. Príznaky môžu zahŕňať:</w:t>
      </w:r>
    </w:p>
    <w:p w:rsidR="009E6268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t>odlupovanie kože, bolesť alebo vredy na perách alebo v ústach</w:t>
      </w:r>
    </w:p>
    <w:p w:rsidR="00902704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lastRenderedPageBreak/>
        <w:t xml:space="preserve">veľmi zriedkavo môžu príznaky zahŕňať </w:t>
      </w:r>
      <w:r w:rsidR="00723D37" w:rsidRPr="00201149">
        <w:rPr>
          <w:szCs w:val="22"/>
        </w:rPr>
        <w:t>sipot, chvenie</w:t>
      </w:r>
      <w:r w:rsidR="00723D37" w:rsidRPr="00201149">
        <w:rPr>
          <w:rFonts w:eastAsiaTheme="minorHAnsi"/>
          <w:szCs w:val="22"/>
          <w:lang w:eastAsia="en-US"/>
        </w:rPr>
        <w:t xml:space="preserve"> alebo pocit tlaku na hrudi a kolaps.</w:t>
      </w:r>
    </w:p>
    <w:p w:rsidR="0055294D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noProof/>
          <w:szCs w:val="22"/>
        </w:rPr>
        <w:t>Neužívajte ďalšie tablety,</w:t>
      </w:r>
      <w:r w:rsidR="004B4902" w:rsidRPr="00201149">
        <w:rPr>
          <w:noProof/>
          <w:szCs w:val="22"/>
        </w:rPr>
        <w:t>ak</w:t>
      </w:r>
      <w:r w:rsidRPr="00201149">
        <w:rPr>
          <w:noProof/>
          <w:szCs w:val="22"/>
        </w:rPr>
        <w:t xml:space="preserve"> o tom nerozhodne váš lekár.</w:t>
      </w:r>
    </w:p>
    <w:p w:rsidR="00902704" w:rsidRPr="00201149" w:rsidRDefault="00902704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02704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i/>
          <w:iCs/>
          <w:szCs w:val="22"/>
        </w:rPr>
        <w:t>Zriedkavé (môžu postihovať menej ako 1 z 1 000 osôb):</w:t>
      </w:r>
      <w:r w:rsidRPr="00201149">
        <w:rPr>
          <w:noProof/>
          <w:szCs w:val="22"/>
        </w:rPr>
        <w:t xml:space="preserve"> 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horúčka a triaška, bolesť hlavy, bolesť svalov (symptómy podobné chrípke) a celkový pocit choroby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akékoľvek zmeny na koži, napríklad vredy v ústach, v hrdle, v nose, na pohlavných orgánoch a 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>viek (červené a opuchnuté oči), rozsiahle pľuzgiere alebo odlupovanie kože</w:t>
      </w:r>
    </w:p>
    <w:p w:rsidR="0029677F" w:rsidRDefault="00723D37" w:rsidP="00052AA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závažné reakcie z</w:t>
      </w:r>
      <w:r w:rsidR="00AE19EB" w:rsidRPr="00201149">
        <w:rPr>
          <w:rFonts w:eastAsiaTheme="minorHAnsi"/>
          <w:szCs w:val="22"/>
          <w:lang w:eastAsia="en-US"/>
        </w:rPr>
        <w:t> </w:t>
      </w:r>
      <w:r w:rsidRPr="00201149">
        <w:rPr>
          <w:rFonts w:eastAsiaTheme="minorHAnsi"/>
          <w:szCs w:val="22"/>
          <w:lang w:eastAsia="en-US"/>
        </w:rPr>
        <w:t>precitlivenosti</w:t>
      </w:r>
      <w:r w:rsidR="00AE19EB" w:rsidRPr="00201149">
        <w:rPr>
          <w:rFonts w:eastAsiaTheme="minorHAnsi"/>
          <w:szCs w:val="22"/>
          <w:lang w:eastAsia="en-US"/>
        </w:rPr>
        <w:t xml:space="preserve"> zahŕňajúce horúčku, kožnú vyrážku, bolesť kĺbov a </w:t>
      </w:r>
      <w:r w:rsidR="004B4902" w:rsidRPr="00201149">
        <w:rPr>
          <w:rFonts w:eastAsiaTheme="minorHAnsi"/>
          <w:szCs w:val="22"/>
          <w:lang w:eastAsia="en-US"/>
        </w:rPr>
        <w:t>nezvyčajné výsledky</w:t>
      </w:r>
      <w:r w:rsidR="00AE19EB" w:rsidRPr="00201149">
        <w:rPr>
          <w:rFonts w:eastAsiaTheme="minorHAnsi"/>
          <w:szCs w:val="22"/>
          <w:lang w:eastAsia="en-US"/>
        </w:rPr>
        <w:t xml:space="preserve"> krvných a pečeňových testov (môžu byť </w:t>
      </w:r>
      <w:r w:rsidR="004B4902" w:rsidRPr="00201149">
        <w:rPr>
          <w:rFonts w:eastAsiaTheme="minorHAnsi"/>
          <w:szCs w:val="22"/>
          <w:lang w:eastAsia="en-US"/>
        </w:rPr>
        <w:t xml:space="preserve">prejavmi </w:t>
      </w:r>
      <w:r w:rsidR="008D3A4E" w:rsidRPr="00201149">
        <w:rPr>
          <w:rFonts w:eastAsiaTheme="minorHAnsi"/>
          <w:szCs w:val="22"/>
          <w:lang w:eastAsia="en-US"/>
        </w:rPr>
        <w:t>porúch</w:t>
      </w:r>
      <w:r w:rsidR="004B4902" w:rsidRPr="00201149">
        <w:rPr>
          <w:rFonts w:eastAsiaTheme="minorHAnsi"/>
          <w:szCs w:val="22"/>
          <w:lang w:eastAsia="en-US"/>
        </w:rPr>
        <w:t xml:space="preserve"> citlivosti</w:t>
      </w:r>
      <w:r w:rsidR="008D3A4E" w:rsidRPr="00201149">
        <w:rPr>
          <w:rFonts w:eastAsiaTheme="minorHAnsi"/>
          <w:szCs w:val="22"/>
          <w:lang w:eastAsia="en-US"/>
        </w:rPr>
        <w:t xml:space="preserve"> </w:t>
      </w:r>
      <w:r w:rsidR="004B4902" w:rsidRPr="00201149">
        <w:rPr>
          <w:rFonts w:eastAsiaTheme="minorHAnsi"/>
          <w:szCs w:val="22"/>
          <w:lang w:eastAsia="en-US"/>
        </w:rPr>
        <w:t>viacerých orgánov).</w:t>
      </w:r>
    </w:p>
    <w:p w:rsidR="00120ED1" w:rsidRPr="00201149" w:rsidRDefault="003826BB" w:rsidP="00052AA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>
        <w:rPr>
          <w:color w:val="000000"/>
          <w:szCs w:val="22"/>
        </w:rPr>
        <w:t>krvácanie z pier, očí, úst, nosa alebo pohlavných orgánov</w:t>
      </w:r>
      <w:r w:rsidR="00120ED1" w:rsidRPr="0070013A">
        <w:rPr>
          <w:color w:val="000000"/>
          <w:szCs w:val="22"/>
        </w:rPr>
        <w:t>.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552292">
        <w:rPr>
          <w:rFonts w:eastAsiaTheme="minorHAnsi"/>
          <w:b/>
          <w:szCs w:val="22"/>
          <w:lang w:eastAsia="en-US"/>
        </w:rPr>
        <w:t>Ďalšie vedľajšie účinky: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201149">
        <w:rPr>
          <w:rFonts w:eastAsiaTheme="minorHAnsi"/>
          <w:b/>
          <w:szCs w:val="22"/>
          <w:lang w:eastAsia="en-US"/>
        </w:rPr>
        <w:t>Časté (môžu postihovať menej ako 1 z 10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kožná vyrážka</w:t>
      </w:r>
    </w:p>
    <w:p w:rsidR="000A10D5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bCs/>
          <w:szCs w:val="22"/>
          <w:lang w:eastAsia="en-US"/>
        </w:rPr>
        <w:t>zvýšená hladina hormónu stimulujúceho štítnu žľazu v krvi.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b/>
          <w:szCs w:val="22"/>
          <w:lang w:eastAsia="en-US"/>
        </w:rPr>
      </w:pPr>
      <w:r w:rsidRPr="00201149">
        <w:rPr>
          <w:b/>
          <w:iCs/>
          <w:szCs w:val="22"/>
        </w:rPr>
        <w:t>Menej časté (môžu postihovať menej ako 1 zo 100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nutkanie na vracanie (nevoľnosť) alebo vracanie</w:t>
      </w:r>
    </w:p>
    <w:p w:rsidR="0029677F" w:rsidRPr="00201149" w:rsidRDefault="004B490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 xml:space="preserve">nezvyčajné </w:t>
      </w:r>
      <w:r w:rsidR="00942C90" w:rsidRPr="00201149">
        <w:rPr>
          <w:rFonts w:eastAsiaTheme="minorHAnsi"/>
          <w:szCs w:val="22"/>
          <w:lang w:eastAsia="en-US"/>
        </w:rPr>
        <w:t xml:space="preserve">výsledky </w:t>
      </w:r>
      <w:r w:rsidR="0029677F" w:rsidRPr="00201149">
        <w:rPr>
          <w:rFonts w:eastAsiaTheme="minorHAnsi"/>
          <w:szCs w:val="22"/>
          <w:lang w:eastAsia="en-US"/>
        </w:rPr>
        <w:t>pečeňových testov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t>Zriedkavé (môžu postihovať menej ako 1 z 1 000 osôb):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ťažkosti s pečeňou, ako je zápal pečene</w:t>
      </w: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</w:p>
    <w:p w:rsidR="0029677F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t>Veľmi zriedkavé (môžu postihovať menej ako 1 z 10 000 osôb):</w:t>
      </w:r>
    </w:p>
    <w:p w:rsidR="0029677F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 xml:space="preserve">Ojedinele môže Alopurinol Sandoz </w:t>
      </w:r>
      <w:r w:rsidR="00201149" w:rsidRPr="00201149">
        <w:rPr>
          <w:rFonts w:eastAsiaTheme="minorHAnsi"/>
          <w:bCs/>
          <w:szCs w:val="22"/>
          <w:lang w:eastAsia="en-US"/>
        </w:rPr>
        <w:t>ovplyvniť</w:t>
      </w:r>
      <w:r w:rsidRPr="00201149">
        <w:rPr>
          <w:rFonts w:eastAsiaTheme="minorHAnsi"/>
          <w:bCs/>
          <w:szCs w:val="22"/>
          <w:lang w:eastAsia="en-US"/>
        </w:rPr>
        <w:t xml:space="preserve"> vašu krv, čo sa prejaví ľahším vznikom modrín než obyčajne, alebo sa u vás môže rozvinúť bolesť hrdla alebo iné prejavy infekcie. Tieto účinky sa obyčajne objavujú u ľudí s problémami s pečeňou alebo obličkami. Informujte o tom čo najskôr vášho lekára.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Alopurinol Sandoz môže mať účinok na lymfatické uzliny</w:t>
      </w:r>
      <w:r w:rsidR="00942C90" w:rsidRPr="00201149">
        <w:rPr>
          <w:rFonts w:eastAsiaTheme="minorHAnsi"/>
          <w:szCs w:val="22"/>
          <w:lang w:eastAsia="en-US"/>
        </w:rPr>
        <w:t>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vysoká teplota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krv v moči (hematúria)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vysoká hladina cholesterolu v krvi (hyperlipidémia)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celkový pocit choroby alebo pocit slabosti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slabosť, </w:t>
      </w:r>
      <w:r w:rsidR="004B4902" w:rsidRPr="00201149">
        <w:rPr>
          <w:iCs/>
          <w:szCs w:val="22"/>
        </w:rPr>
        <w:t>stŕpnutosť</w:t>
      </w:r>
      <w:r w:rsidR="00067BD2" w:rsidRPr="00201149">
        <w:rPr>
          <w:iCs/>
          <w:szCs w:val="22"/>
        </w:rPr>
        <w:t xml:space="preserve">, </w:t>
      </w:r>
      <w:r w:rsidR="00052AA2" w:rsidRPr="00201149">
        <w:rPr>
          <w:iCs/>
          <w:szCs w:val="22"/>
        </w:rPr>
        <w:t xml:space="preserve">pocit </w:t>
      </w:r>
      <w:r w:rsidR="006B62BF" w:rsidRPr="00201149">
        <w:rPr>
          <w:iCs/>
          <w:szCs w:val="22"/>
        </w:rPr>
        <w:t>nestabilit</w:t>
      </w:r>
      <w:r w:rsidR="00052AA2" w:rsidRPr="00201149">
        <w:rPr>
          <w:iCs/>
          <w:szCs w:val="22"/>
        </w:rPr>
        <w:t>y v</w:t>
      </w:r>
      <w:r w:rsidR="006B62BF" w:rsidRPr="00201149">
        <w:rPr>
          <w:iCs/>
          <w:szCs w:val="22"/>
        </w:rPr>
        <w:t xml:space="preserve"> n</w:t>
      </w:r>
      <w:r w:rsidR="00052AA2" w:rsidRPr="00201149">
        <w:rPr>
          <w:iCs/>
          <w:szCs w:val="22"/>
        </w:rPr>
        <w:t>ohách</w:t>
      </w:r>
      <w:r w:rsidR="00067BD2" w:rsidRPr="00201149">
        <w:rPr>
          <w:iCs/>
          <w:szCs w:val="22"/>
        </w:rPr>
        <w:t>, pocit neschopnosti hýbať svalmi (paralýza) alebo strata vedomia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hlavy, závraty, ospa</w:t>
      </w:r>
      <w:r w:rsidR="00E56A65" w:rsidRPr="00201149">
        <w:rPr>
          <w:iCs/>
          <w:szCs w:val="22"/>
        </w:rPr>
        <w:t>nlivosť</w:t>
      </w:r>
      <w:r w:rsidRPr="00201149">
        <w:rPr>
          <w:iCs/>
          <w:szCs w:val="22"/>
        </w:rPr>
        <w:t xml:space="preserve"> alebo poruchy videnia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na hrudi (angína pektoris), vysoký krvný tlak alebo spomalený pulz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neplodnosť u mužov alebo problémy s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erekciou</w:t>
      </w:r>
      <w:r w:rsidR="00942C90" w:rsidRPr="00201149">
        <w:rPr>
          <w:iCs/>
          <w:szCs w:val="22"/>
        </w:rPr>
        <w:t>,</w:t>
      </w:r>
    </w:p>
    <w:p w:rsidR="007C660B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zväčšenie prsníkov u mužov aj žien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zmeny </w:t>
      </w:r>
      <w:r w:rsidR="00E56A65" w:rsidRPr="00201149">
        <w:rPr>
          <w:iCs/>
          <w:szCs w:val="22"/>
        </w:rPr>
        <w:t>v činnosti</w:t>
      </w:r>
      <w:r w:rsidRPr="00201149">
        <w:rPr>
          <w:iCs/>
          <w:szCs w:val="22"/>
        </w:rPr>
        <w:t xml:space="preserve"> čriev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zmeny chuti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sivý zákal (katarakta)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vypadávanie vlasov alebo zmena  </w:t>
      </w:r>
      <w:r w:rsidR="00942C90" w:rsidRPr="00201149">
        <w:rPr>
          <w:iCs/>
          <w:szCs w:val="22"/>
        </w:rPr>
        <w:t>za</w:t>
      </w:r>
      <w:r w:rsidRPr="00201149">
        <w:rPr>
          <w:iCs/>
          <w:szCs w:val="22"/>
        </w:rPr>
        <w:t>farben</w:t>
      </w:r>
      <w:r w:rsidR="00E56A65" w:rsidRPr="00201149">
        <w:rPr>
          <w:iCs/>
          <w:szCs w:val="22"/>
        </w:rPr>
        <w:t>ia</w:t>
      </w:r>
      <w:r w:rsidRPr="00201149">
        <w:rPr>
          <w:iCs/>
          <w:szCs w:val="22"/>
        </w:rPr>
        <w:t xml:space="preserve"> vlasov</w:t>
      </w:r>
      <w:r w:rsidR="00942C90" w:rsidRPr="00201149">
        <w:rPr>
          <w:iCs/>
          <w:szCs w:val="22"/>
        </w:rPr>
        <w:t>,</w:t>
      </w:r>
    </w:p>
    <w:p w:rsidR="00243B91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depresia</w:t>
      </w:r>
      <w:r w:rsidR="00942C90" w:rsidRPr="00201149">
        <w:rPr>
          <w:iCs/>
          <w:szCs w:val="22"/>
        </w:rPr>
        <w:t>,</w:t>
      </w:r>
    </w:p>
    <w:p w:rsidR="00552292" w:rsidRPr="0070013A" w:rsidRDefault="003826BB" w:rsidP="003826BB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porucha koordinácie </w:t>
      </w:r>
      <w:r w:rsidR="00633750">
        <w:rPr>
          <w:sz w:val="22"/>
          <w:szCs w:val="22"/>
        </w:rPr>
        <w:t xml:space="preserve">svalových </w:t>
      </w:r>
      <w:r>
        <w:rPr>
          <w:sz w:val="22"/>
          <w:szCs w:val="22"/>
        </w:rPr>
        <w:t xml:space="preserve">pohybov </w:t>
      </w:r>
      <w:r w:rsidR="00552292" w:rsidRPr="0070013A">
        <w:rPr>
          <w:sz w:val="22"/>
          <w:szCs w:val="22"/>
        </w:rPr>
        <w:t>(ataxia)</w:t>
      </w:r>
    </w:p>
    <w:p w:rsidR="00552292" w:rsidRPr="00E450D1" w:rsidRDefault="003826BB" w:rsidP="003826BB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pocit brnenia, šteklenia, pichania alebo pálenia na koži</w:t>
      </w:r>
      <w:r w:rsidR="00552292" w:rsidRPr="0070013A">
        <w:rPr>
          <w:sz w:val="22"/>
          <w:szCs w:val="22"/>
        </w:rPr>
        <w:t xml:space="preserve"> (par</w:t>
      </w:r>
      <w:r>
        <w:rPr>
          <w:sz w:val="22"/>
          <w:szCs w:val="22"/>
        </w:rPr>
        <w:t>estézia</w:t>
      </w:r>
      <w:r w:rsidR="00552292" w:rsidRPr="0070013A">
        <w:rPr>
          <w:sz w:val="22"/>
          <w:szCs w:val="22"/>
        </w:rPr>
        <w:t>)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opuch (edém), najmä členkov, spôsobený zadržiavaním tekutín v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tkanivách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poruchy v metabolizme cukrov (cukrovka). Váš lekár vám môže zmerať hladinu cukru v krvi na potvrdenie ochorenia.</w:t>
      </w:r>
    </w:p>
    <w:p w:rsidR="00243B91" w:rsidRDefault="00243B91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</w:p>
    <w:p w:rsidR="00552292" w:rsidRDefault="00552292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  <w:r>
        <w:rPr>
          <w:rFonts w:eastAsia="SymbolMT"/>
          <w:szCs w:val="22"/>
          <w:lang w:eastAsia="en-US"/>
        </w:rPr>
        <w:lastRenderedPageBreak/>
        <w:t>Ak sa niektorý z vedľajších účinkov zhorší alebo ak spozorujete vedľajšie účinky, ktoré nie sú uvedené v tejto písomnej informácii, obráťte sa na svojho lekára alebo lekárnika.</w:t>
      </w:r>
    </w:p>
    <w:p w:rsidR="00552292" w:rsidRPr="00201149" w:rsidRDefault="00552292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</w:p>
    <w:p w:rsidR="0004513E" w:rsidRPr="00201149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01149">
        <w:rPr>
          <w:b/>
          <w:noProof/>
          <w:szCs w:val="22"/>
        </w:rPr>
        <w:t>Hlásenie vedľajších účinkov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Ak sa u vás vyskytne akýkoľvek vedľajší účinok, obráťte sa na svojho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lekára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227CB6" w:rsidRPr="00201149">
        <w:rPr>
          <w:noProof/>
          <w:szCs w:val="22"/>
        </w:rPr>
        <w:t>.</w:t>
      </w:r>
      <w:r w:rsidRPr="0020114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201149">
        <w:rPr>
          <w:noProof/>
          <w:szCs w:val="22"/>
        </w:rPr>
        <w:t>na</w:t>
      </w:r>
      <w:r w:rsidRPr="00201149">
        <w:rPr>
          <w:noProof/>
          <w:szCs w:val="22"/>
        </w:rPr>
        <w:t xml:space="preserve"> </w:t>
      </w:r>
      <w:r w:rsidRPr="00201149">
        <w:rPr>
          <w:noProof/>
          <w:szCs w:val="22"/>
          <w:highlight w:val="lightGray"/>
        </w:rPr>
        <w:t>národné</w:t>
      </w:r>
      <w:r w:rsidR="006E4953" w:rsidRPr="00201149">
        <w:rPr>
          <w:noProof/>
          <w:szCs w:val="22"/>
          <w:highlight w:val="lightGray"/>
        </w:rPr>
        <w:t xml:space="preserve"> centrum</w:t>
      </w:r>
      <w:r w:rsidRPr="00201149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20114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01149">
        <w:rPr>
          <w:noProof/>
          <w:szCs w:val="22"/>
          <w:highlight w:val="lightGray"/>
        </w:rPr>
        <w:t>.</w:t>
      </w:r>
      <w:r w:rsidRPr="00201149">
        <w:rPr>
          <w:szCs w:val="22"/>
        </w:rPr>
        <w:t xml:space="preserve"> </w:t>
      </w:r>
      <w:r w:rsidRPr="00201149">
        <w:rPr>
          <w:noProof/>
          <w:szCs w:val="22"/>
        </w:rPr>
        <w:t>Hlásením vedľajších účinkov môžete prispieť k získaniu ďalších informácií o bezpečnosti tohto lieku</w:t>
      </w:r>
      <w:r w:rsidRPr="00201149">
        <w:rPr>
          <w:szCs w:val="22"/>
        </w:rPr>
        <w:t>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5.</w:t>
      </w:r>
      <w:r w:rsidRPr="00201149">
        <w:rPr>
          <w:b/>
          <w:noProof/>
          <w:szCs w:val="22"/>
        </w:rPr>
        <w:tab/>
        <w:t xml:space="preserve">Ako uchovávať </w:t>
      </w:r>
      <w:r w:rsidR="00D7752E" w:rsidRPr="00201149">
        <w:rPr>
          <w:b/>
          <w:noProof/>
          <w:szCs w:val="22"/>
        </w:rPr>
        <w:t>A</w:t>
      </w:r>
      <w:r w:rsidR="00BC608D" w:rsidRPr="00201149">
        <w:rPr>
          <w:b/>
          <w:noProof/>
          <w:szCs w:val="22"/>
        </w:rPr>
        <w:t>lopurinol</w:t>
      </w:r>
      <w:r w:rsidR="00D7752E" w:rsidRPr="00201149">
        <w:rPr>
          <w:b/>
          <w:noProof/>
          <w:szCs w:val="22"/>
        </w:rPr>
        <w:t xml:space="preserve">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Tento liek uchovávajte mimo dohľadu a dosahu detí.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Neužívajte</w:t>
      </w:r>
      <w:r w:rsidRPr="00201149">
        <w:rPr>
          <w:noProof/>
          <w:szCs w:val="22"/>
        </w:rPr>
        <w:t xml:space="preserve"> tento liek po dátume exspirácie, ktorý je uvedený na škatuli </w:t>
      </w:r>
      <w:r w:rsidR="0003355E" w:rsidRPr="00201149">
        <w:rPr>
          <w:noProof/>
          <w:szCs w:val="22"/>
        </w:rPr>
        <w:t>po EXP</w:t>
      </w:r>
      <w:r w:rsidRPr="00201149">
        <w:rPr>
          <w:noProof/>
          <w:szCs w:val="22"/>
        </w:rPr>
        <w:t>.</w:t>
      </w:r>
      <w:r w:rsidR="0003355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Dátum exspirácie sa vzťahuje na posledný deň v danom mesiaci.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 xml:space="preserve">Tento liek nevyžaduje žiadne zvláštne podmienky na uchovávanie. </w:t>
      </w: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45C0A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HDPE fľaše: po prvom otvorení použite v priebehu 6 mesiacov.</w:t>
      </w:r>
    </w:p>
    <w:p w:rsidR="00492204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Nelikvidujte lieky odpadovou vodou</w:t>
      </w:r>
      <w:r w:rsidR="00B45C0A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 domovým odpadom. Nepoužitý liek vráťte do lekárne. Tieto opatrenia pomôžu chrániť životné prostredie.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201149">
        <w:rPr>
          <w:b/>
          <w:noProof/>
          <w:szCs w:val="22"/>
        </w:rPr>
        <w:t>6.</w:t>
      </w:r>
      <w:r w:rsidRPr="00201149">
        <w:rPr>
          <w:b/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Čo </w:t>
      </w:r>
      <w:r w:rsidR="002F7F48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 Sandoz</w:t>
      </w:r>
      <w:r w:rsidRPr="00201149">
        <w:rPr>
          <w:b/>
          <w:noProof/>
          <w:szCs w:val="22"/>
        </w:rPr>
        <w:t xml:space="preserve"> obsahuje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A35AC" w:rsidRPr="00201149" w:rsidRDefault="0004513E" w:rsidP="002A35AC">
      <w:pPr>
        <w:pStyle w:val="Default"/>
        <w:tabs>
          <w:tab w:val="left" w:pos="567"/>
        </w:tabs>
        <w:rPr>
          <w:sz w:val="22"/>
          <w:szCs w:val="22"/>
        </w:rPr>
      </w:pPr>
      <w:r w:rsidRPr="00201149">
        <w:rPr>
          <w:noProof/>
          <w:sz w:val="22"/>
          <w:szCs w:val="22"/>
        </w:rPr>
        <w:t>-</w:t>
      </w:r>
      <w:r w:rsidRPr="00201149">
        <w:rPr>
          <w:noProof/>
          <w:sz w:val="22"/>
          <w:szCs w:val="22"/>
        </w:rPr>
        <w:tab/>
      </w:r>
      <w:r w:rsidR="00C326E5" w:rsidRPr="00201149">
        <w:rPr>
          <w:sz w:val="22"/>
          <w:szCs w:val="22"/>
        </w:rPr>
        <w:t>Liečiv</w:t>
      </w:r>
      <w:r w:rsidR="00492204" w:rsidRPr="00201149">
        <w:rPr>
          <w:sz w:val="22"/>
          <w:szCs w:val="22"/>
        </w:rPr>
        <w:t>o je alopurinol.</w:t>
      </w:r>
    </w:p>
    <w:p w:rsidR="00942C90" w:rsidRPr="00201149" w:rsidRDefault="00942C90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2A35AC" w:rsidRPr="00201149" w:rsidRDefault="00C326E5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</w:rPr>
        <w:t xml:space="preserve">Každá tableta obsahuje </w:t>
      </w:r>
      <w:r w:rsidR="00492204" w:rsidRPr="00201149">
        <w:rPr>
          <w:sz w:val="22"/>
          <w:szCs w:val="22"/>
        </w:rPr>
        <w:t>100</w:t>
      </w:r>
      <w:r w:rsidR="002A35AC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mg a</w:t>
      </w:r>
      <w:r w:rsidR="00492204" w:rsidRPr="00201149">
        <w:rPr>
          <w:sz w:val="22"/>
          <w:szCs w:val="22"/>
        </w:rPr>
        <w:t>lopurinolu</w:t>
      </w:r>
      <w:r w:rsidRPr="00201149">
        <w:rPr>
          <w:sz w:val="22"/>
          <w:szCs w:val="22"/>
        </w:rPr>
        <w:t>.</w:t>
      </w:r>
    </w:p>
    <w:p w:rsidR="00942C90" w:rsidRPr="00201149" w:rsidRDefault="00942C90" w:rsidP="00942C90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2A35AC" w:rsidRPr="00201149" w:rsidRDefault="002A35AC" w:rsidP="002A35AC">
      <w:pPr>
        <w:pStyle w:val="Default"/>
        <w:ind w:firstLine="567"/>
        <w:rPr>
          <w:sz w:val="22"/>
          <w:szCs w:val="22"/>
          <w:highlight w:val="lightGray"/>
        </w:rPr>
      </w:pPr>
      <w:r w:rsidRPr="00201149">
        <w:rPr>
          <w:sz w:val="22"/>
          <w:szCs w:val="22"/>
          <w:highlight w:val="lightGray"/>
        </w:rPr>
        <w:t xml:space="preserve">Každá tableta obsahuje </w:t>
      </w:r>
      <w:r w:rsidR="00492204" w:rsidRPr="00201149">
        <w:rPr>
          <w:sz w:val="22"/>
          <w:szCs w:val="22"/>
          <w:highlight w:val="lightGray"/>
        </w:rPr>
        <w:t>300</w:t>
      </w:r>
      <w:r w:rsidRPr="00201149">
        <w:rPr>
          <w:sz w:val="22"/>
          <w:szCs w:val="22"/>
          <w:highlight w:val="lightGray"/>
        </w:rPr>
        <w:t> mg a</w:t>
      </w:r>
      <w:r w:rsidR="00492204" w:rsidRPr="00201149">
        <w:rPr>
          <w:sz w:val="22"/>
          <w:szCs w:val="22"/>
          <w:highlight w:val="lightGray"/>
        </w:rPr>
        <w:t>lopurinolu</w:t>
      </w:r>
      <w:r w:rsidRPr="00201149">
        <w:rPr>
          <w:sz w:val="22"/>
          <w:szCs w:val="22"/>
          <w:highlight w:val="lightGray"/>
        </w:rPr>
        <w:t>.</w:t>
      </w:r>
    </w:p>
    <w:p w:rsidR="00AB3674" w:rsidRPr="00201149" w:rsidRDefault="00C326E5" w:rsidP="00723D37">
      <w:pPr>
        <w:pStyle w:val="Default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Ďalšie zložky sú</w:t>
      </w:r>
      <w:r w:rsidR="00AB3674" w:rsidRPr="00201149">
        <w:rPr>
          <w:sz w:val="22"/>
          <w:szCs w:val="22"/>
        </w:rPr>
        <w:t>:</w:t>
      </w:r>
    </w:p>
    <w:p w:rsidR="00492204" w:rsidRPr="00201149" w:rsidRDefault="00690561" w:rsidP="00492204">
      <w:pPr>
        <w:pStyle w:val="Default"/>
        <w:ind w:firstLine="567"/>
        <w:jc w:val="both"/>
        <w:rPr>
          <w:sz w:val="22"/>
          <w:szCs w:val="22"/>
        </w:rPr>
      </w:pPr>
      <w:r w:rsidRPr="00201149">
        <w:rPr>
          <w:sz w:val="22"/>
          <w:szCs w:val="22"/>
        </w:rPr>
        <w:t>monohydrát</w:t>
      </w:r>
      <w:r w:rsidR="00552292">
        <w:rPr>
          <w:sz w:val="22"/>
          <w:szCs w:val="22"/>
        </w:rPr>
        <w:t xml:space="preserve"> laktózy</w:t>
      </w:r>
      <w:r w:rsidRPr="00201149">
        <w:rPr>
          <w:sz w:val="22"/>
          <w:szCs w:val="22"/>
        </w:rPr>
        <w:t>;</w:t>
      </w:r>
      <w:r w:rsidR="00492204" w:rsidRPr="00201149">
        <w:rPr>
          <w:sz w:val="22"/>
          <w:szCs w:val="22"/>
        </w:rPr>
        <w:t xml:space="preserve"> kukuričný škrob, povidón, </w:t>
      </w:r>
      <w:r w:rsidR="00633750" w:rsidRPr="00201149">
        <w:rPr>
          <w:sz w:val="22"/>
          <w:szCs w:val="22"/>
        </w:rPr>
        <w:t>stear</w:t>
      </w:r>
      <w:r w:rsidR="00633750">
        <w:rPr>
          <w:sz w:val="22"/>
          <w:szCs w:val="22"/>
        </w:rPr>
        <w:t>át</w:t>
      </w:r>
      <w:r w:rsidR="00633750" w:rsidRPr="00201149">
        <w:rPr>
          <w:sz w:val="22"/>
          <w:szCs w:val="22"/>
        </w:rPr>
        <w:t xml:space="preserve"> </w:t>
      </w:r>
      <w:r w:rsidR="00492204" w:rsidRPr="00201149">
        <w:rPr>
          <w:sz w:val="22"/>
          <w:szCs w:val="22"/>
        </w:rPr>
        <w:t>horečnatý.</w:t>
      </w:r>
    </w:p>
    <w:p w:rsidR="005A51E6" w:rsidRPr="00201149" w:rsidRDefault="005A51E6" w:rsidP="00492204">
      <w:pPr>
        <w:pStyle w:val="Odsekzoznamu"/>
        <w:ind w:left="567" w:firstLine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Ako vyzerá </w:t>
      </w:r>
      <w:r w:rsidR="005A51E6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</w:t>
      </w:r>
      <w:r w:rsidR="005A51E6" w:rsidRPr="00201149">
        <w:rPr>
          <w:b/>
          <w:noProof/>
          <w:szCs w:val="22"/>
        </w:rPr>
        <w:t xml:space="preserve"> Sandoz </w:t>
      </w:r>
      <w:r w:rsidRPr="00201149">
        <w:rPr>
          <w:b/>
          <w:noProof/>
          <w:szCs w:val="22"/>
        </w:rPr>
        <w:t>a obsah balenia</w:t>
      </w: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  <w:r w:rsidRPr="00201149">
        <w:rPr>
          <w:i w:val="0"/>
          <w:color w:val="auto"/>
          <w:sz w:val="22"/>
          <w:szCs w:val="22"/>
          <w:highlight w:val="lightGray"/>
          <w:lang w:val="sk-SK"/>
        </w:rPr>
        <w:t>Alopurinol Sandoz 100 mg tablety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Biela až </w:t>
      </w:r>
      <w:r w:rsidR="00E56A65" w:rsidRPr="00201149">
        <w:rPr>
          <w:szCs w:val="22"/>
        </w:rPr>
        <w:t>takmer biela</w:t>
      </w:r>
      <w:r w:rsidRPr="00201149">
        <w:rPr>
          <w:szCs w:val="22"/>
        </w:rPr>
        <w:t xml:space="preserve">, plochá tableta </w:t>
      </w:r>
      <w:r w:rsidR="00E56A65" w:rsidRPr="00201149">
        <w:rPr>
          <w:szCs w:val="22"/>
        </w:rPr>
        <w:t xml:space="preserve">valcovitého </w:t>
      </w:r>
      <w:r w:rsidRPr="00201149">
        <w:rPr>
          <w:szCs w:val="22"/>
        </w:rPr>
        <w:t>tvaru s deliacou ryhou. Tableta má vyrazené „I“</w:t>
      </w:r>
      <w:r w:rsidR="00B64266" w:rsidRPr="00201149">
        <w:rPr>
          <w:szCs w:val="22"/>
        </w:rPr>
        <w:t> </w:t>
      </w:r>
      <w:r w:rsidRPr="00201149">
        <w:rPr>
          <w:szCs w:val="22"/>
        </w:rPr>
        <w:t>a „56“ na jednotlivých poloviciach strany s deliacou ryhou a na druhej strane je bez označenia.</w:t>
      </w:r>
    </w:p>
    <w:p w:rsidR="00492204" w:rsidRPr="00201149" w:rsidRDefault="00492204" w:rsidP="00492204">
      <w:pPr>
        <w:pStyle w:val="Zkladntext"/>
        <w:rPr>
          <w:noProof/>
          <w:szCs w:val="22"/>
        </w:rPr>
      </w:pPr>
      <w:r w:rsidRPr="00201149">
        <w:rPr>
          <w:noProof/>
          <w:szCs w:val="22"/>
        </w:rPr>
        <w:t>Priemer tab</w:t>
      </w:r>
      <w:r w:rsidR="00B64266" w:rsidRPr="00201149">
        <w:rPr>
          <w:noProof/>
          <w:szCs w:val="22"/>
        </w:rPr>
        <w:t>le</w:t>
      </w:r>
      <w:r w:rsidRPr="00201149">
        <w:rPr>
          <w:noProof/>
          <w:szCs w:val="22"/>
        </w:rPr>
        <w:t>ty: približne 8 mm.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Alopurinol Sandoz 100 mg je dostupný v PVC/Alu blistroch po 20, 30, 50, 60, 100 tabliet alebo 30x1 tableta –jednotlivá dávka alebo HDPE fľašiach s PP uzáverom </w:t>
      </w:r>
      <w:r w:rsidR="00B64266" w:rsidRPr="00201149">
        <w:rPr>
          <w:szCs w:val="22"/>
        </w:rPr>
        <w:t>bezpečným</w:t>
      </w:r>
      <w:r w:rsidRPr="00201149">
        <w:rPr>
          <w:szCs w:val="22"/>
        </w:rPr>
        <w:t xml:space="preserve"> pre de</w:t>
      </w:r>
      <w:r w:rsidR="00B64266" w:rsidRPr="00201149">
        <w:rPr>
          <w:szCs w:val="22"/>
        </w:rPr>
        <w:t>ti</w:t>
      </w:r>
      <w:r w:rsidRPr="00201149">
        <w:rPr>
          <w:szCs w:val="22"/>
        </w:rPr>
        <w:t xml:space="preserve"> alebo s uzáverom bez ochrany pred deťmi a</w:t>
      </w:r>
      <w:r w:rsidR="00B64266" w:rsidRPr="00201149">
        <w:rPr>
          <w:szCs w:val="22"/>
        </w:rPr>
        <w:t xml:space="preserve"> s odlupovacou fóliou </w:t>
      </w:r>
      <w:r w:rsidRPr="00201149">
        <w:rPr>
          <w:szCs w:val="22"/>
        </w:rPr>
        <w:t>po 50, 100, 105, 125, 250, 500 tabliet.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b/>
          <w:szCs w:val="22"/>
          <w:highlight w:val="lightGray"/>
        </w:rPr>
      </w:pPr>
      <w:r w:rsidRPr="00201149">
        <w:rPr>
          <w:szCs w:val="22"/>
          <w:highlight w:val="lightGray"/>
        </w:rPr>
        <w:t>Alopurinol Sandoz 300 mg</w:t>
      </w:r>
    </w:p>
    <w:p w:rsidR="00492204" w:rsidRPr="00201149" w:rsidRDefault="00492204" w:rsidP="00492204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t xml:space="preserve">Biela až </w:t>
      </w:r>
      <w:r w:rsidR="00E56A65" w:rsidRPr="00201149">
        <w:rPr>
          <w:szCs w:val="22"/>
          <w:highlight w:val="lightGray"/>
        </w:rPr>
        <w:t>takmer biela,</w:t>
      </w:r>
      <w:r w:rsidRPr="00201149">
        <w:rPr>
          <w:szCs w:val="22"/>
          <w:highlight w:val="lightGray"/>
        </w:rPr>
        <w:t xml:space="preserve"> plochá tableta </w:t>
      </w:r>
      <w:r w:rsidR="00E56A65" w:rsidRPr="00201149">
        <w:rPr>
          <w:szCs w:val="22"/>
          <w:highlight w:val="lightGray"/>
        </w:rPr>
        <w:t xml:space="preserve">valcovitého </w:t>
      </w:r>
      <w:r w:rsidRPr="00201149">
        <w:rPr>
          <w:szCs w:val="22"/>
          <w:highlight w:val="lightGray"/>
        </w:rPr>
        <w:t>tvaru s deliacou ryhou. Tableta má vyrazené „I“ a „57“ na jednotlivých poloviciach strany s deliacou ryhou a na druhej strane je bez označenia.</w:t>
      </w:r>
    </w:p>
    <w:p w:rsidR="00FA7C5F" w:rsidRPr="00201149" w:rsidRDefault="00FA7C5F" w:rsidP="00FA7C5F">
      <w:pPr>
        <w:pStyle w:val="Zkladntext"/>
        <w:rPr>
          <w:noProof/>
          <w:szCs w:val="22"/>
          <w:highlight w:val="lightGray"/>
        </w:rPr>
      </w:pPr>
      <w:r w:rsidRPr="00201149">
        <w:rPr>
          <w:noProof/>
          <w:szCs w:val="22"/>
          <w:highlight w:val="lightGray"/>
        </w:rPr>
        <w:t>Priemer tab</w:t>
      </w:r>
      <w:r w:rsidR="00E56A65" w:rsidRPr="00201149">
        <w:rPr>
          <w:noProof/>
          <w:szCs w:val="22"/>
          <w:highlight w:val="lightGray"/>
        </w:rPr>
        <w:t>lety</w:t>
      </w:r>
      <w:r w:rsidRPr="00201149">
        <w:rPr>
          <w:noProof/>
          <w:szCs w:val="22"/>
          <w:highlight w:val="lightGray"/>
        </w:rPr>
        <w:t>: približne 11 mm.</w:t>
      </w: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lastRenderedPageBreak/>
        <w:t>Alopurinol Sandoz 300 mg je dostupný v PVC/Alu blistroch po 30, 60, 100 tabliet alebo 30x1 tableta –</w:t>
      </w:r>
      <w:r w:rsidR="00052AA2" w:rsidRPr="00201149">
        <w:rPr>
          <w:szCs w:val="22"/>
          <w:highlight w:val="lightGray"/>
        </w:rPr>
        <w:t xml:space="preserve"> </w:t>
      </w:r>
      <w:r w:rsidRPr="00201149">
        <w:rPr>
          <w:szCs w:val="22"/>
          <w:highlight w:val="lightGray"/>
        </w:rPr>
        <w:t xml:space="preserve">jednotlivá dávka alebo HDPE fľašiach s PP uzáverom </w:t>
      </w:r>
      <w:r w:rsidR="00B64266" w:rsidRPr="00201149">
        <w:rPr>
          <w:szCs w:val="22"/>
          <w:highlight w:val="lightGray"/>
        </w:rPr>
        <w:t>bezpečným pre deti</w:t>
      </w:r>
      <w:r w:rsidRPr="00201149">
        <w:rPr>
          <w:szCs w:val="22"/>
          <w:highlight w:val="lightGray"/>
        </w:rPr>
        <w:t xml:space="preserve"> po 100, 105, 125 tabliet.</w:t>
      </w:r>
    </w:p>
    <w:p w:rsidR="00415280" w:rsidRPr="00201149" w:rsidRDefault="00415280" w:rsidP="00D3591B">
      <w:pPr>
        <w:numPr>
          <w:ilvl w:val="12"/>
          <w:numId w:val="0"/>
        </w:numPr>
        <w:ind w:right="-2"/>
        <w:rPr>
          <w:szCs w:val="22"/>
        </w:rPr>
      </w:pPr>
    </w:p>
    <w:p w:rsidR="0004513E" w:rsidRPr="00201149" w:rsidRDefault="00D3591B" w:rsidP="00D3591B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</w:t>
      </w:r>
      <w:r w:rsidR="00415280" w:rsidRPr="00201149">
        <w:rPr>
          <w:szCs w:val="22"/>
        </w:rPr>
        <w:t>a trh ne</w:t>
      </w:r>
      <w:r w:rsidRPr="00201149">
        <w:rPr>
          <w:szCs w:val="22"/>
        </w:rPr>
        <w:t xml:space="preserve">musia byť uvedené </w:t>
      </w:r>
      <w:r w:rsidR="00415280" w:rsidRPr="00201149">
        <w:rPr>
          <w:szCs w:val="22"/>
        </w:rPr>
        <w:t>všetky veľkosti balenia.</w:t>
      </w:r>
    </w:p>
    <w:p w:rsidR="0004513E" w:rsidRPr="00201149" w:rsidRDefault="0004513E" w:rsidP="0004513E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>Držiteľ rozhodnutia o registrácii a výrobca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15280" w:rsidRPr="00201149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01149">
        <w:rPr>
          <w:noProof/>
          <w:szCs w:val="22"/>
          <w:u w:val="single"/>
        </w:rPr>
        <w:t>Držiteľ rozhodnutia o registrácii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Sandoz Pharmaceuticals d.d.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Verovškova 57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1000 Ľubľana</w:t>
      </w:r>
    </w:p>
    <w:p w:rsidR="0004513E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  <w:r w:rsidRPr="00201149">
        <w:rPr>
          <w:szCs w:val="22"/>
        </w:rPr>
        <w:t>Slovinsko</w:t>
      </w: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201149">
        <w:rPr>
          <w:szCs w:val="22"/>
          <w:u w:val="single"/>
        </w:rPr>
        <w:t>Výrobca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Lek Pharmaceuticals d.d.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Verovškova 57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1526 Ľubľana</w:t>
      </w:r>
    </w:p>
    <w:p w:rsidR="00A33A90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Slovinsko</w:t>
      </w: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Salutas Pharma GmbH</w:t>
      </w: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Otto-von-Guericke-Allee 1</w:t>
      </w:r>
    </w:p>
    <w:p w:rsidR="00552292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39179 Barleben</w:t>
      </w:r>
    </w:p>
    <w:p w:rsidR="00552292" w:rsidRPr="00201149" w:rsidRDefault="00552292" w:rsidP="00A33A9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Nemecko</w:t>
      </w:r>
    </w:p>
    <w:p w:rsidR="0004513E" w:rsidRPr="00201149" w:rsidRDefault="0004513E" w:rsidP="0004513E">
      <w:pPr>
        <w:ind w:right="-449"/>
        <w:rPr>
          <w:noProof/>
          <w:szCs w:val="22"/>
        </w:rPr>
      </w:pPr>
    </w:p>
    <w:p w:rsidR="0004513E" w:rsidRPr="00201149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20114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A33A90" w:rsidRPr="00201149" w:rsidRDefault="00A33A90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Fínsko</w:t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tabletit</w:t>
      </w:r>
    </w:p>
    <w:p w:rsidR="00472308" w:rsidRPr="00201149" w:rsidRDefault="00472308" w:rsidP="00472308">
      <w:pPr>
        <w:pStyle w:val="Zkladntext"/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tabletit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Belgicko</w:t>
      </w:r>
      <w:r w:rsidRPr="00201149">
        <w:rPr>
          <w:bCs/>
          <w:szCs w:val="22"/>
          <w:lang w:eastAsia="en-US"/>
        </w:rPr>
        <w:tab/>
      </w:r>
      <w:r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</w:t>
      </w:r>
      <w:r w:rsidR="00605C6A">
        <w:rPr>
          <w:rFonts w:eastAsia="TimesNewRoman"/>
          <w:szCs w:val="22"/>
          <w:lang w:eastAsia="en-US"/>
        </w:rPr>
        <w:t>purinol Sandoz</w:t>
      </w:r>
      <w:r w:rsidRPr="00201149">
        <w:rPr>
          <w:rFonts w:eastAsia="TimesNewRoman"/>
          <w:szCs w:val="22"/>
          <w:lang w:eastAsia="en-US"/>
        </w:rPr>
        <w:t xml:space="preserve"> 100 mg tabletten</w:t>
      </w:r>
    </w:p>
    <w:p w:rsidR="00A33A90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</w:t>
      </w:r>
      <w:r w:rsidR="00605C6A">
        <w:rPr>
          <w:rFonts w:eastAsia="TimesNewRoman"/>
          <w:szCs w:val="22"/>
          <w:lang w:eastAsia="en-US"/>
        </w:rPr>
        <w:t>purinol Sandoz</w:t>
      </w:r>
      <w:r w:rsidRPr="00201149">
        <w:rPr>
          <w:rFonts w:eastAsia="TimesNewRoman"/>
          <w:szCs w:val="22"/>
          <w:lang w:eastAsia="en-US"/>
        </w:rPr>
        <w:t xml:space="preserve"> 300 mg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Bulharsko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ЛОДИРИК 100 mg таблетки</w:t>
      </w:r>
    </w:p>
    <w:p w:rsidR="00857E44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ЛОДИРИК 300 mg таблетки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Česká republika</w:t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Dánsko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Estónsko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Španielsko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Maďarsko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Lotyšsko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Holandsko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tablet 100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tablet 300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Nórsko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Poľsko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ARGADOPIN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ARGADOPIN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Portugalsko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Rumunsko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comprimate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comprimate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lastRenderedPageBreak/>
        <w:t>Švédsko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tabletter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Slovinsko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tablete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tablete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Slovensko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CD308C" w:rsidRPr="00201149" w:rsidRDefault="00CD308C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Táto písomná informácia bola naposledy aktualizovaná v</w:t>
      </w:r>
      <w:r w:rsidR="006B7E21">
        <w:rPr>
          <w:b/>
          <w:noProof/>
          <w:szCs w:val="22"/>
        </w:rPr>
        <w:t> máji 2020</w:t>
      </w:r>
      <w:r w:rsidR="00633750">
        <w:rPr>
          <w:b/>
          <w:noProof/>
          <w:szCs w:val="22"/>
        </w:rPr>
        <w:t xml:space="preserve">. </w:t>
      </w:r>
    </w:p>
    <w:sectPr w:rsidR="0004513E" w:rsidSect="00BD77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94" w:rsidRDefault="00567594" w:rsidP="00B577A9">
      <w:r>
        <w:separator/>
      </w:r>
    </w:p>
  </w:endnote>
  <w:endnote w:type="continuationSeparator" w:id="0">
    <w:p w:rsidR="00567594" w:rsidRDefault="00567594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02704" w:rsidRDefault="00D70683" w:rsidP="00797269">
        <w:pPr>
          <w:pStyle w:val="Pta"/>
          <w:jc w:val="center"/>
        </w:pPr>
        <w:r w:rsidRPr="00FC4A11">
          <w:rPr>
            <w:sz w:val="18"/>
            <w:szCs w:val="18"/>
          </w:rPr>
          <w:fldChar w:fldCharType="begin"/>
        </w:r>
        <w:r w:rsidR="00902704" w:rsidRPr="00FC4A11">
          <w:rPr>
            <w:sz w:val="18"/>
            <w:szCs w:val="18"/>
          </w:rPr>
          <w:instrText xml:space="preserve"> PAGE   \* MERGEFORMAT </w:instrText>
        </w:r>
        <w:r w:rsidRPr="00FC4A11">
          <w:rPr>
            <w:sz w:val="18"/>
            <w:szCs w:val="18"/>
          </w:rPr>
          <w:fldChar w:fldCharType="separate"/>
        </w:r>
        <w:r w:rsidR="00ED0766">
          <w:rPr>
            <w:noProof/>
            <w:sz w:val="18"/>
            <w:szCs w:val="18"/>
          </w:rPr>
          <w:t>8</w:t>
        </w:r>
        <w:r w:rsidRPr="00FC4A11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0266"/>
      <w:docPartObj>
        <w:docPartGallery w:val="Page Numbers (Bottom of Page)"/>
        <w:docPartUnique/>
      </w:docPartObj>
    </w:sdtPr>
    <w:sdtEndPr/>
    <w:sdtContent>
      <w:p w:rsidR="00581911" w:rsidRDefault="00D70683">
        <w:pPr>
          <w:pStyle w:val="Pta"/>
          <w:jc w:val="center"/>
        </w:pPr>
        <w:r>
          <w:fldChar w:fldCharType="begin"/>
        </w:r>
        <w:r w:rsidR="00581911">
          <w:instrText xml:space="preserve"> PAGE   \* MERGEFORMAT </w:instrText>
        </w:r>
        <w:r>
          <w:fldChar w:fldCharType="separate"/>
        </w:r>
        <w:r w:rsidR="00BD77FF">
          <w:rPr>
            <w:noProof/>
          </w:rPr>
          <w:t>1</w:t>
        </w:r>
        <w:r>
          <w:fldChar w:fldCharType="end"/>
        </w:r>
      </w:p>
    </w:sdtContent>
  </w:sdt>
  <w:p w:rsidR="00581911" w:rsidRDefault="005819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94" w:rsidRDefault="00567594" w:rsidP="00B577A9">
      <w:r>
        <w:separator/>
      </w:r>
    </w:p>
  </w:footnote>
  <w:footnote w:type="continuationSeparator" w:id="0">
    <w:p w:rsidR="00567594" w:rsidRDefault="00567594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FF" w:rsidRDefault="00BD77FF">
    <w:pPr>
      <w:pStyle w:val="Hlavika"/>
    </w:pPr>
    <w:r>
      <w:rPr>
        <w:sz w:val="18"/>
        <w:szCs w:val="18"/>
      </w:rPr>
      <w:t xml:space="preserve">Príloha č. </w:t>
    </w:r>
    <w:r w:rsidR="001D2804">
      <w:rPr>
        <w:sz w:val="18"/>
        <w:szCs w:val="18"/>
      </w:rPr>
      <w:t>1</w:t>
    </w:r>
    <w:r>
      <w:rPr>
        <w:sz w:val="18"/>
        <w:szCs w:val="18"/>
      </w:rPr>
      <w:t xml:space="preserve"> k notifikácii o zmene, </w:t>
    </w:r>
    <w:r w:rsidR="00A55C69">
      <w:rPr>
        <w:sz w:val="18"/>
        <w:szCs w:val="18"/>
      </w:rPr>
      <w:t>ev.</w:t>
    </w:r>
    <w:r w:rsidR="00887AB2">
      <w:rPr>
        <w:sz w:val="18"/>
        <w:szCs w:val="18"/>
      </w:rPr>
      <w:t xml:space="preserve"> </w:t>
    </w:r>
    <w:r w:rsidR="00A55C69">
      <w:rPr>
        <w:sz w:val="18"/>
        <w:szCs w:val="18"/>
      </w:rPr>
      <w:t xml:space="preserve">č.: </w:t>
    </w:r>
    <w:r w:rsidR="001D2804">
      <w:rPr>
        <w:sz w:val="18"/>
        <w:szCs w:val="18"/>
      </w:rPr>
      <w:t>20</w:t>
    </w:r>
    <w:r w:rsidR="00605C6A">
      <w:rPr>
        <w:sz w:val="18"/>
        <w:szCs w:val="18"/>
      </w:rPr>
      <w:t>20/01322-Z1B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04" w:rsidRPr="000A540C" w:rsidRDefault="00313797" w:rsidP="00FC4A11">
    <w:pPr>
      <w:pStyle w:val="Hlavika"/>
      <w:rPr>
        <w:sz w:val="18"/>
        <w:szCs w:val="18"/>
      </w:rPr>
    </w:pPr>
    <w:r>
      <w:rPr>
        <w:sz w:val="18"/>
        <w:szCs w:val="18"/>
      </w:rPr>
      <w:t>Príloha č.</w:t>
    </w:r>
    <w:r w:rsidR="001037E0">
      <w:rPr>
        <w:sz w:val="18"/>
        <w:szCs w:val="18"/>
      </w:rPr>
      <w:t>2</w:t>
    </w:r>
    <w:r>
      <w:rPr>
        <w:sz w:val="18"/>
        <w:szCs w:val="18"/>
      </w:rPr>
      <w:t xml:space="preserve"> k notifikácii o</w:t>
    </w:r>
    <w:r w:rsidR="009641D5">
      <w:rPr>
        <w:sz w:val="18"/>
        <w:szCs w:val="18"/>
      </w:rPr>
      <w:t> </w:t>
    </w:r>
    <w:r>
      <w:rPr>
        <w:sz w:val="18"/>
        <w:szCs w:val="18"/>
      </w:rPr>
      <w:t>zmene</w:t>
    </w:r>
    <w:r w:rsidR="009641D5">
      <w:rPr>
        <w:sz w:val="18"/>
        <w:szCs w:val="18"/>
      </w:rPr>
      <w:t xml:space="preserve"> </w:t>
    </w:r>
    <w:r w:rsidR="001037E0">
      <w:rPr>
        <w:sz w:val="18"/>
        <w:szCs w:val="18"/>
      </w:rPr>
      <w:t>VS7305141545</w:t>
    </w:r>
  </w:p>
  <w:p w:rsidR="00902704" w:rsidRDefault="0090270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B02ADC"/>
    <w:multiLevelType w:val="hybridMultilevel"/>
    <w:tmpl w:val="08A04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30626"/>
    <w:multiLevelType w:val="hybridMultilevel"/>
    <w:tmpl w:val="3516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2592C"/>
    <w:multiLevelType w:val="hybridMultilevel"/>
    <w:tmpl w:val="5A04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453C"/>
    <w:multiLevelType w:val="hybridMultilevel"/>
    <w:tmpl w:val="C11CD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568C8"/>
    <w:multiLevelType w:val="hybridMultilevel"/>
    <w:tmpl w:val="7CCE8A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27EE9"/>
    <w:multiLevelType w:val="hybridMultilevel"/>
    <w:tmpl w:val="08F4D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602C5"/>
    <w:multiLevelType w:val="hybridMultilevel"/>
    <w:tmpl w:val="9D1A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47878"/>
    <w:multiLevelType w:val="hybridMultilevel"/>
    <w:tmpl w:val="DD7A1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D7823"/>
    <w:multiLevelType w:val="hybridMultilevel"/>
    <w:tmpl w:val="475C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62934"/>
    <w:multiLevelType w:val="hybridMultilevel"/>
    <w:tmpl w:val="E52C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F5A88"/>
    <w:multiLevelType w:val="hybridMultilevel"/>
    <w:tmpl w:val="C1AE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438F0"/>
    <w:multiLevelType w:val="hybridMultilevel"/>
    <w:tmpl w:val="761EE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9290A"/>
    <w:multiLevelType w:val="hybridMultilevel"/>
    <w:tmpl w:val="5D0AA358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477A8A"/>
    <w:multiLevelType w:val="hybridMultilevel"/>
    <w:tmpl w:val="8DE63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B6F94"/>
    <w:multiLevelType w:val="hybridMultilevel"/>
    <w:tmpl w:val="7F600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5176"/>
    <w:multiLevelType w:val="hybridMultilevel"/>
    <w:tmpl w:val="D7D2403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D70D1"/>
    <w:multiLevelType w:val="hybridMultilevel"/>
    <w:tmpl w:val="94D8CE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2D69F4"/>
    <w:multiLevelType w:val="hybridMultilevel"/>
    <w:tmpl w:val="EBEC8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13"/>
  </w:num>
  <w:num w:numId="4">
    <w:abstractNumId w:val="18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5"/>
  </w:num>
  <w:num w:numId="14">
    <w:abstractNumId w:val="17"/>
  </w:num>
  <w:num w:numId="15">
    <w:abstractNumId w:val="6"/>
  </w:num>
  <w:num w:numId="16">
    <w:abstractNumId w:val="11"/>
  </w:num>
  <w:num w:numId="17">
    <w:abstractNumId w:val="10"/>
  </w:num>
  <w:num w:numId="18">
    <w:abstractNumId w:val="3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E"/>
    <w:rsid w:val="000230AD"/>
    <w:rsid w:val="00023FE7"/>
    <w:rsid w:val="00026609"/>
    <w:rsid w:val="0003355E"/>
    <w:rsid w:val="000374DB"/>
    <w:rsid w:val="0004513E"/>
    <w:rsid w:val="00052AA2"/>
    <w:rsid w:val="00055651"/>
    <w:rsid w:val="000639CC"/>
    <w:rsid w:val="00067BD2"/>
    <w:rsid w:val="00073152"/>
    <w:rsid w:val="000A10D5"/>
    <w:rsid w:val="000D0A73"/>
    <w:rsid w:val="000D17BC"/>
    <w:rsid w:val="000D42F3"/>
    <w:rsid w:val="000E28F6"/>
    <w:rsid w:val="001037E0"/>
    <w:rsid w:val="00111595"/>
    <w:rsid w:val="00120ED1"/>
    <w:rsid w:val="001445C4"/>
    <w:rsid w:val="00151FFE"/>
    <w:rsid w:val="00167D0E"/>
    <w:rsid w:val="0017193C"/>
    <w:rsid w:val="0019184A"/>
    <w:rsid w:val="001A32ED"/>
    <w:rsid w:val="001C3DFB"/>
    <w:rsid w:val="001D2804"/>
    <w:rsid w:val="001E723B"/>
    <w:rsid w:val="00201149"/>
    <w:rsid w:val="00204A2F"/>
    <w:rsid w:val="00227CB6"/>
    <w:rsid w:val="00236AD6"/>
    <w:rsid w:val="0024067E"/>
    <w:rsid w:val="002432C5"/>
    <w:rsid w:val="00243B91"/>
    <w:rsid w:val="00244F3F"/>
    <w:rsid w:val="00264C06"/>
    <w:rsid w:val="0029677F"/>
    <w:rsid w:val="002A35AC"/>
    <w:rsid w:val="002A6D0E"/>
    <w:rsid w:val="002B47C1"/>
    <w:rsid w:val="002F7F48"/>
    <w:rsid w:val="003072C5"/>
    <w:rsid w:val="00313797"/>
    <w:rsid w:val="003314BC"/>
    <w:rsid w:val="00334A4D"/>
    <w:rsid w:val="00367425"/>
    <w:rsid w:val="00371E7F"/>
    <w:rsid w:val="00372ADA"/>
    <w:rsid w:val="003826BB"/>
    <w:rsid w:val="003C49C8"/>
    <w:rsid w:val="00415280"/>
    <w:rsid w:val="00437B2F"/>
    <w:rsid w:val="00437C5C"/>
    <w:rsid w:val="00472308"/>
    <w:rsid w:val="0048790E"/>
    <w:rsid w:val="004918F0"/>
    <w:rsid w:val="00492204"/>
    <w:rsid w:val="004A09B0"/>
    <w:rsid w:val="004A251E"/>
    <w:rsid w:val="004B4902"/>
    <w:rsid w:val="004F238B"/>
    <w:rsid w:val="0050435C"/>
    <w:rsid w:val="0050456F"/>
    <w:rsid w:val="00504A51"/>
    <w:rsid w:val="0051275F"/>
    <w:rsid w:val="005139CC"/>
    <w:rsid w:val="00543CB2"/>
    <w:rsid w:val="00552292"/>
    <w:rsid w:val="0055294D"/>
    <w:rsid w:val="00560BC0"/>
    <w:rsid w:val="00567594"/>
    <w:rsid w:val="00581911"/>
    <w:rsid w:val="00587F97"/>
    <w:rsid w:val="00593D11"/>
    <w:rsid w:val="005A1D5E"/>
    <w:rsid w:val="005A51E6"/>
    <w:rsid w:val="005B60CB"/>
    <w:rsid w:val="005F1351"/>
    <w:rsid w:val="00605C6A"/>
    <w:rsid w:val="00616EA2"/>
    <w:rsid w:val="00633750"/>
    <w:rsid w:val="00690561"/>
    <w:rsid w:val="006943BD"/>
    <w:rsid w:val="006A4705"/>
    <w:rsid w:val="006B2AF5"/>
    <w:rsid w:val="006B62BF"/>
    <w:rsid w:val="006B7E21"/>
    <w:rsid w:val="006E4953"/>
    <w:rsid w:val="006E6A09"/>
    <w:rsid w:val="006F3325"/>
    <w:rsid w:val="0071398C"/>
    <w:rsid w:val="007201BD"/>
    <w:rsid w:val="0072273D"/>
    <w:rsid w:val="00723D37"/>
    <w:rsid w:val="00726D31"/>
    <w:rsid w:val="00745394"/>
    <w:rsid w:val="00747AE2"/>
    <w:rsid w:val="00756B51"/>
    <w:rsid w:val="00772172"/>
    <w:rsid w:val="007771F9"/>
    <w:rsid w:val="00794C99"/>
    <w:rsid w:val="00797269"/>
    <w:rsid w:val="00797715"/>
    <w:rsid w:val="007B62E8"/>
    <w:rsid w:val="007C5746"/>
    <w:rsid w:val="007C660B"/>
    <w:rsid w:val="007D1915"/>
    <w:rsid w:val="007D7206"/>
    <w:rsid w:val="007D7D42"/>
    <w:rsid w:val="007E69BD"/>
    <w:rsid w:val="007F5E7B"/>
    <w:rsid w:val="007F7511"/>
    <w:rsid w:val="00825EA5"/>
    <w:rsid w:val="008303C8"/>
    <w:rsid w:val="00847271"/>
    <w:rsid w:val="00857E44"/>
    <w:rsid w:val="00873121"/>
    <w:rsid w:val="00887AB2"/>
    <w:rsid w:val="0089364E"/>
    <w:rsid w:val="008A56C0"/>
    <w:rsid w:val="008C1988"/>
    <w:rsid w:val="008D1259"/>
    <w:rsid w:val="008D3A4E"/>
    <w:rsid w:val="008E0B90"/>
    <w:rsid w:val="008E4388"/>
    <w:rsid w:val="009013F0"/>
    <w:rsid w:val="00902704"/>
    <w:rsid w:val="00913F70"/>
    <w:rsid w:val="00924115"/>
    <w:rsid w:val="0092694B"/>
    <w:rsid w:val="00926C5C"/>
    <w:rsid w:val="0093616C"/>
    <w:rsid w:val="00940A5D"/>
    <w:rsid w:val="00942C90"/>
    <w:rsid w:val="00956449"/>
    <w:rsid w:val="009641D5"/>
    <w:rsid w:val="00985B13"/>
    <w:rsid w:val="009D2693"/>
    <w:rsid w:val="009E1232"/>
    <w:rsid w:val="009E6268"/>
    <w:rsid w:val="00A33A90"/>
    <w:rsid w:val="00A342CF"/>
    <w:rsid w:val="00A50B3D"/>
    <w:rsid w:val="00A55C69"/>
    <w:rsid w:val="00A60D6F"/>
    <w:rsid w:val="00A627B8"/>
    <w:rsid w:val="00A66635"/>
    <w:rsid w:val="00A86321"/>
    <w:rsid w:val="00A95A28"/>
    <w:rsid w:val="00AB3674"/>
    <w:rsid w:val="00AD0F10"/>
    <w:rsid w:val="00AE19EB"/>
    <w:rsid w:val="00AE2E5B"/>
    <w:rsid w:val="00B02ED8"/>
    <w:rsid w:val="00B319F8"/>
    <w:rsid w:val="00B3485C"/>
    <w:rsid w:val="00B41DD5"/>
    <w:rsid w:val="00B45C0A"/>
    <w:rsid w:val="00B577A9"/>
    <w:rsid w:val="00B64266"/>
    <w:rsid w:val="00B86981"/>
    <w:rsid w:val="00B9122E"/>
    <w:rsid w:val="00BA39C4"/>
    <w:rsid w:val="00BA50DB"/>
    <w:rsid w:val="00BB0C62"/>
    <w:rsid w:val="00BB0F8F"/>
    <w:rsid w:val="00BC17B5"/>
    <w:rsid w:val="00BC2CB2"/>
    <w:rsid w:val="00BC608D"/>
    <w:rsid w:val="00BD3FC7"/>
    <w:rsid w:val="00BD4EDC"/>
    <w:rsid w:val="00BD77FF"/>
    <w:rsid w:val="00BF5EFE"/>
    <w:rsid w:val="00C326E5"/>
    <w:rsid w:val="00C707A8"/>
    <w:rsid w:val="00C74895"/>
    <w:rsid w:val="00C9082D"/>
    <w:rsid w:val="00C97B42"/>
    <w:rsid w:val="00CB207A"/>
    <w:rsid w:val="00CB7D1E"/>
    <w:rsid w:val="00CD308C"/>
    <w:rsid w:val="00CE26DF"/>
    <w:rsid w:val="00D031A7"/>
    <w:rsid w:val="00D109F6"/>
    <w:rsid w:val="00D14F49"/>
    <w:rsid w:val="00D3591B"/>
    <w:rsid w:val="00D4358C"/>
    <w:rsid w:val="00D70683"/>
    <w:rsid w:val="00D7752E"/>
    <w:rsid w:val="00D84233"/>
    <w:rsid w:val="00DA6CF0"/>
    <w:rsid w:val="00DE3DEF"/>
    <w:rsid w:val="00DF562C"/>
    <w:rsid w:val="00E05A8F"/>
    <w:rsid w:val="00E27EFB"/>
    <w:rsid w:val="00E33FF1"/>
    <w:rsid w:val="00E56A65"/>
    <w:rsid w:val="00E779A6"/>
    <w:rsid w:val="00EA61B1"/>
    <w:rsid w:val="00EC50DB"/>
    <w:rsid w:val="00ED0766"/>
    <w:rsid w:val="00ED73C2"/>
    <w:rsid w:val="00F0257B"/>
    <w:rsid w:val="00F02BCB"/>
    <w:rsid w:val="00F437EC"/>
    <w:rsid w:val="00F86B6C"/>
    <w:rsid w:val="00FA7A2E"/>
    <w:rsid w:val="00FA7C5F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ocstatus">
    <w:name w:val="Docstatus"/>
    <w:basedOn w:val="Normlny"/>
    <w:rsid w:val="00120ED1"/>
    <w:pPr>
      <w:keepNext/>
      <w:tabs>
        <w:tab w:val="left" w:pos="2268"/>
      </w:tabs>
      <w:spacing w:before="240"/>
      <w:ind w:left="0" w:firstLine="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ocstatus">
    <w:name w:val="Docstatus"/>
    <w:basedOn w:val="Normlny"/>
    <w:rsid w:val="00120ED1"/>
    <w:pPr>
      <w:keepNext/>
      <w:tabs>
        <w:tab w:val="left" w:pos="2268"/>
      </w:tabs>
      <w:spacing w:before="240"/>
      <w:ind w:left="0" w:firstLine="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ADAA-4B7B-439B-85AD-57A6FDA6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2581</Words>
  <Characters>14714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Uhnáková Milota</cp:lastModifiedBy>
  <cp:revision>2</cp:revision>
  <dcterms:created xsi:type="dcterms:W3CDTF">2020-05-19T12:03:00Z</dcterms:created>
  <dcterms:modified xsi:type="dcterms:W3CDTF">2020-05-19T12:03:00Z</dcterms:modified>
</cp:coreProperties>
</file>