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D32" w:rsidRPr="00F302E4" w:rsidRDefault="00DE0D32" w:rsidP="00DE0D32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sk-SK"/>
        </w:rPr>
      </w:pPr>
      <w:r w:rsidRPr="00F302E4">
        <w:rPr>
          <w:b/>
          <w:szCs w:val="22"/>
          <w:lang w:val="sk-SK"/>
        </w:rPr>
        <w:t>Písomná informácia pre používateľa</w:t>
      </w:r>
    </w:p>
    <w:p w:rsidR="00DE0D32" w:rsidRPr="00F302E4" w:rsidRDefault="00DE0D32" w:rsidP="00DE0D32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DE0D32" w:rsidRDefault="00DE0D32" w:rsidP="00DE0D32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Regiocit</w:t>
      </w:r>
    </w:p>
    <w:p w:rsidR="00CF61BE" w:rsidRPr="00F302E4" w:rsidRDefault="00CF61BE" w:rsidP="00DE0D32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F302E4">
        <w:rPr>
          <w:szCs w:val="22"/>
          <w:lang w:val="sk-SK"/>
        </w:rPr>
        <w:t xml:space="preserve"> roztok na hemofiltráciu</w:t>
      </w:r>
    </w:p>
    <w:p w:rsidR="00DE0D32" w:rsidRPr="00F302E4" w:rsidRDefault="00246ADD" w:rsidP="00DE0D32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>
        <w:rPr>
          <w:szCs w:val="22"/>
          <w:lang w:val="sk-SK"/>
        </w:rPr>
        <w:t>c</w:t>
      </w:r>
      <w:r w:rsidR="00DE0D32" w:rsidRPr="00F302E4">
        <w:rPr>
          <w:szCs w:val="22"/>
          <w:lang w:val="sk-SK"/>
        </w:rPr>
        <w:t xml:space="preserve">itrát, sodík, chlorid </w:t>
      </w:r>
    </w:p>
    <w:p w:rsidR="00DE0D32" w:rsidRPr="00F302E4" w:rsidRDefault="00DE0D32" w:rsidP="00DE0D3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F302E4" w:rsidRDefault="00DE0D32" w:rsidP="00DE0D32">
      <w:pPr>
        <w:tabs>
          <w:tab w:val="clear" w:pos="567"/>
        </w:tabs>
        <w:suppressAutoHyphens/>
        <w:spacing w:line="240" w:lineRule="auto"/>
        <w:ind w:left="142" w:hanging="142"/>
        <w:rPr>
          <w:szCs w:val="22"/>
          <w:lang w:val="sk-SK"/>
        </w:rPr>
      </w:pPr>
      <w:r w:rsidRPr="00F302E4">
        <w:rPr>
          <w:b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DE0D32" w:rsidRPr="00F302E4" w:rsidRDefault="00DE0D32" w:rsidP="00DE0D3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F302E4">
        <w:rPr>
          <w:szCs w:val="22"/>
          <w:lang w:val="sk-SK"/>
        </w:rPr>
        <w:t>Túto písomnú informáciu si uschovajte. Možno bude potrebné, aby ste si ju znovu prečítali.</w:t>
      </w:r>
    </w:p>
    <w:p w:rsidR="00DE0D32" w:rsidRPr="00F302E4" w:rsidRDefault="00DE0D32" w:rsidP="00DE0D3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F302E4">
        <w:rPr>
          <w:szCs w:val="22"/>
          <w:lang w:val="sk-SK"/>
        </w:rPr>
        <w:t>Ak máte akékoľvek ďalšie otázky, obráťte sa na svojho lekára, lekárnika alebo zdravotnú sestru.</w:t>
      </w:r>
    </w:p>
    <w:p w:rsidR="00DE0D32" w:rsidRPr="00F302E4" w:rsidRDefault="00DE0D32" w:rsidP="00DE0D32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 w:rsidRPr="00F302E4">
        <w:rPr>
          <w:szCs w:val="22"/>
          <w:lang w:val="sk-SK"/>
        </w:rPr>
        <w:t>Ak sa u 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DE0D32" w:rsidRPr="00F302E4" w:rsidRDefault="00DE0D32" w:rsidP="00DE0D32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F302E4">
        <w:rPr>
          <w:b/>
          <w:szCs w:val="22"/>
          <w:lang w:val="sk-SK"/>
        </w:rPr>
        <w:t>V tejto písomnej informácii sa dozviete: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F302E4">
        <w:rPr>
          <w:szCs w:val="22"/>
          <w:lang w:val="sk-SK"/>
        </w:rPr>
        <w:t>1.</w:t>
      </w:r>
      <w:r w:rsidRPr="00F302E4">
        <w:rPr>
          <w:szCs w:val="22"/>
          <w:lang w:val="sk-SK"/>
        </w:rPr>
        <w:tab/>
        <w:t>Čo je Regiocit a na čo sa používa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F302E4">
        <w:rPr>
          <w:szCs w:val="22"/>
          <w:lang w:val="sk-SK"/>
        </w:rPr>
        <w:t>2.</w:t>
      </w:r>
      <w:r w:rsidRPr="00F302E4">
        <w:rPr>
          <w:szCs w:val="22"/>
          <w:lang w:val="sk-SK"/>
        </w:rPr>
        <w:tab/>
        <w:t>Čo potrebujete vedieť predtým, ako použijete Regiocit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F302E4">
        <w:rPr>
          <w:szCs w:val="22"/>
          <w:lang w:val="sk-SK"/>
        </w:rPr>
        <w:t>3.</w:t>
      </w:r>
      <w:r w:rsidRPr="00F302E4">
        <w:rPr>
          <w:szCs w:val="22"/>
          <w:lang w:val="sk-SK"/>
        </w:rPr>
        <w:tab/>
        <w:t>Ako používať Regiocit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F302E4">
        <w:rPr>
          <w:szCs w:val="22"/>
          <w:lang w:val="sk-SK"/>
        </w:rPr>
        <w:t>4.</w:t>
      </w:r>
      <w:r w:rsidRPr="00F302E4">
        <w:rPr>
          <w:szCs w:val="22"/>
          <w:lang w:val="sk-SK"/>
        </w:rPr>
        <w:tab/>
        <w:t>Možné vedľajšie účinky</w:t>
      </w:r>
    </w:p>
    <w:p w:rsidR="00DE0D32" w:rsidRPr="00F302E4" w:rsidRDefault="00DE0D32" w:rsidP="00DE0D32">
      <w:pPr>
        <w:tabs>
          <w:tab w:val="clear" w:pos="567"/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F302E4">
        <w:rPr>
          <w:szCs w:val="22"/>
          <w:lang w:val="sk-SK"/>
        </w:rPr>
        <w:t>5.</w:t>
      </w:r>
      <w:r w:rsidRPr="00F302E4">
        <w:rPr>
          <w:szCs w:val="22"/>
          <w:lang w:val="sk-SK"/>
        </w:rPr>
        <w:tab/>
        <w:t>Ako uchovávať Regiocit</w:t>
      </w:r>
    </w:p>
    <w:p w:rsidR="00DE0D32" w:rsidRPr="00F302E4" w:rsidRDefault="00DE0D32" w:rsidP="00DE0D32">
      <w:pPr>
        <w:tabs>
          <w:tab w:val="clear" w:pos="567"/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F302E4">
        <w:rPr>
          <w:szCs w:val="22"/>
          <w:lang w:val="sk-SK"/>
        </w:rPr>
        <w:t>6.</w:t>
      </w:r>
      <w:r w:rsidRPr="00F302E4">
        <w:rPr>
          <w:szCs w:val="22"/>
          <w:lang w:val="sk-SK"/>
        </w:rPr>
        <w:tab/>
        <w:t>Obsah balenia a ďalšie informácie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F302E4" w:rsidRDefault="00DE0D32" w:rsidP="00DE0D32">
      <w:pPr>
        <w:spacing w:line="240" w:lineRule="auto"/>
        <w:ind w:right="-2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1.</w:t>
      </w:r>
      <w:r w:rsidRPr="00F302E4">
        <w:rPr>
          <w:b/>
          <w:szCs w:val="22"/>
          <w:lang w:val="sk-SK"/>
        </w:rPr>
        <w:tab/>
        <w:t>Čo je Regiocit a na čo sa používa</w:t>
      </w:r>
    </w:p>
    <w:p w:rsidR="00DE0D32" w:rsidRPr="00F302E4" w:rsidRDefault="00DE0D32" w:rsidP="00DE0D32">
      <w:pPr>
        <w:spacing w:line="240" w:lineRule="auto"/>
        <w:ind w:right="-2"/>
        <w:rPr>
          <w:b/>
          <w:szCs w:val="22"/>
          <w:lang w:val="sk-SK"/>
        </w:rPr>
      </w:pPr>
    </w:p>
    <w:p w:rsidR="00DE0D32" w:rsidRPr="00F302E4" w:rsidRDefault="00DE0D32" w:rsidP="00DE0D32">
      <w:pPr>
        <w:pStyle w:val="Textkomentra"/>
        <w:rPr>
          <w:sz w:val="22"/>
          <w:szCs w:val="22"/>
          <w:lang w:val="sk-SK"/>
        </w:rPr>
      </w:pPr>
      <w:r w:rsidRPr="00F302E4">
        <w:rPr>
          <w:sz w:val="22"/>
          <w:szCs w:val="22"/>
          <w:lang w:val="sk-SK"/>
        </w:rPr>
        <w:t xml:space="preserve">Regiocit je roztok na hemofiltráciu (liečebný postup založený na filtrácii krvi mimo organizmu a umožňujúci jej očistenie a odstránenie prebytočnej tekutiny) a zabraňuje zrážaniu krvi počas kontinuálnej renálnej nahradzujúcej terapie (KRNT), ktorá je formou dialytickej liečby. Regiocit sa používa u vážne chorých pacientov, </w:t>
      </w:r>
      <w:r w:rsidR="002341B8">
        <w:rPr>
          <w:sz w:val="22"/>
          <w:szCs w:val="22"/>
          <w:lang w:val="sk-SK"/>
        </w:rPr>
        <w:t xml:space="preserve">najmä </w:t>
      </w:r>
      <w:r w:rsidRPr="00F302E4">
        <w:rPr>
          <w:sz w:val="22"/>
          <w:szCs w:val="22"/>
          <w:lang w:val="sk-SK"/>
        </w:rPr>
        <w:t xml:space="preserve">ak je bežný liek proti zrážaniu krvi (heparín) nevhodný. Citrát zabezpečuje antikoaguláciu (zabraňuje zrážanlivosti krvi) tým, že sa viaže na vápnik v krvi. </w:t>
      </w:r>
    </w:p>
    <w:p w:rsidR="00DE0D32" w:rsidRPr="00F302E4" w:rsidRDefault="00DE0D32" w:rsidP="00DE0D32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spacing w:line="240" w:lineRule="auto"/>
        <w:ind w:right="-2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2.</w:t>
      </w:r>
      <w:r w:rsidRPr="00F302E4">
        <w:rPr>
          <w:b/>
          <w:szCs w:val="22"/>
          <w:lang w:val="sk-SK"/>
        </w:rPr>
        <w:tab/>
        <w:t>Čo potrebujete vedieť predtým, ako použijete Regiocit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  <w:lang w:val="sk-SK"/>
        </w:rPr>
      </w:pPr>
    </w:p>
    <w:p w:rsidR="00DE0D32" w:rsidRPr="004001A2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4001A2">
        <w:rPr>
          <w:b/>
          <w:szCs w:val="22"/>
          <w:lang w:val="sk-SK"/>
        </w:rPr>
        <w:t>Nepoužívajte Regiocit v prípade:</w:t>
      </w:r>
    </w:p>
    <w:p w:rsidR="00DE0D32" w:rsidRPr="004001A2" w:rsidRDefault="00DE0D32" w:rsidP="00AD76F6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284" w:hanging="284"/>
        <w:rPr>
          <w:szCs w:val="22"/>
          <w:lang w:val="sk-SK"/>
        </w:rPr>
      </w:pPr>
      <w:r w:rsidRPr="004001A2">
        <w:rPr>
          <w:szCs w:val="22"/>
          <w:lang w:val="sk-SK"/>
        </w:rPr>
        <w:t>ak ste alergický na liečivo alebo na ktorúkoľvek z ďalších zložiek tohto lieku (uvedených v časti 6).</w:t>
      </w:r>
    </w:p>
    <w:p w:rsidR="00DE0D32" w:rsidRPr="004001A2" w:rsidRDefault="00246ADD" w:rsidP="00AD76F6">
      <w:pPr>
        <w:pStyle w:val="Odsekzoznamu"/>
        <w:numPr>
          <w:ilvl w:val="0"/>
          <w:numId w:val="4"/>
        </w:numPr>
        <w:spacing w:line="240" w:lineRule="auto"/>
        <w:ind w:left="284" w:hanging="284"/>
        <w:rPr>
          <w:szCs w:val="22"/>
          <w:lang w:val="sk-SK"/>
        </w:rPr>
      </w:pPr>
      <w:r w:rsidRPr="004001A2">
        <w:rPr>
          <w:szCs w:val="22"/>
          <w:lang w:val="sk-SK"/>
        </w:rPr>
        <w:t>závažná</w:t>
      </w:r>
      <w:r w:rsidR="00DE0D32" w:rsidRPr="004001A2">
        <w:rPr>
          <w:szCs w:val="22"/>
          <w:lang w:val="sk-SK"/>
        </w:rPr>
        <w:t xml:space="preserve"> po</w:t>
      </w:r>
      <w:r w:rsidRPr="004001A2">
        <w:rPr>
          <w:szCs w:val="22"/>
          <w:lang w:val="sk-SK"/>
        </w:rPr>
        <w:t>rucha</w:t>
      </w:r>
      <w:r w:rsidR="00DE0D32" w:rsidRPr="004001A2">
        <w:rPr>
          <w:szCs w:val="22"/>
          <w:lang w:val="sk-SK"/>
        </w:rPr>
        <w:t xml:space="preserve"> funkcie pečene.</w:t>
      </w:r>
    </w:p>
    <w:p w:rsidR="00DE0D32" w:rsidRPr="004001A2" w:rsidRDefault="00DE0D32" w:rsidP="00AD76F6">
      <w:pPr>
        <w:pStyle w:val="Odsekzoznamu"/>
        <w:numPr>
          <w:ilvl w:val="0"/>
          <w:numId w:val="4"/>
        </w:numPr>
        <w:suppressLineNumbers/>
        <w:spacing w:line="240" w:lineRule="auto"/>
        <w:ind w:left="284" w:hanging="284"/>
        <w:rPr>
          <w:szCs w:val="22"/>
          <w:lang w:val="sk-SK"/>
        </w:rPr>
      </w:pPr>
      <w:r w:rsidRPr="004001A2">
        <w:rPr>
          <w:szCs w:val="22"/>
          <w:lang w:val="sk-SK"/>
        </w:rPr>
        <w:t xml:space="preserve">výrazne zníženého prietoku krvi vo svaloch. </w:t>
      </w:r>
    </w:p>
    <w:p w:rsidR="00DE0D32" w:rsidRPr="004001A2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4001A2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4001A2">
        <w:rPr>
          <w:b/>
          <w:szCs w:val="22"/>
          <w:lang w:val="sk-SK"/>
        </w:rPr>
        <w:t>Upozornenia a opatrenia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before="120" w:after="120" w:line="240" w:lineRule="auto"/>
        <w:rPr>
          <w:szCs w:val="22"/>
          <w:lang w:val="sk-SK"/>
        </w:rPr>
      </w:pPr>
      <w:r w:rsidRPr="004001A2">
        <w:rPr>
          <w:szCs w:val="22"/>
          <w:lang w:val="sk-SK"/>
        </w:rPr>
        <w:t>Predtým</w:t>
      </w:r>
      <w:r w:rsidRPr="00F302E4">
        <w:rPr>
          <w:szCs w:val="22"/>
          <w:lang w:val="sk-SK"/>
        </w:rPr>
        <w:t>, ako začnete používať Regiocit, obráťte sa na svojho lekára, lekárnika alebo zdravotnú sestru.</w:t>
      </w:r>
    </w:p>
    <w:p w:rsidR="00DE0D32" w:rsidRPr="00F302E4" w:rsidRDefault="00DE0D32" w:rsidP="00DE0D32">
      <w:pPr>
        <w:autoSpaceDE w:val="0"/>
        <w:autoSpaceDN w:val="0"/>
        <w:adjustRightInd w:val="0"/>
        <w:spacing w:before="120" w:after="120"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Regiocit nie je určený na priamu intravenóznu infúziu (do žily). Musí sa používať iba s prístrojom schopným vykonávať kontinuálnu renálnu nahradzujúcu terapiu (KRNT), ktorá je typom dialýzy konkrétne pre vážne chorých pacientov so zlyhaním obličiek. Prístroj na KRNT musí byť vhodný na antikoaguláciu citrátom.</w:t>
      </w:r>
    </w:p>
    <w:p w:rsidR="00EB5B74" w:rsidRDefault="00EB5B74" w:rsidP="00DE0D32">
      <w:pPr>
        <w:spacing w:line="240" w:lineRule="auto"/>
        <w:rPr>
          <w:bCs/>
          <w:szCs w:val="22"/>
          <w:lang w:val="sk-SK"/>
        </w:rPr>
      </w:pPr>
      <w:r w:rsidRPr="00EB5B74">
        <w:rPr>
          <w:bCs/>
          <w:szCs w:val="22"/>
          <w:lang w:val="sk-SK"/>
        </w:rPr>
        <w:t xml:space="preserve">Regiocit sa môže zohriať na teplotu 37 °C, aby bolo podanie pre pacienta pohodlnejšie. Roztok sa môže pred použitím zohrievať len suchým teplom. Roztok sa nesmie zohrievať vo vode alebo v mikrovlnnej rúre. Pred podaním je potrebné Regiocit vizuálne skontrolovať, či nedošlo k zmenám konzistencie a sfarbenia. </w:t>
      </w:r>
      <w:r w:rsidR="00CF61BE">
        <w:rPr>
          <w:bCs/>
          <w:szCs w:val="22"/>
          <w:lang w:val="sk-SK"/>
        </w:rPr>
        <w:t>L</w:t>
      </w:r>
      <w:r w:rsidR="00CF61BE" w:rsidRPr="00EB5B74">
        <w:rPr>
          <w:bCs/>
          <w:szCs w:val="22"/>
          <w:lang w:val="sk-SK"/>
        </w:rPr>
        <w:t xml:space="preserve">iek nepodávajte </w:t>
      </w:r>
      <w:r w:rsidR="00CF61BE">
        <w:rPr>
          <w:bCs/>
          <w:szCs w:val="22"/>
          <w:lang w:val="sk-SK"/>
        </w:rPr>
        <w:t>ak</w:t>
      </w:r>
      <w:r w:rsidRPr="00EB5B74">
        <w:rPr>
          <w:bCs/>
          <w:szCs w:val="22"/>
          <w:lang w:val="sk-SK"/>
        </w:rPr>
        <w:t xml:space="preserve"> roztok nie je číry a zvar neporušený</w:t>
      </w:r>
      <w:r w:rsidR="00CF61BE">
        <w:rPr>
          <w:bCs/>
          <w:szCs w:val="22"/>
          <w:lang w:val="sk-SK"/>
        </w:rPr>
        <w:t>.</w:t>
      </w:r>
      <w:r w:rsidRPr="00EB5B74">
        <w:rPr>
          <w:bCs/>
          <w:szCs w:val="22"/>
          <w:lang w:val="sk-SK"/>
        </w:rPr>
        <w:t>.</w:t>
      </w:r>
    </w:p>
    <w:p w:rsidR="00DE0D32" w:rsidRPr="00F302E4" w:rsidRDefault="00DE0D32" w:rsidP="00DE0D32">
      <w:pPr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 xml:space="preserve">V prípade poškodenia obalu alebo vaku s roztokom môže byť roztok kontaminovaný a nesmiete ho použiť. Pri liečbe Regiocitom sa používajú aj iné tekutiny vo forme infúzie. Zloženie alebo mieru podávania takýchto iných tekutín môže byť potrebné nastaviť tak, aby boli kompatibilné s týmto liekom. </w:t>
      </w:r>
    </w:p>
    <w:p w:rsidR="00ED510D" w:rsidRDefault="00DE0D3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lastRenderedPageBreak/>
        <w:t xml:space="preserve">Váš lekár bude pred liečbou a počas nej dôsledne sledovať váš hemodynamický stav (dynamika prietoku krvi v krvnom obehu), rovnováhu tekutín, hladinu glukózy (cukru) a elektrolytickú a acidobázickú rovnováhu (rovnováha elektrolytov (napr.: sodík, vápnik, horčík) a rovnováha medzi tvorbou a neutralizáciou kyselín a zásad v organizme). </w:t>
      </w:r>
      <w:r w:rsidR="00ED510D" w:rsidRPr="00ED510D">
        <w:rPr>
          <w:szCs w:val="22"/>
          <w:lang w:val="sk-SK"/>
        </w:rPr>
        <w:t>Hodnoty sodíka, horčíka, draslíka, fosfátu a vápnika budú dôsledne sledova</w:t>
      </w:r>
      <w:r w:rsidR="00CF61BE">
        <w:rPr>
          <w:szCs w:val="22"/>
          <w:lang w:val="sk-SK"/>
        </w:rPr>
        <w:t>né</w:t>
      </w:r>
      <w:r w:rsidR="00ED510D" w:rsidRPr="00ED510D">
        <w:rPr>
          <w:szCs w:val="22"/>
          <w:lang w:val="sk-SK"/>
        </w:rPr>
        <w:t>.</w:t>
      </w:r>
    </w:p>
    <w:p w:rsidR="00DE0D32" w:rsidRDefault="00DE0D3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 xml:space="preserve">V prípade potreby bude liečba upravená. </w:t>
      </w:r>
    </w:p>
    <w:p w:rsidR="004001A2" w:rsidRPr="00F302E4" w:rsidRDefault="004001A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D510D" w:rsidRDefault="00ED510D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D510D">
        <w:rPr>
          <w:szCs w:val="22"/>
          <w:lang w:val="sk-SK"/>
        </w:rPr>
        <w:t>Regiocit neobsahuje vápnik. Pri užívaní Regiocitu sa môže vyskytnúť nízka hladina vápnika v krvi (hypokalciémia).</w:t>
      </w:r>
    </w:p>
    <w:p w:rsidR="004001A2" w:rsidRPr="00ED510D" w:rsidRDefault="004001A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D510D" w:rsidRDefault="00ED510D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D510D">
        <w:rPr>
          <w:szCs w:val="22"/>
          <w:lang w:val="sk-SK"/>
        </w:rPr>
        <w:t>Regiocit neobsahuje horčík. Pri užívaní Regiocitu sa môže vyskytnúť nízka hladina horčíka v krvi (hypomagneziémia). Hladina horčíka v krvi sa bude dôsledne sledovať a môže byť potrebná infúzia horčíka.</w:t>
      </w:r>
    </w:p>
    <w:p w:rsidR="004001A2" w:rsidRPr="00ED510D" w:rsidRDefault="004001A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D510D" w:rsidRPr="00ED510D" w:rsidRDefault="00ED510D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D510D">
        <w:rPr>
          <w:szCs w:val="22"/>
          <w:lang w:val="sk-SK"/>
        </w:rPr>
        <w:t>Regiocit neobsahuje glukózu. Podávanie Regiocitu môže viesť k nízkej hladine glukózy v krvi (hypoglykémii). Hladiny glukózy v krvi sa musia pravidelne sledovať.</w:t>
      </w:r>
    </w:p>
    <w:p w:rsidR="00ED510D" w:rsidRDefault="00ED510D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D510D">
        <w:rPr>
          <w:szCs w:val="22"/>
          <w:lang w:val="sk-SK"/>
        </w:rPr>
        <w:t>Regiocit neobsahuje draslík. Pred začiatkom liečby a počas nej sa musí sledovať koncentrácia draslíka v sére.</w:t>
      </w:r>
    </w:p>
    <w:p w:rsidR="004001A2" w:rsidRPr="00ED510D" w:rsidRDefault="004001A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Default="00DE0D3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Váš lekár bude venovať osobitnú pozornosť rýchlosti infúzie citrátu. Príliš veľa citrátu spôsobuje nízku hladinu vápnika v krvi a vysoké pH krvi, čo môže viesť k neurologickým a srdcovým komplikáciám. Vysoké pH krvi možno korigovať úpravou nastavení dialýzy a infúziou postfiltračného roztoku 0,9 % chloridu sodného</w:t>
      </w:r>
      <w:r w:rsidR="00ED510D" w:rsidRPr="00AD76F6">
        <w:rPr>
          <w:lang w:val="sk-SK"/>
        </w:rPr>
        <w:t xml:space="preserve"> </w:t>
      </w:r>
      <w:r w:rsidR="00ED510D" w:rsidRPr="00ED510D">
        <w:rPr>
          <w:szCs w:val="22"/>
          <w:lang w:val="sk-SK"/>
        </w:rPr>
        <w:t>alebo zmenou zloženia roztoku KRNT</w:t>
      </w:r>
      <w:r w:rsidRPr="00F302E4">
        <w:rPr>
          <w:szCs w:val="22"/>
          <w:lang w:val="sk-SK"/>
        </w:rPr>
        <w:t>. Nízku hladinu vápnika v krvi možno liečiť infúziou vápnika.</w:t>
      </w:r>
    </w:p>
    <w:p w:rsidR="004001A2" w:rsidRPr="00F302E4" w:rsidRDefault="004001A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Default="00DE0D3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Osobitná pozornosť vášho lekára je potrebná, ak trpíte zlyhaním alebo infarktom pečene. Metabolizmus citrátu môže byť výrazne znížený, čo môže viesť ku hromadeniu citrátu sprevádzanému nízkym pH krvi. O potrebe úpravy vašej liečby rozhodne lekár. Ak pomer celkového a ionizovaného vápnika stúpne nad 2,3, je potrebné znížiť alebo zastaviť tlmivý roztok citrátu.</w:t>
      </w:r>
    </w:p>
    <w:p w:rsidR="004001A2" w:rsidRPr="00F302E4" w:rsidRDefault="004001A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D510D" w:rsidRDefault="00ED510D" w:rsidP="004001A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D510D">
        <w:rPr>
          <w:szCs w:val="22"/>
          <w:lang w:val="sk-SK"/>
        </w:rPr>
        <w:t>Ak sa Regiocit podáva pacientom s poruchou funkcie pečene je dôležité časté sledovanie pH, elektrolytov, pomer celkového a ionizovaného vápnika a systémový ionizovaný vápnik, aby sa predišlo nerovnováhe elektrolytov a/alebo acidobázickej nerovnováhe.</w:t>
      </w:r>
      <w:r w:rsidRPr="00AD76F6">
        <w:rPr>
          <w:lang w:val="sk-SK"/>
        </w:rPr>
        <w:t xml:space="preserve"> </w:t>
      </w:r>
      <w:r w:rsidRPr="00ED510D">
        <w:rPr>
          <w:szCs w:val="22"/>
          <w:lang w:val="sk-SK"/>
        </w:rPr>
        <w:t>Neužívajte v prípade vážnej poruchy funkcie pečene.</w:t>
      </w:r>
    </w:p>
    <w:p w:rsidR="004001A2" w:rsidRPr="00ED510D" w:rsidRDefault="004001A2" w:rsidP="004001A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D510D" w:rsidRDefault="00ED510D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ED510D">
        <w:rPr>
          <w:bCs/>
          <w:szCs w:val="22"/>
          <w:lang w:val="sk-SK"/>
        </w:rPr>
        <w:t>V prípade abnormálne vysokého objemu tekutiny v tele (hypervolémia), sa môže čistá rýchlosť ultrafiltrácie predpísaná pre prístroj na KRNT zvýšiť a/alebo sa môže rýchlosť podávania iných roztokov ako je náhradná tekutina a/alebo dialyzát znížiť.</w:t>
      </w:r>
    </w:p>
    <w:p w:rsidR="004001A2" w:rsidRPr="00ED510D" w:rsidRDefault="004001A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:rsidR="00ED510D" w:rsidRDefault="00ED510D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ED510D">
        <w:rPr>
          <w:bCs/>
          <w:szCs w:val="22"/>
          <w:lang w:val="sk-SK"/>
        </w:rPr>
        <w:t>V prípade abnormálne nízkeho objemu tekutiny v tele (hypovolémia), sa môže čistá rýchlosť ultrafiltrácie predpísaná pre prístroj KRNT znížiť a/alebo sa môže rýchlosť podávania iných roztokov ako je náhradná tekutina a/alebo dialyzát zvýšiť.</w:t>
      </w:r>
    </w:p>
    <w:p w:rsidR="004001A2" w:rsidRPr="00ED510D" w:rsidRDefault="004001A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:rsidR="00ED510D" w:rsidRDefault="00ED510D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D510D">
        <w:rPr>
          <w:szCs w:val="22"/>
          <w:lang w:val="sk-SK"/>
        </w:rPr>
        <w:t>Regiocit je oproti bežným náhradným tekutinám používaným pri KRNT hypoosmolárny/hypotonický a u pacientov s traumatickým zranením mozgu, mozgovým edémom alebo zvýšeným intrakraniálnym tlakom sa má používať s opatrnosťou.</w:t>
      </w:r>
    </w:p>
    <w:p w:rsidR="004001A2" w:rsidRPr="00ED510D" w:rsidRDefault="004001A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F302E4" w:rsidRDefault="00DE0D32" w:rsidP="004001A2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Pokyny na používanie sa musia dôsledne dodržiavať. Nesprávne používanie prístupových portov (vstupov) alebo iné obmedzenia prietoku tekutín môžu viesť k chybnému vyhodnoteniu úbytku hmotnosti pacienta, čo môže spôsobiť spustenie alarmu prístroja. Pokračovanie v liečbe bez vyriešenia pôvodnej príčiny môže viesť k  poškodeniu alebo úmrtiu pacienta.</w:t>
      </w:r>
    </w:p>
    <w:p w:rsidR="00DE0D32" w:rsidRPr="00F302E4" w:rsidRDefault="00DE0D3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DE0D32" w:rsidRPr="00F302E4" w:rsidRDefault="00DE0D3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Iné lieky a Regiocit</w:t>
      </w:r>
    </w:p>
    <w:p w:rsidR="00DE0D32" w:rsidRPr="00F302E4" w:rsidRDefault="00DE0D3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DE0D32" w:rsidRPr="00F302E4" w:rsidRDefault="00DE0D3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 xml:space="preserve">Ak teraz užívate alebo ste v poslednom čase užívali ďalšie lieky vrátane liekov bez lekárskeho predpisu, povedzte to svojmu lekárovi, lekárnikovi alebo zdravotnej sestre. Je to potrebné preto, že </w:t>
      </w:r>
      <w:r w:rsidRPr="00F302E4">
        <w:rPr>
          <w:szCs w:val="22"/>
          <w:lang w:val="sk-SK"/>
        </w:rPr>
        <w:lastRenderedPageBreak/>
        <w:t xml:space="preserve">koncentrácia iných liekov sa počas dialytickej liečby môže znížiť. O tom, či sú nutné nejaké zmeny v dávkovaní vašich liekov, rozhodne váš lekár. 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302E4">
        <w:rPr>
          <w:szCs w:val="22"/>
          <w:lang w:val="sk-SK"/>
        </w:rPr>
        <w:t>Informujte svojho lekára, predovšetkým ak používate lieky, ktoré obsahujú:</w:t>
      </w:r>
    </w:p>
    <w:p w:rsidR="00DE0D32" w:rsidRPr="00ED510D" w:rsidRDefault="00ED510D" w:rsidP="00DE0D32">
      <w:pPr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D76F6">
        <w:rPr>
          <w:lang w:val="sk-SK"/>
        </w:rPr>
        <w:t xml:space="preserve"> </w:t>
      </w:r>
      <w:r w:rsidRPr="00ED510D">
        <w:rPr>
          <w:szCs w:val="22"/>
          <w:lang w:val="sk-SK"/>
        </w:rPr>
        <w:t>•</w:t>
      </w:r>
      <w:r w:rsidRPr="00ED510D">
        <w:rPr>
          <w:szCs w:val="22"/>
          <w:lang w:val="sk-SK"/>
        </w:rPr>
        <w:tab/>
        <w:t>Vitamín D a iné lieky s obsahom vápnika a lieky s obsahom chloridu vápenatého alebo glukonátu vápenatého, keďže môžu zvyšovať riziko vysokej koncentrácie vápnika v krvi (hyperkalciémia); a môžu znižovať antikoagulačný účinok.</w:t>
      </w:r>
      <w:r w:rsidR="00DE0D32" w:rsidRPr="00ED510D">
        <w:rPr>
          <w:szCs w:val="22"/>
          <w:lang w:val="sk-SK"/>
        </w:rPr>
        <w:t>hydrogénuhličitan sodný, keďže môže zvyšovať hladinu hydrogénuhličitanu v krvi.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Tehotenstvo, dojčenie a plodnosť</w:t>
      </w:r>
    </w:p>
    <w:p w:rsidR="00DE0D32" w:rsidRPr="00246ADD" w:rsidRDefault="00DE0D32" w:rsidP="00DE0D32">
      <w:pPr>
        <w:pStyle w:val="NoSpacing1"/>
        <w:rPr>
          <w:rFonts w:ascii="Times New Roman" w:hAnsi="Times New Roman"/>
          <w:color w:val="000000"/>
          <w:u w:val="single"/>
          <w:lang w:val="sk-SK"/>
        </w:rPr>
      </w:pPr>
      <w:r w:rsidRPr="00246ADD">
        <w:rPr>
          <w:rFonts w:ascii="Times New Roman" w:hAnsi="Times New Roman"/>
          <w:color w:val="000000"/>
          <w:u w:val="single"/>
          <w:lang w:val="sk-SK"/>
        </w:rPr>
        <w:t>Plodnosť:</w:t>
      </w:r>
    </w:p>
    <w:p w:rsidR="00DE0D32" w:rsidRPr="00F302E4" w:rsidRDefault="00DE0D32" w:rsidP="00DE0D32">
      <w:pPr>
        <w:pStyle w:val="NoSpacing1"/>
        <w:rPr>
          <w:rFonts w:ascii="Times New Roman" w:hAnsi="Times New Roman"/>
          <w:color w:val="000000"/>
          <w:lang w:val="sk-SK"/>
        </w:rPr>
      </w:pPr>
      <w:r w:rsidRPr="00F302E4">
        <w:rPr>
          <w:rFonts w:ascii="Times New Roman" w:hAnsi="Times New Roman"/>
          <w:color w:val="000000"/>
          <w:lang w:val="sk-SK"/>
        </w:rPr>
        <w:t>Nepredpokladajú sa žiadne účinky na plodnosť, keďže sodík, chlorid a citrát sú bežnou súčasťou tela.</w:t>
      </w:r>
    </w:p>
    <w:p w:rsidR="00DE0D32" w:rsidRPr="00F302E4" w:rsidRDefault="00DE0D32" w:rsidP="00DE0D32">
      <w:pPr>
        <w:pStyle w:val="NoSpacing1"/>
        <w:rPr>
          <w:rFonts w:ascii="Times New Roman" w:hAnsi="Times New Roman"/>
          <w:color w:val="000000"/>
          <w:lang w:val="sk-SK"/>
        </w:rPr>
      </w:pPr>
    </w:p>
    <w:p w:rsidR="00DE0D32" w:rsidRPr="00246ADD" w:rsidRDefault="00DE0D32" w:rsidP="00DE0D32">
      <w:pPr>
        <w:pStyle w:val="NoSpacing1"/>
        <w:rPr>
          <w:rFonts w:ascii="Times New Roman" w:hAnsi="Times New Roman"/>
          <w:color w:val="000000"/>
          <w:u w:val="single"/>
          <w:lang w:val="sk-SK"/>
        </w:rPr>
      </w:pPr>
      <w:r w:rsidRPr="00246ADD">
        <w:rPr>
          <w:rFonts w:ascii="Times New Roman" w:hAnsi="Times New Roman"/>
          <w:color w:val="000000"/>
          <w:u w:val="single"/>
          <w:lang w:val="sk-SK"/>
        </w:rPr>
        <w:t>Tehotenstvo a dojčenie:</w:t>
      </w:r>
    </w:p>
    <w:p w:rsidR="00DE0D32" w:rsidRPr="00F302E4" w:rsidRDefault="00DE0D32" w:rsidP="00DE0D32">
      <w:pPr>
        <w:pStyle w:val="NoSpacing1"/>
        <w:rPr>
          <w:rFonts w:ascii="Times New Roman" w:hAnsi="Times New Roman"/>
          <w:color w:val="000000"/>
          <w:lang w:val="sk-SK"/>
        </w:rPr>
      </w:pPr>
      <w:r w:rsidRPr="00F302E4">
        <w:rPr>
          <w:rFonts w:ascii="Times New Roman" w:hAnsi="Times New Roman"/>
          <w:color w:val="000000"/>
          <w:lang w:val="sk-SK"/>
        </w:rPr>
        <w:t>Nie sú zdokumentované žiadne klinické údaje o používaní tohto lieku počas tehotenstva a dojčenia.</w:t>
      </w:r>
      <w:r w:rsidRPr="00F302E4">
        <w:rPr>
          <w:rFonts w:ascii="Times New Roman" w:hAnsi="Times New Roman"/>
          <w:lang w:val="sk-SK"/>
        </w:rPr>
        <w:t xml:space="preserve"> </w:t>
      </w:r>
      <w:r w:rsidRPr="00F302E4">
        <w:rPr>
          <w:rFonts w:ascii="Times New Roman" w:hAnsi="Times New Roman"/>
          <w:color w:val="000000"/>
          <w:lang w:val="sk-SK"/>
        </w:rPr>
        <w:t>Tento liek sa môže podávať tehotným a dojčiacim ženám, iba ak je to nevyhnutné.</w:t>
      </w:r>
    </w:p>
    <w:p w:rsidR="00DE0D32" w:rsidRPr="00F302E4" w:rsidRDefault="00DE0D32" w:rsidP="00DE0D32">
      <w:pPr>
        <w:spacing w:line="240" w:lineRule="auto"/>
        <w:ind w:right="-2"/>
        <w:rPr>
          <w:b/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Vedenie vozidiel a obsluha strojov</w:t>
      </w:r>
    </w:p>
    <w:p w:rsidR="00DE0D32" w:rsidRPr="00F302E4" w:rsidRDefault="00DE0D32" w:rsidP="00DE0D32">
      <w:pPr>
        <w:widowControl w:val="0"/>
        <w:numPr>
          <w:ilvl w:val="12"/>
          <w:numId w:val="0"/>
        </w:numPr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Regiocit neovplyvňuje schopnosť viesť vozidlá alebo obsluhovať stroje.</w:t>
      </w:r>
    </w:p>
    <w:p w:rsidR="00DE0D32" w:rsidRPr="00F302E4" w:rsidRDefault="00DE0D32" w:rsidP="00DE0D32">
      <w:pPr>
        <w:spacing w:line="240" w:lineRule="auto"/>
        <w:ind w:right="-2"/>
        <w:rPr>
          <w:b/>
          <w:szCs w:val="22"/>
          <w:lang w:val="sk-SK"/>
        </w:rPr>
      </w:pPr>
    </w:p>
    <w:p w:rsidR="00DE0D32" w:rsidRPr="00F302E4" w:rsidRDefault="00DE0D32" w:rsidP="00DE0D32">
      <w:pPr>
        <w:spacing w:line="240" w:lineRule="auto"/>
        <w:ind w:right="-2"/>
        <w:rPr>
          <w:b/>
          <w:szCs w:val="22"/>
          <w:lang w:val="sk-SK"/>
        </w:rPr>
      </w:pPr>
    </w:p>
    <w:p w:rsidR="00DE0D32" w:rsidRPr="00F302E4" w:rsidRDefault="00DE0D32" w:rsidP="00DE0D32">
      <w:pPr>
        <w:spacing w:line="240" w:lineRule="auto"/>
        <w:ind w:right="-2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3.</w:t>
      </w:r>
      <w:r w:rsidRPr="00F302E4">
        <w:rPr>
          <w:b/>
          <w:szCs w:val="22"/>
          <w:lang w:val="sk-SK"/>
        </w:rPr>
        <w:tab/>
        <w:t>Ako používať Regiocit</w:t>
      </w:r>
    </w:p>
    <w:p w:rsidR="00DE0D32" w:rsidRPr="00F302E4" w:rsidRDefault="00DE0D32" w:rsidP="00DE0D32">
      <w:pPr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spacing w:line="240" w:lineRule="auto"/>
        <w:ind w:right="-2"/>
        <w:rPr>
          <w:szCs w:val="22"/>
          <w:lang w:val="sk-SK"/>
        </w:rPr>
      </w:pPr>
      <w:r w:rsidRPr="00F302E4">
        <w:rPr>
          <w:szCs w:val="22"/>
          <w:lang w:val="sk-SK"/>
        </w:rPr>
        <w:t xml:space="preserve">Na intravenózne použitie (Na podanie do žily). Regiocit je určený na použitie v nemocniciach a môžu ho podávať iba zdravotnícki pracovníci. Použitý objem a teda dávka tohto lieku bude závisieť od vášho stavu. Objem dávky určí váš lekár. </w:t>
      </w:r>
    </w:p>
    <w:p w:rsidR="00DE0D32" w:rsidRPr="00F302E4" w:rsidRDefault="00DE0D32" w:rsidP="00DE0D32">
      <w:pPr>
        <w:suppressLineNumbers/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</w:p>
    <w:p w:rsidR="00DE0D32" w:rsidRPr="00F302E4" w:rsidRDefault="00DE0D32" w:rsidP="00DE0D32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Odporúčané prietokové rýchlosti Regiocitu u dospelých a dospievajúcich:</w:t>
      </w:r>
    </w:p>
    <w:p w:rsidR="00DE0D32" w:rsidRPr="00F302E4" w:rsidRDefault="00DE0D32" w:rsidP="00DE0D32">
      <w:pPr>
        <w:numPr>
          <w:ilvl w:val="0"/>
          <w:numId w:val="3"/>
        </w:num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pri kontinuálnej veno-venóznej hemofiltrácii (nepretržité mimotelové očisťovanie krvi od metabolitov, pri ktorom je krvný filter uložený medzi 2 cievami)</w:t>
      </w:r>
    </w:p>
    <w:p w:rsidR="00DE0D32" w:rsidRPr="00F302E4" w:rsidRDefault="00DE0D32" w:rsidP="00DE0D32">
      <w:pPr>
        <w:numPr>
          <w:ilvl w:val="1"/>
          <w:numId w:val="3"/>
        </w:num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1 – 2,5 l/hod. s rýchlosťou prietoku krvi od 100 do 200 ml/min.</w:t>
      </w:r>
    </w:p>
    <w:p w:rsidR="00DE0D32" w:rsidRPr="00F302E4" w:rsidRDefault="00DE0D32" w:rsidP="00DE0D32">
      <w:pPr>
        <w:numPr>
          <w:ilvl w:val="0"/>
          <w:numId w:val="3"/>
        </w:num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pri kontinuálnej veno-venóznej hemodiafiltrácii (nepretržité mimotelové očisťovanie krvi od metabolitov a prebytočnej vody, pri ktorom je krvný filter uložený medzi 2 cievami)</w:t>
      </w:r>
    </w:p>
    <w:p w:rsidR="00DE0D32" w:rsidRPr="00F302E4" w:rsidRDefault="00DE0D32" w:rsidP="00DE0D32">
      <w:pPr>
        <w:numPr>
          <w:ilvl w:val="1"/>
          <w:numId w:val="3"/>
        </w:num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 xml:space="preserve">1 – 2 l/hod. s rýchlosťou prietoku krvi od 100 do 200 ml/min. </w:t>
      </w:r>
    </w:p>
    <w:p w:rsidR="00DE0D32" w:rsidRPr="00F302E4" w:rsidRDefault="00DE0D32" w:rsidP="00DE0D32">
      <w:pPr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spacing w:line="240" w:lineRule="auto"/>
        <w:ind w:right="-2"/>
        <w:rPr>
          <w:szCs w:val="22"/>
          <w:lang w:val="sk-SK"/>
        </w:rPr>
      </w:pPr>
      <w:r w:rsidRPr="00F302E4">
        <w:rPr>
          <w:szCs w:val="22"/>
          <w:lang w:val="sk-SK"/>
        </w:rPr>
        <w:t>Použitie u starších ľudí:</w:t>
      </w:r>
    </w:p>
    <w:p w:rsidR="00DE0D32" w:rsidRPr="00F302E4" w:rsidRDefault="00DE0D32" w:rsidP="00DE0D32">
      <w:pPr>
        <w:spacing w:line="240" w:lineRule="auto"/>
        <w:ind w:right="-2"/>
        <w:rPr>
          <w:szCs w:val="22"/>
          <w:lang w:val="sk-SK"/>
        </w:rPr>
      </w:pPr>
      <w:r w:rsidRPr="00F302E4">
        <w:rPr>
          <w:szCs w:val="22"/>
          <w:lang w:val="sk-SK"/>
        </w:rPr>
        <w:t>Odporúčané prietokové rýchlosti sú rovnaké ako u dospelých a dospievajúcich.</w:t>
      </w:r>
    </w:p>
    <w:p w:rsidR="00DE0D32" w:rsidRPr="00F302E4" w:rsidRDefault="00DE0D32" w:rsidP="00DE0D32">
      <w:pPr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spacing w:line="240" w:lineRule="auto"/>
        <w:ind w:right="-2"/>
        <w:rPr>
          <w:szCs w:val="22"/>
          <w:lang w:val="sk-SK"/>
        </w:rPr>
      </w:pPr>
      <w:r w:rsidRPr="00F302E4">
        <w:rPr>
          <w:szCs w:val="22"/>
          <w:lang w:val="sk-SK"/>
        </w:rPr>
        <w:t>Použitie u detí:</w:t>
      </w:r>
    </w:p>
    <w:p w:rsidR="00DE0D32" w:rsidRPr="00F302E4" w:rsidRDefault="00DE0D32" w:rsidP="00DE0D32">
      <w:pPr>
        <w:spacing w:line="240" w:lineRule="auto"/>
        <w:ind w:right="-2"/>
        <w:rPr>
          <w:szCs w:val="22"/>
          <w:lang w:val="sk-SK"/>
        </w:rPr>
      </w:pPr>
      <w:r w:rsidRPr="00F302E4">
        <w:rPr>
          <w:szCs w:val="22"/>
          <w:lang w:val="sk-SK"/>
        </w:rPr>
        <w:t>U novorodencov až batoliat (0 až 23 mesiacov) cieľová dávka Regiocitu má byť 3 mmol citrátu na liter prietoku krvi pri kontinuálnej veno-venóznej hemofiltrácii alebo hemodiafiltrácii. U detí (2 až 11 rokov) je potrebné dávkovanie prispôsobiť hmotnosti pacienta a rýchlosti prietoku krvi.</w:t>
      </w:r>
    </w:p>
    <w:p w:rsidR="00DE0D32" w:rsidRPr="00F302E4" w:rsidRDefault="00DE0D32" w:rsidP="00DE0D32">
      <w:pPr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suppressLineNumbers/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Zlyhanie alebo infarkt pečene:</w:t>
      </w:r>
    </w:p>
    <w:p w:rsidR="00DE0D32" w:rsidRPr="00F302E4" w:rsidRDefault="00DE0D32" w:rsidP="00DE0D32">
      <w:pPr>
        <w:suppressLineNumbers/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V prípade týchto stavov musí byť úvodná začiatočná dávka citrátu znížená.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Pokyny na použitie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Regiocit budete dostávať v nemocnici. Váš lekár bude vedieť, ako Regiocit používať. Pre pokyny na použitie, pozri koniec tejto písomnej informácie.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F302E4">
        <w:rPr>
          <w:b/>
          <w:szCs w:val="22"/>
          <w:lang w:val="sk-SK"/>
        </w:rPr>
        <w:t>4.</w:t>
      </w:r>
      <w:r w:rsidRPr="00F302E4">
        <w:rPr>
          <w:b/>
          <w:szCs w:val="22"/>
          <w:lang w:val="sk-SK"/>
        </w:rPr>
        <w:tab/>
        <w:t>Možné vedľajšie účinky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Tak ako všetky lieky, aj tento liek môže spôsobovať vedľajšie účinky, hoci sa neprejavia u každého. Váš lekár alebo zdravotná sestra vám budú pravidelne kontrolovať krv, aby zistili možné vedľajšie účinky. Používanie tohto roztoku môže spôsobiť nasledovné: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F302E4" w:rsidRDefault="00DE0D32" w:rsidP="00DE0D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Časté: môžu ovplyvniť menej ako 1 z 10, ale viac ako 1 zo 100 pacientov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• acidobázická nerovnováha v krvi;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• nerovnováha hladín elektrolytov v krvi (napr. pokles hladiny vápnika, sodíka</w:t>
      </w:r>
      <w:r w:rsidR="00ED510D">
        <w:rPr>
          <w:szCs w:val="22"/>
          <w:lang w:val="sk-SK"/>
        </w:rPr>
        <w:t>,</w:t>
      </w:r>
      <w:r w:rsidRPr="00F302E4">
        <w:rPr>
          <w:szCs w:val="22"/>
          <w:lang w:val="sk-SK"/>
        </w:rPr>
        <w:t xml:space="preserve"> horčíka</w:t>
      </w:r>
      <w:r w:rsidR="00ED510D">
        <w:rPr>
          <w:szCs w:val="22"/>
          <w:lang w:val="sk-SK"/>
        </w:rPr>
        <w:t>,</w:t>
      </w:r>
      <w:r w:rsidRPr="00F302E4">
        <w:rPr>
          <w:szCs w:val="22"/>
          <w:lang w:val="sk-SK"/>
        </w:rPr>
        <w:t xml:space="preserve"> </w:t>
      </w:r>
      <w:r w:rsidR="00ED510D" w:rsidRPr="00ED510D">
        <w:rPr>
          <w:szCs w:val="22"/>
          <w:lang w:val="sk-SK"/>
        </w:rPr>
        <w:t xml:space="preserve">draslíka a/alebo fosfátu </w:t>
      </w:r>
      <w:r w:rsidRPr="00F302E4">
        <w:rPr>
          <w:szCs w:val="22"/>
          <w:lang w:val="sk-SK"/>
        </w:rPr>
        <w:t>v krvi alebo zvýšenie hladiny vápnika v krvi).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 xml:space="preserve">Neznáme: častosť výskytu nemožno odhadnúť z dostupných údajov 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• nerovnováha hladiny tekutiny v tele (dehydratácia, zadržiavanie tekutiny v tele);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• pokles krvného tlaku*;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• nevoľnosť*, zvracanie*;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• kŕče*.</w:t>
      </w:r>
    </w:p>
    <w:p w:rsidR="00DE0D32" w:rsidRPr="00F302E4" w:rsidRDefault="00DE0D3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F302E4" w:rsidRDefault="00DE0D32" w:rsidP="004001A2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 xml:space="preserve">* Vedľajšie účinky sa týkajú skôr dialytickej liečby ako tohto lieku. </w:t>
      </w:r>
    </w:p>
    <w:p w:rsidR="00DE0D32" w:rsidRPr="00F302E4" w:rsidRDefault="00DE0D32" w:rsidP="004001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F302E4" w:rsidRDefault="00DE0D32" w:rsidP="004001A2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Hlásenie vedľajších účinkov</w:t>
      </w:r>
    </w:p>
    <w:p w:rsidR="00DE0D32" w:rsidRPr="00F302E4" w:rsidRDefault="00DE0D32" w:rsidP="004001A2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Vedľajšie účinky môžete hlásiť aj priamo </w:t>
      </w:r>
      <w:r w:rsidR="00ED510D">
        <w:rPr>
          <w:szCs w:val="22"/>
          <w:lang w:val="sk-SK"/>
        </w:rPr>
        <w:t>na</w:t>
      </w:r>
      <w:r w:rsidR="00ED510D" w:rsidRPr="00F302E4">
        <w:rPr>
          <w:szCs w:val="22"/>
          <w:lang w:val="sk-SK"/>
        </w:rPr>
        <w:t xml:space="preserve"> </w:t>
      </w:r>
      <w:r w:rsidRPr="00F302E4">
        <w:rPr>
          <w:szCs w:val="22"/>
          <w:highlight w:val="lightGray"/>
          <w:lang w:val="sk-SK"/>
        </w:rPr>
        <w:t xml:space="preserve">národné </w:t>
      </w:r>
      <w:r w:rsidR="00ED510D">
        <w:rPr>
          <w:szCs w:val="22"/>
          <w:highlight w:val="lightGray"/>
          <w:lang w:val="sk-SK"/>
        </w:rPr>
        <w:t>centrum</w:t>
      </w:r>
      <w:r w:rsidR="00ED510D" w:rsidRPr="00F302E4">
        <w:rPr>
          <w:szCs w:val="22"/>
          <w:highlight w:val="lightGray"/>
          <w:lang w:val="sk-SK"/>
        </w:rPr>
        <w:t xml:space="preserve"> </w:t>
      </w:r>
      <w:r w:rsidRPr="00F302E4">
        <w:rPr>
          <w:szCs w:val="22"/>
          <w:highlight w:val="lightGray"/>
          <w:lang w:val="sk-SK"/>
        </w:rPr>
        <w:t>hlásenia uvedené v </w:t>
      </w:r>
      <w:hyperlink r:id="rId7" w:history="1">
        <w:r w:rsidRPr="00F302E4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F302E4">
        <w:rPr>
          <w:szCs w:val="22"/>
          <w:lang w:val="sk-SK"/>
        </w:rPr>
        <w:t>. Hlásením vedľajších účinkov môžete prispieť k získaniu ďalších informácií o bezpečnosti tohto lieku.</w:t>
      </w:r>
    </w:p>
    <w:p w:rsidR="00DE0D32" w:rsidRPr="00F302E4" w:rsidRDefault="00DE0D32" w:rsidP="00DE0D32">
      <w:pPr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zh-CN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5.</w:t>
      </w:r>
      <w:r w:rsidRPr="00F302E4">
        <w:rPr>
          <w:b/>
          <w:szCs w:val="22"/>
          <w:lang w:val="sk-SK"/>
        </w:rPr>
        <w:tab/>
        <w:t>Ako uchovávať Regiocit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302E4">
        <w:rPr>
          <w:szCs w:val="22"/>
          <w:lang w:val="sk-SK"/>
        </w:rPr>
        <w:t>Tento liek uchovávajte mimo dohľadu a dosahu detí.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302E4">
        <w:rPr>
          <w:szCs w:val="22"/>
          <w:lang w:val="sk-SK"/>
        </w:rPr>
        <w:t>Tento liek nevyžaduje žiadne zvláštne podmienky na uchovávanie.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302E4">
        <w:rPr>
          <w:szCs w:val="22"/>
          <w:lang w:val="sk-SK"/>
        </w:rPr>
        <w:t>Neuchovávajte v mrazničke.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302E4">
        <w:rPr>
          <w:szCs w:val="22"/>
          <w:lang w:val="sk-SK"/>
        </w:rPr>
        <w:t>Nepoužívajte tento liek po dátume exspirácie, ktorý je uvedený na štítku a škatuľke. Dátum exspirácie sa vzťahuje na posledný deň v danom mesiaci.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302E4">
        <w:rPr>
          <w:szCs w:val="22"/>
          <w:lang w:val="sk-SK"/>
        </w:rPr>
        <w:t>Nepoužívajte tento liek, ak spozorujete poškodenie výrobku alebo viditeľné častice v roztoku.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autoSpaceDE w:val="0"/>
        <w:autoSpaceDN w:val="0"/>
        <w:adjustRightInd w:val="0"/>
        <w:spacing w:before="120" w:after="120"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Roztok môžete zlikvidovať v odpadovej vode bez poškodenia životného prostredia.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6.</w:t>
      </w:r>
      <w:r w:rsidRPr="00F302E4">
        <w:rPr>
          <w:b/>
          <w:szCs w:val="22"/>
          <w:lang w:val="sk-SK"/>
        </w:rPr>
        <w:tab/>
        <w:t>Obsah balenia a ďalšie informácie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Čo Regiocit obsahuje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DE0D32" w:rsidRPr="00F302E4" w:rsidRDefault="00DE0D32" w:rsidP="00521F84">
      <w:pPr>
        <w:numPr>
          <w:ilvl w:val="12"/>
          <w:numId w:val="0"/>
        </w:numPr>
        <w:tabs>
          <w:tab w:val="clear" w:pos="567"/>
          <w:tab w:val="left" w:pos="1843"/>
        </w:tabs>
        <w:spacing w:line="240" w:lineRule="auto"/>
        <w:ind w:right="-2"/>
        <w:rPr>
          <w:b/>
          <w:bCs/>
          <w:szCs w:val="22"/>
          <w:lang w:val="sk-SK"/>
        </w:rPr>
      </w:pPr>
      <w:r w:rsidRPr="00F302E4">
        <w:rPr>
          <w:szCs w:val="22"/>
          <w:lang w:val="sk-SK"/>
        </w:rPr>
        <w:t>Zloženie:</w:t>
      </w:r>
    </w:p>
    <w:p w:rsidR="00DE0D32" w:rsidRPr="00F302E4" w:rsidRDefault="00521F84" w:rsidP="00521F84">
      <w:pPr>
        <w:numPr>
          <w:ilvl w:val="12"/>
          <w:numId w:val="0"/>
        </w:numPr>
        <w:tabs>
          <w:tab w:val="clear" w:pos="567"/>
          <w:tab w:val="left" w:pos="1843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c</w:t>
      </w:r>
      <w:r w:rsidR="00DE0D32" w:rsidRPr="00F302E4">
        <w:rPr>
          <w:szCs w:val="22"/>
          <w:lang w:val="sk-SK"/>
        </w:rPr>
        <w:t>hlorid sodný</w:t>
      </w:r>
      <w:r w:rsidR="00DE0D32" w:rsidRPr="00F302E4">
        <w:rPr>
          <w:szCs w:val="22"/>
          <w:lang w:val="sk-SK"/>
        </w:rPr>
        <w:tab/>
        <w:t>5,03 g/l</w:t>
      </w:r>
    </w:p>
    <w:p w:rsidR="00DE0D32" w:rsidRPr="00F302E4" w:rsidRDefault="00521F84" w:rsidP="00521F84">
      <w:pPr>
        <w:numPr>
          <w:ilvl w:val="12"/>
          <w:numId w:val="0"/>
        </w:numPr>
        <w:tabs>
          <w:tab w:val="clear" w:pos="567"/>
          <w:tab w:val="left" w:pos="1843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c</w:t>
      </w:r>
      <w:r w:rsidR="00DE0D32" w:rsidRPr="00F302E4">
        <w:rPr>
          <w:szCs w:val="22"/>
          <w:lang w:val="sk-SK"/>
        </w:rPr>
        <w:t>itrát sodný</w:t>
      </w:r>
      <w:r w:rsidR="00DE0D32" w:rsidRPr="00F302E4">
        <w:rPr>
          <w:szCs w:val="22"/>
          <w:lang w:val="sk-SK"/>
        </w:rPr>
        <w:tab/>
        <w:t>5,29 g/l</w:t>
      </w:r>
    </w:p>
    <w:p w:rsidR="00DE0D32" w:rsidRPr="00F302E4" w:rsidRDefault="00DE0D32" w:rsidP="00521F84">
      <w:pPr>
        <w:numPr>
          <w:ilvl w:val="12"/>
          <w:numId w:val="0"/>
        </w:numPr>
        <w:tabs>
          <w:tab w:val="clear" w:pos="567"/>
          <w:tab w:val="left" w:pos="1843"/>
        </w:tabs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521F84">
      <w:pPr>
        <w:numPr>
          <w:ilvl w:val="12"/>
          <w:numId w:val="0"/>
        </w:numPr>
        <w:tabs>
          <w:tab w:val="clear" w:pos="567"/>
          <w:tab w:val="left" w:pos="1843"/>
        </w:tabs>
        <w:spacing w:line="240" w:lineRule="auto"/>
        <w:ind w:left="567" w:right="-2" w:hanging="567"/>
        <w:rPr>
          <w:szCs w:val="22"/>
          <w:lang w:val="sk-SK"/>
        </w:rPr>
      </w:pPr>
      <w:r w:rsidRPr="00F302E4">
        <w:rPr>
          <w:szCs w:val="22"/>
          <w:lang w:val="sk-SK"/>
        </w:rPr>
        <w:t>Liečivá sú:</w:t>
      </w:r>
    </w:p>
    <w:p w:rsidR="00DE0D32" w:rsidRPr="00F302E4" w:rsidRDefault="00521F84" w:rsidP="00521F84">
      <w:pPr>
        <w:numPr>
          <w:ilvl w:val="12"/>
          <w:numId w:val="0"/>
        </w:num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DE0D32" w:rsidRPr="00F302E4">
        <w:rPr>
          <w:szCs w:val="22"/>
          <w:lang w:val="sk-SK"/>
        </w:rPr>
        <w:t>odík, Na</w:t>
      </w:r>
      <w:r w:rsidR="00DE0D32" w:rsidRPr="00F302E4">
        <w:rPr>
          <w:szCs w:val="22"/>
          <w:vertAlign w:val="superscript"/>
          <w:lang w:val="sk-SK"/>
        </w:rPr>
        <w:t>+</w:t>
      </w:r>
      <w:r w:rsidR="00DE0D32" w:rsidRPr="00F302E4">
        <w:rPr>
          <w:szCs w:val="22"/>
          <w:lang w:val="sk-SK"/>
        </w:rPr>
        <w:t xml:space="preserve"> </w:t>
      </w:r>
      <w:r w:rsidR="00DE0D32" w:rsidRPr="00F302E4">
        <w:rPr>
          <w:szCs w:val="22"/>
          <w:lang w:val="sk-SK"/>
        </w:rPr>
        <w:tab/>
        <w:t>140 mmol/l</w:t>
      </w:r>
    </w:p>
    <w:p w:rsidR="00DE0D32" w:rsidRPr="00F302E4" w:rsidRDefault="00521F84" w:rsidP="00521F84">
      <w:pPr>
        <w:numPr>
          <w:ilvl w:val="12"/>
          <w:numId w:val="0"/>
        </w:num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c</w:t>
      </w:r>
      <w:r w:rsidR="00DE0D32" w:rsidRPr="00F302E4">
        <w:rPr>
          <w:szCs w:val="22"/>
          <w:lang w:val="sk-SK"/>
        </w:rPr>
        <w:t>hlorid, Cl</w:t>
      </w:r>
      <w:r w:rsidR="00DE0D32" w:rsidRPr="00F302E4">
        <w:rPr>
          <w:szCs w:val="22"/>
          <w:vertAlign w:val="superscript"/>
          <w:lang w:val="sk-SK"/>
        </w:rPr>
        <w:t>-</w:t>
      </w:r>
      <w:r w:rsidR="00DE0D32" w:rsidRPr="00F302E4">
        <w:rPr>
          <w:szCs w:val="22"/>
          <w:lang w:val="sk-SK"/>
        </w:rPr>
        <w:t xml:space="preserve"> </w:t>
      </w:r>
      <w:r w:rsidR="00DE0D32" w:rsidRPr="00F302E4">
        <w:rPr>
          <w:szCs w:val="22"/>
          <w:lang w:val="sk-SK"/>
        </w:rPr>
        <w:tab/>
        <w:t>86 mmol/l</w:t>
      </w:r>
    </w:p>
    <w:p w:rsidR="00DE0D32" w:rsidRPr="00F302E4" w:rsidRDefault="00521F84" w:rsidP="00521F84">
      <w:pPr>
        <w:numPr>
          <w:ilvl w:val="12"/>
          <w:numId w:val="0"/>
        </w:numPr>
        <w:tabs>
          <w:tab w:val="clear" w:pos="567"/>
          <w:tab w:val="left" w:pos="1843"/>
        </w:tabs>
        <w:spacing w:after="60" w:line="240" w:lineRule="auto"/>
        <w:rPr>
          <w:szCs w:val="22"/>
          <w:lang w:val="sk-SK"/>
        </w:rPr>
      </w:pPr>
      <w:r>
        <w:rPr>
          <w:szCs w:val="22"/>
          <w:lang w:val="sk-SK"/>
        </w:rPr>
        <w:t>c</w:t>
      </w:r>
      <w:r w:rsidR="00DE0D32" w:rsidRPr="00F302E4">
        <w:rPr>
          <w:szCs w:val="22"/>
          <w:lang w:val="sk-SK"/>
        </w:rPr>
        <w:t>itrát, C</w:t>
      </w:r>
      <w:r w:rsidR="00DE0D32" w:rsidRPr="00F302E4">
        <w:rPr>
          <w:szCs w:val="22"/>
          <w:vertAlign w:val="subscript"/>
          <w:lang w:val="sk-SK"/>
        </w:rPr>
        <w:t>6</w:t>
      </w:r>
      <w:r w:rsidR="00DE0D32" w:rsidRPr="00F302E4">
        <w:rPr>
          <w:szCs w:val="22"/>
          <w:lang w:val="sk-SK"/>
        </w:rPr>
        <w:t>H</w:t>
      </w:r>
      <w:r w:rsidR="00DE0D32" w:rsidRPr="00F302E4">
        <w:rPr>
          <w:szCs w:val="22"/>
          <w:vertAlign w:val="subscript"/>
          <w:lang w:val="sk-SK"/>
        </w:rPr>
        <w:t>5</w:t>
      </w:r>
      <w:r w:rsidR="00DE0D32" w:rsidRPr="00F302E4">
        <w:rPr>
          <w:szCs w:val="22"/>
          <w:lang w:val="sk-SK"/>
        </w:rPr>
        <w:t>O</w:t>
      </w:r>
      <w:r w:rsidR="00DE0D32" w:rsidRPr="00F302E4">
        <w:rPr>
          <w:szCs w:val="22"/>
          <w:vertAlign w:val="subscript"/>
          <w:lang w:val="sk-SK"/>
        </w:rPr>
        <w:t>7</w:t>
      </w:r>
      <w:r w:rsidR="00DE0D32" w:rsidRPr="00F302E4">
        <w:rPr>
          <w:szCs w:val="22"/>
          <w:vertAlign w:val="superscript"/>
          <w:lang w:val="sk-SK"/>
        </w:rPr>
        <w:t>3-</w:t>
      </w:r>
      <w:r w:rsidR="00DE0D32" w:rsidRPr="00F302E4">
        <w:rPr>
          <w:szCs w:val="22"/>
          <w:lang w:val="sk-SK"/>
        </w:rPr>
        <w:tab/>
        <w:t>18 mmol/l</w:t>
      </w:r>
    </w:p>
    <w:p w:rsidR="00DE0D32" w:rsidRPr="00F302E4" w:rsidRDefault="00DE0D32" w:rsidP="00521F84">
      <w:pPr>
        <w:numPr>
          <w:ilvl w:val="12"/>
          <w:numId w:val="0"/>
        </w:numPr>
        <w:tabs>
          <w:tab w:val="clear" w:pos="567"/>
          <w:tab w:val="left" w:pos="1843"/>
        </w:tabs>
        <w:spacing w:after="60" w:line="240" w:lineRule="auto"/>
        <w:rPr>
          <w:bCs/>
          <w:szCs w:val="22"/>
          <w:lang w:val="sk-SK"/>
        </w:rPr>
      </w:pPr>
    </w:p>
    <w:p w:rsidR="00DE0D32" w:rsidRPr="00F302E4" w:rsidRDefault="00DE0D32" w:rsidP="00DE0D32">
      <w:pPr>
        <w:widowControl w:val="0"/>
        <w:suppressLineNumbers/>
        <w:spacing w:line="240" w:lineRule="auto"/>
        <w:rPr>
          <w:bCs/>
          <w:szCs w:val="22"/>
          <w:lang w:val="sk-SK"/>
        </w:rPr>
      </w:pPr>
      <w:r w:rsidRPr="00F302E4">
        <w:rPr>
          <w:szCs w:val="22"/>
          <w:lang w:val="sk-SK"/>
        </w:rPr>
        <w:t>Teoretická osmolarita: 244 mOsm/l</w:t>
      </w:r>
    </w:p>
    <w:p w:rsidR="00DE0D32" w:rsidRPr="00F302E4" w:rsidRDefault="00DE0D32" w:rsidP="00DE0D32">
      <w:pPr>
        <w:suppressLineNumbers/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pH ≈ 7,4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F302E4" w:rsidRDefault="00DE0D32" w:rsidP="00DE0D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Ďalšie zložky sú:</w:t>
      </w:r>
    </w:p>
    <w:p w:rsidR="00DE0D32" w:rsidRPr="00F302E4" w:rsidRDefault="00DE0D32" w:rsidP="00DE0D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Zriedená kyselina chlorovodíková (na úpravu pH) E507</w:t>
      </w:r>
    </w:p>
    <w:p w:rsidR="00DE0D32" w:rsidRPr="00F302E4" w:rsidRDefault="00521F84" w:rsidP="00DE0D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lastRenderedPageBreak/>
        <w:t>v</w:t>
      </w:r>
      <w:r w:rsidR="00DE0D32" w:rsidRPr="00F302E4">
        <w:rPr>
          <w:szCs w:val="22"/>
          <w:lang w:val="sk-SK"/>
        </w:rPr>
        <w:t xml:space="preserve">oda na </w:t>
      </w:r>
      <w:r w:rsidRPr="00F302E4">
        <w:rPr>
          <w:szCs w:val="22"/>
          <w:lang w:val="sk-SK"/>
        </w:rPr>
        <w:t>injekci</w:t>
      </w:r>
      <w:r>
        <w:rPr>
          <w:szCs w:val="22"/>
          <w:lang w:val="sk-SK"/>
        </w:rPr>
        <w:t>e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Ako vyzerá Regiocit a obsah balenia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Regiocit je číry a bezfarebný roztok na hemofiltráciu zabalený v jednokomorovom vaku vyrobenom z viacvrstvovej fólie obsahujúcej polyolefíny a elastoméry. Roztok je sterilný a bez bakteriálnych endotoxínov. Každý vak obsahuje 5000 ml roztoku a je zabalen</w:t>
      </w:r>
      <w:r>
        <w:rPr>
          <w:szCs w:val="22"/>
          <w:lang w:val="sk-SK"/>
        </w:rPr>
        <w:t>ý</w:t>
      </w:r>
      <w:r w:rsidRPr="00F302E4">
        <w:rPr>
          <w:szCs w:val="22"/>
          <w:lang w:val="sk-SK"/>
        </w:rPr>
        <w:t xml:space="preserve"> v priehľadnej fólii. V každej škatuľke sú dva vaky a jedna písomná informácia.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F302E4">
        <w:rPr>
          <w:b/>
          <w:bCs/>
          <w:szCs w:val="22"/>
          <w:lang w:val="sk-SK"/>
        </w:rPr>
        <w:t>Držiteľ rozhodnutia o registrácii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302E4">
        <w:rPr>
          <w:szCs w:val="22"/>
          <w:lang w:val="sk-SK"/>
        </w:rPr>
        <w:t xml:space="preserve"> </w:t>
      </w:r>
    </w:p>
    <w:p w:rsidR="009F7F68" w:rsidRPr="009F7F68" w:rsidRDefault="009F7F68" w:rsidP="009F7F6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9F7F68">
        <w:rPr>
          <w:szCs w:val="22"/>
          <w:lang w:val="sk-SK"/>
        </w:rPr>
        <w:t xml:space="preserve">Baxter Holding B.V. </w:t>
      </w:r>
    </w:p>
    <w:p w:rsidR="009F7F68" w:rsidRPr="009F7F68" w:rsidRDefault="009F7F68" w:rsidP="009F7F6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9F7F68">
        <w:rPr>
          <w:szCs w:val="22"/>
          <w:lang w:val="sk-SK"/>
        </w:rPr>
        <w:t xml:space="preserve">Kobaltweg 49 </w:t>
      </w:r>
    </w:p>
    <w:p w:rsidR="009F7F68" w:rsidRPr="009F7F68" w:rsidRDefault="009F7F68" w:rsidP="009F7F6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9F7F68">
        <w:rPr>
          <w:szCs w:val="22"/>
          <w:lang w:val="sk-SK"/>
        </w:rPr>
        <w:t>542 CE Utrecht</w:t>
      </w:r>
    </w:p>
    <w:p w:rsidR="00DE0D32" w:rsidRDefault="009F7F68" w:rsidP="009F7F6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9F7F68">
        <w:rPr>
          <w:szCs w:val="22"/>
          <w:lang w:val="sk-SK"/>
        </w:rPr>
        <w:t>Holandsko</w:t>
      </w:r>
    </w:p>
    <w:p w:rsidR="009F7F68" w:rsidRPr="00F302E4" w:rsidRDefault="009F7F68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Výrobca</w:t>
      </w: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DE0D32" w:rsidRPr="00F302E4" w:rsidRDefault="00DE0D32" w:rsidP="00DE0D32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E72E73">
        <w:rPr>
          <w:szCs w:val="22"/>
          <w:lang w:val="sk-SK"/>
        </w:rPr>
        <w:t>Bieffe Medital S.p.A</w:t>
      </w:r>
      <w:r w:rsidRPr="00F302E4">
        <w:rPr>
          <w:szCs w:val="22"/>
          <w:lang w:val="sk-SK"/>
        </w:rPr>
        <w:br/>
        <w:t>Via Stelvio, 94</w:t>
      </w:r>
      <w:r w:rsidRPr="00F302E4">
        <w:rPr>
          <w:szCs w:val="22"/>
          <w:lang w:val="sk-SK"/>
        </w:rPr>
        <w:br/>
        <w:t>23035 Sondalo (SO)</w:t>
      </w:r>
      <w:r w:rsidRPr="00F302E4">
        <w:rPr>
          <w:szCs w:val="22"/>
          <w:lang w:val="sk-SK"/>
        </w:rPr>
        <w:br/>
        <w:t>Taliansko</w:t>
      </w:r>
    </w:p>
    <w:p w:rsidR="00DE0D32" w:rsidRDefault="00DE0D32" w:rsidP="00DE0D32">
      <w:pPr>
        <w:numPr>
          <w:ilvl w:val="12"/>
          <w:numId w:val="0"/>
        </w:numPr>
        <w:tabs>
          <w:tab w:val="clear" w:pos="567"/>
          <w:tab w:val="left" w:pos="5865"/>
        </w:tabs>
        <w:spacing w:line="240" w:lineRule="auto"/>
        <w:ind w:right="-2"/>
        <w:rPr>
          <w:szCs w:val="22"/>
          <w:lang w:val="sk-SK"/>
        </w:rPr>
      </w:pPr>
    </w:p>
    <w:p w:rsidR="00DE0D32" w:rsidRDefault="00DE0D32" w:rsidP="00DE0D32">
      <w:pPr>
        <w:tabs>
          <w:tab w:val="clear" w:pos="567"/>
        </w:tabs>
        <w:spacing w:line="240" w:lineRule="auto"/>
        <w:rPr>
          <w:b/>
          <w:lang w:val="sk-SK"/>
        </w:rPr>
      </w:pPr>
      <w:r w:rsidRPr="00F302E4">
        <w:rPr>
          <w:b/>
          <w:szCs w:val="22"/>
          <w:lang w:val="sk-SK"/>
        </w:rPr>
        <w:t xml:space="preserve">Liek je schválený v členských štátoch Európskeho hospodárskeho priestoru (EHP) pod nasledovnými </w:t>
      </w:r>
      <w:r w:rsidRPr="001E4A85">
        <w:rPr>
          <w:b/>
          <w:szCs w:val="22"/>
          <w:lang w:val="sk-SK"/>
        </w:rPr>
        <w:t>názvami:</w:t>
      </w:r>
      <w:r>
        <w:rPr>
          <w:b/>
          <w:lang w:val="sk-SK"/>
        </w:rPr>
        <w:br/>
      </w:r>
      <w:r w:rsidRPr="00112B0C">
        <w:rPr>
          <w:b/>
          <w:szCs w:val="22"/>
          <w:lang w:val="sk-SK"/>
        </w:rPr>
        <w:t>Regiocit</w:t>
      </w:r>
    </w:p>
    <w:p w:rsidR="00DE0D32" w:rsidRPr="00F302E4" w:rsidRDefault="00DE0D32" w:rsidP="00DE0D32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C4F3F">
        <w:rPr>
          <w:lang w:val="sk-SK"/>
        </w:rPr>
        <w:t>Belgicko, Bulharsko, Cyprus, Česká republika, Dánsko, Estónsko, Fínsko, Francúzsko, Grécko, Holandsko, Chorvátsko, Island, Írsko, Litva, Lotyšsko, Luxembursko, Maďarsko, Malta, Nemecko, Nórsko, Poľsko, Portugalsko, Rakúsko, Rumunsko, Slovinsko, Španielsko, Švédsko, Taliansko, Veľká Británia</w:t>
      </w:r>
    </w:p>
    <w:p w:rsidR="00DE0D32" w:rsidRPr="00F302E4" w:rsidRDefault="00DE0D32" w:rsidP="00DE0D3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F302E4" w:rsidRDefault="00DE0D32" w:rsidP="00DE0D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F302E4">
        <w:rPr>
          <w:b/>
          <w:szCs w:val="22"/>
          <w:lang w:val="sk-SK"/>
        </w:rPr>
        <w:t>Táto písomná informácia bola naposledy aktualizovaná v</w:t>
      </w:r>
      <w:r w:rsidR="00AF6C11">
        <w:rPr>
          <w:b/>
          <w:szCs w:val="22"/>
          <w:lang w:val="sk-SK"/>
        </w:rPr>
        <w:t> </w:t>
      </w:r>
      <w:r w:rsidR="009F7F68">
        <w:rPr>
          <w:b/>
          <w:szCs w:val="22"/>
          <w:lang w:val="sk-SK"/>
        </w:rPr>
        <w:t>máji</w:t>
      </w:r>
      <w:r w:rsidR="00AF6C11">
        <w:rPr>
          <w:b/>
          <w:szCs w:val="22"/>
          <w:lang w:val="sk-SK"/>
        </w:rPr>
        <w:t xml:space="preserve"> 20</w:t>
      </w:r>
      <w:r w:rsidR="009F7F68">
        <w:rPr>
          <w:b/>
          <w:szCs w:val="22"/>
          <w:lang w:val="sk-SK"/>
        </w:rPr>
        <w:t>20</w:t>
      </w:r>
      <w:r w:rsidRPr="00F302E4">
        <w:rPr>
          <w:szCs w:val="22"/>
          <w:lang w:val="sk-SK"/>
        </w:rPr>
        <w:t>.</w:t>
      </w:r>
    </w:p>
    <w:p w:rsidR="00DE0D32" w:rsidRDefault="00DE0D32" w:rsidP="00DE0D32">
      <w:pPr>
        <w:pBdr>
          <w:bottom w:val="single" w:sz="6" w:space="1" w:color="auto"/>
        </w:pBdr>
        <w:spacing w:line="240" w:lineRule="auto"/>
        <w:rPr>
          <w:szCs w:val="22"/>
          <w:lang w:val="sk-SK"/>
        </w:rPr>
      </w:pPr>
    </w:p>
    <w:p w:rsidR="00DE0D32" w:rsidRDefault="00DE0D32" w:rsidP="00DE0D32">
      <w:pPr>
        <w:spacing w:line="240" w:lineRule="auto"/>
        <w:rPr>
          <w:szCs w:val="22"/>
          <w:lang w:val="sk-SK"/>
        </w:rPr>
      </w:pPr>
    </w:p>
    <w:p w:rsidR="00DE0D32" w:rsidRPr="00F302E4" w:rsidRDefault="00DE0D32" w:rsidP="00DE0D32">
      <w:pPr>
        <w:spacing w:line="240" w:lineRule="auto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Nasledujúca informácia je určená len pre zdravotníckych pracovníkov:</w:t>
      </w:r>
    </w:p>
    <w:p w:rsidR="00DE0D32" w:rsidRPr="00F302E4" w:rsidRDefault="00DE0D32" w:rsidP="00DE0D32">
      <w:pPr>
        <w:suppressLineNumbers/>
        <w:spacing w:line="240" w:lineRule="auto"/>
        <w:rPr>
          <w:szCs w:val="22"/>
          <w:u w:val="single"/>
          <w:lang w:val="sk-SK"/>
        </w:rPr>
      </w:pPr>
    </w:p>
    <w:p w:rsidR="00DE0D32" w:rsidRPr="00AD76F6" w:rsidRDefault="00DE0D32" w:rsidP="00DE0D32">
      <w:pPr>
        <w:suppressLineNumbers/>
        <w:spacing w:line="240" w:lineRule="auto"/>
        <w:rPr>
          <w:b/>
          <w:szCs w:val="22"/>
          <w:lang w:val="sk-SK"/>
        </w:rPr>
      </w:pPr>
      <w:r w:rsidRPr="00AD76F6">
        <w:rPr>
          <w:b/>
          <w:szCs w:val="22"/>
          <w:lang w:val="sk-SK"/>
        </w:rPr>
        <w:t>Dávkovanie</w:t>
      </w:r>
    </w:p>
    <w:p w:rsidR="00ED510D" w:rsidRPr="00AD76F6" w:rsidRDefault="00ED510D" w:rsidP="00DE0D32">
      <w:pPr>
        <w:suppressLineNumbers/>
        <w:spacing w:line="240" w:lineRule="auto"/>
        <w:rPr>
          <w:szCs w:val="22"/>
          <w:lang w:val="sk-SK"/>
        </w:rPr>
      </w:pPr>
      <w:r w:rsidRPr="00AD76F6">
        <w:rPr>
          <w:szCs w:val="22"/>
          <w:lang w:val="sk-SK"/>
        </w:rPr>
        <w:t>Rýchlosť podávania Regiocitu závisí od cieľovej dávky citrátu a predpísanej rýchlosti prietoku krvi. Pri predpisovaní Regiocitu sa musia zohľadniť prietokové rýchlosti efluentu a ďalších terapeutických tekutín, požiadavky pacienta na odstraňovanie tekutín, príjem a výdaj ďalších tekutín a požadovaná acidobázická a elektrolytická rovnováha. Regiocit musí predpisovať a podávanie (dávku, rýchlosť infúzie a celkový objem) určovať len lekár so skúsenosťami v oblasti intenzívnej starostlivosti a KRNT.</w:t>
      </w:r>
    </w:p>
    <w:p w:rsidR="00DE0D32" w:rsidRPr="00F302E4" w:rsidRDefault="00DE0D32" w:rsidP="00DE0D32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Rýchlosť predfiltračnej infúzie Regiocitu sa musí predpísať a prispôsobiť v pomere k rýchlosti prietoku krvi</w:t>
      </w:r>
      <w:r w:rsidR="00ED510D" w:rsidRPr="00AD76F6">
        <w:rPr>
          <w:lang w:val="sk-SK"/>
        </w:rPr>
        <w:t xml:space="preserve"> </w:t>
      </w:r>
      <w:r w:rsidR="00ED510D" w:rsidRPr="00ED510D">
        <w:rPr>
          <w:szCs w:val="22"/>
          <w:lang w:val="sk-SK"/>
        </w:rPr>
        <w:t>na dosiahnutie cieľovej koncentrácie citrátu medzi 3 až 4 mmol/l krvi</w:t>
      </w:r>
      <w:r w:rsidRPr="00F302E4">
        <w:rPr>
          <w:szCs w:val="22"/>
          <w:lang w:val="sk-SK"/>
        </w:rPr>
        <w:t xml:space="preserve">. Pri predpisovaní Regiocitu sa musia zohľadniť prietokové rýchlosti efluentu a ďalších terapeutických tekutín, požiadavky pacienta na odstraňovanie tekutín, príjem a výdaj ďalších tekutín a požadovaná acidobázická a elektrolytická rovnováha. </w:t>
      </w:r>
    </w:p>
    <w:p w:rsidR="00DE0D32" w:rsidRPr="00F302E4" w:rsidRDefault="00DE0D32" w:rsidP="00DE0D32">
      <w:pPr>
        <w:suppressLineNumbers/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:rsidR="00DE0D32" w:rsidRPr="00F302E4" w:rsidRDefault="00DE0D32" w:rsidP="00DE0D32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Rýchlosť prietoku pre antikoaguláciu mimotelového obehu má byť titrovaná, aby sa dosiahla postfiltračná koncentrácia ionizovaného vápnika v rozsahu 0,25 až 0,35 mmol/l. Systémová koncentrácia ionizovaného vápnika pacienta sa má udržiavať v normálnom fyziologickom rozsahu úpravou dopĺňania vápnika.</w:t>
      </w:r>
    </w:p>
    <w:p w:rsidR="00ED510D" w:rsidRPr="00ED510D" w:rsidRDefault="00ED510D" w:rsidP="00ED510D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ED510D" w:rsidRPr="00ED510D" w:rsidRDefault="00ED510D" w:rsidP="00ED510D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  <w:r w:rsidRPr="00ED510D">
        <w:rPr>
          <w:szCs w:val="22"/>
          <w:lang w:val="sk-SK"/>
        </w:rPr>
        <w:lastRenderedPageBreak/>
        <w:t>Citrát pôsobí aj ako tlmiaci prostriedok (vďaka konverzii na hydrogénuhličitan); rýchlosť infúzie Regiocitu sa musí zvážiť vo vzťahu k rýchlosti, akou sa podáva tlmivý roztok z iných zdrojov (napr. dialyzát a/alebo náhradná tekutina). Regiocit sa musí používať spoločne s dialyzačným/náhradným roztokom s vhodnou koncentráciou hydrogénuhličitanu.</w:t>
      </w:r>
    </w:p>
    <w:p w:rsidR="00ED510D" w:rsidRPr="00ED510D" w:rsidRDefault="00ED510D" w:rsidP="00ED510D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ED510D" w:rsidRPr="00ED510D" w:rsidRDefault="00ED510D" w:rsidP="00ED510D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  <w:r w:rsidRPr="00ED510D">
        <w:rPr>
          <w:szCs w:val="22"/>
          <w:lang w:val="sk-SK"/>
        </w:rPr>
        <w:t>Vždy je potrebná samostatná infúzia vápnika. Keď sa antikoagulácia zastaví, upravte alebo zastavte infúziu vápnika podľa predpisu lekára.</w:t>
      </w:r>
    </w:p>
    <w:p w:rsidR="00ED510D" w:rsidRPr="00ED510D" w:rsidRDefault="00ED510D" w:rsidP="00ED510D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ED510D" w:rsidRPr="00ED510D" w:rsidRDefault="00ED510D" w:rsidP="00ED510D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  <w:r w:rsidRPr="00ED510D">
        <w:rPr>
          <w:szCs w:val="22"/>
          <w:lang w:val="sk-SK"/>
        </w:rPr>
        <w:t>Sledovanie postfiltračnej koncentrácie ionizovaného vápnika (iCa), systémovej iCa v krvi a celkových hladín vápnika v spojení s inými laboratórnymi a klinickými parametrami je zásadne dôležité na určenie správneho dávkovania Regiocitu na základe požadovanej hladiny antikoagulácie.</w:t>
      </w:r>
    </w:p>
    <w:p w:rsidR="00ED510D" w:rsidRPr="00ED510D" w:rsidRDefault="00ED510D" w:rsidP="00ED510D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ED510D" w:rsidRPr="00ED510D" w:rsidRDefault="00ED510D" w:rsidP="00ED510D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  <w:r w:rsidRPr="00ED510D">
        <w:rPr>
          <w:szCs w:val="22"/>
          <w:lang w:val="sk-SK"/>
        </w:rPr>
        <w:t>Hladiny sodíka, horčíka, draslíka a fosfátu v plazme by sa mali pravidelne sledovať a podľa potreby dopĺňať.</w:t>
      </w:r>
    </w:p>
    <w:p w:rsidR="00DE0D32" w:rsidRPr="00F302E4" w:rsidRDefault="00DE0D32" w:rsidP="00DE0D32">
      <w:pPr>
        <w:suppressLineNumbers/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:rsidR="00DE0D32" w:rsidRPr="00F302E4" w:rsidRDefault="00DE0D32" w:rsidP="00DE0D32">
      <w:pPr>
        <w:suppressLineNumbers/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F302E4">
        <w:rPr>
          <w:szCs w:val="22"/>
          <w:lang w:val="sk-SK"/>
        </w:rPr>
        <w:t>Rýchlosti prietoku pre Regiocit u dospelých a dospievajúcich:</w:t>
      </w:r>
    </w:p>
    <w:p w:rsidR="00DE0D32" w:rsidRPr="00F302E4" w:rsidRDefault="00DE0D32" w:rsidP="00DE0D32">
      <w:pPr>
        <w:numPr>
          <w:ilvl w:val="0"/>
          <w:numId w:val="3"/>
        </w:numPr>
        <w:suppressLineNumbers/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F302E4">
        <w:rPr>
          <w:szCs w:val="22"/>
          <w:lang w:val="sk-SK"/>
        </w:rPr>
        <w:t>pri kontinuálnej veno-venóznej hemofiltrácii</w:t>
      </w:r>
    </w:p>
    <w:p w:rsidR="00DE0D32" w:rsidRPr="00F302E4" w:rsidRDefault="00DE0D32" w:rsidP="00DE0D32">
      <w:pPr>
        <w:numPr>
          <w:ilvl w:val="1"/>
          <w:numId w:val="3"/>
        </w:numPr>
        <w:suppressLineNumbers/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F302E4">
        <w:rPr>
          <w:szCs w:val="22"/>
          <w:lang w:val="sk-SK"/>
        </w:rPr>
        <w:t>1 – 2,5 l/hod. s rýchlosťou prietoku krvi od 100 do 200 ml/min.</w:t>
      </w:r>
    </w:p>
    <w:p w:rsidR="00DE0D32" w:rsidRPr="00F302E4" w:rsidRDefault="00DE0D32" w:rsidP="00DE0D32">
      <w:pPr>
        <w:numPr>
          <w:ilvl w:val="0"/>
          <w:numId w:val="3"/>
        </w:numPr>
        <w:suppressLineNumbers/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F302E4">
        <w:rPr>
          <w:szCs w:val="22"/>
          <w:lang w:val="sk-SK"/>
        </w:rPr>
        <w:t>pri kontinuálnej veno-venóznej hemodiafiltrácii</w:t>
      </w:r>
    </w:p>
    <w:p w:rsidR="00DE0D32" w:rsidRPr="00F302E4" w:rsidRDefault="00DE0D32" w:rsidP="00DE0D32">
      <w:pPr>
        <w:numPr>
          <w:ilvl w:val="1"/>
          <w:numId w:val="3"/>
        </w:numPr>
        <w:suppressLineNumbers/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F302E4">
        <w:rPr>
          <w:szCs w:val="22"/>
          <w:lang w:val="sk-SK"/>
        </w:rPr>
        <w:t xml:space="preserve">1 – 2 l/hod. s rýchlosťou prietoku krvi od 100 do 200 ml/min. </w:t>
      </w:r>
    </w:p>
    <w:p w:rsidR="00DE0D32" w:rsidRPr="00F302E4" w:rsidRDefault="00DE0D32" w:rsidP="00DE0D32">
      <w:pPr>
        <w:suppressLineNumbers/>
        <w:spacing w:line="240" w:lineRule="auto"/>
        <w:rPr>
          <w:szCs w:val="22"/>
          <w:lang w:val="sk-SK"/>
        </w:rPr>
      </w:pPr>
    </w:p>
    <w:p w:rsidR="00DE0D32" w:rsidRPr="00246ADD" w:rsidRDefault="00DE0D32" w:rsidP="00DE0D32">
      <w:pPr>
        <w:suppressLineNumbers/>
        <w:spacing w:line="240" w:lineRule="auto"/>
        <w:rPr>
          <w:szCs w:val="22"/>
          <w:u w:val="single"/>
          <w:lang w:val="sk-SK"/>
        </w:rPr>
      </w:pPr>
      <w:r w:rsidRPr="00246ADD">
        <w:rPr>
          <w:szCs w:val="22"/>
          <w:u w:val="single"/>
          <w:lang w:val="sk-SK"/>
        </w:rPr>
        <w:t>Pediatrická populácia:</w:t>
      </w:r>
    </w:p>
    <w:p w:rsidR="00DE0D32" w:rsidRPr="00F302E4" w:rsidRDefault="00DE0D32" w:rsidP="00DE0D32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U novorodencov až batoliat (0 až 23 mesiacov) cieľová dávka Regiocitu má byť 3 mmol citrátu na liter prietoku krvi pri kontinuálnej veno-venóznej hemofiltrácii alebo hemodiafiltrácii. U detí (2 až 11 rokov) je potrebné dávkovanie prispôsobiť hmotnosti pacienta a rýchlosti prietoku krvi.</w:t>
      </w:r>
    </w:p>
    <w:p w:rsidR="00DE0D32" w:rsidRPr="00F302E4" w:rsidRDefault="00DE0D32" w:rsidP="00DE0D32">
      <w:pPr>
        <w:suppressLineNumbers/>
        <w:spacing w:line="240" w:lineRule="auto"/>
        <w:rPr>
          <w:szCs w:val="22"/>
          <w:lang w:val="sk-SK"/>
        </w:rPr>
      </w:pPr>
    </w:p>
    <w:p w:rsidR="00DE0D32" w:rsidRPr="00246ADD" w:rsidRDefault="00DE0D32" w:rsidP="00DE0D32">
      <w:pPr>
        <w:suppressLineNumbers/>
        <w:spacing w:line="240" w:lineRule="auto"/>
        <w:rPr>
          <w:szCs w:val="22"/>
          <w:u w:val="single"/>
          <w:lang w:val="sk-SK"/>
        </w:rPr>
      </w:pPr>
      <w:r w:rsidRPr="00246ADD">
        <w:rPr>
          <w:szCs w:val="22"/>
          <w:u w:val="single"/>
          <w:lang w:val="sk-SK"/>
        </w:rPr>
        <w:t>Osobitné skupiny pacientov:</w:t>
      </w:r>
    </w:p>
    <w:p w:rsidR="00DE0D32" w:rsidRPr="00F302E4" w:rsidRDefault="00DE0D32" w:rsidP="00DE0D3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U starších pacientov nie je žiadna osobitná úprava dávkovania v porovnaní s dospelými.</w:t>
      </w:r>
    </w:p>
    <w:p w:rsidR="00DE0D32" w:rsidRPr="00F302E4" w:rsidRDefault="00DE0D32" w:rsidP="00DE0D32">
      <w:pPr>
        <w:suppressLineNumbers/>
        <w:spacing w:line="240" w:lineRule="auto"/>
        <w:rPr>
          <w:szCs w:val="22"/>
          <w:lang w:val="sk-SK"/>
        </w:rPr>
      </w:pPr>
    </w:p>
    <w:p w:rsidR="00DE0D32" w:rsidRPr="00F302E4" w:rsidRDefault="00DE0D32" w:rsidP="00DE0D32">
      <w:pPr>
        <w:suppressLineNumbers/>
        <w:spacing w:line="240" w:lineRule="auto"/>
        <w:rPr>
          <w:szCs w:val="22"/>
          <w:lang w:val="sk-SK"/>
        </w:rPr>
      </w:pPr>
      <w:r w:rsidRPr="00246ADD">
        <w:rPr>
          <w:szCs w:val="22"/>
          <w:u w:val="single"/>
          <w:lang w:val="sk-SK"/>
        </w:rPr>
        <w:t>Porucha funkcie pečene alebo infarkt pečene:</w:t>
      </w:r>
    </w:p>
    <w:p w:rsidR="00DE0D32" w:rsidRPr="00F302E4" w:rsidRDefault="00ED510D" w:rsidP="00DE0D32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  <w:r w:rsidRPr="00ED510D">
        <w:rPr>
          <w:szCs w:val="22"/>
          <w:lang w:val="sk-SK"/>
        </w:rPr>
        <w:t>U pacientov s miernou až stredn</w:t>
      </w:r>
      <w:r w:rsidR="00AF6C11">
        <w:rPr>
          <w:szCs w:val="22"/>
          <w:lang w:val="sk-SK"/>
        </w:rPr>
        <w:t>e závažnou</w:t>
      </w:r>
      <w:r w:rsidRPr="00ED510D">
        <w:rPr>
          <w:szCs w:val="22"/>
          <w:lang w:val="sk-SK"/>
        </w:rPr>
        <w:t xml:space="preserve"> poruchou funkcie pečene (napr. Child-Pugh ≤12) môže byť potrebné zníženie dávky. </w:t>
      </w:r>
      <w:r w:rsidR="00DE0D32" w:rsidRPr="00F302E4">
        <w:rPr>
          <w:szCs w:val="22"/>
          <w:lang w:val="sk-SK"/>
        </w:rPr>
        <w:t xml:space="preserve">V prípade </w:t>
      </w:r>
      <w:r w:rsidRPr="00ED510D">
        <w:rPr>
          <w:szCs w:val="22"/>
          <w:lang w:val="sk-SK"/>
        </w:rPr>
        <w:t>poruchy funkcie</w:t>
      </w:r>
      <w:r w:rsidR="00DE0D32" w:rsidRPr="00F302E4">
        <w:rPr>
          <w:szCs w:val="22"/>
          <w:lang w:val="sk-SK"/>
        </w:rPr>
        <w:t xml:space="preserve"> pečene (vrátane napr. cirhózy pečene) treba úvodnú počiatočnú dávku citrátu znížiť, pretože metabolizmus môže byť nedostatočný</w:t>
      </w:r>
      <w:bookmarkStart w:id="0" w:name="_GoBack"/>
      <w:r w:rsidR="00DE0D32" w:rsidRPr="00F302E4">
        <w:rPr>
          <w:szCs w:val="22"/>
          <w:lang w:val="sk-SK"/>
        </w:rPr>
        <w:t>.</w:t>
      </w:r>
      <w:bookmarkEnd w:id="0"/>
      <w:r w:rsidRPr="00AD76F6">
        <w:rPr>
          <w:lang w:val="sk-SK"/>
        </w:rPr>
        <w:t xml:space="preserve"> </w:t>
      </w:r>
      <w:r w:rsidRPr="00ED510D">
        <w:rPr>
          <w:szCs w:val="22"/>
          <w:lang w:val="sk-SK"/>
        </w:rPr>
        <w:t>Odporúča sa časté sledovanie hromadenia citrátu. Regiocit sa nesmie podávať pacientom s</w:t>
      </w:r>
      <w:r w:rsidR="00AF6C11">
        <w:rPr>
          <w:szCs w:val="22"/>
          <w:lang w:val="sk-SK"/>
        </w:rPr>
        <w:t>o závažnou</w:t>
      </w:r>
      <w:r w:rsidRPr="00ED510D">
        <w:rPr>
          <w:szCs w:val="22"/>
          <w:lang w:val="sk-SK"/>
        </w:rPr>
        <w:t xml:space="preserve"> poruchou funkcie pečene alebo infarktu pečene so svalovou hypoperfúziou (napr., pri stavoch ako je septický šok a laktátová acidóza), kvôli zníženému metabolizmu citrátu.</w:t>
      </w:r>
    </w:p>
    <w:p w:rsidR="00DE0D32" w:rsidRPr="00F302E4" w:rsidRDefault="00DE0D32" w:rsidP="00DE0D32">
      <w:pPr>
        <w:spacing w:line="240" w:lineRule="auto"/>
        <w:rPr>
          <w:b/>
          <w:szCs w:val="22"/>
          <w:lang w:val="sk-SK"/>
        </w:rPr>
      </w:pPr>
    </w:p>
    <w:p w:rsidR="00DE0D32" w:rsidRPr="00F302E4" w:rsidRDefault="00DE0D32" w:rsidP="00DE0D32">
      <w:pPr>
        <w:suppressLineNumbers/>
        <w:spacing w:line="240" w:lineRule="auto"/>
        <w:ind w:left="567" w:hanging="567"/>
        <w:outlineLvl w:val="0"/>
        <w:rPr>
          <w:szCs w:val="22"/>
          <w:lang w:val="sk-SK"/>
        </w:rPr>
      </w:pPr>
      <w:r w:rsidRPr="00F302E4">
        <w:rPr>
          <w:b/>
          <w:szCs w:val="22"/>
          <w:lang w:val="sk-SK"/>
        </w:rPr>
        <w:t>Predávkovanie</w:t>
      </w:r>
    </w:p>
    <w:p w:rsidR="00DE0D32" w:rsidRPr="00F302E4" w:rsidRDefault="00DE0D32" w:rsidP="00DE0D32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color w:val="000000"/>
          <w:szCs w:val="22"/>
          <w:lang w:val="sk-SK"/>
        </w:rPr>
        <w:t>Nevhodné podanie príliš veľkých objemov náhradného roztoku môže viesť k predávkovaniu, čo môže spôsobiť situáciu ohrozujúcu život pacienta. Môže to viesť k výskytu pľúcneho edému a kongestívneho zlyhania srdca v súvislosti s preťažením tekutinou, hypokalciémii a metabolickej alkalóze z dôvodu preťaženia citrátom v súvislosti s prietokom krvi. Toto narušenie je potrebné ihneď napraviť</w:t>
      </w:r>
      <w:r w:rsidRPr="00F302E4">
        <w:rPr>
          <w:szCs w:val="22"/>
          <w:lang w:val="sk-SK"/>
        </w:rPr>
        <w:t xml:space="preserve"> zastavením náhradného roztoku a intravenóznym podaním vápnika.</w:t>
      </w:r>
      <w:r w:rsidR="00ED510D" w:rsidRPr="00AD76F6">
        <w:rPr>
          <w:lang w:val="sk-SK"/>
        </w:rPr>
        <w:t xml:space="preserve"> </w:t>
      </w:r>
      <w:r w:rsidR="00ED510D" w:rsidRPr="00ED510D">
        <w:rPr>
          <w:szCs w:val="22"/>
          <w:lang w:val="sk-SK"/>
        </w:rPr>
        <w:t>Dôsledné dopĺňanie vápnika môže zvrátiť účinky predávkovania. Riziko je možné minimalizovať dôkladným sledovaním počas liečby.</w:t>
      </w:r>
    </w:p>
    <w:p w:rsidR="00DE0D32" w:rsidRPr="00F302E4" w:rsidRDefault="00DE0D32" w:rsidP="00DE0D32">
      <w:pPr>
        <w:suppressLineNumbers/>
        <w:spacing w:line="240" w:lineRule="auto"/>
        <w:rPr>
          <w:szCs w:val="22"/>
          <w:lang w:val="sk-SK"/>
        </w:rPr>
      </w:pPr>
    </w:p>
    <w:p w:rsidR="00DE0D32" w:rsidRPr="00F302E4" w:rsidRDefault="00DE0D32" w:rsidP="00DE0D32">
      <w:pPr>
        <w:spacing w:line="240" w:lineRule="auto"/>
        <w:rPr>
          <w:bCs/>
          <w:color w:val="000000"/>
          <w:szCs w:val="22"/>
          <w:lang w:val="sk-SK"/>
        </w:rPr>
      </w:pPr>
      <w:r w:rsidRPr="00F302E4">
        <w:rPr>
          <w:color w:val="000000"/>
          <w:szCs w:val="22"/>
          <w:lang w:val="sk-SK"/>
        </w:rPr>
        <w:t>U pacientov s</w:t>
      </w:r>
      <w:r w:rsidR="00ED510D">
        <w:rPr>
          <w:color w:val="000000"/>
          <w:szCs w:val="22"/>
          <w:lang w:val="sk-SK"/>
        </w:rPr>
        <w:t>o</w:t>
      </w:r>
      <w:r w:rsidRPr="00F302E4">
        <w:rPr>
          <w:color w:val="000000"/>
          <w:szCs w:val="22"/>
          <w:lang w:val="sk-SK"/>
        </w:rPr>
        <w:t> </w:t>
      </w:r>
      <w:r w:rsidR="00ED510D">
        <w:rPr>
          <w:color w:val="000000"/>
          <w:szCs w:val="22"/>
          <w:lang w:val="sk-SK"/>
        </w:rPr>
        <w:t>zhoršeným</w:t>
      </w:r>
      <w:r w:rsidR="00ED510D" w:rsidRPr="00F302E4">
        <w:rPr>
          <w:color w:val="000000"/>
          <w:szCs w:val="22"/>
          <w:lang w:val="sk-SK"/>
        </w:rPr>
        <w:t xml:space="preserve"> </w:t>
      </w:r>
      <w:r w:rsidRPr="00F302E4">
        <w:rPr>
          <w:color w:val="000000"/>
          <w:szCs w:val="22"/>
          <w:lang w:val="sk-SK"/>
        </w:rPr>
        <w:t xml:space="preserve">metabolizmom citrátu (zlyhanie alebo infarkt pečene) sa môže </w:t>
      </w:r>
      <w:r w:rsidR="00ED510D" w:rsidRPr="00ED510D">
        <w:rPr>
          <w:color w:val="000000"/>
          <w:szCs w:val="22"/>
          <w:lang w:val="sk-SK"/>
        </w:rPr>
        <w:t>predávkovanie prejaviť hromadením</w:t>
      </w:r>
      <w:r w:rsidRPr="00F302E4">
        <w:rPr>
          <w:color w:val="000000"/>
          <w:szCs w:val="22"/>
          <w:lang w:val="sk-SK"/>
        </w:rPr>
        <w:t xml:space="preserve"> citrát</w:t>
      </w:r>
      <w:r w:rsidR="00ED510D">
        <w:rPr>
          <w:color w:val="000000"/>
          <w:szCs w:val="22"/>
          <w:lang w:val="sk-SK"/>
        </w:rPr>
        <w:t>u</w:t>
      </w:r>
      <w:r w:rsidR="000219C0">
        <w:rPr>
          <w:color w:val="000000"/>
          <w:szCs w:val="22"/>
          <w:lang w:val="sk-SK"/>
        </w:rPr>
        <w:t>,</w:t>
      </w:r>
      <w:r w:rsidRPr="00F302E4">
        <w:rPr>
          <w:szCs w:val="22"/>
          <w:lang w:val="sk-SK"/>
        </w:rPr>
        <w:t>metabolick</w:t>
      </w:r>
      <w:r w:rsidR="000219C0">
        <w:rPr>
          <w:szCs w:val="22"/>
          <w:lang w:val="sk-SK"/>
        </w:rPr>
        <w:t>ou</w:t>
      </w:r>
      <w:r w:rsidRPr="00F302E4">
        <w:rPr>
          <w:szCs w:val="22"/>
          <w:lang w:val="sk-SK"/>
        </w:rPr>
        <w:t xml:space="preserve"> acidóz</w:t>
      </w:r>
      <w:r w:rsidR="000219C0">
        <w:rPr>
          <w:szCs w:val="22"/>
          <w:lang w:val="sk-SK"/>
        </w:rPr>
        <w:t xml:space="preserve">ou, </w:t>
      </w:r>
      <w:r w:rsidR="000219C0" w:rsidRPr="000219C0">
        <w:rPr>
          <w:szCs w:val="22"/>
          <w:lang w:val="sk-SK"/>
        </w:rPr>
        <w:t>celkovou systémovou hyperkalciémiou</w:t>
      </w:r>
      <w:r w:rsidRPr="00F302E4">
        <w:rPr>
          <w:szCs w:val="22"/>
          <w:lang w:val="sk-SK"/>
        </w:rPr>
        <w:t xml:space="preserve"> a ionizovan</w:t>
      </w:r>
      <w:r w:rsidR="000219C0">
        <w:rPr>
          <w:szCs w:val="22"/>
          <w:lang w:val="sk-SK"/>
        </w:rPr>
        <w:t>ou</w:t>
      </w:r>
      <w:r w:rsidRPr="00F302E4">
        <w:rPr>
          <w:szCs w:val="22"/>
          <w:lang w:val="sk-SK"/>
        </w:rPr>
        <w:t xml:space="preserve"> hypokalciémi</w:t>
      </w:r>
      <w:r w:rsidR="000219C0">
        <w:rPr>
          <w:szCs w:val="22"/>
          <w:lang w:val="sk-SK"/>
        </w:rPr>
        <w:t xml:space="preserve">ou </w:t>
      </w:r>
      <w:r w:rsidR="000219C0" w:rsidRPr="000219C0">
        <w:rPr>
          <w:szCs w:val="22"/>
          <w:lang w:val="sk-SK"/>
        </w:rPr>
        <w:t>spolu so zvýšením celkového pomeru vápnika/ionizovaného vápnika.</w:t>
      </w:r>
    </w:p>
    <w:p w:rsidR="00DE0D32" w:rsidRPr="00F302E4" w:rsidRDefault="00DE0D32" w:rsidP="00DE0D32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AD1423">
        <w:rPr>
          <w:color w:val="000000"/>
          <w:szCs w:val="22"/>
          <w:lang w:val="sk-SK"/>
        </w:rPr>
        <w:t>Podávanie Regiocitu sa má preto buď zredukovať, alebo ukončiť.</w:t>
      </w:r>
      <w:r>
        <w:rPr>
          <w:color w:val="000000"/>
          <w:szCs w:val="22"/>
          <w:lang w:val="sk-SK"/>
        </w:rPr>
        <w:t xml:space="preserve"> </w:t>
      </w:r>
      <w:r w:rsidRPr="00F302E4">
        <w:rPr>
          <w:color w:val="000000"/>
          <w:szCs w:val="22"/>
          <w:lang w:val="sk-SK"/>
        </w:rPr>
        <w:t>Na korekciu metabolickej acidózy sa musí nahradiť hydrogénuhličitan.</w:t>
      </w:r>
      <w:r w:rsidRPr="00F302E4">
        <w:rPr>
          <w:bCs/>
          <w:color w:val="000000"/>
          <w:szCs w:val="22"/>
          <w:lang w:val="sk-SK"/>
        </w:rPr>
        <w:t xml:space="preserve"> </w:t>
      </w:r>
      <w:r w:rsidRPr="00F302E4">
        <w:rPr>
          <w:color w:val="000000"/>
          <w:szCs w:val="22"/>
          <w:lang w:val="sk-SK"/>
        </w:rPr>
        <w:t>V kontinuálnej renálnej nahradzujúcej terapii sa môže pokračovať bez antikoagulácie alebo sa musia zvážiť iné spôsoby na antikoaguláciu.</w:t>
      </w:r>
    </w:p>
    <w:p w:rsidR="00DE0D32" w:rsidRPr="00F302E4" w:rsidRDefault="00DE0D32" w:rsidP="00DE0D32">
      <w:pPr>
        <w:spacing w:line="240" w:lineRule="auto"/>
        <w:rPr>
          <w:b/>
          <w:szCs w:val="22"/>
          <w:lang w:val="sk-SK"/>
        </w:rPr>
      </w:pPr>
    </w:p>
    <w:p w:rsidR="00DE0D32" w:rsidRPr="00F302E4" w:rsidRDefault="00DE0D32" w:rsidP="00DE0D32">
      <w:pPr>
        <w:spacing w:line="240" w:lineRule="auto"/>
        <w:rPr>
          <w:b/>
          <w:szCs w:val="22"/>
          <w:lang w:val="sk-SK"/>
        </w:rPr>
      </w:pPr>
      <w:r w:rsidRPr="00F302E4">
        <w:rPr>
          <w:b/>
          <w:szCs w:val="22"/>
          <w:lang w:val="sk-SK"/>
        </w:rPr>
        <w:t>Príprava a/alebo manipulácia</w:t>
      </w:r>
    </w:p>
    <w:p w:rsidR="00DE0D32" w:rsidRPr="00F302E4" w:rsidRDefault="00DE0D32" w:rsidP="00DE0D32">
      <w:pPr>
        <w:suppressLineNumbers/>
        <w:spacing w:line="240" w:lineRule="auto"/>
        <w:rPr>
          <w:szCs w:val="22"/>
          <w:lang w:val="sk-SK"/>
        </w:rPr>
      </w:pPr>
      <w:r w:rsidRPr="004D334A">
        <w:rPr>
          <w:szCs w:val="22"/>
          <w:lang w:val="sk-SK"/>
        </w:rPr>
        <w:t>Roztok môžete zlikvidovať odpadovou vodou bez poškodenia životného prostredia.</w:t>
      </w:r>
    </w:p>
    <w:p w:rsidR="00DE0D32" w:rsidRPr="00F302E4" w:rsidRDefault="00DE0D32" w:rsidP="00DE0D32">
      <w:pPr>
        <w:suppressLineNumbers/>
        <w:spacing w:line="240" w:lineRule="auto"/>
        <w:rPr>
          <w:szCs w:val="22"/>
          <w:lang w:val="sk-SK"/>
        </w:rPr>
      </w:pPr>
    </w:p>
    <w:p w:rsidR="000219C0" w:rsidRPr="000219C0" w:rsidRDefault="000219C0" w:rsidP="000219C0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  <w:r w:rsidRPr="000219C0">
        <w:rPr>
          <w:szCs w:val="22"/>
          <w:lang w:val="sk-SK"/>
        </w:rPr>
        <w:t>Dodržiavajte nasledujúce pokyny na použitie:</w:t>
      </w:r>
    </w:p>
    <w:p w:rsidR="000219C0" w:rsidRPr="000219C0" w:rsidRDefault="000219C0" w:rsidP="000219C0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F302E4" w:rsidRDefault="000219C0" w:rsidP="000219C0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  <w:r w:rsidRPr="000219C0">
        <w:rPr>
          <w:szCs w:val="22"/>
          <w:lang w:val="sk-SK"/>
        </w:rPr>
        <w:t xml:space="preserve">Pri manipulácii a </w:t>
      </w:r>
      <w:r>
        <w:rPr>
          <w:szCs w:val="22"/>
          <w:lang w:val="sk-SK"/>
        </w:rPr>
        <w:t>p</w:t>
      </w:r>
      <w:r w:rsidR="00521F84">
        <w:rPr>
          <w:szCs w:val="22"/>
          <w:lang w:val="sk-SK"/>
        </w:rPr>
        <w:t>p</w:t>
      </w:r>
      <w:r w:rsidR="00DE0D32" w:rsidRPr="00F302E4">
        <w:rPr>
          <w:szCs w:val="22"/>
          <w:lang w:val="sk-SK"/>
        </w:rPr>
        <w:t xml:space="preserve">očas podávania pacientovi je potrebné používať sterilnú techniku. </w:t>
      </w:r>
      <w:r w:rsidRPr="000219C0">
        <w:rPr>
          <w:szCs w:val="22"/>
          <w:lang w:val="sk-SK"/>
        </w:rPr>
        <w:t xml:space="preserve">Tesne pred použitím odstráňte z vaku obal. Liek používajte len ak obal nie je poškodený, všetky zvary sú nedotknuté a roztok je číry. Zatlačte na vak silno, aby ste skontrolovali, či nepresakuje. Ak zistíte, že presakuje, okamžite roztok znehodnoťte, pretože nie je možné zaručiť jeho sterilitu. </w:t>
      </w:r>
      <w:r w:rsidR="00DE0D32" w:rsidRPr="00F302E4">
        <w:rPr>
          <w:szCs w:val="22"/>
          <w:lang w:val="sk-SK"/>
        </w:rPr>
        <w:t>Roztok použite okamžite po otvorení, aby ste zabránili mikrobiologickej kontaminácii.</w:t>
      </w:r>
    </w:p>
    <w:p w:rsidR="00DE0D32" w:rsidRPr="00F302E4" w:rsidRDefault="00DE0D32" w:rsidP="00DE0D32">
      <w:pPr>
        <w:suppressLineNumbers/>
        <w:spacing w:line="240" w:lineRule="auto"/>
        <w:rPr>
          <w:i/>
          <w:szCs w:val="22"/>
          <w:lang w:val="sk-SK"/>
        </w:rPr>
      </w:pPr>
    </w:p>
    <w:p w:rsidR="00DE0D32" w:rsidRPr="00F302E4" w:rsidRDefault="00DE0D32" w:rsidP="00DE0D32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  <w:r w:rsidRPr="00F302E4">
        <w:rPr>
          <w:szCs w:val="22"/>
          <w:lang w:val="sk-SK"/>
        </w:rPr>
        <w:t>I. V prípade použitia konektora typu Luer odstráňte uzáver otočením a potiahnutím. Pripojte zasúvací konektor typu Luer lock na linke pred krvnou pumpou</w:t>
      </w:r>
      <w:r>
        <w:rPr>
          <w:szCs w:val="22"/>
          <w:lang w:val="sk-SK"/>
        </w:rPr>
        <w:t xml:space="preserve"> </w:t>
      </w:r>
      <w:r w:rsidRPr="001E4A85">
        <w:rPr>
          <w:szCs w:val="22"/>
          <w:lang w:val="sk-SK"/>
        </w:rPr>
        <w:t>(</w:t>
      </w:r>
      <w:r w:rsidRPr="00195038">
        <w:rPr>
          <w:lang w:val="sk-SK"/>
        </w:rPr>
        <w:t>pre-blood pump line)</w:t>
      </w:r>
      <w:r w:rsidRPr="00F302E4">
        <w:rPr>
          <w:szCs w:val="22"/>
          <w:lang w:val="sk-SK"/>
        </w:rPr>
        <w:t xml:space="preserve"> k zásuvkovému konektoru typu Luer na vaku zatlačením a otočením.</w:t>
      </w:r>
      <w:r w:rsidRPr="00F302E4">
        <w:rPr>
          <w:szCs w:val="22"/>
          <w:lang w:val="sk-SK" w:eastAsia="sv-SE"/>
        </w:rPr>
        <w:t xml:space="preserve"> </w:t>
      </w:r>
      <w:r w:rsidRPr="00F302E4">
        <w:rPr>
          <w:szCs w:val="22"/>
          <w:lang w:val="sk-SK"/>
        </w:rPr>
        <w:t>Presvedčte sa, či je spojenie úplne na mieste a dotiahnuté. Konektor je teraz otvorený. Skontrolujte, či tekutina voľne preteká. (Pozri obrázok I. nižšie)</w:t>
      </w:r>
    </w:p>
    <w:p w:rsidR="00DE0D32" w:rsidRPr="00F302E4" w:rsidRDefault="00DE0D32" w:rsidP="00DE0D32">
      <w:pPr>
        <w:suppressLineNumber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DE0D32" w:rsidRPr="00F302E4" w:rsidRDefault="00DE0D32" w:rsidP="00DE0D32">
      <w:pPr>
        <w:suppressLineNumbers/>
        <w:tabs>
          <w:tab w:val="clear" w:pos="567"/>
        </w:tabs>
        <w:spacing w:line="240" w:lineRule="auto"/>
        <w:rPr>
          <w:szCs w:val="22"/>
          <w:lang w:val="sk-SK" w:eastAsia="sv-SE"/>
        </w:rPr>
      </w:pPr>
      <w:r w:rsidRPr="00F302E4">
        <w:rPr>
          <w:szCs w:val="22"/>
          <w:lang w:val="sk-SK"/>
        </w:rPr>
        <w:t>Po odpojení linky pred krvnou pumpou od konektora typu Luer sa konektor zatvorí a prietok roztoku sa zastaví. Luer je bezihlový port, ktorý sa dá vyčistiť tampónom.</w:t>
      </w:r>
    </w:p>
    <w:p w:rsidR="00DE0D32" w:rsidRPr="00F302E4" w:rsidRDefault="00DE0D32" w:rsidP="00DE0D32">
      <w:pPr>
        <w:suppressLineNumbers/>
        <w:spacing w:line="240" w:lineRule="auto"/>
        <w:rPr>
          <w:szCs w:val="22"/>
          <w:lang w:val="sk-SK" w:eastAsia="sv-SE"/>
        </w:rPr>
      </w:pPr>
    </w:p>
    <w:p w:rsidR="00DE0D32" w:rsidRPr="00F302E4" w:rsidRDefault="00DE0D32" w:rsidP="00DE0D32">
      <w:pPr>
        <w:suppressLineNumbers/>
        <w:tabs>
          <w:tab w:val="clear" w:pos="567"/>
        </w:tabs>
        <w:spacing w:line="240" w:lineRule="auto"/>
        <w:rPr>
          <w:szCs w:val="22"/>
          <w:lang w:val="sk-SK" w:eastAsia="sv-SE"/>
        </w:rPr>
      </w:pPr>
      <w:r w:rsidRPr="00F302E4">
        <w:rPr>
          <w:szCs w:val="22"/>
          <w:lang w:val="sk-SK"/>
        </w:rPr>
        <w:t>II.</w:t>
      </w:r>
      <w:r w:rsidRPr="00F302E4">
        <w:rPr>
          <w:szCs w:val="22"/>
          <w:lang w:val="sk-SK" w:eastAsia="sv-SE"/>
        </w:rPr>
        <w:t xml:space="preserve"> </w:t>
      </w:r>
      <w:r w:rsidRPr="00F302E4">
        <w:rPr>
          <w:szCs w:val="22"/>
          <w:lang w:val="sk-SK"/>
        </w:rPr>
        <w:t>V prípade použitia injekčného konektora (alebo konektora s hrotom) odstráňte odlamovací uzáver.</w:t>
      </w:r>
      <w:r w:rsidRPr="00F302E4">
        <w:rPr>
          <w:szCs w:val="22"/>
          <w:lang w:val="sk-SK" w:eastAsia="sv-SE"/>
        </w:rPr>
        <w:t xml:space="preserve"> </w:t>
      </w:r>
      <w:r w:rsidRPr="00F302E4">
        <w:rPr>
          <w:szCs w:val="22"/>
          <w:lang w:val="sk-SK"/>
        </w:rPr>
        <w:t>Zaveďte hrot cez gumenú priehradku.</w:t>
      </w:r>
      <w:r w:rsidRPr="00F302E4">
        <w:rPr>
          <w:szCs w:val="22"/>
          <w:lang w:val="sk-SK" w:eastAsia="sv-SE"/>
        </w:rPr>
        <w:t xml:space="preserve"> </w:t>
      </w:r>
      <w:r w:rsidRPr="00F302E4">
        <w:rPr>
          <w:szCs w:val="22"/>
          <w:lang w:val="sk-SK"/>
        </w:rPr>
        <w:t>Skontrolujte, či tekutina voľne preteká. (pozri obrázok II. nižšie.)</w:t>
      </w:r>
    </w:p>
    <w:p w:rsidR="00DE0D32" w:rsidRPr="00A424CE" w:rsidRDefault="00DE0D32" w:rsidP="00DE0D32">
      <w:pPr>
        <w:spacing w:line="240" w:lineRule="auto"/>
        <w:jc w:val="center"/>
        <w:rPr>
          <w:szCs w:val="22"/>
          <w:lang w:val="sk-SK"/>
        </w:rPr>
      </w:pPr>
      <w:r w:rsidRPr="00F302E4">
        <w:rPr>
          <w:noProof/>
          <w:szCs w:val="22"/>
          <w:lang w:val="sk-SK"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62865</wp:posOffset>
            </wp:positionV>
            <wp:extent cx="5486400" cy="1597660"/>
            <wp:effectExtent l="0" t="0" r="0" b="2540"/>
            <wp:wrapTight wrapText="bothSides">
              <wp:wrapPolygon edited="0">
                <wp:start x="0" y="0"/>
                <wp:lineTo x="0" y="21377"/>
                <wp:lineTo x="21525" y="21377"/>
                <wp:lineTo x="21525" y="0"/>
                <wp:lineTo x="0" y="0"/>
              </wp:wrapPolygon>
            </wp:wrapTight>
            <wp:docPr id="1" name="Obrázok 1" descr="One compartment_Polyolefin_Handling_valve_100K_121001_Ac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e compartment_Polyolefin_Handling_valve_100K_121001_Actu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E1F" w:rsidRPr="00AD76F6" w:rsidRDefault="00C03E1F">
      <w:pPr>
        <w:rPr>
          <w:lang w:val="sk-SK"/>
        </w:rPr>
      </w:pPr>
    </w:p>
    <w:p w:rsidR="000219C0" w:rsidRPr="00AD76F6" w:rsidRDefault="000219C0">
      <w:pPr>
        <w:rPr>
          <w:lang w:val="sk-SK"/>
        </w:rPr>
      </w:pPr>
    </w:p>
    <w:p w:rsidR="000219C0" w:rsidRPr="00AD76F6" w:rsidRDefault="000219C0">
      <w:pPr>
        <w:rPr>
          <w:lang w:val="sk-SK"/>
        </w:rPr>
      </w:pPr>
    </w:p>
    <w:p w:rsidR="000219C0" w:rsidRPr="00AD76F6" w:rsidRDefault="000219C0">
      <w:pPr>
        <w:rPr>
          <w:lang w:val="sk-SK"/>
        </w:rPr>
      </w:pPr>
    </w:p>
    <w:p w:rsidR="000219C0" w:rsidRPr="00AD76F6" w:rsidRDefault="000219C0">
      <w:pPr>
        <w:rPr>
          <w:lang w:val="sk-SK"/>
        </w:rPr>
      </w:pPr>
    </w:p>
    <w:p w:rsidR="000219C0" w:rsidRPr="00AD76F6" w:rsidRDefault="000219C0">
      <w:pPr>
        <w:rPr>
          <w:lang w:val="sk-SK"/>
        </w:rPr>
      </w:pPr>
    </w:p>
    <w:p w:rsidR="000219C0" w:rsidRPr="00AD76F6" w:rsidRDefault="000219C0">
      <w:pPr>
        <w:rPr>
          <w:lang w:val="sk-SK"/>
        </w:rPr>
      </w:pPr>
    </w:p>
    <w:p w:rsidR="000219C0" w:rsidRPr="00AD76F6" w:rsidRDefault="000219C0">
      <w:pPr>
        <w:rPr>
          <w:lang w:val="sk-SK"/>
        </w:rPr>
      </w:pPr>
    </w:p>
    <w:p w:rsidR="000219C0" w:rsidRPr="00AD76F6" w:rsidRDefault="000219C0">
      <w:pPr>
        <w:rPr>
          <w:lang w:val="sk-SK"/>
        </w:rPr>
      </w:pPr>
    </w:p>
    <w:p w:rsidR="000219C0" w:rsidRPr="00AD76F6" w:rsidRDefault="000219C0">
      <w:pPr>
        <w:rPr>
          <w:lang w:val="sk-SK"/>
        </w:rPr>
      </w:pPr>
    </w:p>
    <w:p w:rsidR="000219C0" w:rsidRPr="000219C0" w:rsidRDefault="00521F84" w:rsidP="000219C0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Pred</w:t>
      </w:r>
      <w:r w:rsidR="000219C0" w:rsidRPr="000219C0">
        <w:rPr>
          <w:szCs w:val="22"/>
          <w:lang w:val="sk-SK"/>
        </w:rPr>
        <w:t xml:space="preserve"> prid</w:t>
      </w:r>
      <w:r>
        <w:rPr>
          <w:szCs w:val="22"/>
          <w:lang w:val="sk-SK"/>
        </w:rPr>
        <w:t>aním</w:t>
      </w:r>
      <w:r w:rsidR="000219C0" w:rsidRPr="000219C0">
        <w:rPr>
          <w:szCs w:val="22"/>
          <w:lang w:val="sk-SK"/>
        </w:rPr>
        <w:t xml:space="preserve"> látk</w:t>
      </w:r>
      <w:r>
        <w:rPr>
          <w:szCs w:val="22"/>
          <w:lang w:val="sk-SK"/>
        </w:rPr>
        <w:t>y</w:t>
      </w:r>
      <w:r w:rsidR="000219C0" w:rsidRPr="000219C0">
        <w:rPr>
          <w:szCs w:val="22"/>
          <w:lang w:val="sk-SK"/>
        </w:rPr>
        <w:t xml:space="preserve"> alebo liek</w:t>
      </w:r>
      <w:r>
        <w:rPr>
          <w:szCs w:val="22"/>
          <w:lang w:val="sk-SK"/>
        </w:rPr>
        <w:t xml:space="preserve">u </w:t>
      </w:r>
      <w:r w:rsidRPr="000219C0">
        <w:rPr>
          <w:szCs w:val="22"/>
          <w:lang w:val="sk-SK"/>
        </w:rPr>
        <w:t xml:space="preserve">si </w:t>
      </w:r>
      <w:r w:rsidR="000219C0" w:rsidRPr="000219C0">
        <w:rPr>
          <w:szCs w:val="22"/>
          <w:lang w:val="sk-SK"/>
        </w:rPr>
        <w:t>overte, že je v Regiocite rozpustná a stabilná, a že pH rozpätie produktu je vhodné. Nemali by sa pridávať látky, u ktorých je známa alebo určená nekompatibilita.</w:t>
      </w:r>
    </w:p>
    <w:p w:rsidR="000219C0" w:rsidRPr="000219C0" w:rsidRDefault="000219C0" w:rsidP="000219C0">
      <w:pPr>
        <w:spacing w:line="240" w:lineRule="auto"/>
        <w:rPr>
          <w:szCs w:val="22"/>
          <w:lang w:val="sk-SK"/>
        </w:rPr>
      </w:pPr>
      <w:r w:rsidRPr="000219C0">
        <w:rPr>
          <w:szCs w:val="22"/>
          <w:lang w:val="sk-SK"/>
        </w:rPr>
        <w:t>Je potrebné preštudovať si pokyny na používanie pridávaných liekov a inú relevantnú literatúru.</w:t>
      </w:r>
    </w:p>
    <w:p w:rsidR="000219C0" w:rsidRPr="000219C0" w:rsidRDefault="00521F84" w:rsidP="000219C0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R</w:t>
      </w:r>
      <w:r w:rsidRPr="000219C0">
        <w:rPr>
          <w:szCs w:val="22"/>
          <w:lang w:val="sk-SK"/>
        </w:rPr>
        <w:t>oztok nepoužívajte</w:t>
      </w:r>
      <w:r>
        <w:rPr>
          <w:szCs w:val="22"/>
          <w:lang w:val="sk-SK"/>
        </w:rPr>
        <w:t>,</w:t>
      </w:r>
      <w:r w:rsidRPr="000219C0">
        <w:rPr>
          <w:szCs w:val="22"/>
          <w:lang w:val="sk-SK"/>
        </w:rPr>
        <w:t xml:space="preserve"> </w:t>
      </w:r>
      <w:r>
        <w:rPr>
          <w:szCs w:val="22"/>
          <w:lang w:val="sk-SK"/>
        </w:rPr>
        <w:t>a</w:t>
      </w:r>
      <w:r w:rsidR="000219C0" w:rsidRPr="000219C0">
        <w:rPr>
          <w:szCs w:val="22"/>
          <w:lang w:val="sk-SK"/>
        </w:rPr>
        <w:t>k po pridaní nastane zmena sfarbenia a/alebo vzniknú zrazeniny, nerozpustné zložky alebo kryštály.</w:t>
      </w:r>
    </w:p>
    <w:p w:rsidR="000219C0" w:rsidRPr="000219C0" w:rsidRDefault="000219C0" w:rsidP="000219C0">
      <w:pPr>
        <w:spacing w:line="240" w:lineRule="auto"/>
        <w:rPr>
          <w:szCs w:val="22"/>
          <w:lang w:val="sk-SK"/>
        </w:rPr>
      </w:pPr>
      <w:r w:rsidRPr="000219C0">
        <w:rPr>
          <w:szCs w:val="22"/>
          <w:lang w:val="sk-SK"/>
        </w:rPr>
        <w:t>Po pridaní látok roztok dôkladne premiešajte. Pridávanie a miešanie látok sa musí vykonať vždy pred pripojením vaku s roztokom na mimotelový obeh.</w:t>
      </w:r>
    </w:p>
    <w:p w:rsidR="000219C0" w:rsidRPr="000219C0" w:rsidRDefault="000219C0" w:rsidP="000219C0">
      <w:pPr>
        <w:spacing w:line="240" w:lineRule="auto"/>
        <w:rPr>
          <w:szCs w:val="22"/>
          <w:lang w:val="sk-SK"/>
        </w:rPr>
      </w:pPr>
      <w:r w:rsidRPr="000219C0">
        <w:rPr>
          <w:szCs w:val="22"/>
          <w:lang w:val="sk-SK"/>
        </w:rPr>
        <w:t>Roztok je len na jednorazové použitie. Zlikvidujte všetok nepoužitý roztok.</w:t>
      </w:r>
    </w:p>
    <w:p w:rsidR="000219C0" w:rsidRDefault="000219C0"/>
    <w:sectPr w:rsidR="000219C0" w:rsidSect="00195038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555" w:rsidRDefault="003D4555">
      <w:pPr>
        <w:spacing w:line="240" w:lineRule="auto"/>
      </w:pPr>
      <w:r>
        <w:separator/>
      </w:r>
    </w:p>
  </w:endnote>
  <w:endnote w:type="continuationSeparator" w:id="0">
    <w:p w:rsidR="003D4555" w:rsidRDefault="003D4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049" w:rsidRPr="00195038" w:rsidRDefault="00DE0D32">
    <w:pPr>
      <w:pStyle w:val="Pta"/>
      <w:jc w:val="center"/>
      <w:rPr>
        <w:sz w:val="18"/>
        <w:szCs w:val="18"/>
      </w:rPr>
    </w:pPr>
    <w:r w:rsidRPr="00195038">
      <w:rPr>
        <w:sz w:val="18"/>
        <w:szCs w:val="18"/>
      </w:rPr>
      <w:fldChar w:fldCharType="begin"/>
    </w:r>
    <w:r w:rsidRPr="00195038">
      <w:rPr>
        <w:sz w:val="18"/>
        <w:szCs w:val="18"/>
      </w:rPr>
      <w:instrText>PAGE   \* MERGEFORMAT</w:instrText>
    </w:r>
    <w:r w:rsidRPr="00195038">
      <w:rPr>
        <w:sz w:val="18"/>
        <w:szCs w:val="18"/>
      </w:rPr>
      <w:fldChar w:fldCharType="separate"/>
    </w:r>
    <w:r w:rsidR="004001A2" w:rsidRPr="004001A2">
      <w:rPr>
        <w:noProof/>
        <w:sz w:val="18"/>
        <w:szCs w:val="18"/>
        <w:lang w:val="sk-SK"/>
      </w:rPr>
      <w:t>2</w:t>
    </w:r>
    <w:r w:rsidRPr="00195038">
      <w:rPr>
        <w:sz w:val="18"/>
        <w:szCs w:val="18"/>
      </w:rPr>
      <w:fldChar w:fldCharType="end"/>
    </w:r>
  </w:p>
  <w:p w:rsidR="003D09D8" w:rsidRPr="00733DF5" w:rsidRDefault="003D4555">
    <w:pPr>
      <w:pStyle w:val="Pta"/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6F" w:rsidRPr="00195038" w:rsidRDefault="00DE0D32">
    <w:pPr>
      <w:pStyle w:val="Pta"/>
      <w:jc w:val="center"/>
      <w:rPr>
        <w:sz w:val="18"/>
        <w:szCs w:val="18"/>
      </w:rPr>
    </w:pPr>
    <w:r w:rsidRPr="00195038">
      <w:rPr>
        <w:sz w:val="18"/>
        <w:szCs w:val="18"/>
      </w:rPr>
      <w:fldChar w:fldCharType="begin"/>
    </w:r>
    <w:r w:rsidRPr="00195038">
      <w:rPr>
        <w:sz w:val="18"/>
        <w:szCs w:val="18"/>
      </w:rPr>
      <w:instrText>PAGE   \* MERGEFORMAT</w:instrText>
    </w:r>
    <w:r w:rsidRPr="00195038">
      <w:rPr>
        <w:sz w:val="18"/>
        <w:szCs w:val="18"/>
      </w:rPr>
      <w:fldChar w:fldCharType="separate"/>
    </w:r>
    <w:r w:rsidR="004001A2" w:rsidRPr="004001A2">
      <w:rPr>
        <w:noProof/>
        <w:sz w:val="18"/>
        <w:szCs w:val="18"/>
        <w:lang w:val="sk-SK"/>
      </w:rPr>
      <w:t>1</w:t>
    </w:r>
    <w:r w:rsidRPr="00195038">
      <w:rPr>
        <w:sz w:val="18"/>
        <w:szCs w:val="18"/>
      </w:rPr>
      <w:fldChar w:fldCharType="end"/>
    </w:r>
  </w:p>
  <w:p w:rsidR="003D09D8" w:rsidRDefault="003D4555">
    <w:pPr>
      <w:pStyle w:val="Pta"/>
      <w:tabs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555" w:rsidRDefault="003D4555">
      <w:pPr>
        <w:spacing w:line="240" w:lineRule="auto"/>
      </w:pPr>
      <w:r>
        <w:separator/>
      </w:r>
    </w:p>
  </w:footnote>
  <w:footnote w:type="continuationSeparator" w:id="0">
    <w:p w:rsidR="003D4555" w:rsidRDefault="003D45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B8" w:rsidRDefault="002341B8">
    <w:pPr>
      <w:pStyle w:val="Hlavika"/>
    </w:pPr>
    <w:r w:rsidRPr="002341B8">
      <w:rPr>
        <w:bCs/>
        <w:sz w:val="18"/>
        <w:szCs w:val="18"/>
      </w:rPr>
      <w:t>Schválený text k rozhodnutiu o zmene, ev. č.: 2018/04672-ZME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D8" w:rsidRDefault="002341B8">
    <w:pPr>
      <w:pStyle w:val="Hlavika"/>
    </w:pPr>
    <w:r w:rsidRPr="002341B8">
      <w:rPr>
        <w:bCs/>
        <w:sz w:val="18"/>
        <w:szCs w:val="18"/>
      </w:rPr>
      <w:t>Schválený text k rozhodnutiu o zmene, ev. č.: 2018/04672-ZME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185E97"/>
    <w:multiLevelType w:val="hybridMultilevel"/>
    <w:tmpl w:val="16F6463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171E3"/>
    <w:multiLevelType w:val="hybridMultilevel"/>
    <w:tmpl w:val="1242AF6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8B6663"/>
    <w:multiLevelType w:val="hybridMultilevel"/>
    <w:tmpl w:val="3A72771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39"/>
    <w:rsid w:val="000219C0"/>
    <w:rsid w:val="000802AC"/>
    <w:rsid w:val="001670C5"/>
    <w:rsid w:val="002341B8"/>
    <w:rsid w:val="00246ADD"/>
    <w:rsid w:val="003B7477"/>
    <w:rsid w:val="003D4555"/>
    <w:rsid w:val="003F0990"/>
    <w:rsid w:val="004001A2"/>
    <w:rsid w:val="00521F84"/>
    <w:rsid w:val="00574639"/>
    <w:rsid w:val="006B10E2"/>
    <w:rsid w:val="0092763D"/>
    <w:rsid w:val="00970A57"/>
    <w:rsid w:val="009E08B3"/>
    <w:rsid w:val="009F7F68"/>
    <w:rsid w:val="00AD76F6"/>
    <w:rsid w:val="00AF6C11"/>
    <w:rsid w:val="00B34745"/>
    <w:rsid w:val="00C03E1F"/>
    <w:rsid w:val="00CB5E17"/>
    <w:rsid w:val="00CF61BE"/>
    <w:rsid w:val="00DB1B8C"/>
    <w:rsid w:val="00DE0D32"/>
    <w:rsid w:val="00EB5B74"/>
    <w:rsid w:val="00ED510D"/>
    <w:rsid w:val="00F51296"/>
    <w:rsid w:val="00FB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D2C5D-997F-4C9D-AE85-1CCA0DF4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0D32"/>
    <w:pPr>
      <w:tabs>
        <w:tab w:val="left" w:pos="567"/>
      </w:tabs>
      <w:spacing w:line="260" w:lineRule="exact"/>
    </w:pPr>
    <w:rPr>
      <w:szCs w:val="20"/>
      <w:lang w:val="en-GB"/>
    </w:rPr>
  </w:style>
  <w:style w:type="paragraph" w:styleId="Nadpis1">
    <w:name w:val="heading 1"/>
    <w:basedOn w:val="Normlny"/>
    <w:next w:val="Normlny"/>
    <w:link w:val="Nadpis1Char"/>
    <w:qFormat/>
    <w:rsid w:val="00FB5F3B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FB5F3B"/>
    <w:pPr>
      <w:keepNext/>
      <w:spacing w:before="240" w:after="6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qFormat/>
    <w:rsid w:val="00FB5F3B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FB5F3B"/>
    <w:pPr>
      <w:keepNext/>
      <w:jc w:val="both"/>
      <w:outlineLvl w:val="3"/>
    </w:pPr>
    <w:rPr>
      <w:b/>
      <w:noProof/>
      <w:lang w:val="cs-CZ"/>
    </w:rPr>
  </w:style>
  <w:style w:type="paragraph" w:styleId="Nadpis5">
    <w:name w:val="heading 5"/>
    <w:basedOn w:val="Normlny"/>
    <w:next w:val="Normlny"/>
    <w:link w:val="Nadpis5Char"/>
    <w:qFormat/>
    <w:rsid w:val="00FB5F3B"/>
    <w:pPr>
      <w:keepNext/>
      <w:jc w:val="both"/>
      <w:outlineLvl w:val="4"/>
    </w:pPr>
    <w:rPr>
      <w:noProof/>
      <w:lang w:val="cs-CZ"/>
    </w:rPr>
  </w:style>
  <w:style w:type="paragraph" w:styleId="Nadpis6">
    <w:name w:val="heading 6"/>
    <w:basedOn w:val="Normlny"/>
    <w:next w:val="Normlny"/>
    <w:link w:val="Nadpis6Char"/>
    <w:qFormat/>
    <w:rsid w:val="00FB5F3B"/>
    <w:pPr>
      <w:keepNext/>
      <w:tabs>
        <w:tab w:val="left" w:pos="-720"/>
        <w:tab w:val="left" w:pos="4536"/>
      </w:tabs>
      <w:suppressAutoHyphens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qFormat/>
    <w:rsid w:val="00FB5F3B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qFormat/>
    <w:rsid w:val="00FB5F3B"/>
    <w:pPr>
      <w:keepNext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qFormat/>
    <w:rsid w:val="00FB5F3B"/>
    <w:pPr>
      <w:keepNext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B5F3B"/>
    <w:rPr>
      <w:b/>
      <w:caps/>
      <w:sz w:val="26"/>
      <w:szCs w:val="20"/>
      <w:lang w:val="en-US"/>
    </w:rPr>
  </w:style>
  <w:style w:type="character" w:customStyle="1" w:styleId="Nadpis2Char">
    <w:name w:val="Nadpis 2 Char"/>
    <w:basedOn w:val="Predvolenpsmoodseku"/>
    <w:link w:val="Nadpis2"/>
    <w:rsid w:val="00FB5F3B"/>
    <w:rPr>
      <w:rFonts w:ascii="Helvetica" w:hAnsi="Helvetica"/>
      <w:b/>
      <w:i/>
      <w:sz w:val="24"/>
      <w:szCs w:val="20"/>
      <w:lang w:val="cs-CZ"/>
    </w:rPr>
  </w:style>
  <w:style w:type="character" w:customStyle="1" w:styleId="Nadpis3Char">
    <w:name w:val="Nadpis 3 Char"/>
    <w:basedOn w:val="Predvolenpsmoodseku"/>
    <w:link w:val="Nadpis3"/>
    <w:rsid w:val="00FB5F3B"/>
    <w:rPr>
      <w:b/>
      <w:kern w:val="28"/>
      <w:sz w:val="24"/>
      <w:szCs w:val="20"/>
      <w:lang w:val="en-US"/>
    </w:rPr>
  </w:style>
  <w:style w:type="character" w:customStyle="1" w:styleId="Nadpis4Char">
    <w:name w:val="Nadpis 4 Char"/>
    <w:basedOn w:val="Predvolenpsmoodseku"/>
    <w:link w:val="Nadpis4"/>
    <w:rsid w:val="00FB5F3B"/>
    <w:rPr>
      <w:b/>
      <w:noProof/>
      <w:szCs w:val="20"/>
      <w:lang w:val="cs-CZ"/>
    </w:rPr>
  </w:style>
  <w:style w:type="character" w:customStyle="1" w:styleId="Nadpis5Char">
    <w:name w:val="Nadpis 5 Char"/>
    <w:basedOn w:val="Predvolenpsmoodseku"/>
    <w:link w:val="Nadpis5"/>
    <w:rsid w:val="00FB5F3B"/>
    <w:rPr>
      <w:noProof/>
      <w:szCs w:val="20"/>
      <w:lang w:val="cs-CZ"/>
    </w:rPr>
  </w:style>
  <w:style w:type="character" w:customStyle="1" w:styleId="Nadpis6Char">
    <w:name w:val="Nadpis 6 Char"/>
    <w:basedOn w:val="Predvolenpsmoodseku"/>
    <w:link w:val="Nadpis6"/>
    <w:rsid w:val="00FB5F3B"/>
    <w:rPr>
      <w:i/>
      <w:szCs w:val="20"/>
      <w:lang w:val="cs-CZ"/>
    </w:rPr>
  </w:style>
  <w:style w:type="character" w:customStyle="1" w:styleId="Nadpis7Char">
    <w:name w:val="Nadpis 7 Char"/>
    <w:basedOn w:val="Predvolenpsmoodseku"/>
    <w:link w:val="Nadpis7"/>
    <w:rsid w:val="00FB5F3B"/>
    <w:rPr>
      <w:i/>
      <w:szCs w:val="20"/>
      <w:lang w:val="cs-CZ"/>
    </w:rPr>
  </w:style>
  <w:style w:type="character" w:customStyle="1" w:styleId="Nadpis8Char">
    <w:name w:val="Nadpis 8 Char"/>
    <w:basedOn w:val="Predvolenpsmoodseku"/>
    <w:link w:val="Nadpis8"/>
    <w:rsid w:val="00FB5F3B"/>
    <w:rPr>
      <w:b/>
      <w:i/>
      <w:szCs w:val="20"/>
      <w:lang w:val="cs-CZ"/>
    </w:rPr>
  </w:style>
  <w:style w:type="character" w:customStyle="1" w:styleId="Nadpis9Char">
    <w:name w:val="Nadpis 9 Char"/>
    <w:basedOn w:val="Predvolenpsmoodseku"/>
    <w:link w:val="Nadpis9"/>
    <w:rsid w:val="00FB5F3B"/>
    <w:rPr>
      <w:b/>
      <w:i/>
      <w:szCs w:val="20"/>
      <w:lang w:val="cs-CZ"/>
    </w:rPr>
  </w:style>
  <w:style w:type="paragraph" w:styleId="Pta">
    <w:name w:val="footer"/>
    <w:basedOn w:val="Normlny"/>
    <w:link w:val="PtaChar"/>
    <w:uiPriority w:val="99"/>
    <w:rsid w:val="00DE0D32"/>
    <w:pPr>
      <w:tabs>
        <w:tab w:val="center" w:pos="4536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DE0D32"/>
    <w:rPr>
      <w:szCs w:val="20"/>
      <w:lang w:val="en-GB"/>
    </w:rPr>
  </w:style>
  <w:style w:type="paragraph" w:styleId="Hlavika">
    <w:name w:val="header"/>
    <w:basedOn w:val="Normlny"/>
    <w:link w:val="HlavikaChar"/>
    <w:uiPriority w:val="99"/>
    <w:rsid w:val="00DE0D3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0D32"/>
    <w:rPr>
      <w:szCs w:val="20"/>
      <w:lang w:val="en-GB"/>
    </w:rPr>
  </w:style>
  <w:style w:type="paragraph" w:styleId="Textkomentra">
    <w:name w:val="annotation text"/>
    <w:basedOn w:val="Normlny"/>
    <w:link w:val="TextkomentraChar"/>
    <w:uiPriority w:val="99"/>
    <w:rsid w:val="00DE0D32"/>
    <w:rPr>
      <w:sz w:val="20"/>
      <w:lang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E0D32"/>
    <w:rPr>
      <w:sz w:val="20"/>
      <w:szCs w:val="20"/>
      <w:lang w:val="en-GB" w:eastAsia="x-none"/>
    </w:rPr>
  </w:style>
  <w:style w:type="character" w:styleId="Hypertextovprepojenie">
    <w:name w:val="Hyperlink"/>
    <w:uiPriority w:val="99"/>
    <w:rsid w:val="00DE0D32"/>
    <w:rPr>
      <w:color w:val="0000FF"/>
      <w:u w:val="single"/>
    </w:rPr>
  </w:style>
  <w:style w:type="paragraph" w:customStyle="1" w:styleId="NoSpacing1">
    <w:name w:val="No Spacing1"/>
    <w:qFormat/>
    <w:rsid w:val="00DE0D32"/>
    <w:rPr>
      <w:rFonts w:ascii="Calibri" w:hAnsi="Calibri"/>
      <w:lang w:val="nl-NL" w:eastAsia="nl-N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0A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A57"/>
    <w:rPr>
      <w:rFonts w:ascii="Segoe UI" w:hAnsi="Segoe UI" w:cs="Segoe UI"/>
      <w:sz w:val="18"/>
      <w:szCs w:val="18"/>
      <w:lang w:val="en-GB"/>
    </w:rPr>
  </w:style>
  <w:style w:type="paragraph" w:styleId="Odsekzoznamu">
    <w:name w:val="List Paragraph"/>
    <w:basedOn w:val="Normlny"/>
    <w:uiPriority w:val="34"/>
    <w:qFormat/>
    <w:rsid w:val="00CF6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2771</Words>
  <Characters>15795</Characters>
  <Application>Microsoft Office Word</Application>
  <DocSecurity>0</DocSecurity>
  <Lines>131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Molnárová, Zuzana</dc:creator>
  <cp:keywords/>
  <dc:description/>
  <cp:lastModifiedBy>zuzana molnarova</cp:lastModifiedBy>
  <cp:revision>2</cp:revision>
  <cp:lastPrinted>2019-07-23T14:20:00Z</cp:lastPrinted>
  <dcterms:created xsi:type="dcterms:W3CDTF">2020-05-26T07:49:00Z</dcterms:created>
  <dcterms:modified xsi:type="dcterms:W3CDTF">2020-05-26T07:49:00Z</dcterms:modified>
</cp:coreProperties>
</file>