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9DD55" w14:textId="77777777" w:rsidR="00542B0B" w:rsidRPr="00542B0B" w:rsidRDefault="00542B0B" w:rsidP="00542B0B">
      <w:pPr>
        <w:spacing w:before="78"/>
        <w:ind w:left="2938"/>
        <w:rPr>
          <w:b/>
        </w:rPr>
      </w:pPr>
      <w:r w:rsidRPr="00542B0B">
        <w:rPr>
          <w:b/>
        </w:rPr>
        <w:t>Písomná informácia pre používateľa</w:t>
      </w:r>
    </w:p>
    <w:p w14:paraId="31ACFDB1" w14:textId="77777777" w:rsidR="00542B0B" w:rsidRPr="00542B0B" w:rsidRDefault="00542B0B" w:rsidP="00542B0B">
      <w:pPr>
        <w:pStyle w:val="Zkladntext"/>
        <w:spacing w:before="9"/>
        <w:rPr>
          <w:b/>
        </w:rPr>
      </w:pPr>
    </w:p>
    <w:p w14:paraId="4808809C" w14:textId="1DFDA8C1" w:rsidR="00542B0B" w:rsidRPr="004C4614" w:rsidRDefault="00B5797B" w:rsidP="004C4614">
      <w:pPr>
        <w:pStyle w:val="Bezriadkovania"/>
        <w:jc w:val="center"/>
        <w:rPr>
          <w:b/>
        </w:rPr>
      </w:pPr>
      <w:r w:rsidRPr="004C4614">
        <w:rPr>
          <w:b/>
        </w:rPr>
        <w:t>Azacitidine Sandoz</w:t>
      </w:r>
      <w:r w:rsidR="00542B0B" w:rsidRPr="004C4614">
        <w:rPr>
          <w:b/>
        </w:rPr>
        <w:t xml:space="preserve"> </w:t>
      </w:r>
      <w:r w:rsidR="00EB521E" w:rsidRPr="004C4614">
        <w:rPr>
          <w:b/>
        </w:rPr>
        <w:t xml:space="preserve">25 mg/ml </w:t>
      </w:r>
      <w:r w:rsidR="00542B0B" w:rsidRPr="004C4614">
        <w:rPr>
          <w:b/>
        </w:rPr>
        <w:t>prášok na</w:t>
      </w:r>
      <w:r w:rsidR="004C4614" w:rsidRPr="004C4614">
        <w:rPr>
          <w:b/>
        </w:rPr>
        <w:t xml:space="preserve"> injekčnú suspenziu</w:t>
      </w:r>
    </w:p>
    <w:p w14:paraId="093AAB4E" w14:textId="77777777" w:rsidR="00542B0B" w:rsidRPr="00542B0B" w:rsidRDefault="00542B0B" w:rsidP="00542B0B">
      <w:pPr>
        <w:pStyle w:val="Zkladntext"/>
        <w:ind w:left="2423" w:right="2401"/>
        <w:jc w:val="center"/>
      </w:pPr>
      <w:r w:rsidRPr="00542B0B">
        <w:t>azacitidín</w:t>
      </w:r>
    </w:p>
    <w:p w14:paraId="2ACA7F84" w14:textId="77777777" w:rsidR="00542B0B" w:rsidRPr="00542B0B" w:rsidRDefault="00542B0B" w:rsidP="00542B0B">
      <w:pPr>
        <w:pStyle w:val="Zkladntext"/>
        <w:spacing w:before="7"/>
      </w:pPr>
    </w:p>
    <w:p w14:paraId="358ABCED" w14:textId="77777777" w:rsidR="00542B0B" w:rsidRPr="00542B0B" w:rsidRDefault="00542B0B" w:rsidP="00542B0B">
      <w:pPr>
        <w:pStyle w:val="Nadpis1"/>
        <w:spacing w:before="1" w:line="244" w:lineRule="auto"/>
        <w:ind w:left="118" w:right="130" w:hanging="1"/>
      </w:pPr>
      <w:r w:rsidRPr="00542B0B">
        <w:t xml:space="preserve">Pozorne si </w:t>
      </w:r>
      <w:r w:rsidRPr="004C4614">
        <w:rPr>
          <w:lang w:val="sk-SK"/>
        </w:rPr>
        <w:t>prečítajte</w:t>
      </w:r>
      <w:r w:rsidRPr="00542B0B">
        <w:t xml:space="preserve"> celú písomnú informáciu predtým, ako začnete používať tento liek, pretože obsahuje pre vás dôležité informácie.</w:t>
      </w:r>
    </w:p>
    <w:p w14:paraId="267E9F00" w14:textId="77777777" w:rsidR="00542B0B" w:rsidRPr="00542B0B" w:rsidRDefault="00542B0B" w:rsidP="00542B0B">
      <w:pPr>
        <w:pStyle w:val="Odsekzoznamu"/>
        <w:numPr>
          <w:ilvl w:val="0"/>
          <w:numId w:val="4"/>
        </w:numPr>
        <w:tabs>
          <w:tab w:val="left" w:pos="685"/>
          <w:tab w:val="left" w:pos="686"/>
        </w:tabs>
        <w:spacing w:line="248" w:lineRule="exact"/>
      </w:pPr>
      <w:r w:rsidRPr="00542B0B">
        <w:t>Túto písomnú informáciu si uschovajte. Možno bude potrebné, aby ste si ju znovu</w:t>
      </w:r>
      <w:r w:rsidRPr="00542B0B">
        <w:rPr>
          <w:spacing w:val="-17"/>
        </w:rPr>
        <w:t xml:space="preserve"> </w:t>
      </w:r>
      <w:r w:rsidRPr="00542B0B">
        <w:t>prečítali.</w:t>
      </w:r>
    </w:p>
    <w:p w14:paraId="62A680BD" w14:textId="77777777" w:rsidR="00542B0B" w:rsidRPr="00542B0B" w:rsidRDefault="00542B0B" w:rsidP="00542B0B">
      <w:pPr>
        <w:pStyle w:val="Odsekzoznamu"/>
        <w:numPr>
          <w:ilvl w:val="0"/>
          <w:numId w:val="4"/>
        </w:numPr>
        <w:tabs>
          <w:tab w:val="left" w:pos="685"/>
          <w:tab w:val="left" w:pos="686"/>
        </w:tabs>
        <w:spacing w:before="1"/>
      </w:pPr>
      <w:r w:rsidRPr="00542B0B">
        <w:t>Ak máte akékoľvek ďalšie otázky, obráťte sa na svojho lekára, lekárnika alebo zdravotnú</w:t>
      </w:r>
      <w:r w:rsidRPr="00542B0B">
        <w:rPr>
          <w:spacing w:val="-16"/>
        </w:rPr>
        <w:t xml:space="preserve"> </w:t>
      </w:r>
      <w:r w:rsidRPr="00542B0B">
        <w:t>sestru.</w:t>
      </w:r>
    </w:p>
    <w:p w14:paraId="28A5C647" w14:textId="77777777" w:rsidR="00542B0B" w:rsidRPr="00542B0B" w:rsidRDefault="00542B0B" w:rsidP="00542B0B">
      <w:pPr>
        <w:pStyle w:val="Odsekzoznamu"/>
        <w:numPr>
          <w:ilvl w:val="0"/>
          <w:numId w:val="4"/>
        </w:numPr>
        <w:tabs>
          <w:tab w:val="left" w:pos="685"/>
          <w:tab w:val="left" w:pos="686"/>
        </w:tabs>
        <w:spacing w:before="1"/>
        <w:ind w:right="350"/>
      </w:pPr>
      <w:r w:rsidRPr="00542B0B">
        <w:t>Ak sa u vás vyskytne akýkoľvek vedľajší účinok, obráťte sa na svojho lekára, lekárnika alebo zdravotnú sestru. To sa týka aj akýchkoľvek vedľajších účinkov, ktoré nie sú uvedené v tejto písomnej informácii. Pozri časť</w:t>
      </w:r>
      <w:r w:rsidRPr="00542B0B">
        <w:rPr>
          <w:spacing w:val="-9"/>
        </w:rPr>
        <w:t xml:space="preserve"> </w:t>
      </w:r>
      <w:r w:rsidRPr="00542B0B">
        <w:t>4.</w:t>
      </w:r>
    </w:p>
    <w:p w14:paraId="7AB44FAE" w14:textId="77777777" w:rsidR="00542B0B" w:rsidRPr="00542B0B" w:rsidRDefault="00542B0B" w:rsidP="00542B0B">
      <w:pPr>
        <w:pStyle w:val="Zkladntext"/>
        <w:spacing w:before="7"/>
      </w:pPr>
    </w:p>
    <w:p w14:paraId="7261C7C2" w14:textId="77777777" w:rsidR="00542B0B" w:rsidRPr="00542B0B" w:rsidRDefault="00542B0B" w:rsidP="00542B0B">
      <w:pPr>
        <w:pStyle w:val="Nadpis1"/>
        <w:ind w:left="118"/>
        <w:rPr>
          <w:b w:val="0"/>
        </w:rPr>
      </w:pPr>
      <w:r w:rsidRPr="00542B0B">
        <w:t>V tejto písomnej informácii sa dozviete</w:t>
      </w:r>
      <w:r w:rsidRPr="00542B0B">
        <w:rPr>
          <w:b w:val="0"/>
        </w:rPr>
        <w:t>:</w:t>
      </w:r>
    </w:p>
    <w:p w14:paraId="2C395FEE" w14:textId="77777777" w:rsidR="00542B0B" w:rsidRPr="00542B0B" w:rsidRDefault="00542B0B" w:rsidP="00542B0B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before="1"/>
      </w:pPr>
      <w:r w:rsidRPr="00542B0B">
        <w:t xml:space="preserve">Čo je </w:t>
      </w:r>
      <w:r w:rsidR="00EB521E">
        <w:t>Azacitidine Sandoz</w:t>
      </w:r>
      <w:r w:rsidRPr="00542B0B">
        <w:t xml:space="preserve"> a na čo sa</w:t>
      </w:r>
      <w:r w:rsidRPr="00542B0B">
        <w:rPr>
          <w:spacing w:val="-6"/>
        </w:rPr>
        <w:t xml:space="preserve"> </w:t>
      </w:r>
      <w:r w:rsidRPr="00542B0B">
        <w:t>používa</w:t>
      </w:r>
    </w:p>
    <w:p w14:paraId="3021EA14" w14:textId="77777777" w:rsidR="00542B0B" w:rsidRPr="00542B0B" w:rsidRDefault="00542B0B" w:rsidP="00542B0B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before="1"/>
      </w:pPr>
      <w:r w:rsidRPr="00542B0B">
        <w:t>Čo potrebujete vedieť predtým, ako použijete</w:t>
      </w:r>
      <w:r w:rsidRPr="00542B0B">
        <w:rPr>
          <w:spacing w:val="-11"/>
        </w:rPr>
        <w:t xml:space="preserve"> </w:t>
      </w:r>
      <w:r w:rsidR="00D226D3">
        <w:t>Azacitidine Sandoz</w:t>
      </w:r>
    </w:p>
    <w:p w14:paraId="201DD915" w14:textId="77777777" w:rsidR="00542B0B" w:rsidRPr="00542B0B" w:rsidRDefault="00542B0B" w:rsidP="00542B0B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before="1"/>
      </w:pPr>
      <w:r w:rsidRPr="00542B0B">
        <w:t>Ako používať</w:t>
      </w:r>
      <w:r w:rsidRPr="00542B0B">
        <w:rPr>
          <w:spacing w:val="-5"/>
        </w:rPr>
        <w:t xml:space="preserve"> </w:t>
      </w:r>
      <w:r w:rsidR="00D226D3">
        <w:t>Azacitidine Sandoz</w:t>
      </w:r>
    </w:p>
    <w:p w14:paraId="341DCFF9" w14:textId="77777777" w:rsidR="00542B0B" w:rsidRPr="00542B0B" w:rsidRDefault="00542B0B" w:rsidP="00542B0B">
      <w:pPr>
        <w:pStyle w:val="Odsekzoznamu"/>
        <w:numPr>
          <w:ilvl w:val="0"/>
          <w:numId w:val="3"/>
        </w:numPr>
        <w:tabs>
          <w:tab w:val="left" w:pos="685"/>
          <w:tab w:val="left" w:pos="686"/>
        </w:tabs>
        <w:spacing w:before="1"/>
      </w:pPr>
      <w:r w:rsidRPr="00542B0B">
        <w:t>Možné vedľajšie</w:t>
      </w:r>
      <w:r w:rsidRPr="00542B0B">
        <w:rPr>
          <w:spacing w:val="-4"/>
        </w:rPr>
        <w:t xml:space="preserve"> </w:t>
      </w:r>
      <w:r w:rsidRPr="00542B0B">
        <w:t>účinky</w:t>
      </w:r>
    </w:p>
    <w:p w14:paraId="76C05906" w14:textId="77777777" w:rsidR="00542B0B" w:rsidRPr="00542B0B" w:rsidRDefault="00542B0B" w:rsidP="00542B0B">
      <w:pPr>
        <w:pStyle w:val="Zkladntext"/>
        <w:tabs>
          <w:tab w:val="left" w:pos="685"/>
        </w:tabs>
        <w:spacing w:before="1"/>
        <w:ind w:left="118"/>
      </w:pPr>
      <w:r w:rsidRPr="00542B0B">
        <w:t>5</w:t>
      </w:r>
      <w:r w:rsidRPr="00542B0B">
        <w:tab/>
        <w:t>Ako uchovávať</w:t>
      </w:r>
      <w:r w:rsidRPr="00542B0B">
        <w:rPr>
          <w:spacing w:val="-4"/>
        </w:rPr>
        <w:t xml:space="preserve"> </w:t>
      </w:r>
      <w:r w:rsidR="00D226D3">
        <w:t>Azacitidine Sandoz</w:t>
      </w:r>
    </w:p>
    <w:p w14:paraId="4C2425A7" w14:textId="77777777" w:rsidR="00542B0B" w:rsidRPr="00542B0B" w:rsidRDefault="00542B0B" w:rsidP="00542B0B">
      <w:pPr>
        <w:pStyle w:val="Zkladntext"/>
        <w:tabs>
          <w:tab w:val="left" w:pos="685"/>
        </w:tabs>
        <w:spacing w:before="1"/>
        <w:ind w:left="118"/>
      </w:pPr>
      <w:r w:rsidRPr="00542B0B">
        <w:t>6.</w:t>
      </w:r>
      <w:r w:rsidRPr="00542B0B">
        <w:tab/>
        <w:t>Obsah balenia a ďalšie</w:t>
      </w:r>
      <w:r w:rsidRPr="00542B0B">
        <w:rPr>
          <w:spacing w:val="-8"/>
        </w:rPr>
        <w:t xml:space="preserve"> </w:t>
      </w:r>
      <w:r w:rsidRPr="00542B0B">
        <w:t>informácie</w:t>
      </w:r>
    </w:p>
    <w:p w14:paraId="21C555DB" w14:textId="77777777" w:rsidR="00542B0B" w:rsidRDefault="00542B0B" w:rsidP="00542B0B">
      <w:pPr>
        <w:pStyle w:val="Zkladntext"/>
        <w:spacing w:before="4"/>
      </w:pPr>
    </w:p>
    <w:p w14:paraId="2A7B7266" w14:textId="77777777" w:rsidR="00D226D3" w:rsidRPr="00542B0B" w:rsidRDefault="00D226D3" w:rsidP="00542B0B">
      <w:pPr>
        <w:pStyle w:val="Zkladntext"/>
        <w:spacing w:before="4"/>
      </w:pPr>
    </w:p>
    <w:p w14:paraId="5CE0839A" w14:textId="77777777" w:rsidR="00D226D3" w:rsidRDefault="00542B0B" w:rsidP="00D226D3">
      <w:pPr>
        <w:pStyle w:val="Nadpis1"/>
        <w:numPr>
          <w:ilvl w:val="0"/>
          <w:numId w:val="6"/>
        </w:numPr>
      </w:pPr>
      <w:r w:rsidRPr="00542B0B">
        <w:t xml:space="preserve">Čo je </w:t>
      </w:r>
      <w:r w:rsidR="00EB521E">
        <w:t>Azacitidine Sandoz</w:t>
      </w:r>
      <w:r w:rsidRPr="00542B0B">
        <w:t xml:space="preserve"> a na čo sa používa </w:t>
      </w:r>
    </w:p>
    <w:p w14:paraId="2C258EE7" w14:textId="77777777" w:rsidR="00D226D3" w:rsidRDefault="00D226D3" w:rsidP="00D226D3">
      <w:pPr>
        <w:pStyle w:val="Nadpis1"/>
        <w:ind w:left="118"/>
      </w:pPr>
    </w:p>
    <w:p w14:paraId="37E7F33C" w14:textId="77777777" w:rsidR="00542B0B" w:rsidRPr="00542B0B" w:rsidRDefault="00542B0B" w:rsidP="00D226D3">
      <w:pPr>
        <w:pStyle w:val="Nadpis1"/>
        <w:ind w:left="118"/>
      </w:pPr>
      <w:r w:rsidRPr="00542B0B">
        <w:t>Čo je</w:t>
      </w:r>
      <w:r w:rsidRPr="00D226D3">
        <w:t xml:space="preserve"> </w:t>
      </w:r>
      <w:r w:rsidR="00EB521E">
        <w:t>Azacitidine Sandoz</w:t>
      </w:r>
    </w:p>
    <w:p w14:paraId="586B0AEE" w14:textId="77777777" w:rsidR="00542B0B" w:rsidRPr="00542B0B" w:rsidRDefault="00EB521E" w:rsidP="00810F8B">
      <w:pPr>
        <w:pStyle w:val="Zkladntext"/>
        <w:ind w:left="118"/>
      </w:pPr>
      <w:r>
        <w:t>Azacitidine Sandoz</w:t>
      </w:r>
      <w:r w:rsidR="00542B0B" w:rsidRPr="00542B0B">
        <w:t xml:space="preserve"> je liek na rakovin</w:t>
      </w:r>
      <w:r w:rsidR="00C33406">
        <w:t>u, ktorý patrí do skupiny liečiv</w:t>
      </w:r>
      <w:r w:rsidR="00542B0B" w:rsidRPr="00542B0B">
        <w:t xml:space="preserve"> nazývaných „antimetabolity“. </w:t>
      </w:r>
      <w:r>
        <w:t>Azacitidine Sandoz</w:t>
      </w:r>
      <w:r w:rsidR="00542B0B" w:rsidRPr="00542B0B">
        <w:t xml:space="preserve"> obsahuje liečivo „azacitidín“.</w:t>
      </w:r>
    </w:p>
    <w:p w14:paraId="1D8F26E7" w14:textId="77777777" w:rsidR="00542B0B" w:rsidRPr="00542B0B" w:rsidRDefault="00542B0B" w:rsidP="00542B0B">
      <w:pPr>
        <w:pStyle w:val="Zkladntext"/>
        <w:spacing w:before="7"/>
      </w:pPr>
    </w:p>
    <w:p w14:paraId="17D4289D" w14:textId="77777777" w:rsidR="00542B0B" w:rsidRPr="00542B0B" w:rsidRDefault="00542B0B" w:rsidP="00542B0B">
      <w:pPr>
        <w:pStyle w:val="Nadpis1"/>
        <w:spacing w:before="1"/>
        <w:ind w:left="118"/>
      </w:pPr>
      <w:r w:rsidRPr="00542B0B">
        <w:t xml:space="preserve">Na čo sa </w:t>
      </w:r>
      <w:r w:rsidR="00EB521E">
        <w:t>Azacitidine Sandoz</w:t>
      </w:r>
      <w:r w:rsidRPr="00542B0B">
        <w:t xml:space="preserve"> používa</w:t>
      </w:r>
    </w:p>
    <w:p w14:paraId="4126C775" w14:textId="77777777" w:rsidR="00542B0B" w:rsidRPr="00542B0B" w:rsidRDefault="00EB521E" w:rsidP="00542B0B">
      <w:pPr>
        <w:pStyle w:val="Zkladntext"/>
        <w:ind w:left="118"/>
      </w:pPr>
      <w:r>
        <w:t>Azacitidine Sandoz</w:t>
      </w:r>
      <w:r w:rsidR="00542B0B" w:rsidRPr="00542B0B">
        <w:t xml:space="preserve"> sa používa u dospelých, ktorí nemôžu podstúpiť transplantáciu kmeňových buniek, na liečbu:</w:t>
      </w:r>
    </w:p>
    <w:p w14:paraId="07BEA4BB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vysokorizikového myelodysplastického syndrómu</w:t>
      </w:r>
      <w:r w:rsidRPr="00542B0B">
        <w:rPr>
          <w:spacing w:val="-9"/>
        </w:rPr>
        <w:t xml:space="preserve"> </w:t>
      </w:r>
      <w:r w:rsidRPr="00542B0B">
        <w:t>(MDS).</w:t>
      </w:r>
    </w:p>
    <w:p w14:paraId="37C2498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chronickej myelomonocytovej leukémie</w:t>
      </w:r>
      <w:r w:rsidRPr="00542B0B">
        <w:rPr>
          <w:spacing w:val="-13"/>
        </w:rPr>
        <w:t xml:space="preserve"> </w:t>
      </w:r>
      <w:r w:rsidRPr="00542B0B">
        <w:t>(CMML).</w:t>
      </w:r>
    </w:p>
    <w:p w14:paraId="338B0D8B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 xml:space="preserve">akútnej </w:t>
      </w:r>
      <w:r w:rsidR="00C33406">
        <w:t>myeloidnej</w:t>
      </w:r>
      <w:r w:rsidRPr="00542B0B">
        <w:t xml:space="preserve"> leukémie</w:t>
      </w:r>
      <w:r w:rsidRPr="00542B0B">
        <w:rPr>
          <w:spacing w:val="-9"/>
        </w:rPr>
        <w:t xml:space="preserve"> </w:t>
      </w:r>
      <w:r w:rsidRPr="00542B0B">
        <w:t>(AML).</w:t>
      </w:r>
    </w:p>
    <w:p w14:paraId="789356FF" w14:textId="77777777" w:rsidR="00542B0B" w:rsidRPr="004C4614" w:rsidRDefault="00542B0B" w:rsidP="00542B0B">
      <w:pPr>
        <w:pStyle w:val="Zkladntext"/>
        <w:spacing w:before="2"/>
        <w:rPr>
          <w:noProof/>
          <w:lang w:val="sk-SK"/>
        </w:rPr>
      </w:pPr>
    </w:p>
    <w:p w14:paraId="477D7C1B" w14:textId="77777777" w:rsidR="00542B0B" w:rsidRPr="00542B0B" w:rsidRDefault="00542B0B" w:rsidP="00542B0B">
      <w:pPr>
        <w:pStyle w:val="Zkladntext"/>
        <w:ind w:left="118" w:right="943"/>
      </w:pPr>
      <w:r w:rsidRPr="00542B0B">
        <w:t>Sú to ochorenia, ktoré postihujú kostnú dreň a môžu spôsobiť problémy s normálnou tvorbou krvných buniek.</w:t>
      </w:r>
    </w:p>
    <w:p w14:paraId="340F013C" w14:textId="77777777" w:rsidR="00542B0B" w:rsidRPr="00542B0B" w:rsidRDefault="00542B0B" w:rsidP="00542B0B">
      <w:pPr>
        <w:pStyle w:val="Zkladntext"/>
        <w:spacing w:before="7"/>
      </w:pPr>
    </w:p>
    <w:p w14:paraId="3EAF2414" w14:textId="77777777" w:rsidR="00542B0B" w:rsidRPr="00542B0B" w:rsidRDefault="00542B0B" w:rsidP="00542B0B">
      <w:pPr>
        <w:pStyle w:val="Nadpis1"/>
        <w:ind w:left="118"/>
      </w:pPr>
      <w:r w:rsidRPr="00542B0B">
        <w:t xml:space="preserve">Ako </w:t>
      </w:r>
      <w:r w:rsidR="00EB521E">
        <w:t>Azacitidine Sandoz</w:t>
      </w:r>
      <w:r w:rsidRPr="00542B0B">
        <w:t xml:space="preserve"> pôsobí</w:t>
      </w:r>
    </w:p>
    <w:p w14:paraId="6007DF77" w14:textId="77777777" w:rsidR="00542B0B" w:rsidRPr="00542B0B" w:rsidRDefault="00EB521E" w:rsidP="00542B0B">
      <w:pPr>
        <w:pStyle w:val="Zkladntext"/>
        <w:ind w:left="118" w:right="122"/>
      </w:pPr>
      <w:r>
        <w:t>Azacitidine Sandoz</w:t>
      </w:r>
      <w:r w:rsidR="00542B0B" w:rsidRPr="00542B0B">
        <w:t xml:space="preserve"> pôsobí tak, že zabraňuje rastu rakovinových buniek. Azacitidín je začlenený do genetického materiálu buniek (ribonukleovej kyseliny (RNA) a deoxyribonukleovej kyseliny (DNA)). Predpokladá sa, že pôsobí tak, že mení spôsob, akým bunka zapína a vypína gény a tiež tým, že narušuje tvorbu novej RNA a DNA. Zdá sa, že týmto pôsobením napravuje problémy s dozrievaním a rastom mladých krvných buniek v kostnej dreni, ktoré spôsobujú myelodysplastické poruchy a zabíjajú rakovinové bunky pri leukémii.</w:t>
      </w:r>
    </w:p>
    <w:p w14:paraId="2914CE05" w14:textId="77777777" w:rsidR="00542B0B" w:rsidRPr="00542B0B" w:rsidRDefault="00542B0B" w:rsidP="00542B0B">
      <w:pPr>
        <w:pStyle w:val="Zkladntext"/>
        <w:spacing w:before="1"/>
        <w:ind w:left="118" w:right="206"/>
      </w:pPr>
      <w:r w:rsidRPr="00542B0B">
        <w:t>Ak máte otá</w:t>
      </w:r>
      <w:r w:rsidR="00CE0EBF">
        <w:t>zky týkajúce sa pôsobenia Azacitidine Sandoz</w:t>
      </w:r>
      <w:r w:rsidRPr="00542B0B">
        <w:t xml:space="preserve"> alebo toho, prečo vám predpísali </w:t>
      </w:r>
      <w:r w:rsidR="00CE0EBF">
        <w:t>tento liek</w:t>
      </w:r>
      <w:r w:rsidRPr="00542B0B">
        <w:t>, obráťte sa na svojho lekára alebo zdravotnú sestru.</w:t>
      </w:r>
    </w:p>
    <w:p w14:paraId="1E305DFA" w14:textId="77777777" w:rsidR="00542B0B" w:rsidRPr="00542B0B" w:rsidRDefault="00542B0B" w:rsidP="00542B0B">
      <w:pPr>
        <w:pStyle w:val="Zkladntext"/>
        <w:spacing w:before="4"/>
      </w:pPr>
    </w:p>
    <w:p w14:paraId="4091F039" w14:textId="77777777" w:rsidR="00CE0EBF" w:rsidRDefault="00542B0B" w:rsidP="00CE0EBF">
      <w:pPr>
        <w:pStyle w:val="Nadpis1"/>
        <w:numPr>
          <w:ilvl w:val="0"/>
          <w:numId w:val="6"/>
        </w:numPr>
      </w:pPr>
      <w:r w:rsidRPr="00542B0B">
        <w:t>Čo potrebujet</w:t>
      </w:r>
      <w:r w:rsidR="00CE0EBF">
        <w:t xml:space="preserve">e vedieť predtým, ako použijete </w:t>
      </w:r>
      <w:r w:rsidR="00D226D3">
        <w:t>Azacitidine Sandoz</w:t>
      </w:r>
      <w:r w:rsidRPr="00542B0B">
        <w:t xml:space="preserve"> </w:t>
      </w:r>
    </w:p>
    <w:p w14:paraId="39B9A196" w14:textId="77777777" w:rsidR="00CE0EBF" w:rsidRDefault="00CE0EBF" w:rsidP="00CE0EBF">
      <w:pPr>
        <w:pStyle w:val="Nadpis1"/>
        <w:ind w:left="118"/>
      </w:pPr>
    </w:p>
    <w:p w14:paraId="2178BA08" w14:textId="77777777" w:rsidR="00542B0B" w:rsidRPr="00542B0B" w:rsidRDefault="00542B0B" w:rsidP="00CE0EBF">
      <w:pPr>
        <w:pStyle w:val="Nadpis1"/>
        <w:ind w:left="118"/>
      </w:pPr>
      <w:r w:rsidRPr="00542B0B">
        <w:lastRenderedPageBreak/>
        <w:t>Nepoužívajte</w:t>
      </w:r>
      <w:r w:rsidRPr="00CE0EBF">
        <w:t xml:space="preserve"> </w:t>
      </w:r>
      <w:r w:rsidR="00D226D3">
        <w:t>Azacitidine Sandoz</w:t>
      </w:r>
    </w:p>
    <w:p w14:paraId="2F8583C6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461"/>
      </w:pPr>
      <w:r w:rsidRPr="00542B0B">
        <w:t>ak ste alergický na azacitidín alebo na ktorúkoľvek z ďalších zložiek tohto lieku (uvedených v časti</w:t>
      </w:r>
      <w:r w:rsidRPr="00542B0B">
        <w:rPr>
          <w:spacing w:val="-2"/>
        </w:rPr>
        <w:t xml:space="preserve"> </w:t>
      </w:r>
      <w:r w:rsidRPr="00542B0B">
        <w:t>6),</w:t>
      </w:r>
    </w:p>
    <w:p w14:paraId="301D059E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ak máte rakovinu pečene v pokročilom</w:t>
      </w:r>
      <w:r w:rsidRPr="00542B0B">
        <w:rPr>
          <w:spacing w:val="-11"/>
        </w:rPr>
        <w:t xml:space="preserve"> </w:t>
      </w:r>
      <w:r w:rsidRPr="00542B0B">
        <w:t>štádiu,</w:t>
      </w:r>
    </w:p>
    <w:p w14:paraId="646D4B33" w14:textId="77777777" w:rsidR="00A67270" w:rsidRDefault="00542B0B" w:rsidP="004C4614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ak</w:t>
      </w:r>
      <w:r w:rsidRPr="004C4614">
        <w:t xml:space="preserve"> </w:t>
      </w:r>
      <w:r w:rsidRPr="00542B0B">
        <w:t>dojčíte.</w:t>
      </w:r>
    </w:p>
    <w:p w14:paraId="4FEAC456" w14:textId="77777777" w:rsidR="00A67270" w:rsidRDefault="00A67270" w:rsidP="00A67270">
      <w:pPr>
        <w:tabs>
          <w:tab w:val="left" w:pos="685"/>
          <w:tab w:val="left" w:pos="686"/>
        </w:tabs>
        <w:spacing w:before="78"/>
        <w:ind w:left="-450"/>
      </w:pPr>
    </w:p>
    <w:p w14:paraId="7C7AE4CA" w14:textId="77777777" w:rsidR="00542B0B" w:rsidRPr="00A67270" w:rsidRDefault="00A67270" w:rsidP="00A67270">
      <w:pPr>
        <w:tabs>
          <w:tab w:val="left" w:pos="685"/>
          <w:tab w:val="left" w:pos="686"/>
        </w:tabs>
        <w:spacing w:before="78"/>
        <w:ind w:left="-450"/>
        <w:rPr>
          <w:b/>
        </w:rPr>
      </w:pPr>
      <w:r>
        <w:t xml:space="preserve">          </w:t>
      </w:r>
      <w:r w:rsidR="00542B0B" w:rsidRPr="00A67270">
        <w:rPr>
          <w:b/>
        </w:rPr>
        <w:t>Upozornenia a opatrenia</w:t>
      </w:r>
    </w:p>
    <w:p w14:paraId="11A81983" w14:textId="77777777" w:rsidR="00542B0B" w:rsidRPr="00542B0B" w:rsidRDefault="00542B0B" w:rsidP="00542B0B">
      <w:pPr>
        <w:pStyle w:val="Zkladntext"/>
        <w:ind w:left="124"/>
      </w:pPr>
      <w:r w:rsidRPr="00542B0B">
        <w:t xml:space="preserve">Predtým, ako začnete používať </w:t>
      </w:r>
      <w:r w:rsidR="00D226D3">
        <w:t>Azacitidine Sandoz</w:t>
      </w:r>
      <w:r w:rsidRPr="00542B0B">
        <w:t>, obráťte sa na svojho lekára, lekárnika alebo zdravotnú sestru:</w:t>
      </w:r>
    </w:p>
    <w:p w14:paraId="78E7817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ak máte znížený počet krvných doštičiek, červených alebo bielych</w:t>
      </w:r>
      <w:r w:rsidRPr="00542B0B">
        <w:rPr>
          <w:spacing w:val="-14"/>
        </w:rPr>
        <w:t xml:space="preserve"> </w:t>
      </w:r>
      <w:r w:rsidRPr="00542B0B">
        <w:t>krviniek.</w:t>
      </w:r>
    </w:p>
    <w:p w14:paraId="645DB77F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ak máte ochorenie</w:t>
      </w:r>
      <w:r w:rsidRPr="00542B0B">
        <w:rPr>
          <w:spacing w:val="-6"/>
        </w:rPr>
        <w:t xml:space="preserve"> </w:t>
      </w:r>
      <w:r w:rsidRPr="00542B0B">
        <w:t>obličiek.</w:t>
      </w:r>
    </w:p>
    <w:p w14:paraId="7A556F4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ak máte ochorenie</w:t>
      </w:r>
      <w:r w:rsidRPr="00542B0B">
        <w:rPr>
          <w:spacing w:val="-6"/>
        </w:rPr>
        <w:t xml:space="preserve"> </w:t>
      </w:r>
      <w:r w:rsidRPr="00542B0B">
        <w:t>pečene.</w:t>
      </w:r>
    </w:p>
    <w:p w14:paraId="3A9A14F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ak ste niekedy mali ochorenie srdca alebo srdcový záchvat alebo ochorenie pľúc v</w:t>
      </w:r>
      <w:r w:rsidRPr="00542B0B">
        <w:rPr>
          <w:spacing w:val="-18"/>
        </w:rPr>
        <w:t xml:space="preserve"> </w:t>
      </w:r>
      <w:r w:rsidRPr="00542B0B">
        <w:t>anamnéze.</w:t>
      </w:r>
    </w:p>
    <w:p w14:paraId="44220CA2" w14:textId="77777777" w:rsidR="00542B0B" w:rsidRPr="00542B0B" w:rsidRDefault="00542B0B" w:rsidP="00542B0B">
      <w:pPr>
        <w:pStyle w:val="Zkladntext"/>
        <w:spacing w:before="2"/>
      </w:pPr>
    </w:p>
    <w:p w14:paraId="694B8DB2" w14:textId="77777777" w:rsidR="00542B0B" w:rsidRPr="00542B0B" w:rsidRDefault="00542B0B" w:rsidP="00542B0B">
      <w:pPr>
        <w:pStyle w:val="Zkladntext"/>
        <w:ind w:left="118"/>
      </w:pPr>
      <w:r w:rsidRPr="00542B0B">
        <w:rPr>
          <w:u w:val="single"/>
        </w:rPr>
        <w:t>Vyšetrenie krvi</w:t>
      </w:r>
    </w:p>
    <w:p w14:paraId="1287E69E" w14:textId="59BC0907" w:rsidR="00542B0B" w:rsidRPr="00542B0B" w:rsidRDefault="00CE0EBF" w:rsidP="00542B0B">
      <w:pPr>
        <w:pStyle w:val="Zkladntext"/>
        <w:spacing w:before="1"/>
        <w:ind w:left="118" w:right="523"/>
      </w:pPr>
      <w:r>
        <w:t xml:space="preserve">Pred začatím liečby </w:t>
      </w:r>
      <w:r w:rsidR="00D431BC">
        <w:t xml:space="preserve">liekom </w:t>
      </w:r>
      <w:r>
        <w:t>Azacitidine Sandoz</w:t>
      </w:r>
      <w:r w:rsidR="00542B0B" w:rsidRPr="00542B0B">
        <w:t xml:space="preserve"> a pred začatím každého obdobia liečby (tzv. „cyklu“) vám vykonajú krvné testy. Cieľom je skontrolovať, či máte dostatok krvných buniek, a či vám správne pracujú pečeň</w:t>
      </w:r>
      <w:r w:rsidR="00D431BC">
        <w:t xml:space="preserve"> a obličky</w:t>
      </w:r>
      <w:r w:rsidR="00542B0B" w:rsidRPr="00542B0B">
        <w:t>.</w:t>
      </w:r>
    </w:p>
    <w:p w14:paraId="02A70608" w14:textId="77777777" w:rsidR="00542B0B" w:rsidRPr="00542B0B" w:rsidRDefault="00542B0B" w:rsidP="00542B0B">
      <w:pPr>
        <w:pStyle w:val="Zkladntext"/>
        <w:spacing w:before="7"/>
      </w:pPr>
    </w:p>
    <w:p w14:paraId="5C9F1115" w14:textId="77777777" w:rsidR="00542B0B" w:rsidRPr="00542B0B" w:rsidRDefault="00542B0B" w:rsidP="00542B0B">
      <w:pPr>
        <w:pStyle w:val="Nadpis1"/>
        <w:ind w:left="118"/>
      </w:pPr>
      <w:r w:rsidRPr="00542B0B">
        <w:t>Deti a dospievajúci</w:t>
      </w:r>
    </w:p>
    <w:p w14:paraId="5D5F4AF7" w14:textId="77777777" w:rsidR="00542B0B" w:rsidRPr="00542B0B" w:rsidRDefault="00D226D3" w:rsidP="00542B0B">
      <w:pPr>
        <w:pStyle w:val="Zkladntext"/>
        <w:ind w:left="118"/>
      </w:pPr>
      <w:r>
        <w:t>Azacitidine Sandoz</w:t>
      </w:r>
      <w:r w:rsidR="00542B0B" w:rsidRPr="00542B0B">
        <w:t xml:space="preserve"> sa neodporúča používať u detí a dospievajúcich mladších ako 18 rokov.</w:t>
      </w:r>
    </w:p>
    <w:p w14:paraId="2BCBCBA2" w14:textId="77777777" w:rsidR="00542B0B" w:rsidRPr="00542B0B" w:rsidRDefault="00542B0B" w:rsidP="00542B0B">
      <w:pPr>
        <w:pStyle w:val="Zkladntext"/>
        <w:spacing w:before="11"/>
      </w:pPr>
    </w:p>
    <w:p w14:paraId="444FE0E4" w14:textId="77777777" w:rsidR="00542B0B" w:rsidRPr="00542B0B" w:rsidRDefault="00542B0B" w:rsidP="00542B0B">
      <w:pPr>
        <w:pStyle w:val="Nadpis1"/>
        <w:ind w:left="124"/>
      </w:pPr>
      <w:r w:rsidRPr="00542B0B">
        <w:t xml:space="preserve">Iné lieky a </w:t>
      </w:r>
      <w:r w:rsidR="00EB521E">
        <w:t>Azacitidine Sandoz</w:t>
      </w:r>
    </w:p>
    <w:p w14:paraId="477358E7" w14:textId="6225FE26" w:rsidR="00542B0B" w:rsidRPr="00542B0B" w:rsidRDefault="00542B0B" w:rsidP="00542B0B">
      <w:pPr>
        <w:pStyle w:val="Zkladntext"/>
        <w:ind w:left="118" w:right="104"/>
      </w:pPr>
      <w:r w:rsidRPr="00542B0B">
        <w:t xml:space="preserve">Ak teraz užívate, alebo ste v poslednom čase užívali, či práve budete užívať ďalšie lieky, povedzte to svojmu lekárovi alebo lekárnikovi. </w:t>
      </w:r>
      <w:r w:rsidR="00EB521E">
        <w:t>Azacitidine Sandoz</w:t>
      </w:r>
      <w:r w:rsidRPr="00542B0B">
        <w:t xml:space="preserve"> môže ovplyvniť spôsob účinku niektorých liekov. Niektoré lieky môžu tie</w:t>
      </w:r>
      <w:r w:rsidR="00CE0EBF">
        <w:t xml:space="preserve">ž ovplyvniť spôsob účinku </w:t>
      </w:r>
      <w:r w:rsidR="00D431BC">
        <w:t xml:space="preserve">lieku </w:t>
      </w:r>
      <w:r w:rsidR="00CE0EBF">
        <w:t>Azacitidine Sandoz</w:t>
      </w:r>
      <w:r w:rsidRPr="00542B0B">
        <w:t>.</w:t>
      </w:r>
    </w:p>
    <w:p w14:paraId="2F267A19" w14:textId="77777777" w:rsidR="00542B0B" w:rsidRPr="00542B0B" w:rsidRDefault="00542B0B" w:rsidP="00542B0B">
      <w:pPr>
        <w:pStyle w:val="Zkladntext"/>
        <w:spacing w:before="7"/>
      </w:pPr>
    </w:p>
    <w:p w14:paraId="7226E54C" w14:textId="77777777" w:rsidR="00542B0B" w:rsidRPr="00542B0B" w:rsidRDefault="00542B0B" w:rsidP="00542B0B">
      <w:pPr>
        <w:pStyle w:val="Nadpis1"/>
        <w:spacing w:before="1"/>
        <w:ind w:left="118"/>
      </w:pPr>
      <w:r w:rsidRPr="00542B0B">
        <w:t>Tehotenstvo, dojčenie a plodnosť</w:t>
      </w:r>
    </w:p>
    <w:p w14:paraId="59379B1B" w14:textId="77777777" w:rsidR="00542B0B" w:rsidRPr="00542B0B" w:rsidRDefault="00542B0B" w:rsidP="00542B0B">
      <w:pPr>
        <w:pStyle w:val="Zkladntext"/>
        <w:spacing w:before="5"/>
        <w:rPr>
          <w:b/>
        </w:rPr>
      </w:pPr>
    </w:p>
    <w:p w14:paraId="45463672" w14:textId="77777777" w:rsidR="00542B0B" w:rsidRPr="00542B0B" w:rsidRDefault="00542B0B" w:rsidP="00542B0B">
      <w:pPr>
        <w:pStyle w:val="Zkladntext"/>
        <w:ind w:left="124"/>
      </w:pPr>
      <w:r w:rsidRPr="00542B0B">
        <w:rPr>
          <w:u w:val="single"/>
        </w:rPr>
        <w:t>Tehotenstvo</w:t>
      </w:r>
    </w:p>
    <w:p w14:paraId="31A392E0" w14:textId="1DB33B32" w:rsidR="00383AE7" w:rsidRDefault="00D226D3" w:rsidP="00CE0EBF">
      <w:pPr>
        <w:pStyle w:val="Zkladntext"/>
        <w:ind w:left="118" w:right="104"/>
      </w:pPr>
      <w:r>
        <w:t>Azacitidine Sandoz</w:t>
      </w:r>
      <w:r w:rsidR="00542B0B" w:rsidRPr="00542B0B">
        <w:t xml:space="preserve"> nesmiete používať počas tehotenstva, pretože môže byť škodliv</w:t>
      </w:r>
      <w:r w:rsidR="00D431BC">
        <w:t>ý</w:t>
      </w:r>
      <w:r w:rsidR="00542B0B" w:rsidRPr="00542B0B">
        <w:t xml:space="preserve"> pre dieťa. </w:t>
      </w:r>
    </w:p>
    <w:p w14:paraId="6B465E95" w14:textId="77777777" w:rsidR="00542B0B" w:rsidRPr="00542B0B" w:rsidRDefault="00542B0B" w:rsidP="00CE0EBF">
      <w:pPr>
        <w:pStyle w:val="Zkladntext"/>
        <w:ind w:left="118" w:right="104"/>
      </w:pPr>
      <w:r w:rsidRPr="00542B0B">
        <w:t>Počas liečby a až 3 mesiace po skončení liečby používajte účinný spôsob antikoncepcie. Ak otehotniete počas liečby, oznámte to ihneď svojmu lekárovi.</w:t>
      </w:r>
    </w:p>
    <w:p w14:paraId="05A777B6" w14:textId="77777777" w:rsidR="00542B0B" w:rsidRPr="00542B0B" w:rsidRDefault="00542B0B" w:rsidP="00542B0B">
      <w:pPr>
        <w:pStyle w:val="Zkladntext"/>
        <w:spacing w:before="2"/>
      </w:pPr>
    </w:p>
    <w:p w14:paraId="04A84515" w14:textId="77777777" w:rsidR="00542B0B" w:rsidRPr="00542B0B" w:rsidRDefault="00542B0B" w:rsidP="00542B0B">
      <w:pPr>
        <w:pStyle w:val="Zkladntext"/>
        <w:spacing w:before="1"/>
        <w:ind w:left="118" w:right="463"/>
      </w:pPr>
      <w:r w:rsidRPr="00542B0B">
        <w:t>Ak ste tehotná alebo dojčíte, ak si myslíte, že ste tehotná alebo ak plánujete otehotnieť, poraďte sa so svojím lekárom alebo lekárnikom predtým, ako začnete používať tento liek.</w:t>
      </w:r>
    </w:p>
    <w:p w14:paraId="466EE070" w14:textId="77777777" w:rsidR="00542B0B" w:rsidRPr="00542B0B" w:rsidRDefault="00542B0B" w:rsidP="00542B0B">
      <w:pPr>
        <w:pStyle w:val="Zkladntext"/>
        <w:spacing w:before="3"/>
      </w:pPr>
    </w:p>
    <w:p w14:paraId="26A5102A" w14:textId="77777777" w:rsidR="00542B0B" w:rsidRPr="00542B0B" w:rsidRDefault="00542B0B" w:rsidP="00542B0B">
      <w:pPr>
        <w:pStyle w:val="Zkladntext"/>
        <w:ind w:left="118"/>
      </w:pPr>
      <w:r w:rsidRPr="00542B0B">
        <w:rPr>
          <w:u w:val="single"/>
        </w:rPr>
        <w:t>Dojčenie</w:t>
      </w:r>
    </w:p>
    <w:p w14:paraId="2569EF2E" w14:textId="54DABF31" w:rsidR="00542B0B" w:rsidRPr="00542B0B" w:rsidRDefault="00542B0B" w:rsidP="00542B0B">
      <w:pPr>
        <w:pStyle w:val="Zkladntext"/>
        <w:spacing w:before="1"/>
        <w:ind w:left="118"/>
      </w:pPr>
      <w:r w:rsidRPr="00542B0B">
        <w:t xml:space="preserve">Počas používania </w:t>
      </w:r>
      <w:r w:rsidR="00D431BC">
        <w:t xml:space="preserve">lieku </w:t>
      </w:r>
      <w:r w:rsidR="00383AE7">
        <w:t>Azacitidine Sandoz</w:t>
      </w:r>
      <w:r w:rsidRPr="00542B0B">
        <w:t xml:space="preserve"> nedojčite. Nie je známe, či tento liek prechádza do ľudského mlieka.</w:t>
      </w:r>
    </w:p>
    <w:p w14:paraId="6C097BF8" w14:textId="77777777" w:rsidR="00542B0B" w:rsidRPr="00542B0B" w:rsidRDefault="00542B0B" w:rsidP="00542B0B">
      <w:pPr>
        <w:pStyle w:val="Zkladntext"/>
        <w:spacing w:before="2"/>
      </w:pPr>
    </w:p>
    <w:p w14:paraId="42E5C524" w14:textId="77777777" w:rsidR="00542B0B" w:rsidRPr="00542B0B" w:rsidRDefault="00542B0B" w:rsidP="00542B0B">
      <w:pPr>
        <w:pStyle w:val="Zkladntext"/>
        <w:ind w:left="118"/>
      </w:pPr>
      <w:r w:rsidRPr="00542B0B">
        <w:rPr>
          <w:u w:val="single"/>
        </w:rPr>
        <w:t>Plodnosť</w:t>
      </w:r>
    </w:p>
    <w:p w14:paraId="03C8CD39" w14:textId="66E59FE1" w:rsidR="00542B0B" w:rsidRPr="00542B0B" w:rsidRDefault="006A114D" w:rsidP="00542B0B">
      <w:pPr>
        <w:pStyle w:val="Zkladntext"/>
        <w:spacing w:before="1"/>
        <w:ind w:left="118" w:right="570"/>
      </w:pPr>
      <w:r>
        <w:t xml:space="preserve">Počas liečby </w:t>
      </w:r>
      <w:r w:rsidR="00D431BC">
        <w:t xml:space="preserve">liekom </w:t>
      </w:r>
      <w:r>
        <w:t>Azacitidine Sandoz</w:t>
      </w:r>
      <w:r w:rsidR="00542B0B" w:rsidRPr="00542B0B">
        <w:t xml:space="preserve"> sa majú muži vyvarovať splodeniu dieťaťa. Počas liečby a až 3 mesiace po skončení liečby týmto liekom používajte účinný spôsob antikoncepcie.</w:t>
      </w:r>
    </w:p>
    <w:p w14:paraId="4975C0B3" w14:textId="77777777" w:rsidR="00542B0B" w:rsidRPr="00542B0B" w:rsidRDefault="00542B0B" w:rsidP="00542B0B">
      <w:pPr>
        <w:pStyle w:val="Zkladntext"/>
        <w:spacing w:before="3"/>
      </w:pPr>
    </w:p>
    <w:p w14:paraId="456E6752" w14:textId="77777777" w:rsidR="00542B0B" w:rsidRPr="00542B0B" w:rsidRDefault="00542B0B" w:rsidP="00542B0B">
      <w:pPr>
        <w:pStyle w:val="Zkladntext"/>
        <w:ind w:left="118"/>
      </w:pPr>
      <w:r w:rsidRPr="00542B0B">
        <w:t>Ak si chcete nechať uchovať spermie pred začatím tejto liečby, obráťte sa na svojho lekára.</w:t>
      </w:r>
    </w:p>
    <w:p w14:paraId="377E9BE4" w14:textId="77777777" w:rsidR="00542B0B" w:rsidRPr="00542B0B" w:rsidRDefault="00542B0B" w:rsidP="00542B0B">
      <w:pPr>
        <w:pStyle w:val="Zkladntext"/>
        <w:spacing w:before="7"/>
      </w:pPr>
    </w:p>
    <w:p w14:paraId="0F2F5146" w14:textId="77777777" w:rsidR="00542B0B" w:rsidRPr="00542B0B" w:rsidRDefault="00542B0B" w:rsidP="00542B0B">
      <w:pPr>
        <w:pStyle w:val="Nadpis1"/>
        <w:ind w:left="124"/>
      </w:pPr>
      <w:r w:rsidRPr="00542B0B">
        <w:t>Vedenie vozidiel a obsluha strojov</w:t>
      </w:r>
    </w:p>
    <w:p w14:paraId="254D9CEF" w14:textId="77777777" w:rsidR="00542B0B" w:rsidRPr="00542B0B" w:rsidRDefault="00542B0B" w:rsidP="00542B0B">
      <w:pPr>
        <w:pStyle w:val="Zkladntext"/>
        <w:ind w:left="118" w:right="133" w:hanging="1"/>
      </w:pPr>
      <w:r w:rsidRPr="00542B0B">
        <w:t xml:space="preserve">Ak sa u vás vyskytnú vedľajšie účinky ako je únava, neveďte vozidlá ani nepoužívajte žiadne nástroje </w:t>
      </w:r>
      <w:r w:rsidRPr="00542B0B">
        <w:lastRenderedPageBreak/>
        <w:t>ani stroje.</w:t>
      </w:r>
    </w:p>
    <w:p w14:paraId="2D8A40A3" w14:textId="77777777" w:rsidR="00542B0B" w:rsidRPr="00542B0B" w:rsidRDefault="00542B0B" w:rsidP="00542B0B">
      <w:pPr>
        <w:pStyle w:val="Zkladntext"/>
        <w:spacing w:before="8"/>
      </w:pPr>
    </w:p>
    <w:p w14:paraId="2BDE6F74" w14:textId="77777777" w:rsidR="00542B0B" w:rsidRPr="00542B0B" w:rsidRDefault="00542B0B" w:rsidP="00CE0EBF">
      <w:pPr>
        <w:pStyle w:val="Nadpis1"/>
        <w:numPr>
          <w:ilvl w:val="0"/>
          <w:numId w:val="6"/>
        </w:numPr>
        <w:tabs>
          <w:tab w:val="left" w:pos="685"/>
          <w:tab w:val="left" w:pos="686"/>
        </w:tabs>
        <w:ind w:left="685" w:hanging="567"/>
      </w:pPr>
      <w:r w:rsidRPr="00542B0B">
        <w:t>Ako používať</w:t>
      </w:r>
      <w:r w:rsidRPr="00542B0B">
        <w:rPr>
          <w:spacing w:val="-9"/>
        </w:rPr>
        <w:t xml:space="preserve"> </w:t>
      </w:r>
      <w:r w:rsidR="00D226D3">
        <w:t>Azacitidine Sandoz</w:t>
      </w:r>
    </w:p>
    <w:p w14:paraId="0F667E80" w14:textId="77777777" w:rsidR="00542B0B" w:rsidRPr="00542B0B" w:rsidRDefault="00542B0B" w:rsidP="00542B0B">
      <w:pPr>
        <w:pStyle w:val="Zkladntext"/>
        <w:spacing w:before="5"/>
        <w:rPr>
          <w:b/>
        </w:rPr>
      </w:pPr>
    </w:p>
    <w:p w14:paraId="6A0FA14E" w14:textId="123355DB" w:rsidR="00542B0B" w:rsidRPr="00542B0B" w:rsidRDefault="00542B0B" w:rsidP="00542B0B">
      <w:pPr>
        <w:pStyle w:val="Zkladntext"/>
        <w:ind w:left="118" w:right="340"/>
      </w:pPr>
      <w:r w:rsidRPr="00542B0B">
        <w:t xml:space="preserve">Pred podaním </w:t>
      </w:r>
      <w:r w:rsidR="00D431BC">
        <w:t xml:space="preserve">lieku </w:t>
      </w:r>
      <w:r w:rsidR="00383AE7">
        <w:t>Azacitidine Sandoz</w:t>
      </w:r>
      <w:r w:rsidRPr="00542B0B">
        <w:t xml:space="preserve"> vám váš lekár podá ďalší liek, aby zabránil nevoľnosti a vracaniu na začiatku každého liečebného cyklu.</w:t>
      </w:r>
    </w:p>
    <w:p w14:paraId="74AC1F00" w14:textId="77777777" w:rsidR="00542B0B" w:rsidRPr="00542B0B" w:rsidRDefault="00542B0B" w:rsidP="00542B0B">
      <w:pPr>
        <w:pStyle w:val="Zkladntext"/>
        <w:spacing w:before="2"/>
      </w:pPr>
    </w:p>
    <w:p w14:paraId="0A2E31E6" w14:textId="763DBF4C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7"/>
        </w:tabs>
        <w:ind w:left="686"/>
      </w:pPr>
      <w:r w:rsidRPr="00542B0B">
        <w:t>Odporúčaná dávka je 75 mg na</w:t>
      </w:r>
      <w:r w:rsidR="00D431BC">
        <w:t xml:space="preserve"> m</w:t>
      </w:r>
      <w:r w:rsidR="00D431BC" w:rsidRPr="004C4614">
        <w:rPr>
          <w:vertAlign w:val="superscript"/>
        </w:rPr>
        <w:t>2</w:t>
      </w:r>
      <w:r w:rsidR="00D431BC">
        <w:t xml:space="preserve"> plochy</w:t>
      </w:r>
      <w:r w:rsidRPr="00542B0B">
        <w:t>povrchu tela. Váš lekár určí vašu dávku tohto</w:t>
      </w:r>
      <w:r w:rsidRPr="00542B0B">
        <w:rPr>
          <w:spacing w:val="-30"/>
        </w:rPr>
        <w:t xml:space="preserve"> </w:t>
      </w:r>
      <w:r w:rsidRPr="00542B0B">
        <w:t>lieku</w:t>
      </w:r>
    </w:p>
    <w:p w14:paraId="293CF170" w14:textId="77777777" w:rsidR="00542B0B" w:rsidRPr="00542B0B" w:rsidRDefault="00542B0B" w:rsidP="00542B0B">
      <w:pPr>
        <w:pStyle w:val="Zkladntext"/>
        <w:ind w:left="685" w:right="257"/>
      </w:pPr>
      <w:r w:rsidRPr="00542B0B">
        <w:t>v závislosti od vášho celkového stavu, výšky a hmotnosti. Váš lekár bude kontrolovať priebeh liečby a v prípade potreby upraví dávku.</w:t>
      </w:r>
    </w:p>
    <w:p w14:paraId="56D1D98B" w14:textId="77777777" w:rsidR="004324E3" w:rsidRDefault="00EB521E" w:rsidP="004C4614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>
        <w:t>Azacitidine Sandoz</w:t>
      </w:r>
      <w:r w:rsidR="00542B0B" w:rsidRPr="00542B0B">
        <w:t xml:space="preserve"> sa podáva každý deň počas jedného týždňa, po ktorom nasleduje 3-týždňová</w:t>
      </w:r>
      <w:r w:rsidR="00542B0B" w:rsidRPr="004C4614">
        <w:t xml:space="preserve"> </w:t>
      </w:r>
      <w:r w:rsidR="00542B0B" w:rsidRPr="00542B0B">
        <w:t>prestávka.</w:t>
      </w:r>
      <w:r w:rsidR="006A114D">
        <w:t xml:space="preserve"> </w:t>
      </w:r>
      <w:r w:rsidR="00542B0B" w:rsidRPr="00542B0B">
        <w:t>Tento „liečebný cyklus“ sa bude opakovať každé 4 týždne. Obvykle sa uskutočňuje aspoň 6 liečebných cyklov.</w:t>
      </w:r>
      <w:r w:rsidR="00A67270">
        <w:t xml:space="preserve"> </w:t>
      </w:r>
    </w:p>
    <w:p w14:paraId="220727F6" w14:textId="4B939398" w:rsidR="00542B0B" w:rsidRPr="00542B0B" w:rsidRDefault="00542B0B" w:rsidP="004C4614">
      <w:pPr>
        <w:pStyle w:val="Odsekzoznamu"/>
        <w:tabs>
          <w:tab w:val="left" w:pos="685"/>
          <w:tab w:val="left" w:pos="686"/>
        </w:tabs>
        <w:spacing w:before="74"/>
        <w:ind w:left="118" w:right="422" w:firstLine="0"/>
      </w:pPr>
      <w:r w:rsidRPr="00542B0B">
        <w:t>Tento liek vám podá lekár alebo zdravotná sestra injekciou pod kožu (subkutánne). Môže sa podať pod kožu na stehne, bruchu alebo na ramene.</w:t>
      </w:r>
    </w:p>
    <w:p w14:paraId="0794CCC8" w14:textId="77777777" w:rsidR="00542B0B" w:rsidRPr="00542B0B" w:rsidRDefault="00542B0B" w:rsidP="00542B0B">
      <w:pPr>
        <w:pStyle w:val="Zkladntext"/>
        <w:spacing w:before="3"/>
      </w:pPr>
    </w:p>
    <w:p w14:paraId="7280C1E9" w14:textId="77777777" w:rsidR="00542B0B" w:rsidRDefault="00542B0B" w:rsidP="00542B0B">
      <w:pPr>
        <w:pStyle w:val="Zkladntext"/>
        <w:ind w:left="118" w:right="107"/>
      </w:pPr>
      <w:r w:rsidRPr="00542B0B">
        <w:t>Ak máte akékoľvek ďalšie otázky týkajúce sa použitia tohto lieku, opýtajte sa svojho lekára, lekárnika alebo zdravotnej sestry.</w:t>
      </w:r>
    </w:p>
    <w:p w14:paraId="255B8737" w14:textId="77777777" w:rsidR="004324E3" w:rsidRPr="00542B0B" w:rsidRDefault="004324E3" w:rsidP="00542B0B">
      <w:pPr>
        <w:pStyle w:val="Zkladntext"/>
        <w:ind w:left="118" w:right="107"/>
      </w:pPr>
    </w:p>
    <w:p w14:paraId="509BFCC2" w14:textId="77777777" w:rsidR="00542B0B" w:rsidRPr="00542B0B" w:rsidRDefault="00542B0B" w:rsidP="00542B0B">
      <w:pPr>
        <w:pStyle w:val="Zkladntext"/>
        <w:spacing w:before="7"/>
      </w:pPr>
    </w:p>
    <w:p w14:paraId="0B3C74B9" w14:textId="77777777" w:rsidR="00542B0B" w:rsidRPr="00542B0B" w:rsidRDefault="00542B0B" w:rsidP="00CE0EBF">
      <w:pPr>
        <w:pStyle w:val="Nadpis1"/>
        <w:numPr>
          <w:ilvl w:val="0"/>
          <w:numId w:val="6"/>
        </w:numPr>
        <w:tabs>
          <w:tab w:val="left" w:pos="685"/>
          <w:tab w:val="left" w:pos="686"/>
        </w:tabs>
        <w:ind w:left="685" w:hanging="567"/>
      </w:pPr>
      <w:r w:rsidRPr="00542B0B">
        <w:t>Možné vedľajšie</w:t>
      </w:r>
      <w:r w:rsidRPr="00542B0B">
        <w:rPr>
          <w:spacing w:val="-6"/>
        </w:rPr>
        <w:t xml:space="preserve"> </w:t>
      </w:r>
      <w:r w:rsidRPr="00542B0B">
        <w:t>účinky</w:t>
      </w:r>
    </w:p>
    <w:p w14:paraId="2956934F" w14:textId="77777777" w:rsidR="00542B0B" w:rsidRPr="00542B0B" w:rsidRDefault="00542B0B" w:rsidP="00542B0B">
      <w:pPr>
        <w:pStyle w:val="Zkladntext"/>
        <w:spacing w:before="1"/>
        <w:rPr>
          <w:b/>
        </w:rPr>
      </w:pPr>
    </w:p>
    <w:p w14:paraId="795DF6B7" w14:textId="77777777" w:rsidR="00542B0B" w:rsidRPr="00542B0B" w:rsidRDefault="00542B0B" w:rsidP="00542B0B">
      <w:pPr>
        <w:pStyle w:val="Zkladntext"/>
        <w:ind w:left="118"/>
      </w:pPr>
      <w:r w:rsidRPr="00542B0B">
        <w:t>Tak ako všetky lieky, aj tento liek môže spôsobovať vedľajšie účinky, hoci sa neprejavia u každého.</w:t>
      </w:r>
    </w:p>
    <w:p w14:paraId="24CED374" w14:textId="77777777" w:rsidR="00542B0B" w:rsidRPr="00542B0B" w:rsidRDefault="00542B0B" w:rsidP="00542B0B">
      <w:pPr>
        <w:pStyle w:val="Zkladntext"/>
        <w:spacing w:before="7"/>
      </w:pPr>
    </w:p>
    <w:p w14:paraId="2D92BE1E" w14:textId="77777777" w:rsidR="00542B0B" w:rsidRPr="00542B0B" w:rsidRDefault="00542B0B" w:rsidP="00542B0B">
      <w:pPr>
        <w:pStyle w:val="Nadpis1"/>
        <w:spacing w:line="244" w:lineRule="auto"/>
        <w:ind w:left="118" w:right="744"/>
      </w:pPr>
      <w:r w:rsidRPr="00542B0B">
        <w:t>Ak spozorujete akýkoľvek z nasledujúcich vedľajších účinkov, povedzte to ihneď svojmu lekárovi:</w:t>
      </w:r>
    </w:p>
    <w:p w14:paraId="7194487B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7"/>
        </w:tabs>
        <w:ind w:left="686" w:right="608"/>
      </w:pPr>
      <w:r w:rsidRPr="00542B0B">
        <w:rPr>
          <w:b/>
        </w:rPr>
        <w:t>Ospalosť, chvenie, žltačka, nafukovanie brucha a ľahká tvorba modrín</w:t>
      </w:r>
      <w:r w:rsidR="000753E2">
        <w:t>. M</w:t>
      </w:r>
      <w:r w:rsidRPr="00542B0B">
        <w:t xml:space="preserve">ôžu </w:t>
      </w:r>
      <w:r w:rsidR="000753E2">
        <w:t xml:space="preserve">to </w:t>
      </w:r>
      <w:r w:rsidRPr="00542B0B">
        <w:t>byť príznaky zlyhania pečene a môže ísť o život ohrozujúce</w:t>
      </w:r>
      <w:r w:rsidRPr="00542B0B">
        <w:rPr>
          <w:spacing w:val="-10"/>
        </w:rPr>
        <w:t xml:space="preserve"> </w:t>
      </w:r>
      <w:r w:rsidRPr="00542B0B">
        <w:t>ochorenie.</w:t>
      </w:r>
    </w:p>
    <w:p w14:paraId="60AD90BD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7"/>
        </w:tabs>
        <w:spacing w:before="6" w:line="244" w:lineRule="auto"/>
        <w:ind w:left="686" w:right="112"/>
      </w:pPr>
      <w:r w:rsidRPr="00542B0B">
        <w:rPr>
          <w:b/>
        </w:rPr>
        <w:t xml:space="preserve">Opuch nôh a chodidiel, bolesť chrbta, znížená tvorba moču, zvýšený smäd, rýchly pulz, závrat a nevoľnosť, vracanie alebo znížená chuť do jedla a pocit zmätenosti, nepokoj alebo únava. </w:t>
      </w:r>
      <w:r w:rsidR="000753E2">
        <w:t>M</w:t>
      </w:r>
      <w:r w:rsidRPr="00542B0B">
        <w:t xml:space="preserve">ôžu </w:t>
      </w:r>
      <w:r w:rsidR="000753E2">
        <w:t xml:space="preserve">to </w:t>
      </w:r>
      <w:r w:rsidRPr="00542B0B">
        <w:t>byť príznaky zlyhania obličiek a môže ísť o život ohrozujúce</w:t>
      </w:r>
      <w:r w:rsidRPr="00542B0B">
        <w:rPr>
          <w:spacing w:val="-15"/>
        </w:rPr>
        <w:t xml:space="preserve"> </w:t>
      </w:r>
      <w:r w:rsidRPr="00542B0B">
        <w:t>ochorenie.</w:t>
      </w:r>
    </w:p>
    <w:p w14:paraId="7D969ED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991"/>
      </w:pPr>
      <w:r w:rsidRPr="00542B0B">
        <w:rPr>
          <w:b/>
        </w:rPr>
        <w:t>Horúčka</w:t>
      </w:r>
      <w:r w:rsidRPr="00542B0B">
        <w:t>. Príčinou by mohla byť infekcia v dôsledku nízkeho počtu bielych krviniek, ktorá môže byť život</w:t>
      </w:r>
      <w:r w:rsidRPr="00542B0B">
        <w:rPr>
          <w:spacing w:val="-6"/>
        </w:rPr>
        <w:t xml:space="preserve"> </w:t>
      </w:r>
      <w:r w:rsidRPr="00542B0B">
        <w:t>ohrozujúca.</w:t>
      </w:r>
    </w:p>
    <w:p w14:paraId="165790F2" w14:textId="77777777" w:rsidR="00542B0B" w:rsidRPr="00542B0B" w:rsidRDefault="000753E2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5"/>
        <w:ind w:left="686" w:right="119"/>
      </w:pPr>
      <w:r>
        <w:rPr>
          <w:b/>
        </w:rPr>
        <w:t>Bolesť na hrudi alebo dýchavičnosť</w:t>
      </w:r>
      <w:r w:rsidR="00542B0B" w:rsidRPr="00542B0B">
        <w:rPr>
          <w:b/>
        </w:rPr>
        <w:t xml:space="preserve">, ktoré môžu byť sprevádzané horúčkou. </w:t>
      </w:r>
      <w:r w:rsidR="00542B0B" w:rsidRPr="00542B0B">
        <w:t>Príčinou môže byť infekcia pľúc nazývaná „</w:t>
      </w:r>
      <w:r>
        <w:t>pneumónia” (zápal pľúc)</w:t>
      </w:r>
      <w:r w:rsidR="00542B0B" w:rsidRPr="00542B0B">
        <w:t xml:space="preserve"> a môže ísť o život ohrozujúce</w:t>
      </w:r>
      <w:r w:rsidR="00542B0B" w:rsidRPr="00542B0B">
        <w:rPr>
          <w:spacing w:val="-16"/>
        </w:rPr>
        <w:t xml:space="preserve"> </w:t>
      </w:r>
      <w:r w:rsidR="00542B0B" w:rsidRPr="00542B0B">
        <w:t>ochorenie.</w:t>
      </w:r>
    </w:p>
    <w:p w14:paraId="38603F4C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150"/>
      </w:pPr>
      <w:r w:rsidRPr="00542B0B">
        <w:rPr>
          <w:b/>
        </w:rPr>
        <w:t xml:space="preserve">Krvácanie. </w:t>
      </w:r>
      <w:r w:rsidRPr="00542B0B">
        <w:t>Napríklad krv v stolici z dôvodu krvácania do žalúdka alebo čreva, alebo napríklad krvácanie v hlave. Môžu to byť príznaky nízkeho počtu krvných doštičiek vo vašej</w:t>
      </w:r>
      <w:r w:rsidRPr="00542B0B">
        <w:rPr>
          <w:spacing w:val="-11"/>
        </w:rPr>
        <w:t xml:space="preserve"> </w:t>
      </w:r>
      <w:r w:rsidRPr="00542B0B">
        <w:t>krvi.</w:t>
      </w:r>
    </w:p>
    <w:p w14:paraId="5F6926F7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507"/>
      </w:pPr>
      <w:r w:rsidRPr="00542B0B">
        <w:rPr>
          <w:b/>
        </w:rPr>
        <w:t xml:space="preserve">Problémy s dýchaním, opuch pier, svrbenie alebo vyrážky. </w:t>
      </w:r>
      <w:r w:rsidRPr="00542B0B">
        <w:t>Príčinou môže byť alergická reakcia</w:t>
      </w:r>
      <w:r w:rsidRPr="00542B0B">
        <w:rPr>
          <w:spacing w:val="-4"/>
        </w:rPr>
        <w:t xml:space="preserve"> </w:t>
      </w:r>
      <w:r w:rsidRPr="00542B0B">
        <w:t>(precitlivenosť).</w:t>
      </w:r>
    </w:p>
    <w:p w14:paraId="6008C232" w14:textId="77777777" w:rsidR="00542B0B" w:rsidRPr="00542B0B" w:rsidRDefault="00542B0B" w:rsidP="00542B0B">
      <w:pPr>
        <w:pStyle w:val="Zkladntext"/>
        <w:spacing w:before="5"/>
      </w:pPr>
    </w:p>
    <w:p w14:paraId="4B0EEAA7" w14:textId="39E0AA90" w:rsidR="00542B0B" w:rsidRPr="00542B0B" w:rsidRDefault="00542B0B" w:rsidP="00542B0B">
      <w:pPr>
        <w:pStyle w:val="Zkladntext"/>
        <w:spacing w:before="1"/>
        <w:ind w:left="118"/>
      </w:pPr>
      <w:r w:rsidRPr="00542B0B">
        <w:t>Medzi ďalšie vedľajšie účinky patr</w:t>
      </w:r>
      <w:r w:rsidR="0045426A">
        <w:t>ia</w:t>
      </w:r>
      <w:r w:rsidRPr="00542B0B">
        <w:t>:</w:t>
      </w:r>
    </w:p>
    <w:p w14:paraId="164CF77D" w14:textId="77777777" w:rsidR="00542B0B" w:rsidRPr="00542B0B" w:rsidRDefault="00542B0B" w:rsidP="00542B0B">
      <w:pPr>
        <w:pStyle w:val="Zkladntext"/>
        <w:spacing w:before="7"/>
      </w:pPr>
    </w:p>
    <w:p w14:paraId="21BF42B0" w14:textId="7AFC3C23" w:rsidR="00542B0B" w:rsidRPr="00542B0B" w:rsidRDefault="00542B0B" w:rsidP="00542B0B">
      <w:pPr>
        <w:ind w:left="118"/>
      </w:pPr>
      <w:r w:rsidRPr="00542B0B">
        <w:rPr>
          <w:b/>
        </w:rPr>
        <w:t xml:space="preserve">Veľmi časté vedľajšie účinky </w:t>
      </w:r>
      <w:r w:rsidRPr="00542B0B">
        <w:t xml:space="preserve">(môžu </w:t>
      </w:r>
      <w:r w:rsidR="0045426A">
        <w:t>postihovať</w:t>
      </w:r>
      <w:r w:rsidR="0045426A" w:rsidRPr="00542B0B">
        <w:t xml:space="preserve"> </w:t>
      </w:r>
      <w:r w:rsidRPr="00542B0B">
        <w:t>viac ako 1 z 10 osôb)</w:t>
      </w:r>
    </w:p>
    <w:p w14:paraId="416E305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Znížený počet červených krviniek (anémia). Môžete pociťovať únavu a byť</w:t>
      </w:r>
      <w:r w:rsidRPr="00542B0B">
        <w:rPr>
          <w:spacing w:val="-14"/>
        </w:rPr>
        <w:t xml:space="preserve"> </w:t>
      </w:r>
      <w:r w:rsidRPr="00542B0B">
        <w:t>bledý.</w:t>
      </w:r>
    </w:p>
    <w:p w14:paraId="3B40F0EA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749"/>
      </w:pPr>
      <w:r w:rsidRPr="00542B0B">
        <w:t>Znížený počet bielych krviniek. Môže byť sprevádzaný horúčkou. Tiež sa zvyšuje riziko infekcií.</w:t>
      </w:r>
    </w:p>
    <w:p w14:paraId="45671826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Nízky počet krvných doštičiek (trombocytopénia). Ste náchylnejší na krvácanie a</w:t>
      </w:r>
      <w:r w:rsidRPr="00542B0B">
        <w:rPr>
          <w:spacing w:val="-11"/>
        </w:rPr>
        <w:t xml:space="preserve"> </w:t>
      </w:r>
      <w:r w:rsidRPr="00542B0B">
        <w:t>podliatiny.</w:t>
      </w:r>
    </w:p>
    <w:p w14:paraId="1F164D29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Zápcha, hnačka, nevoľnosť,</w:t>
      </w:r>
      <w:r w:rsidRPr="00542B0B">
        <w:rPr>
          <w:spacing w:val="-6"/>
        </w:rPr>
        <w:t xml:space="preserve"> </w:t>
      </w:r>
      <w:r w:rsidRPr="00542B0B">
        <w:t>vracanie.</w:t>
      </w:r>
    </w:p>
    <w:p w14:paraId="359AF23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Zápal</w:t>
      </w:r>
      <w:r w:rsidRPr="00542B0B">
        <w:rPr>
          <w:spacing w:val="-2"/>
        </w:rPr>
        <w:t xml:space="preserve"> </w:t>
      </w:r>
      <w:r w:rsidRPr="00542B0B">
        <w:t>pľúc.</w:t>
      </w:r>
    </w:p>
    <w:p w14:paraId="144A028B" w14:textId="77777777" w:rsidR="00542B0B" w:rsidRPr="00542B0B" w:rsidRDefault="000753E2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>
        <w:lastRenderedPageBreak/>
        <w:t>Bolesť na</w:t>
      </w:r>
      <w:r w:rsidR="00542B0B" w:rsidRPr="00542B0B">
        <w:t xml:space="preserve"> hrudi, pocit nedostatku</w:t>
      </w:r>
      <w:r w:rsidR="00542B0B" w:rsidRPr="00542B0B">
        <w:rPr>
          <w:spacing w:val="-6"/>
        </w:rPr>
        <w:t xml:space="preserve"> </w:t>
      </w:r>
      <w:r w:rsidR="00542B0B" w:rsidRPr="00542B0B">
        <w:t>vzduchu.</w:t>
      </w:r>
    </w:p>
    <w:p w14:paraId="76503F92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Únava</w:t>
      </w:r>
      <w:r w:rsidRPr="00542B0B">
        <w:rPr>
          <w:spacing w:val="-5"/>
        </w:rPr>
        <w:t xml:space="preserve"> </w:t>
      </w:r>
      <w:r w:rsidRPr="00542B0B">
        <w:t>(malátnosť).</w:t>
      </w:r>
    </w:p>
    <w:p w14:paraId="7FA3C34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Reakcia v mieste podania injekcie vrátane sčervenania, bolesti alebo inej kožnej</w:t>
      </w:r>
      <w:r w:rsidRPr="00542B0B">
        <w:rPr>
          <w:spacing w:val="-16"/>
        </w:rPr>
        <w:t xml:space="preserve"> </w:t>
      </w:r>
      <w:r w:rsidRPr="00542B0B">
        <w:t>reakcie.</w:t>
      </w:r>
    </w:p>
    <w:p w14:paraId="4886F207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Strata chuti do</w:t>
      </w:r>
      <w:r w:rsidRPr="00542B0B">
        <w:rPr>
          <w:spacing w:val="-3"/>
        </w:rPr>
        <w:t xml:space="preserve"> </w:t>
      </w:r>
      <w:r w:rsidRPr="00542B0B">
        <w:t>jedla.</w:t>
      </w:r>
    </w:p>
    <w:p w14:paraId="7BFFC6CA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Bolesti</w:t>
      </w:r>
      <w:r w:rsidRPr="00542B0B">
        <w:rPr>
          <w:spacing w:val="-2"/>
        </w:rPr>
        <w:t xml:space="preserve"> </w:t>
      </w:r>
      <w:r w:rsidRPr="00542B0B">
        <w:t>kĺbov.</w:t>
      </w:r>
    </w:p>
    <w:p w14:paraId="1E7A21D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Podliatiny.</w:t>
      </w:r>
    </w:p>
    <w:p w14:paraId="4E7091F7" w14:textId="399C0526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Vyrážk</w:t>
      </w:r>
      <w:r w:rsidR="0045426A">
        <w:t>a</w:t>
      </w:r>
      <w:r w:rsidRPr="00542B0B">
        <w:t>.</w:t>
      </w:r>
    </w:p>
    <w:p w14:paraId="4F9C834D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Červené alebo purpurové bodky pod</w:t>
      </w:r>
      <w:r w:rsidRPr="00542B0B">
        <w:rPr>
          <w:spacing w:val="-5"/>
        </w:rPr>
        <w:t xml:space="preserve"> </w:t>
      </w:r>
      <w:r w:rsidRPr="00542B0B">
        <w:t>kožou.</w:t>
      </w:r>
    </w:p>
    <w:p w14:paraId="4266014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Bolesť v oblasti</w:t>
      </w:r>
      <w:r w:rsidRPr="00542B0B">
        <w:rPr>
          <w:spacing w:val="-4"/>
        </w:rPr>
        <w:t xml:space="preserve"> </w:t>
      </w:r>
      <w:r w:rsidRPr="00542B0B">
        <w:t>brucha.</w:t>
      </w:r>
    </w:p>
    <w:p w14:paraId="5E4B041C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Svrbenie.</w:t>
      </w:r>
    </w:p>
    <w:p w14:paraId="7EE99CC8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Horúčka.</w:t>
      </w:r>
    </w:p>
    <w:p w14:paraId="63309319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Bolesť nosa a</w:t>
      </w:r>
      <w:r w:rsidRPr="00542B0B">
        <w:rPr>
          <w:spacing w:val="-3"/>
        </w:rPr>
        <w:t xml:space="preserve"> </w:t>
      </w:r>
      <w:r w:rsidRPr="00542B0B">
        <w:t>hrdla.</w:t>
      </w:r>
    </w:p>
    <w:p w14:paraId="59881C6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Závrat.</w:t>
      </w:r>
    </w:p>
    <w:p w14:paraId="55B62143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Bolesť</w:t>
      </w:r>
      <w:r w:rsidRPr="00542B0B">
        <w:rPr>
          <w:spacing w:val="-2"/>
        </w:rPr>
        <w:t xml:space="preserve"> </w:t>
      </w:r>
      <w:r w:rsidRPr="00542B0B">
        <w:t>hlavy.</w:t>
      </w:r>
    </w:p>
    <w:p w14:paraId="4726E79F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Problémy so spánkom</w:t>
      </w:r>
      <w:r w:rsidRPr="00542B0B">
        <w:rPr>
          <w:spacing w:val="-8"/>
        </w:rPr>
        <w:t xml:space="preserve"> </w:t>
      </w:r>
      <w:r w:rsidRPr="00542B0B">
        <w:t>(nespavosť).</w:t>
      </w:r>
    </w:p>
    <w:p w14:paraId="3A90A843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Krvácanie z nosa</w:t>
      </w:r>
      <w:r w:rsidRPr="00542B0B">
        <w:rPr>
          <w:spacing w:val="-4"/>
        </w:rPr>
        <w:t xml:space="preserve"> </w:t>
      </w:r>
      <w:r w:rsidRPr="00542B0B">
        <w:t>(epistaxa).</w:t>
      </w:r>
    </w:p>
    <w:p w14:paraId="5A93E296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Bolesti</w:t>
      </w:r>
      <w:r w:rsidRPr="00542B0B">
        <w:rPr>
          <w:spacing w:val="-3"/>
        </w:rPr>
        <w:t xml:space="preserve"> </w:t>
      </w:r>
      <w:r w:rsidRPr="00542B0B">
        <w:t>svalov.</w:t>
      </w:r>
    </w:p>
    <w:p w14:paraId="766882EF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Slabosť</w:t>
      </w:r>
      <w:r w:rsidRPr="00542B0B">
        <w:rPr>
          <w:spacing w:val="-3"/>
        </w:rPr>
        <w:t xml:space="preserve"> </w:t>
      </w:r>
      <w:r w:rsidRPr="00542B0B">
        <w:t>(asténia).</w:t>
      </w:r>
    </w:p>
    <w:p w14:paraId="227400FD" w14:textId="77777777" w:rsidR="00A67270" w:rsidRPr="00542B0B" w:rsidRDefault="00542B0B" w:rsidP="00A67270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Strata</w:t>
      </w:r>
      <w:r w:rsidRPr="00542B0B">
        <w:rPr>
          <w:spacing w:val="-5"/>
        </w:rPr>
        <w:t xml:space="preserve"> </w:t>
      </w:r>
      <w:r w:rsidRPr="00542B0B">
        <w:t>hmotnosti.</w:t>
      </w:r>
    </w:p>
    <w:p w14:paraId="5756AE9E" w14:textId="77777777" w:rsidR="00A67270" w:rsidRDefault="00542B0B" w:rsidP="00A67270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Nízka hladina draslíka vo vašej</w:t>
      </w:r>
      <w:r w:rsidRPr="00A67270">
        <w:t xml:space="preserve"> </w:t>
      </w:r>
      <w:r w:rsidRPr="00542B0B">
        <w:t>krvi.</w:t>
      </w:r>
    </w:p>
    <w:p w14:paraId="3375D2E5" w14:textId="77777777" w:rsidR="00A67270" w:rsidRDefault="00A67270" w:rsidP="00A67270">
      <w:pPr>
        <w:pStyle w:val="Odsekzoznamu"/>
        <w:tabs>
          <w:tab w:val="left" w:pos="685"/>
          <w:tab w:val="left" w:pos="686"/>
        </w:tabs>
        <w:spacing w:before="73"/>
        <w:ind w:left="118" w:firstLine="0"/>
      </w:pPr>
    </w:p>
    <w:p w14:paraId="4A285975" w14:textId="5695848B" w:rsidR="00542B0B" w:rsidRPr="00542B0B" w:rsidRDefault="00542B0B" w:rsidP="00A67270">
      <w:pPr>
        <w:pStyle w:val="Odsekzoznamu"/>
        <w:tabs>
          <w:tab w:val="left" w:pos="685"/>
          <w:tab w:val="left" w:pos="686"/>
        </w:tabs>
        <w:spacing w:before="73"/>
        <w:ind w:left="118" w:firstLine="0"/>
      </w:pPr>
      <w:r w:rsidRPr="00A67270">
        <w:rPr>
          <w:b/>
        </w:rPr>
        <w:t xml:space="preserve">Časté vedľajšie účinky </w:t>
      </w:r>
      <w:r w:rsidRPr="00542B0B">
        <w:t xml:space="preserve">(môžu </w:t>
      </w:r>
      <w:r w:rsidR="0045426A">
        <w:t>postihovať</w:t>
      </w:r>
      <w:r w:rsidR="0045426A" w:rsidRPr="00542B0B">
        <w:t xml:space="preserve"> </w:t>
      </w:r>
      <w:r w:rsidR="0045426A">
        <w:t>menej ako</w:t>
      </w:r>
      <w:r w:rsidRPr="00542B0B">
        <w:t xml:space="preserve"> 1 z 10 osôb)</w:t>
      </w:r>
    </w:p>
    <w:p w14:paraId="08FCB52C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Krvácanie vnútri</w:t>
      </w:r>
      <w:r w:rsidRPr="00542B0B">
        <w:rPr>
          <w:spacing w:val="-3"/>
        </w:rPr>
        <w:t xml:space="preserve"> </w:t>
      </w:r>
      <w:r w:rsidRPr="00542B0B">
        <w:t>hlavy.</w:t>
      </w:r>
    </w:p>
    <w:p w14:paraId="61BF206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354"/>
      </w:pPr>
      <w:r w:rsidRPr="00542B0B">
        <w:t>Infekcia krvi spôsobená baktériami (sepsa). Príčinou môže byť nízky počet bielych krviniek v</w:t>
      </w:r>
      <w:r w:rsidRPr="00542B0B">
        <w:rPr>
          <w:spacing w:val="-1"/>
        </w:rPr>
        <w:t xml:space="preserve"> </w:t>
      </w:r>
      <w:r w:rsidRPr="00542B0B">
        <w:t>krvi.</w:t>
      </w:r>
    </w:p>
    <w:p w14:paraId="7C4A7A23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5" w:right="113" w:hanging="567"/>
      </w:pPr>
      <w:r w:rsidRPr="00542B0B">
        <w:t>Zlyhanie kostnej drene. Tento stav môže spôsobovať nízke počty červených a bielych krviniek a krvných</w:t>
      </w:r>
      <w:r w:rsidRPr="00542B0B">
        <w:rPr>
          <w:spacing w:val="-3"/>
        </w:rPr>
        <w:t xml:space="preserve"> </w:t>
      </w:r>
      <w:r w:rsidRPr="00542B0B">
        <w:t>doštičiek.</w:t>
      </w:r>
    </w:p>
    <w:p w14:paraId="503C7A7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5" w:hanging="567"/>
      </w:pPr>
      <w:r w:rsidRPr="00542B0B">
        <w:t>Typ anémie so zníženým počtom červených a bielych krviniek a krvných</w:t>
      </w:r>
      <w:r w:rsidRPr="00542B0B">
        <w:rPr>
          <w:spacing w:val="-18"/>
        </w:rPr>
        <w:t xml:space="preserve"> </w:t>
      </w:r>
      <w:r w:rsidRPr="00542B0B">
        <w:t>doštičiek.</w:t>
      </w:r>
    </w:p>
    <w:p w14:paraId="3B31FFEB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Infekcia v</w:t>
      </w:r>
      <w:r w:rsidRPr="00542B0B">
        <w:rPr>
          <w:spacing w:val="-5"/>
        </w:rPr>
        <w:t xml:space="preserve"> </w:t>
      </w:r>
      <w:r w:rsidRPr="00542B0B">
        <w:t>moči.</w:t>
      </w:r>
    </w:p>
    <w:p w14:paraId="08339D1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Vírusová infekcia spôsobujúca tvorbu oparov</w:t>
      </w:r>
      <w:r w:rsidRPr="00542B0B">
        <w:rPr>
          <w:spacing w:val="-9"/>
        </w:rPr>
        <w:t xml:space="preserve"> </w:t>
      </w:r>
      <w:r w:rsidRPr="00542B0B">
        <w:t>(herpes).</w:t>
      </w:r>
    </w:p>
    <w:p w14:paraId="3F1D154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right="163" w:hanging="567"/>
      </w:pPr>
      <w:r w:rsidRPr="00542B0B">
        <w:t>Krvácanie ďasien, krvácanie do žalúdka alebo čreva, krvácanie z okolia konečníka v dôsledku hemoroidov (hemoroidálne krvácanie), krvácanie do oka, krvácanie pod kožu alebo do kože (hematóm).</w:t>
      </w:r>
    </w:p>
    <w:p w14:paraId="59C5190E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5" w:hanging="567"/>
      </w:pPr>
      <w:r w:rsidRPr="00542B0B">
        <w:t>Krv v</w:t>
      </w:r>
      <w:r w:rsidRPr="00542B0B">
        <w:rPr>
          <w:spacing w:val="-4"/>
        </w:rPr>
        <w:t xml:space="preserve"> </w:t>
      </w:r>
      <w:r w:rsidRPr="00542B0B">
        <w:t>moči.</w:t>
      </w:r>
    </w:p>
    <w:p w14:paraId="795F21FF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Vredy v ústach alebo na</w:t>
      </w:r>
      <w:r w:rsidRPr="00542B0B">
        <w:rPr>
          <w:spacing w:val="-2"/>
        </w:rPr>
        <w:t xml:space="preserve"> </w:t>
      </w:r>
      <w:r w:rsidRPr="00542B0B">
        <w:t>jazyku.</w:t>
      </w:r>
    </w:p>
    <w:p w14:paraId="51A833C3" w14:textId="28103382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right="494" w:hanging="567"/>
      </w:pPr>
      <w:r w:rsidRPr="00542B0B">
        <w:t xml:space="preserve">Zmeny kože v mieste vpichu injekcie. Tieto príznaky zahŕňajú opuch, </w:t>
      </w:r>
      <w:r w:rsidR="00FC0C85">
        <w:t>tvrdé hrčky</w:t>
      </w:r>
      <w:r w:rsidRPr="00542B0B">
        <w:t>, podliatiny, krvácanie do kože (hematóm), vyrážk</w:t>
      </w:r>
      <w:r w:rsidR="00FC0C85">
        <w:t>u</w:t>
      </w:r>
      <w:r w:rsidRPr="00542B0B">
        <w:t>, svrbenie a zmeny sfarbenia</w:t>
      </w:r>
      <w:r w:rsidRPr="00542B0B">
        <w:rPr>
          <w:spacing w:val="-14"/>
        </w:rPr>
        <w:t xml:space="preserve"> </w:t>
      </w:r>
      <w:r w:rsidRPr="00542B0B">
        <w:t>kože.</w:t>
      </w:r>
    </w:p>
    <w:p w14:paraId="3CD6B10F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5" w:hanging="567"/>
      </w:pPr>
      <w:r w:rsidRPr="00542B0B">
        <w:t>Sčervenanie</w:t>
      </w:r>
      <w:r w:rsidRPr="00542B0B">
        <w:rPr>
          <w:spacing w:val="-3"/>
        </w:rPr>
        <w:t xml:space="preserve"> </w:t>
      </w:r>
      <w:r w:rsidRPr="00542B0B">
        <w:t>kože.</w:t>
      </w:r>
    </w:p>
    <w:p w14:paraId="13535189" w14:textId="77777777" w:rsidR="00542B0B" w:rsidRPr="00542B0B" w:rsidRDefault="000753E2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>
        <w:t>Infekcia kože (celulitída</w:t>
      </w:r>
      <w:r w:rsidR="00542B0B" w:rsidRPr="00542B0B">
        <w:t>).</w:t>
      </w:r>
    </w:p>
    <w:p w14:paraId="7E6BBA6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Infekcia nosa a hrdla alebo zápal</w:t>
      </w:r>
      <w:r w:rsidRPr="00542B0B">
        <w:rPr>
          <w:spacing w:val="-6"/>
        </w:rPr>
        <w:t xml:space="preserve"> </w:t>
      </w:r>
      <w:r w:rsidRPr="00542B0B">
        <w:t>hrdla.</w:t>
      </w:r>
    </w:p>
    <w:p w14:paraId="05D9EB44" w14:textId="1094C31E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Nádcha alebo zápal pr</w:t>
      </w:r>
      <w:r w:rsidR="00FC0C85">
        <w:t>i</w:t>
      </w:r>
      <w:r w:rsidRPr="00542B0B">
        <w:t>nosových dutín</w:t>
      </w:r>
      <w:r w:rsidRPr="00542B0B">
        <w:rPr>
          <w:spacing w:val="-8"/>
        </w:rPr>
        <w:t xml:space="preserve"> </w:t>
      </w:r>
      <w:r w:rsidRPr="00542B0B">
        <w:t>(sinusitída).</w:t>
      </w:r>
    </w:p>
    <w:p w14:paraId="142342E2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Vysoký alebo nízky krvný tlak (hypertenzia alebo</w:t>
      </w:r>
      <w:r w:rsidRPr="00542B0B">
        <w:rPr>
          <w:spacing w:val="-4"/>
        </w:rPr>
        <w:t xml:space="preserve"> </w:t>
      </w:r>
      <w:r w:rsidRPr="00542B0B">
        <w:t>hypotenzia).</w:t>
      </w:r>
    </w:p>
    <w:p w14:paraId="27C98DE7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Pocit nedostatku vzduchu počas</w:t>
      </w:r>
      <w:r w:rsidRPr="00542B0B">
        <w:rPr>
          <w:spacing w:val="-5"/>
        </w:rPr>
        <w:t xml:space="preserve"> </w:t>
      </w:r>
      <w:r w:rsidRPr="00542B0B">
        <w:t>pohybu.</w:t>
      </w:r>
    </w:p>
    <w:p w14:paraId="7A559A6D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Bolesť hrdla a</w:t>
      </w:r>
      <w:r w:rsidRPr="00542B0B">
        <w:rPr>
          <w:spacing w:val="-4"/>
        </w:rPr>
        <w:t xml:space="preserve"> </w:t>
      </w:r>
      <w:r w:rsidRPr="00542B0B">
        <w:t>hlasiviek.</w:t>
      </w:r>
    </w:p>
    <w:p w14:paraId="41123AB0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Poruchy</w:t>
      </w:r>
      <w:r w:rsidRPr="00542B0B">
        <w:rPr>
          <w:spacing w:val="-1"/>
        </w:rPr>
        <w:t xml:space="preserve"> </w:t>
      </w:r>
      <w:r w:rsidRPr="00542B0B">
        <w:t>trávenia.</w:t>
      </w:r>
    </w:p>
    <w:p w14:paraId="73624BC6" w14:textId="77777777" w:rsidR="00542B0B" w:rsidRPr="008230FC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8230FC">
        <w:t>Letargia</w:t>
      </w:r>
      <w:r w:rsidRPr="008230FC">
        <w:rPr>
          <w:spacing w:val="-4"/>
        </w:rPr>
        <w:t xml:space="preserve"> </w:t>
      </w:r>
      <w:r w:rsidRPr="008230FC">
        <w:t>(otupenosť).</w:t>
      </w:r>
    </w:p>
    <w:p w14:paraId="1D01E2F8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Celkový pocit</w:t>
      </w:r>
      <w:r w:rsidRPr="00542B0B">
        <w:rPr>
          <w:spacing w:val="-3"/>
        </w:rPr>
        <w:t xml:space="preserve"> </w:t>
      </w:r>
      <w:r w:rsidRPr="00542B0B">
        <w:t>choroby.</w:t>
      </w:r>
    </w:p>
    <w:p w14:paraId="6C6CF744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Úzkosť.</w:t>
      </w:r>
    </w:p>
    <w:p w14:paraId="2B56EE3B" w14:textId="11CEA9B4" w:rsidR="00542B0B" w:rsidRPr="00542B0B" w:rsidRDefault="00FC0C85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>
        <w:lastRenderedPageBreak/>
        <w:t>Z</w:t>
      </w:r>
      <w:r w:rsidR="00542B0B" w:rsidRPr="00542B0B">
        <w:t>mätenos</w:t>
      </w:r>
      <w:r>
        <w:t>ť</w:t>
      </w:r>
      <w:r w:rsidR="00542B0B" w:rsidRPr="00542B0B">
        <w:t>.</w:t>
      </w:r>
    </w:p>
    <w:p w14:paraId="40FE1118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Vypadávanie</w:t>
      </w:r>
      <w:r w:rsidRPr="00542B0B">
        <w:rPr>
          <w:spacing w:val="-3"/>
        </w:rPr>
        <w:t xml:space="preserve"> </w:t>
      </w:r>
      <w:r w:rsidRPr="00542B0B">
        <w:t>vlasov.</w:t>
      </w:r>
    </w:p>
    <w:p w14:paraId="6DE2A06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Zlyhanie</w:t>
      </w:r>
      <w:r w:rsidRPr="00542B0B">
        <w:rPr>
          <w:spacing w:val="-2"/>
        </w:rPr>
        <w:t xml:space="preserve"> </w:t>
      </w:r>
      <w:r w:rsidRPr="00542B0B">
        <w:t>obličiek.</w:t>
      </w:r>
    </w:p>
    <w:p w14:paraId="2A2FA133" w14:textId="367E4C43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hanging="567"/>
      </w:pPr>
      <w:r w:rsidRPr="00542B0B">
        <w:t>Dehydratácia</w:t>
      </w:r>
      <w:r w:rsidR="00FC0C85">
        <w:t xml:space="preserve"> (nadmerná strata tekutín)</w:t>
      </w:r>
      <w:r w:rsidRPr="00542B0B">
        <w:t>.</w:t>
      </w:r>
    </w:p>
    <w:p w14:paraId="0047F407" w14:textId="405124E6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5" w:right="389" w:hanging="567"/>
      </w:pPr>
      <w:r w:rsidRPr="00542B0B">
        <w:t>Biely povlak na jazyku, vnútornej strane líc a niekedy na podnebí úst, ďasnách a mandliach (</w:t>
      </w:r>
      <w:r w:rsidR="00FC0C85">
        <w:t>ústna</w:t>
      </w:r>
      <w:r w:rsidR="00FC0C85" w:rsidRPr="00542B0B">
        <w:t xml:space="preserve"> </w:t>
      </w:r>
      <w:r w:rsidRPr="00542B0B">
        <w:t>plesňová</w:t>
      </w:r>
      <w:r w:rsidRPr="00542B0B">
        <w:rPr>
          <w:spacing w:val="-4"/>
        </w:rPr>
        <w:t xml:space="preserve"> </w:t>
      </w:r>
      <w:r w:rsidRPr="00542B0B">
        <w:t>infekcia).</w:t>
      </w:r>
    </w:p>
    <w:p w14:paraId="6369637E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Mdloby.</w:t>
      </w:r>
    </w:p>
    <w:p w14:paraId="5D1AC665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187"/>
      </w:pPr>
      <w:r w:rsidRPr="00542B0B">
        <w:t>Pokles krvného tlaku pri vstávaní (ortostatická hypotenzia), ktorý vedie k závratom pri zmene polohy do stoja alebo</w:t>
      </w:r>
      <w:r w:rsidRPr="00542B0B">
        <w:rPr>
          <w:spacing w:val="-2"/>
        </w:rPr>
        <w:t xml:space="preserve"> </w:t>
      </w:r>
      <w:r w:rsidRPr="00542B0B">
        <w:t>sedu.</w:t>
      </w:r>
    </w:p>
    <w:p w14:paraId="6739EEF3" w14:textId="21E68F0F" w:rsidR="00542B0B" w:rsidRPr="00542B0B" w:rsidRDefault="003C60F4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>
        <w:t>Ospalosť</w:t>
      </w:r>
      <w:r w:rsidR="00FC0C85">
        <w:t>, vyčerpanosť</w:t>
      </w:r>
      <w:r w:rsidR="00542B0B" w:rsidRPr="00542B0B">
        <w:rPr>
          <w:spacing w:val="-7"/>
        </w:rPr>
        <w:t xml:space="preserve"> </w:t>
      </w:r>
      <w:r w:rsidR="00542B0B" w:rsidRPr="00542B0B">
        <w:t>(somnolencia).</w:t>
      </w:r>
    </w:p>
    <w:p w14:paraId="3490CD73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Krvácanie pri zavedení</w:t>
      </w:r>
      <w:r w:rsidRPr="00542B0B">
        <w:rPr>
          <w:spacing w:val="-5"/>
        </w:rPr>
        <w:t xml:space="preserve"> </w:t>
      </w:r>
      <w:r w:rsidRPr="00542B0B">
        <w:t>katétra.</w:t>
      </w:r>
    </w:p>
    <w:p w14:paraId="32268135" w14:textId="0401627A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279"/>
      </w:pPr>
      <w:r w:rsidRPr="00542B0B">
        <w:t>Ochorenie postihujúce črevo, ktoré môže mať za následok horúčk</w:t>
      </w:r>
      <w:r w:rsidR="00FC0C85">
        <w:t>u</w:t>
      </w:r>
      <w:r w:rsidRPr="00542B0B">
        <w:t>, vracanie a bolesť brucha (divertikulitída).</w:t>
      </w:r>
    </w:p>
    <w:p w14:paraId="0A378C39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Tekutina okolo pľúc (pleurálny</w:t>
      </w:r>
      <w:r w:rsidRPr="00542B0B">
        <w:rPr>
          <w:spacing w:val="-4"/>
        </w:rPr>
        <w:t xml:space="preserve"> </w:t>
      </w:r>
      <w:r w:rsidRPr="00542B0B">
        <w:t>výpotok).</w:t>
      </w:r>
    </w:p>
    <w:p w14:paraId="100B228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Tras</w:t>
      </w:r>
      <w:r w:rsidRPr="00542B0B">
        <w:rPr>
          <w:spacing w:val="-5"/>
        </w:rPr>
        <w:t xml:space="preserve"> </w:t>
      </w:r>
      <w:r w:rsidRPr="00542B0B">
        <w:t>(zimnica).</w:t>
      </w:r>
    </w:p>
    <w:p w14:paraId="16376065" w14:textId="442B8A68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 xml:space="preserve">Svalové </w:t>
      </w:r>
      <w:r w:rsidR="00FC0C85">
        <w:t>zášklby</w:t>
      </w:r>
      <w:r w:rsidRPr="00542B0B">
        <w:t>.</w:t>
      </w:r>
    </w:p>
    <w:p w14:paraId="6579B8A3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Vyvýšené svrbiace vyrážky na koži</w:t>
      </w:r>
      <w:r w:rsidRPr="00542B0B">
        <w:rPr>
          <w:spacing w:val="-3"/>
        </w:rPr>
        <w:t xml:space="preserve"> </w:t>
      </w:r>
      <w:r w:rsidRPr="00542B0B">
        <w:t>(urtikária).</w:t>
      </w:r>
    </w:p>
    <w:p w14:paraId="09AD3D07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Hromadenie tekutiny okolo srdca (perikardiálny</w:t>
      </w:r>
      <w:r w:rsidRPr="00542B0B">
        <w:rPr>
          <w:spacing w:val="-8"/>
        </w:rPr>
        <w:t xml:space="preserve"> </w:t>
      </w:r>
      <w:r w:rsidRPr="00542B0B">
        <w:t>výpotok).</w:t>
      </w:r>
    </w:p>
    <w:p w14:paraId="560AFA07" w14:textId="77777777" w:rsidR="00542B0B" w:rsidRPr="00542B0B" w:rsidRDefault="00542B0B" w:rsidP="00542B0B">
      <w:pPr>
        <w:pStyle w:val="Zkladntext"/>
        <w:spacing w:before="6"/>
      </w:pPr>
    </w:p>
    <w:p w14:paraId="7E26B921" w14:textId="4F09E6AA" w:rsidR="00542B0B" w:rsidRPr="00542B0B" w:rsidRDefault="00542B0B" w:rsidP="00542B0B">
      <w:pPr>
        <w:ind w:left="118"/>
      </w:pPr>
      <w:r w:rsidRPr="00542B0B">
        <w:rPr>
          <w:b/>
        </w:rPr>
        <w:t xml:space="preserve">Menej časté vedľajšie účinky </w:t>
      </w:r>
      <w:r w:rsidRPr="00542B0B">
        <w:t xml:space="preserve">(môžu </w:t>
      </w:r>
      <w:r w:rsidR="00FC0C85">
        <w:t>postihovať menej ako</w:t>
      </w:r>
      <w:r w:rsidR="00FC0C85" w:rsidRPr="00542B0B">
        <w:t xml:space="preserve"> </w:t>
      </w:r>
      <w:r w:rsidRPr="00542B0B">
        <w:t xml:space="preserve"> 1 zo 100 osôb)</w:t>
      </w:r>
    </w:p>
    <w:p w14:paraId="2E9917FB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Alergická reakcia</w:t>
      </w:r>
      <w:r w:rsidRPr="00542B0B">
        <w:rPr>
          <w:spacing w:val="-5"/>
        </w:rPr>
        <w:t xml:space="preserve"> </w:t>
      </w:r>
      <w:r w:rsidRPr="00542B0B">
        <w:t>(precitlivenosť).</w:t>
      </w:r>
    </w:p>
    <w:p w14:paraId="4239CEBA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Tras.</w:t>
      </w:r>
    </w:p>
    <w:p w14:paraId="3EBC878B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Zlyhanie</w:t>
      </w:r>
      <w:r w:rsidRPr="00542B0B">
        <w:rPr>
          <w:spacing w:val="-2"/>
        </w:rPr>
        <w:t xml:space="preserve"> </w:t>
      </w:r>
      <w:r w:rsidRPr="00542B0B">
        <w:t>pečene.</w:t>
      </w:r>
    </w:p>
    <w:p w14:paraId="61A8AE65" w14:textId="49E2E9C4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 xml:space="preserve">Veľké, slivkovofialové, </w:t>
      </w:r>
      <w:r w:rsidR="00FC0C85">
        <w:t>vyvýšené</w:t>
      </w:r>
      <w:r w:rsidR="00FC0C85" w:rsidRPr="00542B0B">
        <w:t xml:space="preserve"> </w:t>
      </w:r>
      <w:r w:rsidRPr="00542B0B">
        <w:t>a bolestivé škvrny na koži sprevádzané</w:t>
      </w:r>
      <w:r w:rsidRPr="00542B0B">
        <w:rPr>
          <w:spacing w:val="-12"/>
        </w:rPr>
        <w:t xml:space="preserve"> </w:t>
      </w:r>
      <w:r w:rsidRPr="00542B0B">
        <w:t>horúčkou.</w:t>
      </w:r>
    </w:p>
    <w:p w14:paraId="1F373CCC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542B0B">
        <w:t>Bolestivé vredy na koži (</w:t>
      </w:r>
      <w:r w:rsidRPr="004C4614">
        <w:rPr>
          <w:i/>
        </w:rPr>
        <w:t>pyoderma</w:t>
      </w:r>
      <w:r w:rsidRPr="004C4614">
        <w:rPr>
          <w:i/>
          <w:spacing w:val="-9"/>
        </w:rPr>
        <w:t xml:space="preserve"> </w:t>
      </w:r>
      <w:r w:rsidRPr="004C4614">
        <w:rPr>
          <w:i/>
        </w:rPr>
        <w:t>gangrenosum</w:t>
      </w:r>
      <w:r w:rsidRPr="00542B0B">
        <w:t>).</w:t>
      </w:r>
    </w:p>
    <w:p w14:paraId="25242B5D" w14:textId="77777777" w:rsidR="00A67270" w:rsidRDefault="005A381A" w:rsidP="004C4614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>
        <w:t>Zápal</w:t>
      </w:r>
      <w:r w:rsidR="00542B0B" w:rsidRPr="00542B0B">
        <w:t>ové ochorenie osrdcovníka</w:t>
      </w:r>
      <w:r w:rsidR="00542B0B" w:rsidRPr="004C4614">
        <w:t xml:space="preserve"> </w:t>
      </w:r>
      <w:r w:rsidR="00542B0B" w:rsidRPr="00542B0B">
        <w:t>(perikarditída).</w:t>
      </w:r>
    </w:p>
    <w:p w14:paraId="77A04CAC" w14:textId="77777777" w:rsidR="00A67270" w:rsidRDefault="00A67270" w:rsidP="00A67270">
      <w:pPr>
        <w:tabs>
          <w:tab w:val="left" w:pos="685"/>
          <w:tab w:val="left" w:pos="686"/>
        </w:tabs>
        <w:spacing w:before="73"/>
        <w:ind w:left="118"/>
        <w:rPr>
          <w:b/>
        </w:rPr>
      </w:pPr>
    </w:p>
    <w:p w14:paraId="5BAA6409" w14:textId="212ECE29" w:rsidR="00542B0B" w:rsidRPr="00542B0B" w:rsidRDefault="00A67270" w:rsidP="00A67270">
      <w:pPr>
        <w:tabs>
          <w:tab w:val="left" w:pos="685"/>
          <w:tab w:val="left" w:pos="686"/>
        </w:tabs>
        <w:spacing w:before="73"/>
        <w:ind w:left="-450"/>
      </w:pPr>
      <w:r>
        <w:rPr>
          <w:b/>
        </w:rPr>
        <w:t xml:space="preserve">         </w:t>
      </w:r>
      <w:r w:rsidR="00542B0B" w:rsidRPr="00A67270">
        <w:rPr>
          <w:b/>
        </w:rPr>
        <w:t xml:space="preserve">Zriedkavé vedľajšie účinky </w:t>
      </w:r>
      <w:r w:rsidR="00542B0B" w:rsidRPr="00542B0B">
        <w:t xml:space="preserve">(môžu </w:t>
      </w:r>
      <w:r w:rsidR="00FC0C85">
        <w:t>postihovať menej ako</w:t>
      </w:r>
      <w:r w:rsidR="00542B0B" w:rsidRPr="00542B0B">
        <w:t xml:space="preserve"> 1 z 1</w:t>
      </w:r>
      <w:r w:rsidR="00FC0C85">
        <w:t xml:space="preserve"> </w:t>
      </w:r>
      <w:r w:rsidR="00542B0B" w:rsidRPr="00542B0B">
        <w:t>000 osôb)</w:t>
      </w:r>
    </w:p>
    <w:p w14:paraId="32CC895C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6"/>
      </w:pPr>
      <w:r w:rsidRPr="00542B0B">
        <w:t>Suchý</w:t>
      </w:r>
      <w:r w:rsidRPr="00542B0B">
        <w:rPr>
          <w:spacing w:val="-2"/>
        </w:rPr>
        <w:t xml:space="preserve"> </w:t>
      </w:r>
      <w:r w:rsidRPr="00542B0B">
        <w:t>kašeľ.</w:t>
      </w:r>
    </w:p>
    <w:p w14:paraId="6BBE4AF6" w14:textId="77777777" w:rsidR="00542B0B" w:rsidRPr="008230FC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/>
      </w:pPr>
      <w:r w:rsidRPr="008230FC">
        <w:t>Bezbolestný opuch končekov prstov</w:t>
      </w:r>
      <w:r w:rsidRPr="008230FC">
        <w:rPr>
          <w:spacing w:val="-8"/>
        </w:rPr>
        <w:t xml:space="preserve"> </w:t>
      </w:r>
      <w:r w:rsidRPr="008230FC">
        <w:t>(paličkovitosť).</w:t>
      </w:r>
    </w:p>
    <w:p w14:paraId="7E4EB693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ind w:left="686" w:right="98"/>
      </w:pPr>
      <w:r w:rsidRPr="00542B0B">
        <w:t>Syndróm z rozpadu nádoru – komplikácie látkovej premeny, ktoré sa môžu objaviť počas liečby rakoviny a niekedy aj bez tejto liečby. Tieto komplikácie spôsobuje produkt vznikajúci pri rozklade odumierajúcic</w:t>
      </w:r>
      <w:r w:rsidR="005A381A">
        <w:t>h rakovinových buniek a môžu zahŕňať nasledovné</w:t>
      </w:r>
      <w:r w:rsidRPr="00542B0B">
        <w:t>: zmeny chemického zloženia krvi, vysokú hladinu draslíka, fosforu, kyseliny močovej a nízku hladinu vápnika, ktoré následne vedú k zmenám činnosti obličiek, srdcového rytmu, záchvatom a niekedy k</w:t>
      </w:r>
      <w:r w:rsidRPr="00542B0B">
        <w:rPr>
          <w:spacing w:val="-3"/>
        </w:rPr>
        <w:t xml:space="preserve"> </w:t>
      </w:r>
      <w:r w:rsidRPr="00542B0B">
        <w:t>smrti.</w:t>
      </w:r>
    </w:p>
    <w:p w14:paraId="2CBF254E" w14:textId="77777777" w:rsidR="00542B0B" w:rsidRPr="00542B0B" w:rsidRDefault="00542B0B" w:rsidP="00542B0B">
      <w:pPr>
        <w:pStyle w:val="Zkladntext"/>
        <w:spacing w:before="7"/>
      </w:pPr>
    </w:p>
    <w:p w14:paraId="3C06FD93" w14:textId="77777777" w:rsidR="00542B0B" w:rsidRPr="00542B0B" w:rsidRDefault="00542B0B" w:rsidP="00542B0B">
      <w:pPr>
        <w:pStyle w:val="Zkladntext"/>
        <w:ind w:left="118"/>
      </w:pPr>
      <w:r w:rsidRPr="00542B0B">
        <w:rPr>
          <w:b/>
        </w:rPr>
        <w:t xml:space="preserve">Neznáme </w:t>
      </w:r>
      <w:r w:rsidRPr="00542B0B">
        <w:t xml:space="preserve">(z dostupných údajov </w:t>
      </w:r>
      <w:r w:rsidR="005A381A">
        <w:t>nie je možné stanoviť častosť</w:t>
      </w:r>
      <w:r w:rsidRPr="00542B0B">
        <w:t xml:space="preserve"> výskytu)</w:t>
      </w:r>
    </w:p>
    <w:p w14:paraId="733ABAE1" w14:textId="77777777" w:rsidR="00542B0B" w:rsidRPr="00542B0B" w:rsidRDefault="00542B0B" w:rsidP="00542B0B">
      <w:pPr>
        <w:pStyle w:val="Odsekzoznamu"/>
        <w:numPr>
          <w:ilvl w:val="0"/>
          <w:numId w:val="5"/>
        </w:numPr>
        <w:tabs>
          <w:tab w:val="left" w:pos="685"/>
          <w:tab w:val="left" w:pos="686"/>
        </w:tabs>
        <w:spacing w:before="1"/>
        <w:ind w:left="685" w:right="105" w:hanging="567"/>
      </w:pPr>
      <w:r w:rsidRPr="00542B0B">
        <w:t>Infekcia hlbších vrstiev kože, ktorá sa rýchlo šíri, poškodzuje kožu a tkanivo, čo môže byť život ohrozujúce (nekrotizujúca</w:t>
      </w:r>
      <w:r w:rsidRPr="00542B0B">
        <w:rPr>
          <w:spacing w:val="-6"/>
        </w:rPr>
        <w:t xml:space="preserve"> </w:t>
      </w:r>
      <w:r w:rsidRPr="00542B0B">
        <w:t>fasciitída).</w:t>
      </w:r>
    </w:p>
    <w:p w14:paraId="2F2038B5" w14:textId="77777777" w:rsidR="00542B0B" w:rsidRPr="00542B0B" w:rsidRDefault="00542B0B" w:rsidP="00542B0B">
      <w:pPr>
        <w:pStyle w:val="Zkladntext"/>
        <w:spacing w:before="11"/>
      </w:pPr>
    </w:p>
    <w:p w14:paraId="022C520C" w14:textId="77777777" w:rsidR="00542B0B" w:rsidRPr="00542B0B" w:rsidRDefault="00542B0B" w:rsidP="00542B0B">
      <w:pPr>
        <w:pStyle w:val="Nadpis1"/>
        <w:ind w:left="118"/>
      </w:pPr>
      <w:r w:rsidRPr="00542B0B">
        <w:t>Hlásenie vedľajších účinkov</w:t>
      </w:r>
    </w:p>
    <w:p w14:paraId="30EC5091" w14:textId="52462B40" w:rsidR="00542B0B" w:rsidRPr="00BB0A84" w:rsidRDefault="00BB0A84" w:rsidP="00BB0A84">
      <w:pPr>
        <w:pStyle w:val="Zkladntext"/>
        <w:ind w:left="118" w:right="100"/>
      </w:pPr>
      <w:r>
        <w:t xml:space="preserve">Ak </w:t>
      </w:r>
      <w:r w:rsidR="00542B0B" w:rsidRPr="00542B0B">
        <w:t xml:space="preserve">sa u vás vyskytne akýkoľvek vedľajší účinok, obráťte sa na svojho lekára, lekárnika alebo </w:t>
      </w:r>
      <w:bookmarkStart w:id="0" w:name="_GoBack"/>
      <w:bookmarkEnd w:id="0"/>
      <w:r w:rsidR="00542B0B" w:rsidRPr="00542B0B">
        <w:t>zdravotnú sestru. To sa týka aj akýchkoľvek vedľajších účinkov, ktoré nie sú uvedené v tejto písomnej informácii. Vedľajšie účinky môžete hlásiť aj priamo</w:t>
      </w:r>
      <w:r w:rsidR="008454B5">
        <w:t xml:space="preserve"> na</w:t>
      </w:r>
      <w:r w:rsidR="00542B0B" w:rsidRPr="00542B0B">
        <w:t xml:space="preserve"> </w:t>
      </w:r>
      <w:r w:rsidR="00542B0B" w:rsidRPr="00542B0B">
        <w:rPr>
          <w:shd w:val="clear" w:color="auto" w:fill="C0C0C0"/>
        </w:rPr>
        <w:t>náro</w:t>
      </w:r>
      <w:r w:rsidR="005A381A">
        <w:rPr>
          <w:shd w:val="clear" w:color="auto" w:fill="C0C0C0"/>
        </w:rPr>
        <w:t>dné centrum hlásenia uvedené v</w:t>
      </w:r>
      <w:r w:rsidR="006166C8">
        <w:rPr>
          <w:shd w:val="clear" w:color="auto" w:fill="C0C0C0"/>
        </w:rPr>
        <w:t xml:space="preserve"> </w:t>
      </w:r>
      <w:hyperlink r:id="rId8">
        <w:r w:rsidR="00BB3DB6" w:rsidRPr="007F4212">
          <w:rPr>
            <w:color w:val="0000FF"/>
            <w:shd w:val="clear" w:color="auto" w:fill="C0C0C0"/>
            <w:lang w:val="sk-SK"/>
          </w:rPr>
          <w:t>Prílohe V</w:t>
        </w:r>
        <w:r w:rsidR="00BB3DB6" w:rsidRPr="007F4212">
          <w:rPr>
            <w:lang w:val="sk-SK"/>
          </w:rPr>
          <w:t>.</w:t>
        </w:r>
      </w:hyperlink>
      <w:r w:rsidR="00536A25" w:rsidRPr="00536A25">
        <w:t xml:space="preserve"> </w:t>
      </w:r>
      <w:r w:rsidR="00542B0B" w:rsidRPr="008454B5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531A1" wp14:editId="6D5DE9B8">
                <wp:simplePos x="0" y="0"/>
                <wp:positionH relativeFrom="page">
                  <wp:posOffset>900430</wp:posOffset>
                </wp:positionH>
                <wp:positionV relativeFrom="paragraph">
                  <wp:posOffset>149860</wp:posOffset>
                </wp:positionV>
                <wp:extent cx="135890" cy="0"/>
                <wp:effectExtent l="5080" t="6985" r="1143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B5E17DF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11.8pt" to="81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OrJwIAAE4EAAAOAAAAZHJzL2Uyb0RvYy54bWysVMGO2jAQvVfqP1i+QxIWKESEVZVAL9sW&#10;ie0HGNshVh3bsg0BVf33jh2C2PZSVeVgxp6Z5zczz1k9X1qJztw6oVWBs3GKEVdUM6GOBf72uh0t&#10;MHKeKEakVrzAV+7w8/r9u1Vncj7RjZaMWwQgyuWdKXDjvcmTxNGGt8SNteEKnLW2LfGwtceEWdIB&#10;eiuTSZrOk05bZqym3Dk4rXonXkf8uubUf61rxz2SBQZuPq42roewJusVyY+WmEbQGw3yDyxaIhRc&#10;eoeqiCfoZMUfUK2gVjtd+zHVbaLrWlAea4BqsvS3avYNMTzWAs1x5t4m9/9g6ZfzziLBCjzBSJEW&#10;RrT3lohj41GplYIGaosmoU+dcTmEl2pnQ6X0ovbmRdPvDildNkQdeeT7ejUAkoWM5E1K2DgDtx26&#10;z5pBDDl5HZt2qW0bIKEd6BJnc73Phl88onCYPc0WS5ggHVwJyYc8Y53/xHWLglFgKVToGsnJ+cX5&#10;wIPkQ0g4VnorpIyTlwp1BZ4vZouY4LQULDhDmLPHQyktOpOgnfiLRYHnMSwgV8Q1fVx09aqy+qRY&#10;vKXhhG1utidC9jawkipcBCUCz5vVq+bHMl1uFpvFdDSdzDejaVpVo4/bcjqab7MPs+qpKssq+xk4&#10;Z9O8EYxxFWgPCs6mf6eQ21vqtXfX8L0/yVv02EggO/xH0nHGYay9QA6aXXd2mD2INgbfHlh4FY97&#10;sB8/A+tfAAAA//8DAFBLAwQUAAYACAAAACEAvXjqwN0AAAAJAQAADwAAAGRycy9kb3ducmV2Lnht&#10;bEyPzU7DMBCE70h9B2uRuFGnKQpViFPxo4pbaQMXbtt4SULjdWS7bXj7uuIAx9kZzXxbLEfTiyM5&#10;31lWMJsmIIhrqztuFHy8r24XIHxA1thbJgU/5GFZTq4KzLU98ZaOVWhELGGfo4I2hCGX0tctGfRT&#10;OxBH78s6gyFK10jt8BTLTS/TJMmkwY7jQosDPbdU76uDUfCEuqPvl1cnh81q8fZZ0fZ+s1bq5np8&#10;fAARaAx/YbjgR3QoI9POHlh70Ud9N4voQUE6z0BcAtk8BbH7PciykP8/KM8AAAD//wMAUEsBAi0A&#10;FAAGAAgAAAAhALaDOJL+AAAA4QEAABMAAAAAAAAAAAAAAAAAAAAAAFtDb250ZW50X1R5cGVzXS54&#10;bWxQSwECLQAUAAYACAAAACEAOP0h/9YAAACUAQAACwAAAAAAAAAAAAAAAAAvAQAAX3JlbHMvLnJl&#10;bHNQSwECLQAUAAYACAAAACEAtkIzqycCAABOBAAADgAAAAAAAAAAAAAAAAAuAgAAZHJzL2Uyb0Rv&#10;Yy54bWxQSwECLQAUAAYACAAAACEAvXjqwN0AAAAJAQAADwAAAAAAAAAAAAAAAACBBAAAZHJzL2Rv&#10;d25yZXYueG1sUEsFBgAAAAAEAAQA8wAAAIsFAAAAAA==&#10;" strokeweight=".54pt">
                <w10:wrap anchorx="page"/>
              </v:line>
            </w:pict>
          </mc:Fallback>
        </mc:AlternateContent>
      </w:r>
      <w:r w:rsidR="00AC21E0">
        <w:t xml:space="preserve">Hlásením </w:t>
      </w:r>
      <w:r w:rsidR="00542B0B" w:rsidRPr="00542B0B">
        <w:t>vedľajších účinkov môžete prispieť k získaniu ďalších informácií o bezpečnosti tohto lieku.</w:t>
      </w:r>
    </w:p>
    <w:p w14:paraId="74DB8BC9" w14:textId="77777777" w:rsidR="00542B0B" w:rsidRPr="00542B0B" w:rsidRDefault="00542B0B" w:rsidP="00542B0B">
      <w:pPr>
        <w:pStyle w:val="Zkladntext"/>
      </w:pPr>
    </w:p>
    <w:p w14:paraId="258E984E" w14:textId="2FBACBA2" w:rsidR="00542B0B" w:rsidRPr="00542B0B" w:rsidRDefault="00810F8B" w:rsidP="00810F8B">
      <w:pPr>
        <w:pStyle w:val="Zkladntext"/>
        <w:tabs>
          <w:tab w:val="left" w:pos="2869"/>
        </w:tabs>
        <w:spacing w:before="8"/>
      </w:pPr>
      <w:r>
        <w:tab/>
      </w:r>
    </w:p>
    <w:p w14:paraId="6A75AC98" w14:textId="77777777" w:rsidR="00542B0B" w:rsidRPr="00542B0B" w:rsidRDefault="00542B0B" w:rsidP="00CE0EBF">
      <w:pPr>
        <w:pStyle w:val="Nadpis1"/>
        <w:numPr>
          <w:ilvl w:val="0"/>
          <w:numId w:val="6"/>
        </w:numPr>
        <w:tabs>
          <w:tab w:val="left" w:pos="685"/>
          <w:tab w:val="left" w:pos="686"/>
        </w:tabs>
        <w:ind w:left="685" w:hanging="567"/>
      </w:pPr>
      <w:r w:rsidRPr="00542B0B">
        <w:lastRenderedPageBreak/>
        <w:t>Ako uchovávať</w:t>
      </w:r>
      <w:r w:rsidRPr="00542B0B">
        <w:rPr>
          <w:spacing w:val="-7"/>
        </w:rPr>
        <w:t xml:space="preserve"> </w:t>
      </w:r>
      <w:r w:rsidR="00D226D3">
        <w:t>Azacitidine Sandoz</w:t>
      </w:r>
    </w:p>
    <w:p w14:paraId="3F6B2F44" w14:textId="77777777" w:rsidR="00542B0B" w:rsidRPr="00542B0B" w:rsidRDefault="00542B0B" w:rsidP="00542B0B">
      <w:pPr>
        <w:pStyle w:val="Zkladntext"/>
        <w:spacing w:before="1"/>
        <w:rPr>
          <w:b/>
        </w:rPr>
      </w:pPr>
    </w:p>
    <w:p w14:paraId="0E011AB3" w14:textId="77777777" w:rsidR="00542B0B" w:rsidRPr="00542B0B" w:rsidRDefault="00542B0B" w:rsidP="00542B0B">
      <w:pPr>
        <w:pStyle w:val="Zkladntext"/>
        <w:ind w:left="118"/>
      </w:pPr>
      <w:r w:rsidRPr="00542B0B">
        <w:t>Tento liek uchovávajte mimo dohľadu a dosahu detí.</w:t>
      </w:r>
    </w:p>
    <w:p w14:paraId="5B69F415" w14:textId="77777777" w:rsidR="00542B0B" w:rsidRPr="00542B0B" w:rsidRDefault="00542B0B" w:rsidP="00542B0B">
      <w:pPr>
        <w:pStyle w:val="Zkladntext"/>
        <w:spacing w:before="2"/>
      </w:pPr>
    </w:p>
    <w:p w14:paraId="0AC5A62B" w14:textId="77777777" w:rsidR="005A381A" w:rsidRDefault="00542B0B" w:rsidP="00542B0B">
      <w:pPr>
        <w:pStyle w:val="Zkladntext"/>
        <w:ind w:left="118" w:right="658"/>
      </w:pPr>
      <w:r w:rsidRPr="00542B0B">
        <w:t>Nepoužívajte tento liek po dátume exspirácie, ktorý je uvedený</w:t>
      </w:r>
      <w:r w:rsidR="005A381A">
        <w:t xml:space="preserve"> na škatuľke a </w:t>
      </w:r>
      <w:r w:rsidRPr="00542B0B">
        <w:t>štítku</w:t>
      </w:r>
      <w:r w:rsidR="005A381A">
        <w:t xml:space="preserve"> injekčnej liekovky po EXP.</w:t>
      </w:r>
    </w:p>
    <w:p w14:paraId="5B847F9C" w14:textId="77777777" w:rsidR="00542B0B" w:rsidRPr="00542B0B" w:rsidRDefault="00542B0B" w:rsidP="00542B0B">
      <w:pPr>
        <w:pStyle w:val="Zkladntext"/>
        <w:ind w:left="118" w:right="658"/>
      </w:pPr>
      <w:r w:rsidRPr="00542B0B">
        <w:t>Dátum exspirácie sa vzťahuje na posledný deň v danom mesiaci.</w:t>
      </w:r>
    </w:p>
    <w:p w14:paraId="05206229" w14:textId="77777777" w:rsidR="00542B0B" w:rsidRPr="00542B0B" w:rsidRDefault="00542B0B" w:rsidP="00542B0B">
      <w:pPr>
        <w:pStyle w:val="Zkladntext"/>
        <w:spacing w:before="2"/>
      </w:pPr>
    </w:p>
    <w:p w14:paraId="4662743E" w14:textId="12627934" w:rsidR="00542B0B" w:rsidRPr="00542B0B" w:rsidRDefault="00542B0B" w:rsidP="005A381A">
      <w:pPr>
        <w:pStyle w:val="Zkladntext"/>
        <w:ind w:left="118"/>
      </w:pPr>
      <w:r w:rsidRPr="00542B0B">
        <w:t xml:space="preserve">Za uchovávanie </w:t>
      </w:r>
      <w:r w:rsidR="00622542">
        <w:t xml:space="preserve">lieku </w:t>
      </w:r>
      <w:r w:rsidR="00383AE7">
        <w:t>Azacitidine Sandoz</w:t>
      </w:r>
      <w:r w:rsidRPr="00542B0B">
        <w:t xml:space="preserve"> je zodpovedný lekár, lekárnik alebo zdravotná sestra. Tieto osoby sú zodpovedné aj za správnu prípr</w:t>
      </w:r>
      <w:r w:rsidR="005A381A">
        <w:t>avu a likvidáciu nespotrebovaného</w:t>
      </w:r>
      <w:r w:rsidRPr="00542B0B">
        <w:t xml:space="preserve"> </w:t>
      </w:r>
      <w:r w:rsidR="00622542">
        <w:t xml:space="preserve">lieku </w:t>
      </w:r>
      <w:r w:rsidR="00383AE7">
        <w:t>Azacitidine Sandoz</w:t>
      </w:r>
      <w:r w:rsidRPr="00542B0B">
        <w:t>.</w:t>
      </w:r>
    </w:p>
    <w:p w14:paraId="4A1254F3" w14:textId="77777777" w:rsidR="00542B0B" w:rsidRPr="00542B0B" w:rsidRDefault="00542B0B" w:rsidP="00542B0B">
      <w:pPr>
        <w:pStyle w:val="Zkladntext"/>
        <w:spacing w:before="2"/>
      </w:pPr>
    </w:p>
    <w:p w14:paraId="66D069D9" w14:textId="6CBA4A2F" w:rsidR="00622542" w:rsidRDefault="00542B0B" w:rsidP="00542B0B">
      <w:pPr>
        <w:pStyle w:val="Zkladntext"/>
        <w:ind w:left="118"/>
      </w:pPr>
      <w:r w:rsidRPr="004C4614">
        <w:rPr>
          <w:u w:val="single"/>
        </w:rPr>
        <w:t>Neotvorené injekčné liekovky tohto lieku</w:t>
      </w:r>
      <w:r w:rsidR="00622542">
        <w:t>:</w:t>
      </w:r>
      <w:r w:rsidRPr="00542B0B">
        <w:t xml:space="preserve"> </w:t>
      </w:r>
    </w:p>
    <w:p w14:paraId="3C51D3BB" w14:textId="12CA34BB" w:rsidR="00542B0B" w:rsidRPr="00542B0B" w:rsidRDefault="00622542" w:rsidP="00542B0B">
      <w:pPr>
        <w:pStyle w:val="Zkladntext"/>
        <w:ind w:left="118"/>
      </w:pPr>
      <w:r>
        <w:t xml:space="preserve">Tento liek nevyžaduje </w:t>
      </w:r>
      <w:r w:rsidR="00542B0B" w:rsidRPr="00542B0B">
        <w:t>žiadne zvláštne podmienky na uchovávanie.</w:t>
      </w:r>
    </w:p>
    <w:p w14:paraId="2A348487" w14:textId="77777777" w:rsidR="00542B0B" w:rsidRPr="00542B0B" w:rsidRDefault="00542B0B" w:rsidP="00542B0B">
      <w:pPr>
        <w:pStyle w:val="Zkladntext"/>
        <w:spacing w:before="2"/>
      </w:pPr>
    </w:p>
    <w:p w14:paraId="3BCCEF7B" w14:textId="77777777" w:rsidR="00542B0B" w:rsidRPr="00542B0B" w:rsidRDefault="00542B0B" w:rsidP="00542B0B">
      <w:pPr>
        <w:ind w:left="118"/>
        <w:rPr>
          <w:i/>
        </w:rPr>
      </w:pPr>
      <w:r w:rsidRPr="00542B0B">
        <w:rPr>
          <w:i/>
        </w:rPr>
        <w:t>Keď sa použije ihneď</w:t>
      </w:r>
    </w:p>
    <w:p w14:paraId="400C239D" w14:textId="77777777" w:rsidR="00542B0B" w:rsidRPr="00542B0B" w:rsidRDefault="00542B0B" w:rsidP="00542B0B">
      <w:pPr>
        <w:pStyle w:val="Zkladntext"/>
        <w:ind w:left="118"/>
      </w:pPr>
      <w:r w:rsidRPr="00542B0B">
        <w:t>Po príp</w:t>
      </w:r>
      <w:r w:rsidR="00711305">
        <w:t>rave sa má suspenzia podať do 60</w:t>
      </w:r>
      <w:r w:rsidRPr="00542B0B">
        <w:t xml:space="preserve"> minút.</w:t>
      </w:r>
    </w:p>
    <w:p w14:paraId="2CBF2763" w14:textId="77777777" w:rsidR="00542B0B" w:rsidRPr="00542B0B" w:rsidRDefault="00542B0B" w:rsidP="00542B0B">
      <w:pPr>
        <w:pStyle w:val="Zkladntext"/>
        <w:spacing w:before="2"/>
      </w:pPr>
    </w:p>
    <w:p w14:paraId="3C56C347" w14:textId="77777777" w:rsidR="00542B0B" w:rsidRPr="00542B0B" w:rsidRDefault="00542B0B" w:rsidP="00542B0B">
      <w:pPr>
        <w:spacing w:before="1"/>
        <w:ind w:left="118"/>
        <w:rPr>
          <w:i/>
        </w:rPr>
      </w:pPr>
      <w:r w:rsidRPr="00542B0B">
        <w:rPr>
          <w:i/>
        </w:rPr>
        <w:t>Keď sa použije neskôr</w:t>
      </w:r>
    </w:p>
    <w:p w14:paraId="678E4B1D" w14:textId="32A3190C" w:rsidR="00542B0B" w:rsidRPr="00542B0B" w:rsidRDefault="00542B0B" w:rsidP="00711305">
      <w:pPr>
        <w:pStyle w:val="Zkladntext"/>
        <w:spacing w:before="1"/>
        <w:ind w:left="118" w:right="190"/>
      </w:pPr>
      <w:r w:rsidRPr="00542B0B">
        <w:t xml:space="preserve">Keď sa suspenzia </w:t>
      </w:r>
      <w:r w:rsidR="00985427">
        <w:t xml:space="preserve">lieku </w:t>
      </w:r>
      <w:r w:rsidR="00383AE7">
        <w:t>Azacitidine Sandoz</w:t>
      </w:r>
      <w:r w:rsidRPr="00542B0B">
        <w:t xml:space="preserve"> pripraví pomocou vody na injekci</w:t>
      </w:r>
      <w:r w:rsidR="00985427">
        <w:t>e</w:t>
      </w:r>
      <w:r w:rsidRPr="00542B0B">
        <w:t>, ktorá sa neuchovávala v chladničke, suspenzia sa mus</w:t>
      </w:r>
      <w:r w:rsidR="00711305">
        <w:t xml:space="preserve">í odložiť do chladničky (2 °C - </w:t>
      </w:r>
      <w:r w:rsidRPr="00542B0B">
        <w:t>8 °C) ihneď po príprave a musí sa uchovávať</w:t>
      </w:r>
      <w:r w:rsidR="00711305">
        <w:t xml:space="preserve"> v chladničke maximálne po dobu 24</w:t>
      </w:r>
      <w:r w:rsidRPr="00542B0B">
        <w:t xml:space="preserve"> hodín.</w:t>
      </w:r>
    </w:p>
    <w:p w14:paraId="58E48CF2" w14:textId="77777777" w:rsidR="00711305" w:rsidRDefault="00711305" w:rsidP="00542B0B">
      <w:pPr>
        <w:pStyle w:val="Zkladntext"/>
        <w:spacing w:before="1"/>
        <w:ind w:left="118" w:right="190"/>
      </w:pPr>
    </w:p>
    <w:p w14:paraId="530011F4" w14:textId="6D945073" w:rsidR="00542B0B" w:rsidRPr="00542B0B" w:rsidRDefault="00542B0B" w:rsidP="00542B0B">
      <w:pPr>
        <w:pStyle w:val="Zkladntext"/>
        <w:spacing w:before="1"/>
        <w:ind w:left="118" w:right="190"/>
      </w:pPr>
      <w:r w:rsidRPr="00542B0B">
        <w:t xml:space="preserve">Keď sa suspenzia </w:t>
      </w:r>
      <w:r w:rsidR="00985427">
        <w:t xml:space="preserve">lieku </w:t>
      </w:r>
      <w:r w:rsidR="00383AE7">
        <w:t>Azacitidine Sandoz</w:t>
      </w:r>
      <w:r w:rsidRPr="00542B0B">
        <w:t xml:space="preserve"> pripraví pomocou vody na injekci</w:t>
      </w:r>
      <w:r w:rsidR="00985427">
        <w:t>e</w:t>
      </w:r>
      <w:r w:rsidRPr="00542B0B">
        <w:t xml:space="preserve">, ktorá sa </w:t>
      </w:r>
      <w:r w:rsidR="00711305">
        <w:t>uchovávala v chladničke (2 °C -</w:t>
      </w:r>
      <w:r w:rsidRPr="00542B0B">
        <w:t xml:space="preserve"> 8 °C), suspenzia sa mus</w:t>
      </w:r>
      <w:r w:rsidR="00711305">
        <w:t xml:space="preserve">í odložiť do chladničky (2 °C - </w:t>
      </w:r>
      <w:r w:rsidRPr="00542B0B">
        <w:t>8 °C) ihneď po príprave a musí sa uchovávať v</w:t>
      </w:r>
      <w:r w:rsidR="00711305">
        <w:t xml:space="preserve"> chladničke maximálne po dobu 36</w:t>
      </w:r>
      <w:r w:rsidRPr="00542B0B">
        <w:t xml:space="preserve"> hodín</w:t>
      </w:r>
      <w:r w:rsidR="00711305">
        <w:t xml:space="preserve"> v </w:t>
      </w:r>
      <w:r w:rsidR="00323738" w:rsidRPr="00323738">
        <w:t xml:space="preserve">injekčnej </w:t>
      </w:r>
      <w:r w:rsidR="00711305" w:rsidRPr="00323738">
        <w:t>liekovke</w:t>
      </w:r>
      <w:r w:rsidR="00711305">
        <w:t xml:space="preserve"> a po dobu 30 hodín pri 2 °C - </w:t>
      </w:r>
      <w:r w:rsidR="00711305" w:rsidRPr="00542B0B">
        <w:t>8 °C</w:t>
      </w:r>
      <w:r w:rsidR="00711305">
        <w:t xml:space="preserve"> v </w:t>
      </w:r>
      <w:r w:rsidR="00985427">
        <w:t xml:space="preserve">injekčnej </w:t>
      </w:r>
      <w:r w:rsidR="00711305">
        <w:t>striekačke</w:t>
      </w:r>
      <w:r w:rsidRPr="00542B0B">
        <w:t>.</w:t>
      </w:r>
    </w:p>
    <w:p w14:paraId="44BDA903" w14:textId="77777777" w:rsidR="00542B0B" w:rsidRPr="00542B0B" w:rsidRDefault="00542B0B" w:rsidP="00542B0B">
      <w:pPr>
        <w:pStyle w:val="Zkladntext"/>
        <w:spacing w:before="2"/>
      </w:pPr>
    </w:p>
    <w:p w14:paraId="3B09BD18" w14:textId="6DDF326D" w:rsidR="00542B0B" w:rsidRPr="00542B0B" w:rsidRDefault="00542B0B" w:rsidP="00542B0B">
      <w:pPr>
        <w:pStyle w:val="Zkladntext"/>
        <w:spacing w:line="482" w:lineRule="auto"/>
        <w:ind w:left="118" w:right="656"/>
      </w:pPr>
      <w:r w:rsidRPr="00542B0B">
        <w:t xml:space="preserve">Suspenzia sa má pred podaním ponechať pri izbovej teplote (20 °C-25 °C) po dobu až 30 minút. Ak suspenzia obsahuje veľké častice, </w:t>
      </w:r>
      <w:r w:rsidR="00985427">
        <w:t>má sa</w:t>
      </w:r>
      <w:r w:rsidRPr="00542B0B">
        <w:t xml:space="preserve"> zlikvidovať.</w:t>
      </w:r>
    </w:p>
    <w:p w14:paraId="7FA815DC" w14:textId="77777777" w:rsidR="00542B0B" w:rsidRPr="00542B0B" w:rsidRDefault="002850C6" w:rsidP="002850C6">
      <w:pPr>
        <w:pStyle w:val="Nadpis1"/>
        <w:numPr>
          <w:ilvl w:val="0"/>
          <w:numId w:val="6"/>
        </w:numPr>
        <w:tabs>
          <w:tab w:val="left" w:pos="685"/>
          <w:tab w:val="left" w:pos="686"/>
        </w:tabs>
        <w:spacing w:before="11" w:line="510" w:lineRule="atLeast"/>
        <w:ind w:right="5360"/>
      </w:pPr>
      <w:r>
        <w:t xml:space="preserve">   </w:t>
      </w:r>
      <w:r w:rsidR="00542B0B" w:rsidRPr="00542B0B">
        <w:t xml:space="preserve">Obsah balenia a ďalšie informácie Čo </w:t>
      </w:r>
      <w:r w:rsidR="00EB521E">
        <w:t>Azacitidine Sandoz</w:t>
      </w:r>
      <w:r w:rsidR="00542B0B" w:rsidRPr="00542B0B">
        <w:rPr>
          <w:spacing w:val="-6"/>
        </w:rPr>
        <w:t xml:space="preserve"> </w:t>
      </w:r>
      <w:r w:rsidR="00542B0B" w:rsidRPr="00542B0B">
        <w:t>obsahuje</w:t>
      </w:r>
    </w:p>
    <w:p w14:paraId="6E5B9873" w14:textId="269E7A1B" w:rsidR="009F5DE6" w:rsidRPr="009F5DE6" w:rsidRDefault="00542B0B" w:rsidP="00614E68">
      <w:pPr>
        <w:pStyle w:val="Odsekzoznamu"/>
        <w:numPr>
          <w:ilvl w:val="0"/>
          <w:numId w:val="7"/>
        </w:numPr>
        <w:tabs>
          <w:tab w:val="left" w:pos="679"/>
          <w:tab w:val="left" w:pos="680"/>
        </w:tabs>
        <w:spacing w:before="73"/>
        <w:ind w:right="484"/>
      </w:pPr>
      <w:r w:rsidRPr="00542B0B">
        <w:t xml:space="preserve">Liečivo je azacitidín. Jedna injekčná liekovka obsahuje 100 mg </w:t>
      </w:r>
      <w:r w:rsidR="0035055F">
        <w:t xml:space="preserve">azacitidínu. Po rekonštitúcii </w:t>
      </w:r>
      <w:r w:rsidRPr="00542B0B">
        <w:t>so 4 ml vody na injekci</w:t>
      </w:r>
      <w:r w:rsidR="00323738">
        <w:t>e</w:t>
      </w:r>
      <w:r w:rsidRPr="00542B0B">
        <w:t xml:space="preserve"> obsahuje rekonštituovaná suspenzia 25 mg/ml</w:t>
      </w:r>
      <w:r w:rsidRPr="009F5DE6">
        <w:rPr>
          <w:spacing w:val="-19"/>
        </w:rPr>
        <w:t xml:space="preserve"> </w:t>
      </w:r>
      <w:r w:rsidRPr="00542B0B">
        <w:t>azacitidínu</w:t>
      </w:r>
      <w:r w:rsidRPr="009F5DE6">
        <w:rPr>
          <w:i/>
        </w:rPr>
        <w:t>.</w:t>
      </w:r>
    </w:p>
    <w:p w14:paraId="4AF4539C" w14:textId="77777777" w:rsidR="00542B0B" w:rsidRPr="00542B0B" w:rsidRDefault="00542B0B" w:rsidP="0035055F">
      <w:pPr>
        <w:pStyle w:val="Odsekzoznamu"/>
        <w:numPr>
          <w:ilvl w:val="0"/>
          <w:numId w:val="8"/>
        </w:numPr>
        <w:tabs>
          <w:tab w:val="left" w:pos="679"/>
          <w:tab w:val="left" w:pos="680"/>
        </w:tabs>
        <w:spacing w:before="73"/>
        <w:ind w:right="484"/>
      </w:pPr>
      <w:r w:rsidRPr="00542B0B">
        <w:t>Ďalšia zložka je manitol</w:t>
      </w:r>
      <w:r w:rsidRPr="009F5DE6">
        <w:rPr>
          <w:spacing w:val="-7"/>
        </w:rPr>
        <w:t xml:space="preserve"> </w:t>
      </w:r>
      <w:r w:rsidRPr="00542B0B">
        <w:t>(E421).</w:t>
      </w:r>
    </w:p>
    <w:p w14:paraId="1A386DCD" w14:textId="77777777" w:rsidR="00542B0B" w:rsidRPr="00542B0B" w:rsidRDefault="00542B0B" w:rsidP="00542B0B">
      <w:pPr>
        <w:pStyle w:val="Zkladntext"/>
        <w:spacing w:before="6"/>
      </w:pPr>
    </w:p>
    <w:p w14:paraId="01D91B0E" w14:textId="77777777" w:rsidR="00542B0B" w:rsidRPr="00542B0B" w:rsidRDefault="00542B0B" w:rsidP="00542B0B">
      <w:pPr>
        <w:pStyle w:val="Nadpis1"/>
        <w:ind w:left="118"/>
      </w:pPr>
      <w:r w:rsidRPr="00542B0B">
        <w:t xml:space="preserve">Ako vyzerá </w:t>
      </w:r>
      <w:r w:rsidR="00EB521E">
        <w:t>Azacitidine Sandoz</w:t>
      </w:r>
      <w:r w:rsidRPr="00542B0B">
        <w:t xml:space="preserve"> a obsah balenia</w:t>
      </w:r>
    </w:p>
    <w:p w14:paraId="00EFA9CD" w14:textId="28BF370D" w:rsidR="00542B0B" w:rsidRPr="00542B0B" w:rsidRDefault="00EB521E" w:rsidP="00542B0B">
      <w:pPr>
        <w:pStyle w:val="Zkladntext"/>
        <w:ind w:left="118" w:right="1254"/>
      </w:pPr>
      <w:r>
        <w:t>Azacitidine Sandoz</w:t>
      </w:r>
      <w:r w:rsidR="00542B0B" w:rsidRPr="00542B0B">
        <w:t xml:space="preserve"> je biely prášok na injekčnú suspenziu a dodáva sa v sklenenej injekčnej liekovke </w:t>
      </w:r>
      <w:r w:rsidR="00C46463">
        <w:t xml:space="preserve">s gumovou zátkou a hliníkovým uzáverom s plastovým vyklápacím viečkom, </w:t>
      </w:r>
      <w:r w:rsidR="00542B0B" w:rsidRPr="00542B0B">
        <w:t>obsahujúcej 100</w:t>
      </w:r>
      <w:r w:rsidR="00C46463">
        <w:t xml:space="preserve"> mg azacitidínu. </w:t>
      </w:r>
      <w:r w:rsidR="00323738">
        <w:t>Injekčná l</w:t>
      </w:r>
      <w:r w:rsidR="00C46463">
        <w:t>iekovka je balená do papierovej škatuľky.</w:t>
      </w:r>
    </w:p>
    <w:p w14:paraId="0551DC6B" w14:textId="77777777" w:rsidR="00542B0B" w:rsidRDefault="00542B0B" w:rsidP="00542B0B">
      <w:pPr>
        <w:pStyle w:val="Zkladntext"/>
        <w:spacing w:before="7"/>
      </w:pPr>
    </w:p>
    <w:p w14:paraId="3081AF29" w14:textId="68929B90" w:rsidR="00C46463" w:rsidRDefault="00C46463" w:rsidP="00542B0B">
      <w:pPr>
        <w:pStyle w:val="Zkladntext"/>
        <w:spacing w:before="7"/>
      </w:pPr>
      <w:r>
        <w:t xml:space="preserve">  Veľkosť balenia: 1</w:t>
      </w:r>
      <w:r w:rsidR="00323738">
        <w:t xml:space="preserve"> injekčná</w:t>
      </w:r>
      <w:r>
        <w:t xml:space="preserve"> liekovka</w:t>
      </w:r>
    </w:p>
    <w:p w14:paraId="7A298ABE" w14:textId="77777777" w:rsidR="00C46463" w:rsidRPr="00542B0B" w:rsidRDefault="00C46463" w:rsidP="00542B0B">
      <w:pPr>
        <w:pStyle w:val="Zkladntext"/>
        <w:spacing w:before="7"/>
      </w:pPr>
      <w:r>
        <w:t xml:space="preserve"> </w:t>
      </w:r>
    </w:p>
    <w:p w14:paraId="26BC9F0D" w14:textId="77777777" w:rsidR="00EE604E" w:rsidRPr="00EE604E" w:rsidRDefault="00542B0B" w:rsidP="00EE604E">
      <w:pPr>
        <w:pStyle w:val="Nadpis1"/>
        <w:ind w:left="118"/>
      </w:pPr>
      <w:r w:rsidRPr="00542B0B">
        <w:t>Dr</w:t>
      </w:r>
      <w:r w:rsidR="00EE604E" w:rsidRPr="00EE604E">
        <w:t>žiteľ rozhodnutia o registrácii výrobca</w:t>
      </w:r>
    </w:p>
    <w:p w14:paraId="2D2E6B4C" w14:textId="77777777" w:rsidR="00EE604E" w:rsidRDefault="00EE604E" w:rsidP="00542B0B">
      <w:pPr>
        <w:spacing w:line="244" w:lineRule="auto"/>
        <w:ind w:left="118" w:right="6112"/>
      </w:pPr>
    </w:p>
    <w:p w14:paraId="68D71793" w14:textId="77777777" w:rsidR="00EE604E" w:rsidRDefault="00EE604E" w:rsidP="00542B0B">
      <w:pPr>
        <w:spacing w:line="244" w:lineRule="auto"/>
        <w:ind w:left="118" w:right="6112"/>
      </w:pPr>
      <w:r>
        <w:t>Držiteľ rozhodnutia o registrácii</w:t>
      </w:r>
    </w:p>
    <w:p w14:paraId="1EB061DC" w14:textId="77777777" w:rsidR="00C46463" w:rsidRDefault="00C46463" w:rsidP="00542B0B">
      <w:pPr>
        <w:spacing w:line="244" w:lineRule="auto"/>
        <w:ind w:left="118" w:right="6112"/>
      </w:pPr>
      <w:r>
        <w:lastRenderedPageBreak/>
        <w:t>Sandoz Pharmaceuticals d.d.</w:t>
      </w:r>
    </w:p>
    <w:p w14:paraId="6FA6E745" w14:textId="77777777" w:rsidR="00C46463" w:rsidRDefault="00C46463" w:rsidP="00C46463">
      <w:pPr>
        <w:spacing w:line="244" w:lineRule="auto"/>
        <w:ind w:left="118" w:right="6112"/>
      </w:pPr>
      <w:r>
        <w:t>Verovškova 57</w:t>
      </w:r>
    </w:p>
    <w:p w14:paraId="710344AA" w14:textId="77777777" w:rsidR="00C46463" w:rsidRDefault="00C46463" w:rsidP="00C46463">
      <w:pPr>
        <w:spacing w:line="244" w:lineRule="auto"/>
        <w:ind w:left="118" w:right="6112"/>
      </w:pPr>
      <w:r>
        <w:t>1000 Ľubľana</w:t>
      </w:r>
    </w:p>
    <w:p w14:paraId="256E1EAD" w14:textId="77777777" w:rsidR="00542B0B" w:rsidRPr="00542B0B" w:rsidRDefault="00C46463" w:rsidP="00C46463">
      <w:pPr>
        <w:spacing w:line="244" w:lineRule="auto"/>
        <w:ind w:left="118" w:right="6112"/>
      </w:pPr>
      <w:r>
        <w:t>Slovinsko</w:t>
      </w:r>
    </w:p>
    <w:p w14:paraId="0C9BA280" w14:textId="77777777" w:rsidR="00542B0B" w:rsidRPr="00542B0B" w:rsidRDefault="00542B0B" w:rsidP="00542B0B">
      <w:pPr>
        <w:pStyle w:val="Zkladntext"/>
        <w:spacing w:before="6"/>
      </w:pPr>
    </w:p>
    <w:p w14:paraId="49B5BF33" w14:textId="77777777" w:rsidR="00542B0B" w:rsidRPr="001369BA" w:rsidRDefault="00542B0B" w:rsidP="001369BA">
      <w:pPr>
        <w:spacing w:line="244" w:lineRule="auto"/>
        <w:ind w:left="118" w:right="6112"/>
      </w:pPr>
      <w:r w:rsidRPr="001369BA">
        <w:t>Výrobca</w:t>
      </w:r>
    </w:p>
    <w:p w14:paraId="5C74D1EE" w14:textId="4AAFAE03" w:rsidR="001369BA" w:rsidRPr="001369BA" w:rsidRDefault="001369BA" w:rsidP="001369BA">
      <w:pPr>
        <w:spacing w:line="244" w:lineRule="auto"/>
        <w:ind w:left="118" w:right="6112"/>
      </w:pPr>
      <w:r w:rsidRPr="001369BA">
        <w:t xml:space="preserve">Lek Pharmaceuticals d.d. </w:t>
      </w:r>
    </w:p>
    <w:p w14:paraId="08A67F77" w14:textId="77777777" w:rsidR="001369BA" w:rsidRPr="001369BA" w:rsidRDefault="001369BA" w:rsidP="001369BA">
      <w:pPr>
        <w:spacing w:line="244" w:lineRule="auto"/>
        <w:ind w:left="118" w:right="6112"/>
      </w:pPr>
      <w:r>
        <w:t xml:space="preserve">Verovškova </w:t>
      </w:r>
      <w:r w:rsidRPr="001369BA">
        <w:t>57</w:t>
      </w:r>
    </w:p>
    <w:p w14:paraId="7674B033" w14:textId="77777777" w:rsidR="001369BA" w:rsidRPr="001369BA" w:rsidRDefault="001369BA" w:rsidP="001369BA">
      <w:pPr>
        <w:spacing w:line="244" w:lineRule="auto"/>
        <w:ind w:left="118" w:right="6112"/>
      </w:pPr>
      <w:r w:rsidRPr="001369BA">
        <w:t xml:space="preserve">1526 </w:t>
      </w:r>
      <w:r>
        <w:t>Ľubľana</w:t>
      </w:r>
    </w:p>
    <w:p w14:paraId="759888AA" w14:textId="77777777" w:rsidR="001369BA" w:rsidRPr="001369BA" w:rsidRDefault="001369BA" w:rsidP="001369BA">
      <w:pPr>
        <w:spacing w:line="244" w:lineRule="auto"/>
        <w:ind w:left="118" w:right="6112"/>
      </w:pPr>
      <w:r>
        <w:t>Slovinsko</w:t>
      </w:r>
    </w:p>
    <w:p w14:paraId="77BFD093" w14:textId="77777777" w:rsidR="001369BA" w:rsidRDefault="001369BA" w:rsidP="001369BA">
      <w:pPr>
        <w:spacing w:line="244" w:lineRule="auto"/>
        <w:ind w:left="118" w:right="6112"/>
      </w:pPr>
    </w:p>
    <w:p w14:paraId="14B18A1F" w14:textId="77777777" w:rsidR="001369BA" w:rsidRDefault="001369BA" w:rsidP="001369BA">
      <w:pPr>
        <w:spacing w:line="244" w:lineRule="auto"/>
        <w:ind w:left="118" w:right="6112"/>
      </w:pPr>
      <w:r>
        <w:t>Pharmadox Healthcare Ltd.</w:t>
      </w:r>
    </w:p>
    <w:p w14:paraId="7A0C7E55" w14:textId="77777777" w:rsidR="001369BA" w:rsidRPr="001369BA" w:rsidRDefault="001369BA" w:rsidP="001369BA">
      <w:pPr>
        <w:spacing w:line="244" w:lineRule="auto"/>
        <w:ind w:left="118" w:right="6112"/>
      </w:pPr>
      <w:r w:rsidRPr="001369BA">
        <w:t>KW20A Kordin Industrial Park</w:t>
      </w:r>
    </w:p>
    <w:p w14:paraId="4C577020" w14:textId="77777777" w:rsidR="001369BA" w:rsidRDefault="001369BA" w:rsidP="001369BA">
      <w:pPr>
        <w:spacing w:line="244" w:lineRule="auto"/>
        <w:ind w:left="118" w:right="6112"/>
      </w:pPr>
      <w:r>
        <w:t xml:space="preserve">Paola PLA 3000 </w:t>
      </w:r>
    </w:p>
    <w:p w14:paraId="51754F2B" w14:textId="77777777" w:rsidR="001369BA" w:rsidRDefault="001369BA" w:rsidP="001369BA">
      <w:pPr>
        <w:spacing w:line="244" w:lineRule="auto"/>
        <w:ind w:left="118" w:right="6112"/>
      </w:pPr>
      <w:r>
        <w:t>Malta</w:t>
      </w:r>
    </w:p>
    <w:p w14:paraId="1C6B12C5" w14:textId="77777777" w:rsidR="001369BA" w:rsidRDefault="001369BA" w:rsidP="001369BA">
      <w:pPr>
        <w:spacing w:line="244" w:lineRule="auto"/>
        <w:ind w:left="118" w:right="6112"/>
      </w:pPr>
    </w:p>
    <w:p w14:paraId="52BBC37E" w14:textId="77777777" w:rsidR="001369BA" w:rsidRPr="001369BA" w:rsidRDefault="001369BA" w:rsidP="001369BA">
      <w:pPr>
        <w:spacing w:line="244" w:lineRule="auto"/>
        <w:ind w:left="118" w:right="6112"/>
      </w:pPr>
      <w:r w:rsidRPr="001369BA">
        <w:t>Salutas Pharma GmbH</w:t>
      </w:r>
    </w:p>
    <w:p w14:paraId="08478DE5" w14:textId="77777777" w:rsidR="001369BA" w:rsidRPr="001369BA" w:rsidRDefault="001369BA" w:rsidP="001369BA">
      <w:pPr>
        <w:spacing w:line="244" w:lineRule="auto"/>
        <w:ind w:left="118" w:right="6112"/>
      </w:pPr>
      <w:r w:rsidRPr="001369BA">
        <w:t>Otto-von-Guericke-Allee 1</w:t>
      </w:r>
    </w:p>
    <w:p w14:paraId="3C1B4ADB" w14:textId="77777777" w:rsidR="001369BA" w:rsidRPr="001369BA" w:rsidRDefault="001369BA" w:rsidP="001369BA">
      <w:pPr>
        <w:spacing w:line="244" w:lineRule="auto"/>
        <w:ind w:left="118" w:right="6112"/>
      </w:pPr>
      <w:r>
        <w:t>39179 Barleben</w:t>
      </w:r>
    </w:p>
    <w:p w14:paraId="7E138407" w14:textId="77777777" w:rsidR="001369BA" w:rsidRPr="001369BA" w:rsidRDefault="001369BA" w:rsidP="001369BA">
      <w:pPr>
        <w:spacing w:line="244" w:lineRule="auto"/>
        <w:ind w:left="118" w:right="6112"/>
      </w:pPr>
      <w:r>
        <w:t>Nemecko</w:t>
      </w:r>
    </w:p>
    <w:p w14:paraId="4DBD03E4" w14:textId="77777777" w:rsidR="00542B0B" w:rsidRPr="00542B0B" w:rsidRDefault="00542B0B" w:rsidP="00542B0B">
      <w:pPr>
        <w:pStyle w:val="Zkladntext"/>
      </w:pPr>
    </w:p>
    <w:p w14:paraId="2A9791C6" w14:textId="77777777" w:rsidR="00BB3DB6" w:rsidRPr="00AB6135" w:rsidRDefault="00BB3DB6" w:rsidP="00BB3DB6">
      <w:pPr>
        <w:numPr>
          <w:ilvl w:val="12"/>
          <w:numId w:val="0"/>
        </w:numPr>
        <w:ind w:left="142" w:right="-2"/>
        <w:rPr>
          <w:b/>
          <w:bCs/>
        </w:rPr>
      </w:pPr>
      <w:r w:rsidRPr="00AB6135">
        <w:rPr>
          <w:b/>
          <w:bCs/>
        </w:rPr>
        <w:t>Liek je schválený v členských štátoch Európskeho hospodárskeho priestoru (EHP) pod nasledovnými názvami:</w:t>
      </w:r>
    </w:p>
    <w:p w14:paraId="13C02C7A" w14:textId="77777777" w:rsidR="00BB3DB6" w:rsidRPr="00AB6135" w:rsidRDefault="00BB3DB6" w:rsidP="00BB3DB6">
      <w:pPr>
        <w:adjustRightInd w:val="0"/>
        <w:ind w:left="142"/>
        <w:rPr>
          <w:rFonts w:eastAsia="TimesNewRoman"/>
        </w:rPr>
      </w:pPr>
    </w:p>
    <w:p w14:paraId="4E770C1A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Holandsko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 25 mg/ml, poeder voor suspensie voor injectie</w:t>
      </w:r>
    </w:p>
    <w:p w14:paraId="48181BBC" w14:textId="77777777" w:rsidR="00BB3DB6" w:rsidRDefault="00BB3DB6" w:rsidP="00BB3DB6">
      <w:pPr>
        <w:adjustRightInd w:val="0"/>
        <w:ind w:left="720" w:hanging="578"/>
        <w:rPr>
          <w:rFonts w:eastAsia="TimesNewRoman"/>
        </w:rPr>
      </w:pPr>
      <w:r>
        <w:rPr>
          <w:rFonts w:eastAsia="TimesNewRoman"/>
        </w:rPr>
        <w:t>Rakúsko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 xml:space="preserve">Azacitidin Sandoz 25 mg/ml – Pulver zur Herstellung einer </w:t>
      </w:r>
    </w:p>
    <w:p w14:paraId="5FECD06A" w14:textId="77777777" w:rsidR="00BB3DB6" w:rsidRDefault="00BB3DB6" w:rsidP="00BB3DB6">
      <w:pPr>
        <w:adjustRightInd w:val="0"/>
        <w:ind w:left="720" w:hanging="578"/>
        <w:rPr>
          <w:rFonts w:eastAsia="TimesNewRoman"/>
        </w:rPr>
      </w:pPr>
      <w:r>
        <w:rPr>
          <w:rFonts w:eastAsia="TimesNewRoman"/>
        </w:rPr>
        <w:t xml:space="preserve">                                                  Injektionssuspension</w:t>
      </w:r>
    </w:p>
    <w:p w14:paraId="1B045989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Belgicko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 Sandoz 25 mg/ml poeder voor suspensie voor injectie</w:t>
      </w:r>
    </w:p>
    <w:p w14:paraId="10EBAD3F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Bulharsko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E4735C">
        <w:rPr>
          <w:lang w:val="bg-BG"/>
        </w:rPr>
        <w:t xml:space="preserve">Азацитидин Сандоз </w:t>
      </w:r>
      <w:r w:rsidRPr="00E4735C">
        <w:rPr>
          <w:lang w:val="nl-NL"/>
        </w:rPr>
        <w:t xml:space="preserve">25 mg/ml </w:t>
      </w:r>
      <w:r w:rsidRPr="00E4735C">
        <w:t>прах</w:t>
      </w:r>
      <w:r w:rsidRPr="00E4735C">
        <w:rPr>
          <w:lang w:val="nl-NL"/>
        </w:rPr>
        <w:t xml:space="preserve"> </w:t>
      </w:r>
      <w:r w:rsidRPr="00E4735C">
        <w:t>за</w:t>
      </w:r>
      <w:r w:rsidRPr="00E4735C">
        <w:rPr>
          <w:lang w:val="nl-NL"/>
        </w:rPr>
        <w:t xml:space="preserve"> </w:t>
      </w:r>
      <w:r w:rsidRPr="00E4735C">
        <w:t>инжекционна</w:t>
      </w:r>
      <w:r w:rsidRPr="00E4735C">
        <w:rPr>
          <w:lang w:val="nl-NL"/>
        </w:rPr>
        <w:t xml:space="preserve"> </w:t>
      </w:r>
      <w:r w:rsidRPr="00E4735C">
        <w:t>суспензия</w:t>
      </w:r>
    </w:p>
    <w:p w14:paraId="3C620083" w14:textId="5DDA23E6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Česk</w:t>
      </w:r>
      <w:r w:rsidR="004C4614">
        <w:rPr>
          <w:rFonts w:eastAsia="TimesNewRoman"/>
        </w:rPr>
        <w:t>á republika</w:t>
      </w:r>
      <w:r>
        <w:rPr>
          <w:rFonts w:eastAsia="TimesNewRoman"/>
        </w:rPr>
        <w:t xml:space="preserve">   </w:t>
      </w:r>
      <w:r w:rsidR="00536A25">
        <w:rPr>
          <w:rFonts w:eastAsia="TimesNewRoman"/>
        </w:rPr>
        <w:tab/>
      </w:r>
      <w:r w:rsidR="00536A25">
        <w:rPr>
          <w:rFonts w:eastAsia="TimesNewRoman"/>
        </w:rPr>
        <w:tab/>
      </w:r>
      <w:r>
        <w:rPr>
          <w:rFonts w:eastAsia="TimesNewRoman"/>
        </w:rPr>
        <w:t>Azacitidin</w:t>
      </w:r>
      <w:r w:rsidRPr="00AB6135">
        <w:rPr>
          <w:rFonts w:eastAsia="TimesNewRoman"/>
        </w:rPr>
        <w:t xml:space="preserve"> </w:t>
      </w:r>
      <w:r>
        <w:rPr>
          <w:rFonts w:eastAsia="TimesNewRoman"/>
        </w:rPr>
        <w:t>Sandoz</w:t>
      </w:r>
    </w:p>
    <w:p w14:paraId="16BA6507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Nemecko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 xml:space="preserve">Azacitidin HEXAL 25 mg/ml Pulver zur Herstellung einer           </w:t>
      </w:r>
    </w:p>
    <w:p w14:paraId="07C2834E" w14:textId="77777777" w:rsidR="00BB3DB6" w:rsidRPr="00AB6135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 xml:space="preserve">                                                  Injektionssuspension</w:t>
      </w:r>
    </w:p>
    <w:p w14:paraId="4C33FEEF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Dánsko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</w:t>
      </w:r>
    </w:p>
    <w:p w14:paraId="01C7E820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Grécko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E4735C">
        <w:rPr>
          <w:lang w:val="nl-NL"/>
        </w:rPr>
        <w:t xml:space="preserve">Azacitidine/Sandoz 25 mg/ml </w:t>
      </w:r>
      <w:r w:rsidRPr="00830D6E">
        <w:t>κόνις</w:t>
      </w:r>
      <w:r w:rsidRPr="00E4735C">
        <w:rPr>
          <w:lang w:val="nl-NL"/>
        </w:rPr>
        <w:t xml:space="preserve"> </w:t>
      </w:r>
      <w:r w:rsidRPr="00830D6E">
        <w:t>για</w:t>
      </w:r>
      <w:r w:rsidRPr="00E4735C">
        <w:rPr>
          <w:lang w:val="nl-NL"/>
        </w:rPr>
        <w:t xml:space="preserve"> </w:t>
      </w:r>
      <w:r w:rsidRPr="00830D6E">
        <w:t>ενέσιμο</w:t>
      </w:r>
      <w:r w:rsidRPr="00E4735C">
        <w:rPr>
          <w:lang w:val="nl-NL"/>
        </w:rPr>
        <w:t xml:space="preserve"> </w:t>
      </w:r>
      <w:r w:rsidRPr="00830D6E">
        <w:t>εναιώρημα</w:t>
      </w:r>
    </w:p>
    <w:p w14:paraId="6D20CA2C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Španielsko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Azacitidina Sandoz 25 mg/ml polvo para suspensión inyectable EFG</w:t>
      </w:r>
    </w:p>
    <w:p w14:paraId="1DF8DCD2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Fínsko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</w:t>
      </w:r>
    </w:p>
    <w:p w14:paraId="6F3C1ECE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Francúzsko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 25 mg/ml poudre pour suspension injectable</w:t>
      </w:r>
    </w:p>
    <w:p w14:paraId="7076BFB7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Chorvátsko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 Sandoz 25 mg/ml prašak za suspenziju za injekciju</w:t>
      </w:r>
    </w:p>
    <w:p w14:paraId="16A5CB7D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Maďarsko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E4735C">
        <w:rPr>
          <w:lang w:val="nl-NL"/>
        </w:rPr>
        <w:t>Azacitidin Sandoz 25 mg/ml por szuszpenziós injekcióhoz</w:t>
      </w:r>
    </w:p>
    <w:p w14:paraId="717C458F" w14:textId="77777777" w:rsidR="00BB3DB6" w:rsidRDefault="00BB3DB6" w:rsidP="00BB3DB6">
      <w:r>
        <w:rPr>
          <w:rFonts w:eastAsia="TimesNewRoman"/>
        </w:rPr>
        <w:t xml:space="preserve">   Írsko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830D6E">
        <w:t>Azacitidine Rowex 25 mg/ml Powder for suspension for injection</w:t>
      </w:r>
    </w:p>
    <w:p w14:paraId="47858645" w14:textId="77777777" w:rsidR="00BB3DB6" w:rsidRPr="00830D6E" w:rsidRDefault="00BB3DB6" w:rsidP="00BB3DB6">
      <w:r>
        <w:t xml:space="preserve">   Island</w:t>
      </w:r>
      <w:r>
        <w:tab/>
      </w:r>
      <w:r>
        <w:tab/>
      </w:r>
      <w:r>
        <w:tab/>
      </w:r>
      <w:r>
        <w:tab/>
        <w:t>Azacitidine Sandoz</w:t>
      </w:r>
    </w:p>
    <w:p w14:paraId="687CE0B4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Taliansko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</w:t>
      </w:r>
    </w:p>
    <w:p w14:paraId="19C538DA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Nórsko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</w:t>
      </w:r>
    </w:p>
    <w:p w14:paraId="3E22C668" w14:textId="77777777" w:rsidR="00BB3DB6" w:rsidRPr="00AB6135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Poľsko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Azacitidine Sandoz</w:t>
      </w:r>
    </w:p>
    <w:p w14:paraId="57225AFF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Portugalsko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  <w:t>Azacitidina Sandoz</w:t>
      </w:r>
    </w:p>
    <w:p w14:paraId="5C09D2F5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Rumunsko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830D6E">
        <w:t>Azacitidină Sandoz 25 mg/ml pulbere pentru suspensie injectabilă</w:t>
      </w:r>
    </w:p>
    <w:p w14:paraId="7FEEF789" w14:textId="77777777" w:rsidR="00BB3DB6" w:rsidRPr="00884D42" w:rsidRDefault="00BB3DB6" w:rsidP="00BB3DB6">
      <w:pPr>
        <w:adjustRightInd w:val="0"/>
        <w:ind w:left="142"/>
      </w:pPr>
      <w:r>
        <w:rPr>
          <w:rFonts w:eastAsia="TimesNewRoman"/>
        </w:rPr>
        <w:t>Švédsko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830D6E">
        <w:t>Azacitidine Sandoz</w:t>
      </w:r>
    </w:p>
    <w:p w14:paraId="0D9B509D" w14:textId="77777777" w:rsidR="00BB3DB6" w:rsidRDefault="00BB3DB6" w:rsidP="00BB3DB6">
      <w:pPr>
        <w:adjustRightInd w:val="0"/>
        <w:ind w:left="142"/>
        <w:rPr>
          <w:rFonts w:eastAsia="TimesNewRoman"/>
        </w:rPr>
      </w:pPr>
      <w:r>
        <w:rPr>
          <w:rFonts w:eastAsia="TimesNewRoman"/>
        </w:rPr>
        <w:t>Slovinsko</w:t>
      </w:r>
      <w:r>
        <w:rPr>
          <w:rFonts w:eastAsia="TimesNewRoman"/>
        </w:rPr>
        <w:tab/>
      </w:r>
      <w:r>
        <w:rPr>
          <w:rFonts w:eastAsia="TimesNewRoman"/>
        </w:rPr>
        <w:tab/>
      </w:r>
      <w:r>
        <w:rPr>
          <w:rFonts w:eastAsia="TimesNewRoman"/>
        </w:rPr>
        <w:tab/>
      </w:r>
      <w:r w:rsidRPr="00052655">
        <w:rPr>
          <w:lang w:val="nl-NL"/>
        </w:rPr>
        <w:t xml:space="preserve">Azacitidin Sandoz </w:t>
      </w:r>
      <w:r w:rsidRPr="00830D6E">
        <w:rPr>
          <w:lang w:val="de-AT"/>
        </w:rPr>
        <w:t>25 mg/ml prašek za suspenzijo za injiciranje</w:t>
      </w:r>
    </w:p>
    <w:p w14:paraId="1A7044AB" w14:textId="77777777" w:rsidR="00BB3DB6" w:rsidRDefault="00BB3DB6" w:rsidP="00BB3DB6">
      <w:pPr>
        <w:ind w:left="142"/>
        <w:rPr>
          <w:snapToGrid w:val="0"/>
          <w:color w:val="000000"/>
          <w:lang w:val="en-AU"/>
        </w:rPr>
      </w:pPr>
      <w:r w:rsidRPr="00AB6135">
        <w:rPr>
          <w:rFonts w:eastAsia="TimesNewRoman"/>
        </w:rPr>
        <w:t>Slovensko</w:t>
      </w:r>
      <w:r w:rsidRPr="00AB6135">
        <w:rPr>
          <w:rFonts w:eastAsia="TimesNewRoman"/>
        </w:rPr>
        <w:tab/>
      </w:r>
      <w:r w:rsidRPr="00AB6135">
        <w:rPr>
          <w:rFonts w:eastAsia="TimesNewRoman"/>
        </w:rPr>
        <w:tab/>
      </w:r>
      <w:r w:rsidRPr="00AB6135">
        <w:rPr>
          <w:rFonts w:eastAsia="TimesNewRoman"/>
        </w:rPr>
        <w:tab/>
      </w:r>
      <w:r w:rsidRPr="00052655">
        <w:rPr>
          <w:snapToGrid w:val="0"/>
          <w:color w:val="000000"/>
          <w:lang w:val="en-AU"/>
        </w:rPr>
        <w:t>Azacitidine Sandoz 25 mg/ml powder for suspension for injection</w:t>
      </w:r>
    </w:p>
    <w:p w14:paraId="60071F59" w14:textId="77777777" w:rsidR="00BB3DB6" w:rsidRPr="00383C96" w:rsidRDefault="00BB3DB6" w:rsidP="00BB3DB6">
      <w:pPr>
        <w:ind w:left="142"/>
      </w:pPr>
      <w:r>
        <w:rPr>
          <w:snapToGrid w:val="0"/>
          <w:color w:val="000000"/>
          <w:lang w:val="en-AU"/>
        </w:rPr>
        <w:t>Veľká Británia</w:t>
      </w:r>
      <w:r>
        <w:rPr>
          <w:snapToGrid w:val="0"/>
          <w:color w:val="000000"/>
          <w:lang w:val="en-AU"/>
        </w:rPr>
        <w:tab/>
      </w:r>
      <w:r>
        <w:rPr>
          <w:snapToGrid w:val="0"/>
          <w:color w:val="000000"/>
          <w:lang w:val="en-AU"/>
        </w:rPr>
        <w:tab/>
      </w:r>
      <w:r w:rsidRPr="00052655">
        <w:rPr>
          <w:snapToGrid w:val="0"/>
          <w:color w:val="000000"/>
          <w:lang w:val="en-AU"/>
        </w:rPr>
        <w:t>Azacitidine Sandoz 25 mg/ml powder for suspension for injection</w:t>
      </w:r>
    </w:p>
    <w:p w14:paraId="7C977592" w14:textId="77777777" w:rsidR="00BB3DB6" w:rsidRDefault="00BB3DB6" w:rsidP="00542B0B">
      <w:pPr>
        <w:pStyle w:val="Nadpis1"/>
        <w:ind w:left="118"/>
      </w:pPr>
    </w:p>
    <w:p w14:paraId="49D8651E" w14:textId="10D28039" w:rsidR="00542B0B" w:rsidRPr="00542B0B" w:rsidRDefault="00542B0B" w:rsidP="00542B0B">
      <w:pPr>
        <w:pStyle w:val="Nadpis1"/>
        <w:ind w:left="118"/>
      </w:pPr>
      <w:r w:rsidRPr="00542B0B">
        <w:t>Táto písomná informácia bola naposledy aktualizovaná v</w:t>
      </w:r>
      <w:r w:rsidR="000337DF">
        <w:t xml:space="preserve"> 0</w:t>
      </w:r>
      <w:r w:rsidR="00323738">
        <w:t>5</w:t>
      </w:r>
      <w:r w:rsidR="000F3F25">
        <w:t>/2020.</w:t>
      </w:r>
    </w:p>
    <w:p w14:paraId="0DAC09BE" w14:textId="77777777" w:rsidR="00542B0B" w:rsidRPr="00542B0B" w:rsidRDefault="00542B0B" w:rsidP="00542B0B">
      <w:pPr>
        <w:pStyle w:val="Zkladntext"/>
        <w:spacing w:before="2"/>
      </w:pPr>
    </w:p>
    <w:p w14:paraId="1BFE6956" w14:textId="77777777" w:rsidR="00542B0B" w:rsidRPr="00542B0B" w:rsidRDefault="00542B0B" w:rsidP="00542B0B">
      <w:pPr>
        <w:pStyle w:val="Zkladntext"/>
        <w:ind w:left="118"/>
      </w:pPr>
      <w:r w:rsidRPr="00542B0B">
        <w:t>----------------------------------------------------------------------------------------------------------------------</w:t>
      </w:r>
    </w:p>
    <w:p w14:paraId="0A1BBB46" w14:textId="77777777" w:rsidR="00542B0B" w:rsidRPr="00542B0B" w:rsidRDefault="00542B0B" w:rsidP="00542B0B">
      <w:pPr>
        <w:pStyle w:val="Nadpis1"/>
        <w:spacing w:before="5"/>
        <w:ind w:left="118"/>
      </w:pPr>
      <w:r w:rsidRPr="00542B0B">
        <w:t>Nasledujúca informácia je určená len pre zdravotníckych pracovníkov:</w:t>
      </w:r>
    </w:p>
    <w:p w14:paraId="64EC144A" w14:textId="77777777" w:rsidR="00542B0B" w:rsidRPr="00542B0B" w:rsidRDefault="00542B0B" w:rsidP="00542B0B">
      <w:pPr>
        <w:pStyle w:val="Zkladntext"/>
        <w:spacing w:before="4"/>
        <w:rPr>
          <w:b/>
        </w:rPr>
      </w:pPr>
    </w:p>
    <w:p w14:paraId="4FD34CFF" w14:textId="77777777" w:rsidR="00542B0B" w:rsidRPr="00542B0B" w:rsidRDefault="00542B0B" w:rsidP="00542B0B">
      <w:pPr>
        <w:pStyle w:val="Zkladntext"/>
        <w:ind w:left="118"/>
      </w:pPr>
      <w:r w:rsidRPr="00542B0B">
        <w:rPr>
          <w:u w:val="single"/>
        </w:rPr>
        <w:t>Odporúčania na bezpečné zaobchádzanie s liekom</w:t>
      </w:r>
    </w:p>
    <w:p w14:paraId="783DC4F9" w14:textId="77777777" w:rsidR="00542B0B" w:rsidRPr="00542B0B" w:rsidRDefault="00EB521E" w:rsidP="00542B0B">
      <w:pPr>
        <w:pStyle w:val="Zkladntext"/>
        <w:spacing w:before="1"/>
        <w:ind w:left="118" w:right="546"/>
      </w:pPr>
      <w:r>
        <w:t>Azacitidine Sandoz</w:t>
      </w:r>
      <w:r w:rsidR="00542B0B" w:rsidRPr="00542B0B">
        <w:t xml:space="preserve"> je cytotoxický liek a rovnako ako v prípade iných potenciálne toxických zlúčenín sa počas manipulácie a prípravy suspenzie azacitidínu musí postupovať opatrne. Je potrebné dodržiavať postupy na bezpečnú manipuláciu a likvidáciu protinádorových liekov.</w:t>
      </w:r>
    </w:p>
    <w:p w14:paraId="74BA8BB3" w14:textId="77777777" w:rsidR="00542B0B" w:rsidRPr="00542B0B" w:rsidRDefault="00542B0B" w:rsidP="00542B0B">
      <w:pPr>
        <w:pStyle w:val="Zkladntext"/>
        <w:spacing w:before="1"/>
        <w:ind w:left="118"/>
      </w:pPr>
      <w:r w:rsidRPr="00542B0B">
        <w:t>Ak dôjde ku kontaktu rekonštituovaného azacitidínu s pokožkou, zasiahnuté miesto okamžite</w:t>
      </w:r>
    </w:p>
    <w:p w14:paraId="338E4CFC" w14:textId="77777777" w:rsidR="00542B0B" w:rsidRPr="00542B0B" w:rsidRDefault="00542B0B" w:rsidP="00542B0B">
      <w:pPr>
        <w:pStyle w:val="Zkladntext"/>
        <w:spacing w:before="1"/>
        <w:ind w:left="118" w:right="728"/>
      </w:pPr>
      <w:r w:rsidRPr="00542B0B">
        <w:t>a dôkladne umyte mydlom a vodou. Ak sa dostane do kontaktu so sliznicami, zasiahnuté miesto dôkladne opláchnite vodou.</w:t>
      </w:r>
    </w:p>
    <w:p w14:paraId="752C3C3B" w14:textId="77777777" w:rsidR="00542B0B" w:rsidRPr="00542B0B" w:rsidRDefault="00542B0B" w:rsidP="00542B0B">
      <w:pPr>
        <w:pStyle w:val="Zkladntext"/>
        <w:spacing w:before="6"/>
      </w:pPr>
    </w:p>
    <w:p w14:paraId="3D0F97B9" w14:textId="77777777" w:rsidR="00542B0B" w:rsidRPr="00542B0B" w:rsidRDefault="00542B0B" w:rsidP="00542B0B">
      <w:pPr>
        <w:pStyle w:val="Zkladntext"/>
        <w:ind w:left="118"/>
      </w:pPr>
      <w:r w:rsidRPr="00542B0B">
        <w:rPr>
          <w:u w:val="single"/>
        </w:rPr>
        <w:t>Inkompatibility</w:t>
      </w:r>
    </w:p>
    <w:p w14:paraId="1A3C6A74" w14:textId="77777777" w:rsidR="00542B0B" w:rsidRPr="00542B0B" w:rsidRDefault="00542B0B" w:rsidP="00542B0B">
      <w:pPr>
        <w:pStyle w:val="Zkladntext"/>
        <w:ind w:left="118" w:right="817"/>
      </w:pPr>
      <w:r w:rsidRPr="00542B0B">
        <w:t>Tento liek sa nesmie miešať s inými liekmi okrem tých, ktoré sú uvedené nižšie (pozri „Postup rekonštitúcie“).</w:t>
      </w:r>
    </w:p>
    <w:p w14:paraId="1ACC9A3E" w14:textId="77777777" w:rsidR="00542B0B" w:rsidRPr="00542B0B" w:rsidRDefault="00542B0B" w:rsidP="00542B0B">
      <w:pPr>
        <w:pStyle w:val="Zkladntext"/>
        <w:spacing w:before="5"/>
      </w:pPr>
    </w:p>
    <w:p w14:paraId="3645F58B" w14:textId="77777777" w:rsidR="00542B0B" w:rsidRPr="00542B0B" w:rsidRDefault="00542B0B" w:rsidP="00542B0B">
      <w:pPr>
        <w:pStyle w:val="Zkladntext"/>
        <w:ind w:left="118"/>
      </w:pPr>
      <w:r w:rsidRPr="00542B0B">
        <w:rPr>
          <w:u w:val="single"/>
        </w:rPr>
        <w:t>Postup rekonštitúcie</w:t>
      </w:r>
    </w:p>
    <w:p w14:paraId="34E9B81A" w14:textId="38E24A6F" w:rsidR="00542B0B" w:rsidRPr="00542B0B" w:rsidRDefault="00EB521E" w:rsidP="00542B0B">
      <w:pPr>
        <w:pStyle w:val="Zkladntext"/>
        <w:ind w:left="118" w:right="146"/>
      </w:pPr>
      <w:r>
        <w:t>Azacitidine Sandoz</w:t>
      </w:r>
      <w:r w:rsidR="00542B0B" w:rsidRPr="00542B0B">
        <w:t xml:space="preserve"> sa má rekonštituovať vodou na injekci</w:t>
      </w:r>
      <w:r w:rsidR="0038469C">
        <w:t>e</w:t>
      </w:r>
      <w:r w:rsidR="00542B0B" w:rsidRPr="00542B0B">
        <w:t>. Čas použiteľnosti rekonštituovaného lieku sa môže predĺžiť rekonštitúciou pomocou chladenej (2 °C až 8 °C) vody na injekci</w:t>
      </w:r>
      <w:r w:rsidR="00C71749">
        <w:t>e</w:t>
      </w:r>
      <w:r w:rsidR="00542B0B" w:rsidRPr="00542B0B">
        <w:t>. Podrobnosti o uchovávaní rekonštituovaného lieku sú uvedené nižšie.</w:t>
      </w:r>
    </w:p>
    <w:p w14:paraId="054898C9" w14:textId="77777777" w:rsidR="00542B0B" w:rsidRPr="00542B0B" w:rsidRDefault="00542B0B" w:rsidP="00542B0B">
      <w:pPr>
        <w:pStyle w:val="Zkladntext"/>
        <w:spacing w:before="2"/>
      </w:pPr>
    </w:p>
    <w:p w14:paraId="4D1A1A9B" w14:textId="77777777" w:rsidR="00542B0B" w:rsidRPr="00542B0B" w:rsidRDefault="00542B0B" w:rsidP="00542B0B">
      <w:pPr>
        <w:pStyle w:val="Odsekzoznamu"/>
        <w:numPr>
          <w:ilvl w:val="0"/>
          <w:numId w:val="1"/>
        </w:numPr>
        <w:tabs>
          <w:tab w:val="left" w:pos="685"/>
          <w:tab w:val="left" w:pos="686"/>
        </w:tabs>
        <w:jc w:val="left"/>
      </w:pPr>
      <w:r w:rsidRPr="00542B0B">
        <w:t>Pripravte si nasledovné</w:t>
      </w:r>
      <w:r w:rsidRPr="00542B0B">
        <w:rPr>
          <w:spacing w:val="-6"/>
        </w:rPr>
        <w:t xml:space="preserve"> </w:t>
      </w:r>
      <w:r w:rsidRPr="00542B0B">
        <w:t>pomôcky:</w:t>
      </w:r>
    </w:p>
    <w:p w14:paraId="7D7B8000" w14:textId="5C4E565F" w:rsidR="00542B0B" w:rsidRPr="00542B0B" w:rsidRDefault="00542B0B" w:rsidP="00542B0B">
      <w:pPr>
        <w:pStyle w:val="Zkladntext"/>
        <w:spacing w:before="1"/>
        <w:ind w:left="686" w:right="441"/>
      </w:pPr>
      <w:r w:rsidRPr="00542B0B">
        <w:t>Injekčnú liekovku (injekčné liekovky) s azacitidínom, injekčnú liekovku (injekčné liekovky) s vodou na injekci</w:t>
      </w:r>
      <w:r w:rsidR="00C71749">
        <w:t>e</w:t>
      </w:r>
      <w:r w:rsidRPr="00542B0B">
        <w:t>, nesterilné chirurgické rukavice, alkoholové tampóny, 5 ml injekčnú striekačku (injekčné striekačky) s ihlou (ihlami).</w:t>
      </w:r>
    </w:p>
    <w:p w14:paraId="05EA7C16" w14:textId="719C7938" w:rsidR="00542B0B" w:rsidRPr="00542B0B" w:rsidRDefault="00542B0B" w:rsidP="00542B0B">
      <w:pPr>
        <w:pStyle w:val="Odsekzoznamu"/>
        <w:numPr>
          <w:ilvl w:val="0"/>
          <w:numId w:val="1"/>
        </w:numPr>
        <w:tabs>
          <w:tab w:val="left" w:pos="685"/>
          <w:tab w:val="left" w:pos="686"/>
        </w:tabs>
        <w:spacing w:before="1"/>
        <w:ind w:right="115"/>
        <w:jc w:val="left"/>
      </w:pPr>
      <w:r w:rsidRPr="00542B0B">
        <w:t>Odoberte 4 ml vody na injekci</w:t>
      </w:r>
      <w:r w:rsidR="00C71749">
        <w:t>e</w:t>
      </w:r>
      <w:r w:rsidRPr="00542B0B">
        <w:t xml:space="preserve"> do injekčnej striekačky a dbajte na vytlačenie všetkého vzduchu z</w:t>
      </w:r>
      <w:r w:rsidRPr="00542B0B">
        <w:rPr>
          <w:spacing w:val="-1"/>
        </w:rPr>
        <w:t xml:space="preserve"> </w:t>
      </w:r>
      <w:r w:rsidR="00C71749">
        <w:rPr>
          <w:spacing w:val="-1"/>
        </w:rPr>
        <w:t xml:space="preserve">injekčnej </w:t>
      </w:r>
      <w:r w:rsidRPr="00542B0B">
        <w:t>striekačky.</w:t>
      </w:r>
    </w:p>
    <w:p w14:paraId="0FA703AE" w14:textId="1D1A969D" w:rsidR="00542B0B" w:rsidRPr="00542B0B" w:rsidRDefault="00542B0B" w:rsidP="00542B0B">
      <w:pPr>
        <w:pStyle w:val="Odsekzoznamu"/>
        <w:numPr>
          <w:ilvl w:val="0"/>
          <w:numId w:val="1"/>
        </w:numPr>
        <w:tabs>
          <w:tab w:val="left" w:pos="685"/>
          <w:tab w:val="left" w:pos="686"/>
        </w:tabs>
        <w:spacing w:before="1"/>
        <w:ind w:right="601"/>
        <w:jc w:val="left"/>
      </w:pPr>
      <w:r w:rsidRPr="00542B0B">
        <w:t>Zasuňte ihlu injekčnej striekačky obsahujúcej 4 ml vody na injekci</w:t>
      </w:r>
      <w:r w:rsidR="00C71749">
        <w:t>e</w:t>
      </w:r>
      <w:r w:rsidRPr="00542B0B">
        <w:t xml:space="preserve"> cez gumené viečko do injekčnej liekovky s azacitidínom a vstreknite vodu na injekci</w:t>
      </w:r>
      <w:r w:rsidR="00C71749">
        <w:t>e</w:t>
      </w:r>
      <w:r w:rsidRPr="00542B0B">
        <w:t xml:space="preserve"> do injekčnej</w:t>
      </w:r>
      <w:r w:rsidRPr="00542B0B">
        <w:rPr>
          <w:spacing w:val="-15"/>
        </w:rPr>
        <w:t xml:space="preserve"> </w:t>
      </w:r>
      <w:r w:rsidRPr="00542B0B">
        <w:t>liekovky.</w:t>
      </w:r>
    </w:p>
    <w:p w14:paraId="1544D9B8" w14:textId="2010CB9F" w:rsidR="00542B0B" w:rsidRPr="00542B0B" w:rsidRDefault="00542B0B" w:rsidP="00810F8B">
      <w:pPr>
        <w:pStyle w:val="Odsekzoznamu"/>
        <w:numPr>
          <w:ilvl w:val="0"/>
          <w:numId w:val="1"/>
        </w:numPr>
        <w:tabs>
          <w:tab w:val="left" w:pos="685"/>
        </w:tabs>
        <w:spacing w:before="74"/>
        <w:ind w:left="709" w:right="452"/>
        <w:jc w:val="left"/>
      </w:pPr>
      <w:r w:rsidRPr="00542B0B">
        <w:t>Vytiahnite injekčnú striekačku a ihlu a silno pretrepte injekčnú liekovku, až kým sa nevytvorí homogénna zakalená suspenzia. Po rekonštitúcii obsahuje každý ml suspenzie 25 mg azacitidínu (100 mg/4 ml). Rekonštituovaný liek je homogénna, zakalená suspenzia, bez aglomerátov.</w:t>
      </w:r>
      <w:r w:rsidRPr="00FE2EE9">
        <w:rPr>
          <w:spacing w:val="-22"/>
        </w:rPr>
        <w:t xml:space="preserve"> </w:t>
      </w:r>
      <w:r w:rsidRPr="00FE2EE9">
        <w:rPr>
          <w:u w:val="single"/>
        </w:rPr>
        <w:t>Ak</w:t>
      </w:r>
      <w:r w:rsidR="00FE2EE9">
        <w:rPr>
          <w:u w:val="single"/>
        </w:rPr>
        <w:t xml:space="preserve"> </w:t>
      </w:r>
      <w:r w:rsidRPr="00FE2EE9">
        <w:rPr>
          <w:u w:val="single"/>
        </w:rPr>
        <w:t xml:space="preserve">suspenzia obsahuje veľké častice alebo aglomeráty, </w:t>
      </w:r>
      <w:r w:rsidR="00C71749">
        <w:rPr>
          <w:u w:val="single"/>
        </w:rPr>
        <w:t>má sa</w:t>
      </w:r>
      <w:r w:rsidRPr="00FE2EE9">
        <w:rPr>
          <w:u w:val="single"/>
        </w:rPr>
        <w:t xml:space="preserve"> zlikvidovať. Po rekonštitúcii suspenziu nefiltrujte, mohlo by sa tým odstrániť liečivo. Musí sa zohľadniť, že filtre sa nachádzajú v niektorých adaptéroch, ihlách a uzatvorených systémoch; preto na podanie lieku po rekonštitúcii sa takéto systémy nemajú používať.</w:t>
      </w:r>
    </w:p>
    <w:p w14:paraId="0D612178" w14:textId="77777777" w:rsidR="00542B0B" w:rsidRPr="00542B0B" w:rsidRDefault="00542B0B" w:rsidP="00810F8B">
      <w:pPr>
        <w:pStyle w:val="Odsekzoznamu"/>
        <w:numPr>
          <w:ilvl w:val="0"/>
          <w:numId w:val="1"/>
        </w:numPr>
        <w:tabs>
          <w:tab w:val="left" w:pos="685"/>
          <w:tab w:val="left" w:pos="785"/>
          <w:tab w:val="left" w:pos="786"/>
        </w:tabs>
        <w:spacing w:before="1"/>
        <w:ind w:left="709" w:right="451"/>
        <w:jc w:val="left"/>
      </w:pPr>
      <w:r w:rsidRPr="00542B0B">
        <w:t>Očistite gumené viečko a zasuňte novú injekčnú striekačku s ihlou do injekčnej liekovky. Prevráťte injekčnú liekovku hore dnom, pričom dbajte na to, aby bol hrot ihly pod hladinou tekutiny. Potiahnutím piesta dozadu natiahnite množstvo lieku požadované pre správnu dávku a dbajte na vytlačenie všetkého vzduchu zo striekačky. Vytiahnite injekčnú striekačku s ihlou z injekčnej liekovky a ihlu</w:t>
      </w:r>
      <w:r w:rsidRPr="00542B0B">
        <w:rPr>
          <w:spacing w:val="-4"/>
        </w:rPr>
        <w:t xml:space="preserve"> </w:t>
      </w:r>
      <w:r w:rsidRPr="00542B0B">
        <w:t>zlikvidujte.</w:t>
      </w:r>
    </w:p>
    <w:p w14:paraId="624D9FDB" w14:textId="77777777" w:rsidR="00542B0B" w:rsidRPr="00542B0B" w:rsidRDefault="00542B0B" w:rsidP="00810F8B">
      <w:pPr>
        <w:pStyle w:val="Odsekzoznamu"/>
        <w:numPr>
          <w:ilvl w:val="0"/>
          <w:numId w:val="1"/>
        </w:numPr>
        <w:tabs>
          <w:tab w:val="left" w:pos="685"/>
          <w:tab w:val="left" w:pos="785"/>
          <w:tab w:val="left" w:pos="786"/>
        </w:tabs>
        <w:spacing w:before="1"/>
        <w:ind w:left="709" w:right="491"/>
        <w:jc w:val="left"/>
      </w:pPr>
      <w:r w:rsidRPr="00542B0B">
        <w:t>Pevne nasaďte novú subkutánnu ihlu (odporúča sa kaliber 25) na injekčnú striekačku. Ihla sa nemá plniť pred injekčnou aplikáciou, aby sa znížil výskyt lokálnych reakcií v mieste</w:t>
      </w:r>
      <w:r w:rsidRPr="00542B0B">
        <w:rPr>
          <w:spacing w:val="-19"/>
        </w:rPr>
        <w:t xml:space="preserve"> </w:t>
      </w:r>
      <w:r w:rsidRPr="00542B0B">
        <w:t>vpichu.</w:t>
      </w:r>
    </w:p>
    <w:p w14:paraId="56FA754A" w14:textId="6C0E9CD9" w:rsidR="00542B0B" w:rsidRPr="00542B0B" w:rsidRDefault="00542B0B" w:rsidP="001B6585">
      <w:pPr>
        <w:pStyle w:val="Odsekzoznamu"/>
        <w:numPr>
          <w:ilvl w:val="0"/>
          <w:numId w:val="1"/>
        </w:numPr>
        <w:tabs>
          <w:tab w:val="left" w:pos="785"/>
          <w:tab w:val="left" w:pos="786"/>
        </w:tabs>
        <w:spacing w:before="1"/>
        <w:ind w:left="709" w:right="331"/>
        <w:jc w:val="left"/>
      </w:pPr>
      <w:r w:rsidRPr="00542B0B">
        <w:t>Ak je potrebn</w:t>
      </w:r>
      <w:r w:rsidR="00C71749">
        <w:t>á</w:t>
      </w:r>
      <w:r w:rsidRPr="00542B0B">
        <w:t xml:space="preserve"> viac ako 1 injekčná liekovka, zopakujte všetky vyššie uvedené kroky na prípravu suspenzie. V prípade dávok, ktoré vyžadujú viac ako 1 injekčnú liekovku, </w:t>
      </w:r>
      <w:r w:rsidR="00C71749">
        <w:t>je po</w:t>
      </w:r>
      <w:r w:rsidRPr="00542B0B">
        <w:t>treb</w:t>
      </w:r>
      <w:r w:rsidR="00C71749">
        <w:t>né</w:t>
      </w:r>
      <w:r w:rsidRPr="00542B0B">
        <w:t xml:space="preserve"> dávku rovnomerne rozdeliť, napríklad dávka 150 mg = 6 ml, 2 injekčné striekačky s 3 ml v každej injekčnej striekačke. V dôsledku retencie v injekčnej liekovke a ihle nemusí byť </w:t>
      </w:r>
      <w:r w:rsidRPr="00542B0B">
        <w:lastRenderedPageBreak/>
        <w:t>možné natiahnuť všetku suspenziu z injekčnej</w:t>
      </w:r>
      <w:r w:rsidRPr="00542B0B">
        <w:rPr>
          <w:spacing w:val="-6"/>
        </w:rPr>
        <w:t xml:space="preserve"> </w:t>
      </w:r>
      <w:r w:rsidRPr="00542B0B">
        <w:t>liekovky.</w:t>
      </w:r>
    </w:p>
    <w:p w14:paraId="617284D4" w14:textId="3C4E2DD1" w:rsidR="00542B0B" w:rsidRPr="00542B0B" w:rsidRDefault="00542B0B" w:rsidP="001B6585">
      <w:pPr>
        <w:pStyle w:val="Odsekzoznamu"/>
        <w:numPr>
          <w:ilvl w:val="0"/>
          <w:numId w:val="1"/>
        </w:numPr>
        <w:spacing w:before="1"/>
        <w:ind w:left="709" w:right="311"/>
        <w:jc w:val="left"/>
      </w:pPr>
      <w:r w:rsidRPr="00542B0B">
        <w:t xml:space="preserve">Obsah dávkovacej injekčnej striekačky sa musí premiešať tesne pred podaním. </w:t>
      </w:r>
      <w:r w:rsidR="0052529E" w:rsidRPr="00685BE3">
        <w:t>Injekčná striekačka naplnená rek</w:t>
      </w:r>
      <w:r w:rsidR="00685BE3" w:rsidRPr="00685BE3">
        <w:t xml:space="preserve">onštituovanou suspenziou sa má ponechať, </w:t>
      </w:r>
      <w:r w:rsidR="00392B8D">
        <w:t xml:space="preserve">aby </w:t>
      </w:r>
      <w:r w:rsidR="00685BE3" w:rsidRPr="00685BE3">
        <w:t xml:space="preserve">dosiahla teplotu približne 20 ° C - 25 ° C </w:t>
      </w:r>
      <w:r w:rsidR="0052529E" w:rsidRPr="00685BE3">
        <w:t>do 30 minút pred</w:t>
      </w:r>
      <w:r w:rsidR="00392B8D">
        <w:t xml:space="preserve"> podaním</w:t>
      </w:r>
      <w:r w:rsidR="0052529E" w:rsidRPr="00685BE3">
        <w:t>. Ak je uplynutý čas dlhší ako 30</w:t>
      </w:r>
      <w:r w:rsidR="0052529E">
        <w:t xml:space="preserve"> minút, suspenzia sa má náležite zlikvidovať a má </w:t>
      </w:r>
      <w:r w:rsidR="0052529E" w:rsidRPr="0052529E">
        <w:t>sa pripraviť nová dávka</w:t>
      </w:r>
      <w:r w:rsidR="0052529E">
        <w:t xml:space="preserve">. </w:t>
      </w:r>
      <w:r w:rsidRPr="00542B0B">
        <w:t xml:space="preserve">Na premiešanie rýchlo rolujte injekčnú striekačku medzi dlaňami dovtedy, kým sa nevytvorí homogénna, zakalená suspenzia. </w:t>
      </w:r>
      <w:r w:rsidRPr="0052529E">
        <w:rPr>
          <w:u w:val="single"/>
        </w:rPr>
        <w:t xml:space="preserve">Ak suspenzia obsahuje veľké častice alebo aglomeráty, </w:t>
      </w:r>
      <w:r w:rsidR="00C71749">
        <w:rPr>
          <w:u w:val="single"/>
        </w:rPr>
        <w:t>má sa</w:t>
      </w:r>
      <w:r w:rsidRPr="0052529E">
        <w:rPr>
          <w:spacing w:val="-13"/>
          <w:u w:val="single"/>
        </w:rPr>
        <w:t xml:space="preserve"> </w:t>
      </w:r>
      <w:r w:rsidRPr="0052529E">
        <w:rPr>
          <w:u w:val="single"/>
        </w:rPr>
        <w:t>zlikvidovať.</w:t>
      </w:r>
    </w:p>
    <w:p w14:paraId="015E96E8" w14:textId="77777777" w:rsidR="00542B0B" w:rsidRPr="00542B0B" w:rsidRDefault="00542B0B" w:rsidP="00542B0B">
      <w:pPr>
        <w:pStyle w:val="Zkladntext"/>
        <w:spacing w:before="4"/>
      </w:pPr>
    </w:p>
    <w:p w14:paraId="24CFE640" w14:textId="77777777" w:rsidR="00542B0B" w:rsidRPr="00542B0B" w:rsidRDefault="00542B0B" w:rsidP="00542B0B">
      <w:pPr>
        <w:pStyle w:val="Zkladntext"/>
        <w:spacing w:before="91"/>
        <w:ind w:left="218"/>
      </w:pPr>
      <w:r w:rsidRPr="00542B0B">
        <w:rPr>
          <w:u w:val="single"/>
        </w:rPr>
        <w:t>Uchovávanie rekonštituovaného lieku</w:t>
      </w:r>
    </w:p>
    <w:p w14:paraId="56C0DFEB" w14:textId="2B604E51" w:rsidR="00542B0B" w:rsidRPr="00174D22" w:rsidRDefault="00BF58E0" w:rsidP="00BF58E0">
      <w:pPr>
        <w:pStyle w:val="Zkladntext"/>
        <w:spacing w:before="91"/>
        <w:ind w:left="218"/>
      </w:pPr>
      <w:r>
        <w:t>Ak</w:t>
      </w:r>
      <w:r w:rsidR="004816AC" w:rsidRPr="00AA082E">
        <w:t xml:space="preserve"> sa Azacitidine Sandoz </w:t>
      </w:r>
      <w:r w:rsidR="00174D22" w:rsidRPr="00AA082E">
        <w:t>rekonštituuje pomocou vody na</w:t>
      </w:r>
      <w:r w:rsidR="004816AC" w:rsidRPr="00AA082E">
        <w:t xml:space="preserve"> injekci</w:t>
      </w:r>
      <w:r w:rsidR="00C71749">
        <w:t>e</w:t>
      </w:r>
      <w:r w:rsidR="004816AC" w:rsidRPr="00AA082E">
        <w:t>, ktorá nebola v chladničke</w:t>
      </w:r>
      <w:r w:rsidR="00AA082E" w:rsidRPr="00AA082E">
        <w:t xml:space="preserve">,  </w:t>
      </w:r>
      <w:r w:rsidR="00174D22" w:rsidRPr="00AA082E">
        <w:t>chemická a fyzikálna stabilita</w:t>
      </w:r>
      <w:r w:rsidR="00AA082E" w:rsidRPr="00AA082E">
        <w:t xml:space="preserve"> pri používaní </w:t>
      </w:r>
      <w:r w:rsidR="00174D22" w:rsidRPr="00AA082E">
        <w:t>rekon</w:t>
      </w:r>
      <w:r w:rsidR="00AA082E" w:rsidRPr="00AA082E">
        <w:t>štituovaného lieku</w:t>
      </w:r>
      <w:r w:rsidR="00C71749">
        <w:t xml:space="preserve"> bola</w:t>
      </w:r>
      <w:r w:rsidR="00AA082E" w:rsidRPr="00AA082E">
        <w:t xml:space="preserve"> preukázaná </w:t>
      </w:r>
      <w:r w:rsidR="00174D22" w:rsidRPr="00AA082E">
        <w:t>pri 25 ° C počas 60 minú</w:t>
      </w:r>
      <w:r w:rsidR="00392B8D" w:rsidRPr="00AA082E">
        <w:t>t a pri 2 ° C -</w:t>
      </w:r>
      <w:r w:rsidR="00AA082E" w:rsidRPr="00AA082E">
        <w:t xml:space="preserve"> 8 ° C počas </w:t>
      </w:r>
      <w:r w:rsidR="00174D22" w:rsidRPr="00AA082E">
        <w:t>24 hodín v injekčnej liekovke a v injekčnej striekačke.</w:t>
      </w:r>
    </w:p>
    <w:p w14:paraId="405B2854" w14:textId="77777777" w:rsidR="002D357A" w:rsidRDefault="002D357A" w:rsidP="002D357A">
      <w:pPr>
        <w:pStyle w:val="PredformtovanHTML"/>
        <w:rPr>
          <w:color w:val="222222"/>
          <w:lang w:val="sk-SK"/>
        </w:rPr>
      </w:pPr>
    </w:p>
    <w:p w14:paraId="0426FA88" w14:textId="1CA5BA4B" w:rsidR="002D357A" w:rsidRPr="002D357A" w:rsidRDefault="002D357A" w:rsidP="002D357A">
      <w:pPr>
        <w:pStyle w:val="Zkladntext"/>
        <w:spacing w:before="91"/>
        <w:ind w:left="218"/>
      </w:pPr>
      <w:r w:rsidRPr="00BF58E0">
        <w:t>Čas použiteľnosti rekonštituovaného lieku sa môže predĺžiť rekonštitúciou v chla</w:t>
      </w:r>
      <w:r w:rsidR="00FB3F49" w:rsidRPr="00BF58E0">
        <w:t xml:space="preserve">denej (2 ° C - 8 ° C) </w:t>
      </w:r>
      <w:r w:rsidRPr="00BF58E0">
        <w:t>vode</w:t>
      </w:r>
      <w:r w:rsidR="00FB3F49" w:rsidRPr="00BF58E0">
        <w:t xml:space="preserve"> na injekci</w:t>
      </w:r>
      <w:r w:rsidR="00C71749">
        <w:t>e</w:t>
      </w:r>
      <w:r w:rsidR="00BF58E0" w:rsidRPr="00BF58E0">
        <w:t>. Ak</w:t>
      </w:r>
      <w:r w:rsidRPr="00BF58E0">
        <w:t xml:space="preserve"> sa Azacitidine Sandoz rekonštituuje  použitím chladenej (2 ° C - 8 ° C) vo</w:t>
      </w:r>
      <w:r w:rsidR="00FB3F49" w:rsidRPr="00BF58E0">
        <w:t>dy na injekci</w:t>
      </w:r>
      <w:r w:rsidR="00C71749">
        <w:t>e</w:t>
      </w:r>
      <w:r w:rsidR="00FB3F49" w:rsidRPr="00BF58E0">
        <w:t xml:space="preserve">, </w:t>
      </w:r>
      <w:r w:rsidRPr="00BF58E0">
        <w:t xml:space="preserve">chemická a fyzikálna stabilita </w:t>
      </w:r>
      <w:r w:rsidR="00FB3F49" w:rsidRPr="00BF58E0">
        <w:t xml:space="preserve">pri používaní </w:t>
      </w:r>
      <w:r w:rsidRPr="00BF58E0">
        <w:t>rek</w:t>
      </w:r>
      <w:r w:rsidR="00FB3F49" w:rsidRPr="00BF58E0">
        <w:t>onštituovaného lieku</w:t>
      </w:r>
      <w:r w:rsidR="00C71749">
        <w:t xml:space="preserve"> bola</w:t>
      </w:r>
      <w:r w:rsidR="00FB3F49" w:rsidRPr="00BF58E0">
        <w:t xml:space="preserve"> preukázaná</w:t>
      </w:r>
      <w:r w:rsidRPr="00BF58E0">
        <w:t xml:space="preserve"> pri 2 ° C - 8 </w:t>
      </w:r>
      <w:r w:rsidR="00FB3F49" w:rsidRPr="00BF58E0">
        <w:t xml:space="preserve">° C počas 36 hodín v injekčnej liekovke a </w:t>
      </w:r>
      <w:r w:rsidR="00BF58E0" w:rsidRPr="00BF58E0">
        <w:t xml:space="preserve">počas 30 hodín </w:t>
      </w:r>
      <w:r w:rsidRPr="00BF58E0">
        <w:t>pri 2 ° C - 8 ° C</w:t>
      </w:r>
      <w:r w:rsidR="00BF58E0" w:rsidRPr="00BF58E0">
        <w:t xml:space="preserve"> </w:t>
      </w:r>
      <w:r w:rsidR="00C71749">
        <w:t xml:space="preserve">v </w:t>
      </w:r>
      <w:r w:rsidRPr="00BF58E0">
        <w:t>injekčnej striekačke.</w:t>
      </w:r>
    </w:p>
    <w:p w14:paraId="6665E8FA" w14:textId="77777777" w:rsidR="002D357A" w:rsidRDefault="002D357A" w:rsidP="002D357A">
      <w:pPr>
        <w:pStyle w:val="PredformtovanHTML"/>
        <w:rPr>
          <w:color w:val="222222"/>
          <w:lang w:val="sk-SK"/>
        </w:rPr>
      </w:pPr>
    </w:p>
    <w:p w14:paraId="6EA7BA26" w14:textId="77777777" w:rsidR="00174D22" w:rsidRPr="00CF3242" w:rsidRDefault="002D357A" w:rsidP="002D357A">
      <w:pPr>
        <w:pStyle w:val="Zkladntext"/>
        <w:spacing w:before="91"/>
        <w:ind w:left="218"/>
      </w:pPr>
      <w:r w:rsidRPr="00CF3242">
        <w:t>Z mikrobiologického hľadiska sa má rekonštituovaný liek použiť okamžite. Ak sa nepoužije okamžite, za čas a podmienky uchovávania pred použitím zodpovedá používateľ a nesmú byť dlhšie ako 24 hodín pri 2 ° C - 8 ° C.</w:t>
      </w:r>
    </w:p>
    <w:p w14:paraId="339D4342" w14:textId="77777777" w:rsidR="00174D22" w:rsidRPr="00542B0B" w:rsidRDefault="00174D22" w:rsidP="00542B0B">
      <w:pPr>
        <w:pStyle w:val="Zkladntext"/>
        <w:spacing w:before="2"/>
      </w:pPr>
    </w:p>
    <w:p w14:paraId="332A13C5" w14:textId="77777777" w:rsidR="00542B0B" w:rsidRPr="00542B0B" w:rsidRDefault="00542B0B" w:rsidP="00542B0B">
      <w:pPr>
        <w:pStyle w:val="Zkladntext"/>
        <w:ind w:left="218"/>
      </w:pPr>
      <w:r w:rsidRPr="00542B0B">
        <w:rPr>
          <w:u w:val="single"/>
        </w:rPr>
        <w:t>Výpočet individuálnej dávky</w:t>
      </w:r>
    </w:p>
    <w:p w14:paraId="70452968" w14:textId="02ED480D" w:rsidR="002D357A" w:rsidRDefault="00542B0B" w:rsidP="002D357A">
      <w:pPr>
        <w:pStyle w:val="Zkladntext"/>
        <w:spacing w:before="8" w:line="254" w:lineRule="exact"/>
        <w:ind w:left="218" w:right="356"/>
      </w:pPr>
      <w:r w:rsidRPr="002D357A">
        <w:t xml:space="preserve">Celkovú dávku podľa </w:t>
      </w:r>
      <w:r w:rsidR="00C71749">
        <w:t xml:space="preserve">plochy </w:t>
      </w:r>
      <w:r w:rsidRPr="002D357A">
        <w:t>povrchu tela (body surface area</w:t>
      </w:r>
      <w:r w:rsidR="002D357A" w:rsidRPr="002D357A">
        <w:t xml:space="preserve">, BSA) možno vypočítať </w:t>
      </w:r>
      <w:r w:rsidRPr="002D357A">
        <w:t xml:space="preserve">nasledovne: </w:t>
      </w:r>
    </w:p>
    <w:p w14:paraId="28526781" w14:textId="77777777" w:rsidR="002D357A" w:rsidRDefault="002D357A" w:rsidP="002D357A">
      <w:pPr>
        <w:pStyle w:val="Zkladntext"/>
        <w:spacing w:before="8" w:line="254" w:lineRule="exact"/>
        <w:ind w:left="218" w:right="356"/>
      </w:pPr>
    </w:p>
    <w:p w14:paraId="7C5988EA" w14:textId="77777777" w:rsidR="00542B0B" w:rsidRDefault="00542B0B" w:rsidP="002D357A">
      <w:pPr>
        <w:pStyle w:val="Zkladntext"/>
        <w:spacing w:before="8" w:line="254" w:lineRule="exact"/>
        <w:ind w:left="218" w:right="356"/>
      </w:pPr>
      <w:r w:rsidRPr="002D357A">
        <w:t>Celková dávka (mg) = dávka (mg/m</w:t>
      </w:r>
      <w:r w:rsidRPr="002D357A">
        <w:rPr>
          <w:vertAlign w:val="superscript"/>
        </w:rPr>
        <w:t>2</w:t>
      </w:r>
      <w:r w:rsidRPr="002D357A">
        <w:t>) x BSA (m</w:t>
      </w:r>
      <w:r w:rsidRPr="002D357A">
        <w:rPr>
          <w:vertAlign w:val="superscript"/>
        </w:rPr>
        <w:t>2</w:t>
      </w:r>
      <w:r w:rsidRPr="002D357A">
        <w:t>)</w:t>
      </w:r>
    </w:p>
    <w:p w14:paraId="11E67D09" w14:textId="77777777" w:rsidR="002D357A" w:rsidRPr="002D357A" w:rsidRDefault="002D357A" w:rsidP="002D357A">
      <w:pPr>
        <w:pStyle w:val="Zkladntext"/>
        <w:spacing w:before="8" w:line="254" w:lineRule="exact"/>
        <w:ind w:left="218" w:right="356"/>
      </w:pPr>
    </w:p>
    <w:p w14:paraId="525777D8" w14:textId="77777777" w:rsidR="00542B0B" w:rsidRPr="00542B0B" w:rsidRDefault="00542B0B" w:rsidP="002D357A">
      <w:pPr>
        <w:pStyle w:val="Zkladntext"/>
        <w:spacing w:before="8" w:line="254" w:lineRule="exact"/>
        <w:ind w:left="218" w:right="356"/>
      </w:pPr>
      <w:r w:rsidRPr="00542B0B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DC17D4" wp14:editId="048AEDB8">
                <wp:simplePos x="0" y="0"/>
                <wp:positionH relativeFrom="page">
                  <wp:posOffset>900430</wp:posOffset>
                </wp:positionH>
                <wp:positionV relativeFrom="paragraph">
                  <wp:posOffset>643255</wp:posOffset>
                </wp:positionV>
                <wp:extent cx="768350" cy="0"/>
                <wp:effectExtent l="5080" t="12700" r="762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6BE4C91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50.65pt" to="131.4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8xKAIAAE4EAAAOAAAAZHJzL2Uyb0RvYy54bWysVMGO2yAQvVfqPyDfE9tZJ+u14qwqO+ll&#10;242U7QcQwDYqBgQkTlT13zvgJG3aS1U1BwLM8Hjz5uHl86kX6MiM5UqWUTpNIsQkUZTLtoy+vG0m&#10;eYSsw5JioSQrozOz0fPq/bvloAs2U50SlBkEINIWgy6jzjldxLElHeuxnSrNJAQbZXrsYGnamBo8&#10;AHov4lmSLOJBGaqNIsxa2K3HYLQK+E3DiHttGsscEmUE3FwYTRj3foxXS1y0BuuOkwsN/A8seswl&#10;XHqDqrHD6GD4H1A9J0ZZ1bgpUX2smoYTFmqAatLkt2p2HdYs1ALiWH2Tyf4/WPL5uDWIU+hdhCTu&#10;oUU7ZzBvO4cqJSUIqAxKvU6DtgWkV3JrfKXkJHf6RZGvFklVdVi2LPB9O2sACSfiuyN+YTXcth8+&#10;KQo5+OBUEO3UmN5DghzoFHpzvvWGnRwisPm4yB/m0EFyDcW4uJ7TxrqPTPXIT8pIcOlVwwU+vlgH&#10;zCH1muK3pdpwIULnhURDGS3yeR4OWCU49UGfZk27r4RBR+y9E35eBgC7S/PINbbdmBdCo6uMOkga&#10;bukYpuvL3GEuxjkACekvghKB52U2uubbU/K0ztd5Nslmi/UkS+p68mFTZZPFJn2c1w91VdXpd885&#10;zYqOU8qkp311cJr9nUMub2n03s3DN33ie/RQO5C9/gfSoce+raNB9oqet8bL5NsNpg3JlwfmX8Wv&#10;65D18zOw+gEAAP//AwBQSwMEFAAGAAgAAAAhAC5klx3dAAAACwEAAA8AAABkcnMvZG93bnJldi54&#10;bWxMj81Ow0AMhO9IvMPKSNzoJgGVKs2m4kcVN2gDF25u1k0CWW+U3bbh7TESEtw849H4c7GaXK+O&#10;NIbOs4F0loAirr3tuDHw9rq+WoAKEdli75kMfFGAVXl+VmBu/Ym3dKxio6SEQ44G2hiHXOtQt+Qw&#10;zPxALLu9Hx1GkWOj7YgnKXe9zpJkrh12LBdaHOihpfqzOjgD92g7+nh8GvWwWS9e3iva3m6ejbm8&#10;mO6WoCJN8S8MP/iCDqUw7fyBbVC96JtU0KMMSXoNShLZPBNn9+vostD/fyi/AQAA//8DAFBLAQIt&#10;ABQABgAIAAAAIQC2gziS/gAAAOEBAAATAAAAAAAAAAAAAAAAAAAAAABbQ29udGVudF9UeXBlc10u&#10;eG1sUEsBAi0AFAAGAAgAAAAhADj9If/WAAAAlAEAAAsAAAAAAAAAAAAAAAAALwEAAF9yZWxzLy5y&#10;ZWxzUEsBAi0AFAAGAAgAAAAhAO7GTzEoAgAATgQAAA4AAAAAAAAAAAAAAAAALgIAAGRycy9lMm9E&#10;b2MueG1sUEsBAi0AFAAGAAgAAAAhAC5klx3dAAAACwEAAA8AAAAAAAAAAAAAAAAAggQAAGRycy9k&#10;b3ducmV2LnhtbFBLBQYAAAAABAAEAPMAAACMBQAAAAA=&#10;" strokeweight=".54pt">
                <w10:wrap anchorx="page"/>
              </v:line>
            </w:pict>
          </mc:Fallback>
        </mc:AlternateContent>
      </w:r>
      <w:r w:rsidRPr="00542B0B">
        <w:t>Nasledujúca tabuľka je uvedená iba ako príklad výpočtu individuálnych dávok azacitidínu na základe priemernej hodnoty BSA na úrovni 1,8 m</w:t>
      </w:r>
      <w:r w:rsidR="002D357A" w:rsidRPr="002D357A">
        <w:rPr>
          <w:vertAlign w:val="superscript"/>
        </w:rPr>
        <w:t>2</w:t>
      </w:r>
      <w:r w:rsidRPr="00542B0B">
        <w:t>.</w:t>
      </w:r>
    </w:p>
    <w:p w14:paraId="009D6E71" w14:textId="77777777" w:rsidR="00262615" w:rsidRDefault="00262615" w:rsidP="00542B0B">
      <w:pPr>
        <w:pStyle w:val="Zkladntext"/>
        <w:spacing w:before="11"/>
      </w:pPr>
    </w:p>
    <w:tbl>
      <w:tblPr>
        <w:tblW w:w="928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2"/>
        <w:gridCol w:w="2322"/>
      </w:tblGrid>
      <w:tr w:rsidR="00542B0B" w:rsidRPr="00542B0B" w14:paraId="7EEA581B" w14:textId="77777777" w:rsidTr="00262615">
        <w:trPr>
          <w:trHeight w:hRule="exact" w:val="773"/>
        </w:trPr>
        <w:tc>
          <w:tcPr>
            <w:tcW w:w="2321" w:type="dxa"/>
            <w:tcBorders>
              <w:bottom w:val="double" w:sz="5" w:space="0" w:color="000000"/>
            </w:tcBorders>
          </w:tcPr>
          <w:p w14:paraId="32A297C7" w14:textId="77777777" w:rsidR="00542B0B" w:rsidRPr="00B304C3" w:rsidRDefault="00542B0B" w:rsidP="00166970">
            <w:pPr>
              <w:pStyle w:val="TableParagraph"/>
              <w:spacing w:line="253" w:lineRule="exact"/>
            </w:pPr>
            <w:r w:rsidRPr="00B304C3">
              <w:t>Dávka mg/m</w:t>
            </w:r>
            <w:r w:rsidR="0073176E" w:rsidRPr="00B304C3">
              <w:rPr>
                <w:vertAlign w:val="superscript"/>
              </w:rPr>
              <w:t>2</w:t>
            </w:r>
          </w:p>
          <w:p w14:paraId="22A58603" w14:textId="77777777" w:rsidR="00542B0B" w:rsidRPr="00542B0B" w:rsidRDefault="00542B0B" w:rsidP="00166970">
            <w:pPr>
              <w:pStyle w:val="TableParagraph"/>
              <w:spacing w:before="1"/>
              <w:ind w:right="764"/>
              <w:rPr>
                <w:i/>
              </w:rPr>
            </w:pPr>
            <w:r w:rsidRPr="00542B0B">
              <w:rPr>
                <w:i/>
                <w:u w:val="single"/>
              </w:rPr>
              <w:t xml:space="preserve">(% odporúčanej </w:t>
            </w:r>
            <w:r w:rsidRPr="00542B0B">
              <w:rPr>
                <w:i/>
              </w:rPr>
              <w:t>úvodnej dávky)</w:t>
            </w:r>
          </w:p>
        </w:tc>
        <w:tc>
          <w:tcPr>
            <w:tcW w:w="2322" w:type="dxa"/>
            <w:tcBorders>
              <w:bottom w:val="double" w:sz="5" w:space="0" w:color="000000"/>
            </w:tcBorders>
          </w:tcPr>
          <w:p w14:paraId="4312E277" w14:textId="77777777" w:rsidR="00542B0B" w:rsidRPr="00542B0B" w:rsidRDefault="00542B0B" w:rsidP="00166970">
            <w:pPr>
              <w:pStyle w:val="TableParagraph"/>
              <w:spacing w:before="2" w:line="254" w:lineRule="exact"/>
              <w:ind w:right="613"/>
            </w:pPr>
            <w:r w:rsidRPr="00542B0B">
              <w:rPr>
                <w:u w:val="single"/>
              </w:rPr>
              <w:t xml:space="preserve">Celková dávka na základe hodnoty </w:t>
            </w:r>
            <w:r w:rsidRPr="00542B0B">
              <w:t>BSA 1,8 m</w:t>
            </w:r>
            <w:r w:rsidR="0073176E" w:rsidRPr="002D357A">
              <w:rPr>
                <w:vertAlign w:val="superscript"/>
              </w:rPr>
              <w:t>2</w:t>
            </w:r>
          </w:p>
        </w:tc>
        <w:tc>
          <w:tcPr>
            <w:tcW w:w="2322" w:type="dxa"/>
          </w:tcPr>
          <w:p w14:paraId="4686C85C" w14:textId="77777777" w:rsidR="00542B0B" w:rsidRPr="00542B0B" w:rsidRDefault="00542B0B" w:rsidP="00166970">
            <w:pPr>
              <w:pStyle w:val="TableParagraph"/>
              <w:ind w:right="350"/>
            </w:pPr>
            <w:r w:rsidRPr="00542B0B">
              <w:rPr>
                <w:u w:val="single"/>
              </w:rPr>
              <w:t>Požadovaný počet injekčných liekoviek</w:t>
            </w:r>
          </w:p>
        </w:tc>
        <w:tc>
          <w:tcPr>
            <w:tcW w:w="2322" w:type="dxa"/>
            <w:tcBorders>
              <w:bottom w:val="double" w:sz="5" w:space="0" w:color="000000"/>
            </w:tcBorders>
          </w:tcPr>
          <w:p w14:paraId="3BC13A67" w14:textId="77777777" w:rsidR="00542B0B" w:rsidRPr="00542B0B" w:rsidRDefault="00542B0B" w:rsidP="00166970">
            <w:pPr>
              <w:pStyle w:val="TableParagraph"/>
              <w:ind w:right="118"/>
            </w:pPr>
            <w:r w:rsidRPr="00542B0B">
              <w:rPr>
                <w:u w:val="single"/>
              </w:rPr>
              <w:t xml:space="preserve">Celkový potrebný objem rekonštituovanej </w:t>
            </w:r>
            <w:r w:rsidRPr="00542B0B">
              <w:t>suspenzie</w:t>
            </w:r>
          </w:p>
        </w:tc>
      </w:tr>
      <w:tr w:rsidR="00542B0B" w:rsidRPr="00542B0B" w14:paraId="4DB258ED" w14:textId="77777777" w:rsidTr="00262615">
        <w:trPr>
          <w:trHeight w:hRule="exact" w:val="264"/>
        </w:trPr>
        <w:tc>
          <w:tcPr>
            <w:tcW w:w="2321" w:type="dxa"/>
            <w:tcBorders>
              <w:top w:val="double" w:sz="5" w:space="0" w:color="000000"/>
            </w:tcBorders>
          </w:tcPr>
          <w:p w14:paraId="7F430A14" w14:textId="77777777" w:rsidR="00542B0B" w:rsidRPr="00542B0B" w:rsidRDefault="00542B0B" w:rsidP="00166970">
            <w:pPr>
              <w:pStyle w:val="TableParagraph"/>
              <w:spacing w:line="240" w:lineRule="exact"/>
            </w:pPr>
            <w:r w:rsidRPr="00542B0B">
              <w:t>75 mg/m</w:t>
            </w:r>
            <w:r w:rsidR="0073176E" w:rsidRPr="002D357A">
              <w:rPr>
                <w:vertAlign w:val="superscript"/>
              </w:rPr>
              <w:t>2</w:t>
            </w:r>
            <w:r w:rsidRPr="00542B0B">
              <w:rPr>
                <w:position w:val="9"/>
              </w:rPr>
              <w:t xml:space="preserve"> </w:t>
            </w:r>
            <w:r w:rsidRPr="00542B0B">
              <w:t>(100 %)</w:t>
            </w:r>
          </w:p>
        </w:tc>
        <w:tc>
          <w:tcPr>
            <w:tcW w:w="2322" w:type="dxa"/>
            <w:tcBorders>
              <w:top w:val="double" w:sz="5" w:space="0" w:color="000000"/>
            </w:tcBorders>
          </w:tcPr>
          <w:p w14:paraId="49E68E49" w14:textId="77777777" w:rsidR="00542B0B" w:rsidRPr="00542B0B" w:rsidRDefault="00542B0B" w:rsidP="00166970">
            <w:pPr>
              <w:pStyle w:val="TableParagraph"/>
              <w:spacing w:line="240" w:lineRule="exact"/>
              <w:ind w:left="102"/>
            </w:pPr>
            <w:r w:rsidRPr="00542B0B">
              <w:t>135 mg</w:t>
            </w:r>
          </w:p>
        </w:tc>
        <w:tc>
          <w:tcPr>
            <w:tcW w:w="2322" w:type="dxa"/>
          </w:tcPr>
          <w:p w14:paraId="2CED6B73" w14:textId="77777777" w:rsidR="00542B0B" w:rsidRPr="00542B0B" w:rsidRDefault="00542B0B" w:rsidP="00166970">
            <w:pPr>
              <w:pStyle w:val="TableParagraph"/>
              <w:ind w:left="102"/>
            </w:pPr>
            <w:r w:rsidRPr="00542B0B">
              <w:t>2 injekčné liekovky</w:t>
            </w:r>
          </w:p>
        </w:tc>
        <w:tc>
          <w:tcPr>
            <w:tcW w:w="2322" w:type="dxa"/>
            <w:tcBorders>
              <w:top w:val="double" w:sz="5" w:space="0" w:color="000000"/>
            </w:tcBorders>
          </w:tcPr>
          <w:p w14:paraId="2B3FE7F5" w14:textId="77777777" w:rsidR="00542B0B" w:rsidRPr="00542B0B" w:rsidRDefault="00542B0B" w:rsidP="00166970">
            <w:pPr>
              <w:pStyle w:val="TableParagraph"/>
              <w:spacing w:line="240" w:lineRule="exact"/>
            </w:pPr>
            <w:r w:rsidRPr="00542B0B">
              <w:t>5,4 ml</w:t>
            </w:r>
          </w:p>
        </w:tc>
      </w:tr>
      <w:tr w:rsidR="00542B0B" w:rsidRPr="00542B0B" w14:paraId="193B3164" w14:textId="77777777" w:rsidTr="00262615">
        <w:trPr>
          <w:trHeight w:hRule="exact" w:val="264"/>
        </w:trPr>
        <w:tc>
          <w:tcPr>
            <w:tcW w:w="2321" w:type="dxa"/>
          </w:tcPr>
          <w:p w14:paraId="4E0A5B68" w14:textId="77777777" w:rsidR="00542B0B" w:rsidRPr="00542B0B" w:rsidRDefault="00542B0B" w:rsidP="00166970">
            <w:pPr>
              <w:pStyle w:val="TableParagraph"/>
              <w:spacing w:line="253" w:lineRule="exact"/>
            </w:pPr>
            <w:r w:rsidRPr="00542B0B">
              <w:t>37,5 mg/m</w:t>
            </w:r>
            <w:r w:rsidR="0073176E" w:rsidRPr="002D357A">
              <w:rPr>
                <w:vertAlign w:val="superscript"/>
              </w:rPr>
              <w:t>2</w:t>
            </w:r>
            <w:r w:rsidRPr="00542B0B">
              <w:rPr>
                <w:position w:val="9"/>
              </w:rPr>
              <w:t xml:space="preserve"> </w:t>
            </w:r>
            <w:r w:rsidRPr="00542B0B">
              <w:t>(50 %)</w:t>
            </w:r>
          </w:p>
        </w:tc>
        <w:tc>
          <w:tcPr>
            <w:tcW w:w="2322" w:type="dxa"/>
          </w:tcPr>
          <w:p w14:paraId="7E61806A" w14:textId="77777777" w:rsidR="00542B0B" w:rsidRPr="00542B0B" w:rsidRDefault="00542B0B" w:rsidP="00166970">
            <w:pPr>
              <w:pStyle w:val="TableParagraph"/>
              <w:ind w:left="102"/>
            </w:pPr>
            <w:r w:rsidRPr="00542B0B">
              <w:t>67,5 mg</w:t>
            </w:r>
          </w:p>
        </w:tc>
        <w:tc>
          <w:tcPr>
            <w:tcW w:w="2322" w:type="dxa"/>
          </w:tcPr>
          <w:p w14:paraId="7D886854" w14:textId="77777777" w:rsidR="00542B0B" w:rsidRPr="00542B0B" w:rsidRDefault="00542B0B" w:rsidP="00166970">
            <w:pPr>
              <w:pStyle w:val="TableParagraph"/>
              <w:ind w:left="102"/>
            </w:pPr>
            <w:r w:rsidRPr="00542B0B">
              <w:t>1 injekčná liekovka</w:t>
            </w:r>
          </w:p>
        </w:tc>
        <w:tc>
          <w:tcPr>
            <w:tcW w:w="2322" w:type="dxa"/>
          </w:tcPr>
          <w:p w14:paraId="7517483D" w14:textId="77777777" w:rsidR="00542B0B" w:rsidRPr="00542B0B" w:rsidRDefault="00542B0B" w:rsidP="00166970">
            <w:pPr>
              <w:pStyle w:val="TableParagraph"/>
            </w:pPr>
            <w:r w:rsidRPr="00542B0B">
              <w:t>2,7 ml</w:t>
            </w:r>
          </w:p>
        </w:tc>
      </w:tr>
      <w:tr w:rsidR="00542B0B" w:rsidRPr="00542B0B" w14:paraId="005EB428" w14:textId="77777777" w:rsidTr="00262615">
        <w:trPr>
          <w:trHeight w:hRule="exact" w:val="264"/>
        </w:trPr>
        <w:tc>
          <w:tcPr>
            <w:tcW w:w="2321" w:type="dxa"/>
          </w:tcPr>
          <w:p w14:paraId="0EE28C18" w14:textId="77777777" w:rsidR="00542B0B" w:rsidRPr="00542B0B" w:rsidRDefault="00542B0B" w:rsidP="00166970">
            <w:pPr>
              <w:pStyle w:val="TableParagraph"/>
              <w:spacing w:line="253" w:lineRule="exact"/>
            </w:pPr>
            <w:r w:rsidRPr="00542B0B">
              <w:t>25 mg/m</w:t>
            </w:r>
            <w:r w:rsidR="0073176E" w:rsidRPr="002D357A">
              <w:rPr>
                <w:vertAlign w:val="superscript"/>
              </w:rPr>
              <w:t>2</w:t>
            </w:r>
            <w:r w:rsidRPr="00542B0B">
              <w:rPr>
                <w:position w:val="9"/>
              </w:rPr>
              <w:t xml:space="preserve"> </w:t>
            </w:r>
            <w:r w:rsidRPr="00542B0B">
              <w:t>(33 %)</w:t>
            </w:r>
          </w:p>
        </w:tc>
        <w:tc>
          <w:tcPr>
            <w:tcW w:w="2322" w:type="dxa"/>
          </w:tcPr>
          <w:p w14:paraId="24252221" w14:textId="77777777" w:rsidR="00542B0B" w:rsidRPr="00542B0B" w:rsidRDefault="00542B0B" w:rsidP="00166970">
            <w:pPr>
              <w:pStyle w:val="TableParagraph"/>
              <w:ind w:left="102"/>
            </w:pPr>
            <w:r w:rsidRPr="00542B0B">
              <w:t>45 mg</w:t>
            </w:r>
          </w:p>
        </w:tc>
        <w:tc>
          <w:tcPr>
            <w:tcW w:w="2322" w:type="dxa"/>
          </w:tcPr>
          <w:p w14:paraId="3F9B0250" w14:textId="77777777" w:rsidR="00542B0B" w:rsidRPr="00542B0B" w:rsidRDefault="00542B0B" w:rsidP="00166970">
            <w:pPr>
              <w:pStyle w:val="TableParagraph"/>
              <w:ind w:left="102"/>
            </w:pPr>
            <w:r w:rsidRPr="00542B0B">
              <w:t>1 injekčná liekovka</w:t>
            </w:r>
          </w:p>
        </w:tc>
        <w:tc>
          <w:tcPr>
            <w:tcW w:w="2322" w:type="dxa"/>
          </w:tcPr>
          <w:p w14:paraId="38B484FD" w14:textId="77777777" w:rsidR="00542B0B" w:rsidRPr="00542B0B" w:rsidRDefault="00542B0B" w:rsidP="00166970">
            <w:pPr>
              <w:pStyle w:val="TableParagraph"/>
            </w:pPr>
            <w:r w:rsidRPr="00542B0B">
              <w:t>1,8 ml</w:t>
            </w:r>
          </w:p>
        </w:tc>
      </w:tr>
    </w:tbl>
    <w:p w14:paraId="4C3218A1" w14:textId="77777777" w:rsidR="0073176E" w:rsidRDefault="0073176E" w:rsidP="00542B0B">
      <w:pPr>
        <w:pStyle w:val="Zkladntext"/>
        <w:spacing w:before="74"/>
        <w:ind w:left="118"/>
        <w:rPr>
          <w:u w:val="single"/>
        </w:rPr>
      </w:pPr>
    </w:p>
    <w:p w14:paraId="38E7B7E0" w14:textId="77777777" w:rsidR="00542B0B" w:rsidRPr="00542B0B" w:rsidRDefault="00542B0B" w:rsidP="00542B0B">
      <w:pPr>
        <w:pStyle w:val="Zkladntext"/>
        <w:spacing w:before="74"/>
        <w:ind w:left="118"/>
      </w:pPr>
      <w:r w:rsidRPr="00542B0B">
        <w:rPr>
          <w:u w:val="single"/>
        </w:rPr>
        <w:t>Spôsob podávania</w:t>
      </w:r>
    </w:p>
    <w:p w14:paraId="2C85D701" w14:textId="77777777" w:rsidR="00542B0B" w:rsidRPr="00542B0B" w:rsidRDefault="00542B0B" w:rsidP="00542B0B">
      <w:pPr>
        <w:pStyle w:val="Zkladntext"/>
        <w:spacing w:before="1"/>
        <w:ind w:left="118"/>
      </w:pPr>
      <w:r w:rsidRPr="00542B0B">
        <w:t>Po rekonštitúcii suspenziu nefiltrujte.</w:t>
      </w:r>
    </w:p>
    <w:p w14:paraId="259617E8" w14:textId="77777777" w:rsidR="00542B0B" w:rsidRPr="00542B0B" w:rsidRDefault="00542B0B" w:rsidP="00542B0B">
      <w:pPr>
        <w:pStyle w:val="Zkladntext"/>
        <w:spacing w:before="2"/>
      </w:pPr>
    </w:p>
    <w:p w14:paraId="0A1FF142" w14:textId="77777777" w:rsidR="00542B0B" w:rsidRPr="00542B0B" w:rsidRDefault="0073176E" w:rsidP="00542B0B">
      <w:pPr>
        <w:pStyle w:val="Zkladntext"/>
        <w:ind w:left="118" w:right="94" w:hanging="1"/>
      </w:pPr>
      <w:r>
        <w:t>Rekonštituovaný</w:t>
      </w:r>
      <w:r w:rsidR="00542B0B" w:rsidRPr="00542B0B">
        <w:t xml:space="preserve"> </w:t>
      </w:r>
      <w:r w:rsidR="00EB521E">
        <w:t>Azacitidine Sandoz</w:t>
      </w:r>
      <w:r w:rsidR="00542B0B" w:rsidRPr="00542B0B">
        <w:t xml:space="preserve"> sa má podávať subkutánnou injekciou (ihlu zaveďte pod uhlom 45 – 90°) do ramena, stehna alebo brucha použitím injekčnej ihly s kalibrom 25.</w:t>
      </w:r>
    </w:p>
    <w:p w14:paraId="06771984" w14:textId="77777777" w:rsidR="00542B0B" w:rsidRPr="00542B0B" w:rsidRDefault="00542B0B" w:rsidP="00542B0B">
      <w:pPr>
        <w:pStyle w:val="Zkladntext"/>
        <w:spacing w:before="2"/>
      </w:pPr>
    </w:p>
    <w:p w14:paraId="221A9AB2" w14:textId="77777777" w:rsidR="00542B0B" w:rsidRPr="00542B0B" w:rsidRDefault="00542B0B" w:rsidP="00542B0B">
      <w:pPr>
        <w:pStyle w:val="Zkladntext"/>
        <w:ind w:left="118"/>
      </w:pPr>
      <w:r w:rsidRPr="00542B0B">
        <w:t>Dávky väčšie než 4 ml sa majú injekčne aplikovať do dvoch rôznych miest vpichu.</w:t>
      </w:r>
    </w:p>
    <w:p w14:paraId="71AD6BEA" w14:textId="77777777" w:rsidR="00542B0B" w:rsidRPr="00542B0B" w:rsidRDefault="00542B0B" w:rsidP="00542B0B">
      <w:pPr>
        <w:pStyle w:val="Zkladntext"/>
        <w:spacing w:before="2"/>
      </w:pPr>
    </w:p>
    <w:p w14:paraId="2511D444" w14:textId="77777777" w:rsidR="00542B0B" w:rsidRPr="00542B0B" w:rsidRDefault="00542B0B" w:rsidP="00542B0B">
      <w:pPr>
        <w:pStyle w:val="Zkladntext"/>
        <w:ind w:left="118" w:right="633"/>
      </w:pPr>
      <w:r w:rsidRPr="00542B0B">
        <w:t>Miesta injekčnej aplikácie sa majú meniť. Nové injekcie sa majú aplikovať najmenej 2,5 cm od predchádzajúceho miesta vpichu a nikdy nie do oblastí, v ktorých je miesto vpichu bolestivé,</w:t>
      </w:r>
    </w:p>
    <w:p w14:paraId="3808E9AE" w14:textId="77777777" w:rsidR="00542B0B" w:rsidRPr="00542B0B" w:rsidRDefault="00542B0B" w:rsidP="00542B0B">
      <w:pPr>
        <w:pStyle w:val="Zkladntext"/>
        <w:spacing w:before="1"/>
        <w:ind w:left="118"/>
      </w:pPr>
      <w:r w:rsidRPr="00542B0B">
        <w:t>s podliatinami, začervenané alebo stvrdnuté.</w:t>
      </w:r>
    </w:p>
    <w:p w14:paraId="48F97BCC" w14:textId="77777777" w:rsidR="00542B0B" w:rsidRPr="00542B0B" w:rsidRDefault="00542B0B" w:rsidP="00542B0B">
      <w:pPr>
        <w:pStyle w:val="Zkladntext"/>
        <w:spacing w:before="2"/>
      </w:pPr>
    </w:p>
    <w:p w14:paraId="260F14CE" w14:textId="77777777" w:rsidR="00542B0B" w:rsidRPr="00542B0B" w:rsidRDefault="00542B0B" w:rsidP="00542B0B">
      <w:pPr>
        <w:pStyle w:val="Zkladntext"/>
        <w:ind w:left="118" w:right="824"/>
      </w:pPr>
      <w:r w:rsidRPr="00542B0B">
        <w:t>Všetok nepoužitý liek alebo odpad vzniknutý z lieku sa má zlikvidovať v súlade s národnými požiadavkami.</w:t>
      </w:r>
    </w:p>
    <w:p w14:paraId="2B9DF88E" w14:textId="77777777" w:rsidR="00FF5FC9" w:rsidRPr="00542B0B" w:rsidRDefault="00FF5FC9"/>
    <w:sectPr w:rsidR="00FF5FC9" w:rsidRPr="00542B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E116B" w14:textId="77777777" w:rsidR="00244D31" w:rsidRDefault="00244D31" w:rsidP="00EB784F">
      <w:r>
        <w:separator/>
      </w:r>
    </w:p>
  </w:endnote>
  <w:endnote w:type="continuationSeparator" w:id="0">
    <w:p w14:paraId="2260F26C" w14:textId="77777777" w:rsidR="00244D31" w:rsidRDefault="00244D31" w:rsidP="00EB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4737" w14:textId="19E227FD" w:rsidR="00EB784F" w:rsidRPr="00EB784F" w:rsidRDefault="00EB784F">
    <w:pPr>
      <w:pStyle w:val="Pta"/>
      <w:tabs>
        <w:tab w:val="clear" w:pos="4703"/>
      </w:tabs>
      <w:jc w:val="center"/>
      <w:rPr>
        <w:caps/>
        <w:noProof/>
        <w:sz w:val="18"/>
        <w:szCs w:val="18"/>
      </w:rPr>
    </w:pPr>
    <w:r w:rsidRPr="00EB784F">
      <w:rPr>
        <w:caps/>
        <w:sz w:val="18"/>
        <w:szCs w:val="18"/>
      </w:rPr>
      <w:fldChar w:fldCharType="begin"/>
    </w:r>
    <w:r w:rsidRPr="00EB784F">
      <w:rPr>
        <w:caps/>
        <w:sz w:val="18"/>
        <w:szCs w:val="18"/>
      </w:rPr>
      <w:instrText xml:space="preserve"> PAGE   \* MERGEFORMAT </w:instrText>
    </w:r>
    <w:r w:rsidRPr="00EB784F">
      <w:rPr>
        <w:caps/>
        <w:sz w:val="18"/>
        <w:szCs w:val="18"/>
      </w:rPr>
      <w:fldChar w:fldCharType="separate"/>
    </w:r>
    <w:r w:rsidR="00BB0A84">
      <w:rPr>
        <w:caps/>
        <w:noProof/>
        <w:sz w:val="18"/>
        <w:szCs w:val="18"/>
      </w:rPr>
      <w:t>9</w:t>
    </w:r>
    <w:r w:rsidRPr="00EB784F">
      <w:rPr>
        <w:caps/>
        <w:noProof/>
        <w:sz w:val="18"/>
        <w:szCs w:val="18"/>
      </w:rPr>
      <w:fldChar w:fldCharType="end"/>
    </w:r>
  </w:p>
  <w:p w14:paraId="13B0F003" w14:textId="77777777" w:rsidR="00EB784F" w:rsidRDefault="00EB78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24E34" w14:textId="77777777" w:rsidR="00244D31" w:rsidRDefault="00244D31" w:rsidP="00EB784F">
      <w:r>
        <w:separator/>
      </w:r>
    </w:p>
  </w:footnote>
  <w:footnote w:type="continuationSeparator" w:id="0">
    <w:p w14:paraId="3812D60A" w14:textId="77777777" w:rsidR="00244D31" w:rsidRDefault="00244D31" w:rsidP="00EB7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042A4" w14:textId="4DD2062F" w:rsidR="0016375F" w:rsidRDefault="00EB784F" w:rsidP="0016375F">
    <w:r w:rsidRPr="00EB784F">
      <w:rPr>
        <w:sz w:val="18"/>
        <w:szCs w:val="18"/>
      </w:rPr>
      <w:t>Schválený t</w:t>
    </w:r>
    <w:r>
      <w:rPr>
        <w:sz w:val="18"/>
        <w:szCs w:val="18"/>
      </w:rPr>
      <w:t>ext k rozhodnutiu o registrácii</w:t>
    </w:r>
    <w:r w:rsidRPr="00EB784F">
      <w:rPr>
        <w:sz w:val="18"/>
        <w:szCs w:val="18"/>
      </w:rPr>
      <w:t>, ev.</w:t>
    </w:r>
    <w:r w:rsidR="00E16477">
      <w:rPr>
        <w:sz w:val="18"/>
        <w:szCs w:val="18"/>
      </w:rPr>
      <w:t xml:space="preserve"> </w:t>
    </w:r>
    <w:r w:rsidRPr="00EB784F">
      <w:rPr>
        <w:sz w:val="18"/>
        <w:szCs w:val="18"/>
      </w:rPr>
      <w:t xml:space="preserve">č.: </w:t>
    </w:r>
    <w:r w:rsidR="0016375F" w:rsidRPr="0016375F">
      <w:rPr>
        <w:sz w:val="18"/>
        <w:szCs w:val="18"/>
      </w:rPr>
      <w:t>2018/08265-REG</w:t>
    </w:r>
  </w:p>
  <w:p w14:paraId="44992EFF" w14:textId="77777777" w:rsidR="00EB784F" w:rsidRPr="00EB784F" w:rsidRDefault="00EB784F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5B47"/>
    <w:multiLevelType w:val="hybridMultilevel"/>
    <w:tmpl w:val="F35EE866"/>
    <w:lvl w:ilvl="0" w:tplc="FFFFFFFF">
      <w:start w:val="1"/>
      <w:numFmt w:val="bullet"/>
      <w:lvlText w:val="-"/>
      <w:lvlJc w:val="left"/>
      <w:pPr>
        <w:ind w:left="725" w:hanging="568"/>
      </w:pPr>
      <w:rPr>
        <w:rFonts w:hint="default"/>
        <w:w w:val="99"/>
        <w:sz w:val="22"/>
        <w:szCs w:val="22"/>
      </w:rPr>
    </w:lvl>
    <w:lvl w:ilvl="1" w:tplc="788858D0">
      <w:numFmt w:val="bullet"/>
      <w:lvlText w:val="•"/>
      <w:lvlJc w:val="left"/>
      <w:pPr>
        <w:ind w:left="1574" w:hanging="568"/>
      </w:pPr>
      <w:rPr>
        <w:rFonts w:hint="default"/>
      </w:rPr>
    </w:lvl>
    <w:lvl w:ilvl="2" w:tplc="904EA37A">
      <w:numFmt w:val="bullet"/>
      <w:lvlText w:val="•"/>
      <w:lvlJc w:val="left"/>
      <w:pPr>
        <w:ind w:left="2428" w:hanging="568"/>
      </w:pPr>
      <w:rPr>
        <w:rFonts w:hint="default"/>
      </w:rPr>
    </w:lvl>
    <w:lvl w:ilvl="3" w:tplc="05E0A8B0">
      <w:numFmt w:val="bullet"/>
      <w:lvlText w:val="•"/>
      <w:lvlJc w:val="left"/>
      <w:pPr>
        <w:ind w:left="3283" w:hanging="568"/>
      </w:pPr>
      <w:rPr>
        <w:rFonts w:hint="default"/>
      </w:rPr>
    </w:lvl>
    <w:lvl w:ilvl="4" w:tplc="F9F82058">
      <w:numFmt w:val="bullet"/>
      <w:lvlText w:val="•"/>
      <w:lvlJc w:val="left"/>
      <w:pPr>
        <w:ind w:left="4137" w:hanging="568"/>
      </w:pPr>
      <w:rPr>
        <w:rFonts w:hint="default"/>
      </w:rPr>
    </w:lvl>
    <w:lvl w:ilvl="5" w:tplc="175C6422">
      <w:numFmt w:val="bullet"/>
      <w:lvlText w:val="•"/>
      <w:lvlJc w:val="left"/>
      <w:pPr>
        <w:ind w:left="4992" w:hanging="568"/>
      </w:pPr>
      <w:rPr>
        <w:rFonts w:hint="default"/>
      </w:rPr>
    </w:lvl>
    <w:lvl w:ilvl="6" w:tplc="CA441E92">
      <w:numFmt w:val="bullet"/>
      <w:lvlText w:val="•"/>
      <w:lvlJc w:val="left"/>
      <w:pPr>
        <w:ind w:left="5846" w:hanging="568"/>
      </w:pPr>
      <w:rPr>
        <w:rFonts w:hint="default"/>
      </w:rPr>
    </w:lvl>
    <w:lvl w:ilvl="7" w:tplc="245EA3AA">
      <w:numFmt w:val="bullet"/>
      <w:lvlText w:val="•"/>
      <w:lvlJc w:val="left"/>
      <w:pPr>
        <w:ind w:left="6701" w:hanging="568"/>
      </w:pPr>
      <w:rPr>
        <w:rFonts w:hint="default"/>
      </w:rPr>
    </w:lvl>
    <w:lvl w:ilvl="8" w:tplc="3D12595C">
      <w:numFmt w:val="bullet"/>
      <w:lvlText w:val="•"/>
      <w:lvlJc w:val="left"/>
      <w:pPr>
        <w:ind w:left="7555" w:hanging="568"/>
      </w:pPr>
      <w:rPr>
        <w:rFonts w:hint="default"/>
      </w:rPr>
    </w:lvl>
  </w:abstractNum>
  <w:abstractNum w:abstractNumId="1" w15:restartNumberingAfterBreak="0">
    <w:nsid w:val="11D84E41"/>
    <w:multiLevelType w:val="hybridMultilevel"/>
    <w:tmpl w:val="B114014A"/>
    <w:lvl w:ilvl="0" w:tplc="CD7CCDCA">
      <w:start w:val="1"/>
      <w:numFmt w:val="decimal"/>
      <w:lvlText w:val="%1."/>
      <w:lvlJc w:val="left"/>
      <w:pPr>
        <w:ind w:left="686" w:hanging="568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78561960">
      <w:numFmt w:val="bullet"/>
      <w:lvlText w:val="•"/>
      <w:lvlJc w:val="left"/>
      <w:pPr>
        <w:ind w:left="1542" w:hanging="568"/>
      </w:pPr>
      <w:rPr>
        <w:rFonts w:hint="default"/>
      </w:rPr>
    </w:lvl>
    <w:lvl w:ilvl="2" w:tplc="CCA2E168">
      <w:numFmt w:val="bullet"/>
      <w:lvlText w:val="•"/>
      <w:lvlJc w:val="left"/>
      <w:pPr>
        <w:ind w:left="2404" w:hanging="568"/>
      </w:pPr>
      <w:rPr>
        <w:rFonts w:hint="default"/>
      </w:rPr>
    </w:lvl>
    <w:lvl w:ilvl="3" w:tplc="098E0C8C">
      <w:numFmt w:val="bullet"/>
      <w:lvlText w:val="•"/>
      <w:lvlJc w:val="left"/>
      <w:pPr>
        <w:ind w:left="3267" w:hanging="568"/>
      </w:pPr>
      <w:rPr>
        <w:rFonts w:hint="default"/>
      </w:rPr>
    </w:lvl>
    <w:lvl w:ilvl="4" w:tplc="91781486">
      <w:numFmt w:val="bullet"/>
      <w:lvlText w:val="•"/>
      <w:lvlJc w:val="left"/>
      <w:pPr>
        <w:ind w:left="4129" w:hanging="568"/>
      </w:pPr>
      <w:rPr>
        <w:rFonts w:hint="default"/>
      </w:rPr>
    </w:lvl>
    <w:lvl w:ilvl="5" w:tplc="D21AD7E6">
      <w:numFmt w:val="bullet"/>
      <w:lvlText w:val="•"/>
      <w:lvlJc w:val="left"/>
      <w:pPr>
        <w:ind w:left="4992" w:hanging="568"/>
      </w:pPr>
      <w:rPr>
        <w:rFonts w:hint="default"/>
      </w:rPr>
    </w:lvl>
    <w:lvl w:ilvl="6" w:tplc="299C91E4">
      <w:numFmt w:val="bullet"/>
      <w:lvlText w:val="•"/>
      <w:lvlJc w:val="left"/>
      <w:pPr>
        <w:ind w:left="5854" w:hanging="568"/>
      </w:pPr>
      <w:rPr>
        <w:rFonts w:hint="default"/>
      </w:rPr>
    </w:lvl>
    <w:lvl w:ilvl="7" w:tplc="7870DDAE">
      <w:numFmt w:val="bullet"/>
      <w:lvlText w:val="•"/>
      <w:lvlJc w:val="left"/>
      <w:pPr>
        <w:ind w:left="6717" w:hanging="568"/>
      </w:pPr>
      <w:rPr>
        <w:rFonts w:hint="default"/>
      </w:rPr>
    </w:lvl>
    <w:lvl w:ilvl="8" w:tplc="EA72CFD4">
      <w:numFmt w:val="bullet"/>
      <w:lvlText w:val="•"/>
      <w:lvlJc w:val="left"/>
      <w:pPr>
        <w:ind w:left="7579" w:hanging="568"/>
      </w:pPr>
      <w:rPr>
        <w:rFonts w:hint="default"/>
      </w:rPr>
    </w:lvl>
  </w:abstractNum>
  <w:abstractNum w:abstractNumId="2" w15:restartNumberingAfterBreak="0">
    <w:nsid w:val="2A1941EC"/>
    <w:multiLevelType w:val="hybridMultilevel"/>
    <w:tmpl w:val="9BB61310"/>
    <w:lvl w:ilvl="0" w:tplc="9AB0BDBE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440B1BC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2562A774"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A81E3648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F1560798">
      <w:numFmt w:val="bullet"/>
      <w:lvlText w:val="•"/>
      <w:lvlJc w:val="left"/>
      <w:pPr>
        <w:ind w:left="4121" w:hanging="567"/>
      </w:pPr>
      <w:rPr>
        <w:rFonts w:hint="default"/>
      </w:rPr>
    </w:lvl>
    <w:lvl w:ilvl="5" w:tplc="96F8155E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1D9E9FF6">
      <w:numFmt w:val="bullet"/>
      <w:lvlText w:val="•"/>
      <w:lvlJc w:val="left"/>
      <w:pPr>
        <w:ind w:left="5842" w:hanging="567"/>
      </w:pPr>
      <w:rPr>
        <w:rFonts w:hint="default"/>
      </w:rPr>
    </w:lvl>
    <w:lvl w:ilvl="7" w:tplc="286AC7FA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7F1E1D84">
      <w:numFmt w:val="bullet"/>
      <w:lvlText w:val="•"/>
      <w:lvlJc w:val="left"/>
      <w:pPr>
        <w:ind w:left="7563" w:hanging="567"/>
      </w:pPr>
      <w:rPr>
        <w:rFonts w:hint="default"/>
      </w:rPr>
    </w:lvl>
  </w:abstractNum>
  <w:abstractNum w:abstractNumId="3" w15:restartNumberingAfterBreak="0">
    <w:nsid w:val="3139136A"/>
    <w:multiLevelType w:val="hybridMultilevel"/>
    <w:tmpl w:val="F93C0EE4"/>
    <w:lvl w:ilvl="0" w:tplc="CDAA6B0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3B9A5398"/>
    <w:multiLevelType w:val="hybridMultilevel"/>
    <w:tmpl w:val="773CC294"/>
    <w:lvl w:ilvl="0" w:tplc="5AAA8BA4">
      <w:numFmt w:val="bullet"/>
      <w:lvlText w:val=""/>
      <w:lvlJc w:val="left"/>
      <w:pPr>
        <w:ind w:left="725" w:hanging="568"/>
      </w:pPr>
      <w:rPr>
        <w:rFonts w:ascii="Symbol" w:eastAsia="Symbol" w:hAnsi="Symbol" w:cs="Symbol" w:hint="default"/>
        <w:w w:val="99"/>
        <w:sz w:val="22"/>
        <w:szCs w:val="22"/>
      </w:rPr>
    </w:lvl>
    <w:lvl w:ilvl="1" w:tplc="788858D0">
      <w:numFmt w:val="bullet"/>
      <w:lvlText w:val="•"/>
      <w:lvlJc w:val="left"/>
      <w:pPr>
        <w:ind w:left="1574" w:hanging="568"/>
      </w:pPr>
      <w:rPr>
        <w:rFonts w:hint="default"/>
      </w:rPr>
    </w:lvl>
    <w:lvl w:ilvl="2" w:tplc="904EA37A">
      <w:numFmt w:val="bullet"/>
      <w:lvlText w:val="•"/>
      <w:lvlJc w:val="left"/>
      <w:pPr>
        <w:ind w:left="2428" w:hanging="568"/>
      </w:pPr>
      <w:rPr>
        <w:rFonts w:hint="default"/>
      </w:rPr>
    </w:lvl>
    <w:lvl w:ilvl="3" w:tplc="05E0A8B0">
      <w:numFmt w:val="bullet"/>
      <w:lvlText w:val="•"/>
      <w:lvlJc w:val="left"/>
      <w:pPr>
        <w:ind w:left="3283" w:hanging="568"/>
      </w:pPr>
      <w:rPr>
        <w:rFonts w:hint="default"/>
      </w:rPr>
    </w:lvl>
    <w:lvl w:ilvl="4" w:tplc="F9F82058">
      <w:numFmt w:val="bullet"/>
      <w:lvlText w:val="•"/>
      <w:lvlJc w:val="left"/>
      <w:pPr>
        <w:ind w:left="4137" w:hanging="568"/>
      </w:pPr>
      <w:rPr>
        <w:rFonts w:hint="default"/>
      </w:rPr>
    </w:lvl>
    <w:lvl w:ilvl="5" w:tplc="175C6422">
      <w:numFmt w:val="bullet"/>
      <w:lvlText w:val="•"/>
      <w:lvlJc w:val="left"/>
      <w:pPr>
        <w:ind w:left="4992" w:hanging="568"/>
      </w:pPr>
      <w:rPr>
        <w:rFonts w:hint="default"/>
      </w:rPr>
    </w:lvl>
    <w:lvl w:ilvl="6" w:tplc="CA441E92">
      <w:numFmt w:val="bullet"/>
      <w:lvlText w:val="•"/>
      <w:lvlJc w:val="left"/>
      <w:pPr>
        <w:ind w:left="5846" w:hanging="568"/>
      </w:pPr>
      <w:rPr>
        <w:rFonts w:hint="default"/>
      </w:rPr>
    </w:lvl>
    <w:lvl w:ilvl="7" w:tplc="245EA3AA">
      <w:numFmt w:val="bullet"/>
      <w:lvlText w:val="•"/>
      <w:lvlJc w:val="left"/>
      <w:pPr>
        <w:ind w:left="6701" w:hanging="568"/>
      </w:pPr>
      <w:rPr>
        <w:rFonts w:hint="default"/>
      </w:rPr>
    </w:lvl>
    <w:lvl w:ilvl="8" w:tplc="3D12595C">
      <w:numFmt w:val="bullet"/>
      <w:lvlText w:val="•"/>
      <w:lvlJc w:val="left"/>
      <w:pPr>
        <w:ind w:left="7555" w:hanging="568"/>
      </w:pPr>
      <w:rPr>
        <w:rFonts w:hint="default"/>
      </w:rPr>
    </w:lvl>
  </w:abstractNum>
  <w:abstractNum w:abstractNumId="5" w15:restartNumberingAfterBreak="0">
    <w:nsid w:val="41603239"/>
    <w:multiLevelType w:val="hybridMultilevel"/>
    <w:tmpl w:val="E14A50BA"/>
    <w:lvl w:ilvl="0" w:tplc="54FE19D4">
      <w:start w:val="1"/>
      <w:numFmt w:val="decimal"/>
      <w:lvlText w:val="%1."/>
      <w:lvlJc w:val="left"/>
      <w:pPr>
        <w:ind w:left="118" w:hanging="56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5AACE362">
      <w:numFmt w:val="bullet"/>
      <w:lvlText w:val="•"/>
      <w:lvlJc w:val="left"/>
      <w:pPr>
        <w:ind w:left="1036" w:hanging="568"/>
      </w:pPr>
      <w:rPr>
        <w:rFonts w:hint="default"/>
      </w:rPr>
    </w:lvl>
    <w:lvl w:ilvl="2" w:tplc="CFE8A9A6">
      <w:numFmt w:val="bullet"/>
      <w:lvlText w:val="•"/>
      <w:lvlJc w:val="left"/>
      <w:pPr>
        <w:ind w:left="1952" w:hanging="568"/>
      </w:pPr>
      <w:rPr>
        <w:rFonts w:hint="default"/>
      </w:rPr>
    </w:lvl>
    <w:lvl w:ilvl="3" w:tplc="DE6C67B0">
      <w:numFmt w:val="bullet"/>
      <w:lvlText w:val="•"/>
      <w:lvlJc w:val="left"/>
      <w:pPr>
        <w:ind w:left="2869" w:hanging="568"/>
      </w:pPr>
      <w:rPr>
        <w:rFonts w:hint="default"/>
      </w:rPr>
    </w:lvl>
    <w:lvl w:ilvl="4" w:tplc="6C1CC7DC">
      <w:numFmt w:val="bullet"/>
      <w:lvlText w:val="•"/>
      <w:lvlJc w:val="left"/>
      <w:pPr>
        <w:ind w:left="3785" w:hanging="568"/>
      </w:pPr>
      <w:rPr>
        <w:rFonts w:hint="default"/>
      </w:rPr>
    </w:lvl>
    <w:lvl w:ilvl="5" w:tplc="B61E55C8">
      <w:numFmt w:val="bullet"/>
      <w:lvlText w:val="•"/>
      <w:lvlJc w:val="left"/>
      <w:pPr>
        <w:ind w:left="4702" w:hanging="568"/>
      </w:pPr>
      <w:rPr>
        <w:rFonts w:hint="default"/>
      </w:rPr>
    </w:lvl>
    <w:lvl w:ilvl="6" w:tplc="53D6BEFC">
      <w:numFmt w:val="bullet"/>
      <w:lvlText w:val="•"/>
      <w:lvlJc w:val="left"/>
      <w:pPr>
        <w:ind w:left="5618" w:hanging="568"/>
      </w:pPr>
      <w:rPr>
        <w:rFonts w:hint="default"/>
      </w:rPr>
    </w:lvl>
    <w:lvl w:ilvl="7" w:tplc="84E2669C">
      <w:numFmt w:val="bullet"/>
      <w:lvlText w:val="•"/>
      <w:lvlJc w:val="left"/>
      <w:pPr>
        <w:ind w:left="6535" w:hanging="568"/>
      </w:pPr>
      <w:rPr>
        <w:rFonts w:hint="default"/>
      </w:rPr>
    </w:lvl>
    <w:lvl w:ilvl="8" w:tplc="0D7CCD66">
      <w:numFmt w:val="bullet"/>
      <w:lvlText w:val="•"/>
      <w:lvlJc w:val="left"/>
      <w:pPr>
        <w:ind w:left="7451" w:hanging="568"/>
      </w:pPr>
      <w:rPr>
        <w:rFonts w:hint="default"/>
      </w:rPr>
    </w:lvl>
  </w:abstractNum>
  <w:abstractNum w:abstractNumId="6" w15:restartNumberingAfterBreak="0">
    <w:nsid w:val="546C0116"/>
    <w:multiLevelType w:val="hybridMultilevel"/>
    <w:tmpl w:val="B818FA56"/>
    <w:lvl w:ilvl="0" w:tplc="FFFFFFFF">
      <w:start w:val="1"/>
      <w:numFmt w:val="bullet"/>
      <w:lvlText w:val="-"/>
      <w:lvlJc w:val="left"/>
      <w:pPr>
        <w:ind w:left="725" w:hanging="568"/>
      </w:pPr>
      <w:rPr>
        <w:rFonts w:hint="default"/>
        <w:w w:val="99"/>
        <w:sz w:val="22"/>
        <w:szCs w:val="22"/>
      </w:rPr>
    </w:lvl>
    <w:lvl w:ilvl="1" w:tplc="788858D0">
      <w:numFmt w:val="bullet"/>
      <w:lvlText w:val="•"/>
      <w:lvlJc w:val="left"/>
      <w:pPr>
        <w:ind w:left="1574" w:hanging="568"/>
      </w:pPr>
      <w:rPr>
        <w:rFonts w:hint="default"/>
      </w:rPr>
    </w:lvl>
    <w:lvl w:ilvl="2" w:tplc="904EA37A">
      <w:numFmt w:val="bullet"/>
      <w:lvlText w:val="•"/>
      <w:lvlJc w:val="left"/>
      <w:pPr>
        <w:ind w:left="2428" w:hanging="568"/>
      </w:pPr>
      <w:rPr>
        <w:rFonts w:hint="default"/>
      </w:rPr>
    </w:lvl>
    <w:lvl w:ilvl="3" w:tplc="05E0A8B0">
      <w:numFmt w:val="bullet"/>
      <w:lvlText w:val="•"/>
      <w:lvlJc w:val="left"/>
      <w:pPr>
        <w:ind w:left="3283" w:hanging="568"/>
      </w:pPr>
      <w:rPr>
        <w:rFonts w:hint="default"/>
      </w:rPr>
    </w:lvl>
    <w:lvl w:ilvl="4" w:tplc="F9F82058">
      <w:numFmt w:val="bullet"/>
      <w:lvlText w:val="•"/>
      <w:lvlJc w:val="left"/>
      <w:pPr>
        <w:ind w:left="4137" w:hanging="568"/>
      </w:pPr>
      <w:rPr>
        <w:rFonts w:hint="default"/>
      </w:rPr>
    </w:lvl>
    <w:lvl w:ilvl="5" w:tplc="175C6422">
      <w:numFmt w:val="bullet"/>
      <w:lvlText w:val="•"/>
      <w:lvlJc w:val="left"/>
      <w:pPr>
        <w:ind w:left="4992" w:hanging="568"/>
      </w:pPr>
      <w:rPr>
        <w:rFonts w:hint="default"/>
      </w:rPr>
    </w:lvl>
    <w:lvl w:ilvl="6" w:tplc="CA441E92">
      <w:numFmt w:val="bullet"/>
      <w:lvlText w:val="•"/>
      <w:lvlJc w:val="left"/>
      <w:pPr>
        <w:ind w:left="5846" w:hanging="568"/>
      </w:pPr>
      <w:rPr>
        <w:rFonts w:hint="default"/>
      </w:rPr>
    </w:lvl>
    <w:lvl w:ilvl="7" w:tplc="245EA3AA">
      <w:numFmt w:val="bullet"/>
      <w:lvlText w:val="•"/>
      <w:lvlJc w:val="left"/>
      <w:pPr>
        <w:ind w:left="6701" w:hanging="568"/>
      </w:pPr>
      <w:rPr>
        <w:rFonts w:hint="default"/>
      </w:rPr>
    </w:lvl>
    <w:lvl w:ilvl="8" w:tplc="3D12595C">
      <w:numFmt w:val="bullet"/>
      <w:lvlText w:val="•"/>
      <w:lvlJc w:val="left"/>
      <w:pPr>
        <w:ind w:left="7555" w:hanging="568"/>
      </w:pPr>
      <w:rPr>
        <w:rFonts w:hint="default"/>
      </w:rPr>
    </w:lvl>
  </w:abstractNum>
  <w:abstractNum w:abstractNumId="7" w15:restartNumberingAfterBreak="0">
    <w:nsid w:val="54CA167C"/>
    <w:multiLevelType w:val="hybridMultilevel"/>
    <w:tmpl w:val="90F2335C"/>
    <w:lvl w:ilvl="0" w:tplc="B2749CAA">
      <w:numFmt w:val="bullet"/>
      <w:lvlText w:val="-"/>
      <w:lvlJc w:val="left"/>
      <w:pPr>
        <w:ind w:left="686" w:hanging="56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020266A">
      <w:numFmt w:val="bullet"/>
      <w:lvlText w:val="•"/>
      <w:lvlJc w:val="left"/>
      <w:pPr>
        <w:ind w:left="1540" w:hanging="568"/>
      </w:pPr>
      <w:rPr>
        <w:rFonts w:hint="default"/>
      </w:rPr>
    </w:lvl>
    <w:lvl w:ilvl="2" w:tplc="1A50B448">
      <w:numFmt w:val="bullet"/>
      <w:lvlText w:val="•"/>
      <w:lvlJc w:val="left"/>
      <w:pPr>
        <w:ind w:left="2400" w:hanging="568"/>
      </w:pPr>
      <w:rPr>
        <w:rFonts w:hint="default"/>
      </w:rPr>
    </w:lvl>
    <w:lvl w:ilvl="3" w:tplc="BB621FA6">
      <w:numFmt w:val="bullet"/>
      <w:lvlText w:val="•"/>
      <w:lvlJc w:val="left"/>
      <w:pPr>
        <w:ind w:left="3261" w:hanging="568"/>
      </w:pPr>
      <w:rPr>
        <w:rFonts w:hint="default"/>
      </w:rPr>
    </w:lvl>
    <w:lvl w:ilvl="4" w:tplc="9CB0B534">
      <w:numFmt w:val="bullet"/>
      <w:lvlText w:val="•"/>
      <w:lvlJc w:val="left"/>
      <w:pPr>
        <w:ind w:left="4121" w:hanging="568"/>
      </w:pPr>
      <w:rPr>
        <w:rFonts w:hint="default"/>
      </w:rPr>
    </w:lvl>
    <w:lvl w:ilvl="5" w:tplc="FB9049A4">
      <w:numFmt w:val="bullet"/>
      <w:lvlText w:val="•"/>
      <w:lvlJc w:val="left"/>
      <w:pPr>
        <w:ind w:left="4982" w:hanging="568"/>
      </w:pPr>
      <w:rPr>
        <w:rFonts w:hint="default"/>
      </w:rPr>
    </w:lvl>
    <w:lvl w:ilvl="6" w:tplc="8446D0AC">
      <w:numFmt w:val="bullet"/>
      <w:lvlText w:val="•"/>
      <w:lvlJc w:val="left"/>
      <w:pPr>
        <w:ind w:left="5842" w:hanging="568"/>
      </w:pPr>
      <w:rPr>
        <w:rFonts w:hint="default"/>
      </w:rPr>
    </w:lvl>
    <w:lvl w:ilvl="7" w:tplc="CE842D4E">
      <w:numFmt w:val="bullet"/>
      <w:lvlText w:val="•"/>
      <w:lvlJc w:val="left"/>
      <w:pPr>
        <w:ind w:left="6703" w:hanging="568"/>
      </w:pPr>
      <w:rPr>
        <w:rFonts w:hint="default"/>
      </w:rPr>
    </w:lvl>
    <w:lvl w:ilvl="8" w:tplc="4D4CB1D2">
      <w:numFmt w:val="bullet"/>
      <w:lvlText w:val="•"/>
      <w:lvlJc w:val="left"/>
      <w:pPr>
        <w:ind w:left="7563" w:hanging="56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0B"/>
    <w:rsid w:val="000337DF"/>
    <w:rsid w:val="000753E2"/>
    <w:rsid w:val="000F3F25"/>
    <w:rsid w:val="001369BA"/>
    <w:rsid w:val="0016375F"/>
    <w:rsid w:val="00174D22"/>
    <w:rsid w:val="001B6585"/>
    <w:rsid w:val="001F0E21"/>
    <w:rsid w:val="001F6090"/>
    <w:rsid w:val="00244D31"/>
    <w:rsid w:val="00245F49"/>
    <w:rsid w:val="00262615"/>
    <w:rsid w:val="002850C6"/>
    <w:rsid w:val="00295C4F"/>
    <w:rsid w:val="002C2C43"/>
    <w:rsid w:val="002D357A"/>
    <w:rsid w:val="00323738"/>
    <w:rsid w:val="0035055F"/>
    <w:rsid w:val="00383AE7"/>
    <w:rsid w:val="0038469C"/>
    <w:rsid w:val="00392B8D"/>
    <w:rsid w:val="003C60F4"/>
    <w:rsid w:val="00422774"/>
    <w:rsid w:val="004324E3"/>
    <w:rsid w:val="0045426A"/>
    <w:rsid w:val="004816AC"/>
    <w:rsid w:val="00484DBA"/>
    <w:rsid w:val="004B1D67"/>
    <w:rsid w:val="004C4614"/>
    <w:rsid w:val="004D0E76"/>
    <w:rsid w:val="0052529E"/>
    <w:rsid w:val="00536A25"/>
    <w:rsid w:val="00542B0B"/>
    <w:rsid w:val="00562802"/>
    <w:rsid w:val="005A381A"/>
    <w:rsid w:val="00614E68"/>
    <w:rsid w:val="006166C8"/>
    <w:rsid w:val="00622542"/>
    <w:rsid w:val="006424F1"/>
    <w:rsid w:val="0064750A"/>
    <w:rsid w:val="00685BE3"/>
    <w:rsid w:val="006A114D"/>
    <w:rsid w:val="006B4962"/>
    <w:rsid w:val="006F74B8"/>
    <w:rsid w:val="00711305"/>
    <w:rsid w:val="0073176E"/>
    <w:rsid w:val="00745B70"/>
    <w:rsid w:val="00790232"/>
    <w:rsid w:val="008055AE"/>
    <w:rsid w:val="00810F8B"/>
    <w:rsid w:val="008230FC"/>
    <w:rsid w:val="00837AF9"/>
    <w:rsid w:val="008454B5"/>
    <w:rsid w:val="008B1E1C"/>
    <w:rsid w:val="00900B40"/>
    <w:rsid w:val="009807B9"/>
    <w:rsid w:val="00985427"/>
    <w:rsid w:val="009F5DE6"/>
    <w:rsid w:val="00A2729A"/>
    <w:rsid w:val="00A3195F"/>
    <w:rsid w:val="00A67270"/>
    <w:rsid w:val="00A903DB"/>
    <w:rsid w:val="00AA082E"/>
    <w:rsid w:val="00AC21E0"/>
    <w:rsid w:val="00B304C3"/>
    <w:rsid w:val="00B5797B"/>
    <w:rsid w:val="00BB0A84"/>
    <w:rsid w:val="00BB3DB6"/>
    <w:rsid w:val="00BF58E0"/>
    <w:rsid w:val="00C33406"/>
    <w:rsid w:val="00C46463"/>
    <w:rsid w:val="00C71749"/>
    <w:rsid w:val="00CE0EBF"/>
    <w:rsid w:val="00CF3242"/>
    <w:rsid w:val="00D226D3"/>
    <w:rsid w:val="00D23D20"/>
    <w:rsid w:val="00D431BC"/>
    <w:rsid w:val="00DA67E1"/>
    <w:rsid w:val="00E16477"/>
    <w:rsid w:val="00E318A3"/>
    <w:rsid w:val="00E471A5"/>
    <w:rsid w:val="00EB521E"/>
    <w:rsid w:val="00EB784F"/>
    <w:rsid w:val="00EE604E"/>
    <w:rsid w:val="00F31F85"/>
    <w:rsid w:val="00F94EE0"/>
    <w:rsid w:val="00FB3F49"/>
    <w:rsid w:val="00FC0C85"/>
    <w:rsid w:val="00FE225A"/>
    <w:rsid w:val="00FE2EE9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0B16"/>
  <w15:chartTrackingRefBased/>
  <w15:docId w15:val="{EF878FBB-3B24-4F66-8D57-36A2C47E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542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542B0B"/>
    <w:pPr>
      <w:ind w:left="109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542B0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542B0B"/>
  </w:style>
  <w:style w:type="character" w:customStyle="1" w:styleId="ZkladntextChar">
    <w:name w:val="Základný text Char"/>
    <w:basedOn w:val="Predvolenpsmoodseku"/>
    <w:link w:val="Zkladntext"/>
    <w:uiPriority w:val="1"/>
    <w:rsid w:val="00542B0B"/>
    <w:rPr>
      <w:rFonts w:ascii="Times New Roman" w:eastAsia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1"/>
    <w:qFormat/>
    <w:rsid w:val="00542B0B"/>
    <w:pPr>
      <w:ind w:left="686" w:hanging="568"/>
    </w:pPr>
  </w:style>
  <w:style w:type="paragraph" w:customStyle="1" w:styleId="TableParagraph">
    <w:name w:val="Table Paragraph"/>
    <w:basedOn w:val="Normlny"/>
    <w:uiPriority w:val="1"/>
    <w:qFormat/>
    <w:rsid w:val="00542B0B"/>
    <w:pPr>
      <w:ind w:left="103"/>
    </w:pPr>
  </w:style>
  <w:style w:type="paragraph" w:styleId="Hlavika">
    <w:name w:val="header"/>
    <w:basedOn w:val="Normlny"/>
    <w:link w:val="HlavikaChar"/>
    <w:uiPriority w:val="99"/>
    <w:unhideWhenUsed/>
    <w:rsid w:val="00EB784F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784F"/>
    <w:rPr>
      <w:rFonts w:ascii="Times New Roman" w:eastAsia="Times New Roman" w:hAnsi="Times New Roman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B784F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EB784F"/>
    <w:rPr>
      <w:rFonts w:ascii="Times New Roman" w:eastAsia="Times New Roman" w:hAnsi="Times New Roman" w:cs="Times New Roman"/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252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2529E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A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AF9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37A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AF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AF9"/>
    <w:rPr>
      <w:rFonts w:ascii="Times New Roman" w:eastAsia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A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AF9"/>
    <w:rPr>
      <w:rFonts w:ascii="Times New Roman" w:eastAsia="Times New Roman" w:hAnsi="Times New Roman" w:cs="Times New Roman"/>
      <w:b/>
      <w:bCs/>
    </w:rPr>
  </w:style>
  <w:style w:type="paragraph" w:styleId="Bezriadkovania">
    <w:name w:val="No Spacing"/>
    <w:uiPriority w:val="1"/>
    <w:qFormat/>
    <w:rsid w:val="004C4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457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0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093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67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1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7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56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1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20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318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4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28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648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85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694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17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7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1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5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34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2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383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30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06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974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05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61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5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2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4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406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7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34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403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3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3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7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812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4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70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7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7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33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27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2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56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A6D4-6C10-49AF-9697-74AF7939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Varadi, Dominika</dc:creator>
  <cp:keywords/>
  <dc:description/>
  <cp:lastModifiedBy>PM</cp:lastModifiedBy>
  <cp:revision>76</cp:revision>
  <dcterms:created xsi:type="dcterms:W3CDTF">2020-05-06T11:48:00Z</dcterms:created>
  <dcterms:modified xsi:type="dcterms:W3CDTF">2020-05-26T11:05:00Z</dcterms:modified>
</cp:coreProperties>
</file>