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4044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5A5D6ECE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4D70C9A6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7AF4C5F5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1B5B5459" w14:textId="77777777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2E369A">
        <w:rPr>
          <w:b/>
          <w:bCs/>
          <w:sz w:val="22"/>
          <w:szCs w:val="22"/>
        </w:rPr>
        <w:t xml:space="preserve"> 10</w:t>
      </w:r>
      <w:r w:rsidR="006528CE" w:rsidRPr="00EF07C1">
        <w:rPr>
          <w:b/>
          <w:bCs/>
          <w:sz w:val="22"/>
          <w:szCs w:val="22"/>
        </w:rPr>
        <w:t xml:space="preserve"> mg filmom obalené tablety</w:t>
      </w:r>
    </w:p>
    <w:p w14:paraId="65EC41A5" w14:textId="77777777" w:rsidR="003641BE" w:rsidRPr="00EF07C1" w:rsidRDefault="00347888" w:rsidP="00152B2F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339F3760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7E1C2EF2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1A41E84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6D79016C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56388252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50EC67D1" w14:textId="77777777" w:rsidR="006528CE" w:rsidRPr="00EF07C1" w:rsidRDefault="00347888" w:rsidP="008550EC">
      <w:pPr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1857A993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76112E6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0C2E7353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6D0AF05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57B26A5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72A6121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681227E5" w14:textId="77777777" w:rsidR="006528CE" w:rsidRPr="00EF07C1" w:rsidRDefault="006528CE" w:rsidP="008550EC">
      <w:pPr>
        <w:tabs>
          <w:tab w:val="left" w:pos="567"/>
        </w:tabs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1B91671E" w14:textId="77777777" w:rsidR="006528CE" w:rsidRPr="00EF07C1" w:rsidRDefault="006528CE" w:rsidP="006528CE">
      <w:pPr>
        <w:rPr>
          <w:rFonts w:ascii="Times New Roman" w:hAnsi="Times New Roman" w:cs="Times New Roman"/>
        </w:rPr>
      </w:pPr>
    </w:p>
    <w:p w14:paraId="342DA518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5623503A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3C997FD" w14:textId="77777777" w:rsidR="006528CE" w:rsidRPr="00EF07C1" w:rsidRDefault="008F0110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6528CE" w:rsidRPr="00EF07C1">
        <w:rPr>
          <w:sz w:val="22"/>
          <w:szCs w:val="22"/>
        </w:rPr>
        <w:t xml:space="preserve"> obsahuje liečivo rivaroxab</w:t>
      </w:r>
      <w:r w:rsidR="00347888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 xml:space="preserve">n a používa sa u dospelých na: </w:t>
      </w:r>
    </w:p>
    <w:p w14:paraId="07D8935D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zabránenie vzniku krvných zrazenín v </w:t>
      </w:r>
      <w:r w:rsidR="004E2598">
        <w:rPr>
          <w:sz w:val="22"/>
          <w:szCs w:val="22"/>
        </w:rPr>
        <w:t>žilách po operácii na nahradenie bedrového alebo kolenného kĺbu. Váš lekár vám predpísal tento liek, pretože po operácii máte zvýšené riziko vzniku krvných zrazenín</w:t>
      </w:r>
      <w:r w:rsidRPr="00EF07C1">
        <w:rPr>
          <w:sz w:val="22"/>
          <w:szCs w:val="22"/>
        </w:rPr>
        <w:t xml:space="preserve">. </w:t>
      </w:r>
    </w:p>
    <w:p w14:paraId="1A9A1115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>liečbu krvných zrazenín v žilách nôh (hlbok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žilov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trombóz</w:t>
      </w:r>
      <w:r w:rsidR="00830C7D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) a v krvných cievach pľúc (pľúcnej embólie) a na zabránenie opätovného vzniku krvných zrazenín v krvných cievach nôh a/alebo v pľúcach. </w:t>
      </w:r>
    </w:p>
    <w:p w14:paraId="238E123F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1C5EB688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788D495B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5F4432F9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566471AB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66698695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795CFDAF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7F7D1091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7BF17D63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7A6442C3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73622028" w14:textId="64CA5653" w:rsidR="006528CE" w:rsidRPr="000B393D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382E3E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382E3E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16789F56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2C856303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1434297B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EF07C1">
        <w:rPr>
          <w:rFonts w:ascii="Times New Roman" w:hAnsi="Times New Roman" w:cs="Times New Roman"/>
          <w:b/>
          <w:bCs/>
        </w:rPr>
        <w:t xml:space="preserve">neužívajte </w:t>
      </w:r>
      <w:r w:rsidR="008F0110" w:rsidRPr="008F0110">
        <w:rPr>
          <w:rFonts w:ascii="Times New Roman" w:hAnsi="Times New Roman" w:cs="Times New Roman"/>
          <w:b/>
        </w:rPr>
        <w:t>Xanirvu</w:t>
      </w:r>
      <w:r w:rsidRPr="008F0110">
        <w:rPr>
          <w:rFonts w:ascii="Times New Roman" w:hAnsi="Times New Roman" w:cs="Times New Roman"/>
          <w:b/>
          <w:bCs/>
        </w:rPr>
        <w:t xml:space="preserve"> a</w:t>
      </w:r>
      <w:r w:rsidRPr="00EF07C1">
        <w:rPr>
          <w:rFonts w:ascii="Times New Roman" w:hAnsi="Times New Roman" w:cs="Times New Roman"/>
          <w:b/>
          <w:bCs/>
        </w:rPr>
        <w:t xml:space="preserve"> povedzte to svojmu lekárovi.</w:t>
      </w:r>
    </w:p>
    <w:p w14:paraId="302820C9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7E9557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lastRenderedPageBreak/>
        <w:t xml:space="preserve">Upozornenia a opatrenia </w:t>
      </w:r>
    </w:p>
    <w:p w14:paraId="2933E7AC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474B8CBF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38635E5E" w14:textId="415E95B4" w:rsidR="006528CE" w:rsidRPr="00EF07C1" w:rsidRDefault="006528CE" w:rsidP="00540316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Buďte zvlášť opatrný pri užívaní </w:t>
      </w:r>
      <w:r w:rsidR="008F0110" w:rsidRPr="008F0110">
        <w:rPr>
          <w:b/>
          <w:sz w:val="22"/>
          <w:szCs w:val="22"/>
        </w:rPr>
        <w:t>Xanirv</w:t>
      </w:r>
      <w:r w:rsidR="00382E3E">
        <w:rPr>
          <w:b/>
          <w:sz w:val="22"/>
          <w:szCs w:val="22"/>
        </w:rPr>
        <w:t>y</w:t>
      </w:r>
    </w:p>
    <w:p w14:paraId="572813F7" w14:textId="344B8B4C" w:rsidR="006528CE" w:rsidRPr="00EF07C1" w:rsidRDefault="00FB5EF7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8C7255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3792C013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="005D1CF6">
        <w:rPr>
          <w:sz w:val="22"/>
          <w:szCs w:val="22"/>
        </w:rPr>
        <w:t xml:space="preserve">stredne </w:t>
      </w:r>
      <w:r w:rsidRPr="00EF07C1">
        <w:rPr>
          <w:sz w:val="22"/>
          <w:szCs w:val="22"/>
        </w:rPr>
        <w:t xml:space="preserve">závažné </w:t>
      </w:r>
      <w:r w:rsidR="005D1CF6">
        <w:rPr>
          <w:sz w:val="22"/>
          <w:szCs w:val="22"/>
        </w:rPr>
        <w:t xml:space="preserve">alebo ťažké </w:t>
      </w:r>
      <w:r w:rsidRPr="00EF07C1">
        <w:rPr>
          <w:sz w:val="22"/>
          <w:szCs w:val="22"/>
        </w:rPr>
        <w:t>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13DF6E79" w14:textId="12F27B98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8C7255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8C7255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4C3201" w:rsidRPr="00EF07C1">
        <w:rPr>
          <w:sz w:val="22"/>
          <w:szCs w:val="22"/>
        </w:rPr>
        <w:t>tepnových katétrov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7D9DDC10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2C10564A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09CB0DC2" w14:textId="67580C50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ochorenie vášho žalúdka alebo čriev, ktoré môže viesť ku krvácaniu, </w:t>
      </w:r>
      <w:r w:rsidR="005D1CF6">
        <w:rPr>
          <w:sz w:val="22"/>
          <w:szCs w:val="22"/>
        </w:rPr>
        <w:t>napr. zápal čriev alebo žalúdka alebo</w:t>
      </w:r>
      <w:r w:rsidRPr="00EF07C1">
        <w:rPr>
          <w:sz w:val="22"/>
          <w:szCs w:val="22"/>
        </w:rPr>
        <w:t xml:space="preserve">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8C7255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8C7255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(ochorenie, ke</w:t>
      </w:r>
      <w:r w:rsidR="002C2062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4DDB79C8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77DBD13C" w14:textId="77777777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46F6D3FF" w14:textId="77777777" w:rsidR="006528CE" w:rsidRDefault="00FB5EF7" w:rsidP="0046470F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>ak máte náhradn</w:t>
      </w:r>
      <w:r w:rsidR="00157EA9">
        <w:rPr>
          <w:sz w:val="22"/>
          <w:szCs w:val="22"/>
        </w:rPr>
        <w:t>ú (protetickú) srdcovú chlopňu;</w:t>
      </w:r>
    </w:p>
    <w:p w14:paraId="062FB861" w14:textId="77777777" w:rsidR="00BF67F0" w:rsidRPr="00BF67F0" w:rsidRDefault="00FB5EF7" w:rsidP="00157EA9">
      <w:pPr>
        <w:pStyle w:val="Default"/>
        <w:tabs>
          <w:tab w:val="left" w:pos="524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BF67F0">
        <w:rPr>
          <w:sz w:val="22"/>
          <w:szCs w:val="22"/>
        </w:rPr>
        <w:tab/>
      </w:r>
      <w:r w:rsidR="00BF67F0" w:rsidRPr="00BF67F0">
        <w:rPr>
          <w:sz w:val="22"/>
          <w:szCs w:val="22"/>
        </w:rPr>
        <w:t>ak viete, že máte ochorenie nazývané antifosfolipidový syndróm (ochorenie imunitného systému, ktoré spôsobuje zvýšené riziko tvorby krvných zrazenín), obráťte sa na svojho lekára, ktorý ro</w:t>
      </w:r>
      <w:r w:rsidR="00157EA9">
        <w:rPr>
          <w:sz w:val="22"/>
          <w:szCs w:val="22"/>
        </w:rPr>
        <w:t>zhodne o potrebe zmeniť liečbu;</w:t>
      </w:r>
    </w:p>
    <w:p w14:paraId="6FC11370" w14:textId="77777777" w:rsidR="006528CE" w:rsidRPr="00EF07C1" w:rsidRDefault="00FB5EF7" w:rsidP="0046470F">
      <w:pPr>
        <w:pStyle w:val="Default"/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lekár určí, že váš krvný tlak nie je stabilný alebo ak sa plánuje ďalšia liečba alebo chirurgický zákrok na odstránenie krvnej zrazeniny z vašich pľúc. </w:t>
      </w:r>
    </w:p>
    <w:p w14:paraId="5D13A459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5594E37D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4BE8279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2443F5B8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5E366537" w14:textId="37DD542C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C7255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67D5D2DC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presne v čase, ktorý vám nariadil váš lekár, </w:t>
      </w:r>
    </w:p>
    <w:p w14:paraId="110720A2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597BB11B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94632DF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151A7B97" w14:textId="40F2E02B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</w:t>
      </w:r>
      <w:r w:rsidR="00893095" w:rsidRPr="00907DB3">
        <w:rPr>
          <w:b/>
          <w:bCs/>
          <w:sz w:val="22"/>
          <w:szCs w:val="22"/>
        </w:rPr>
        <w:t xml:space="preserve">neodporúča podávať </w:t>
      </w:r>
      <w:r w:rsidR="00394115" w:rsidRPr="00907DB3">
        <w:rPr>
          <w:b/>
          <w:bCs/>
          <w:sz w:val="22"/>
          <w:szCs w:val="22"/>
        </w:rPr>
        <w:t>osobám</w:t>
      </w:r>
      <w:r w:rsidR="00893095" w:rsidRPr="00907DB3">
        <w:rPr>
          <w:b/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 xml:space="preserve">U detí a dospievajúcich nie je dostatok informácií o </w:t>
      </w:r>
      <w:r w:rsidR="00893095" w:rsidRPr="00AE79F5">
        <w:rPr>
          <w:sz w:val="22"/>
          <w:szCs w:val="22"/>
        </w:rPr>
        <w:t>je</w:t>
      </w:r>
      <w:r w:rsidR="008C7255" w:rsidRPr="00AE79F5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34041CF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1CD7B95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1AED623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1FDDD99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1CF1F24B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08E8D8B4" w14:textId="77777777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67CE205E" w14:textId="408EB6B3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tablety </w:t>
      </w:r>
      <w:r w:rsidR="007C3E89">
        <w:rPr>
          <w:sz w:val="22"/>
          <w:szCs w:val="22"/>
        </w:rPr>
        <w:t xml:space="preserve">s </w:t>
      </w:r>
      <w:r w:rsidRPr="00EF07C1">
        <w:rPr>
          <w:sz w:val="22"/>
          <w:szCs w:val="22"/>
        </w:rPr>
        <w:t>ketokonazol</w:t>
      </w:r>
      <w:r w:rsidR="007C3E89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69BCB214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070893BE" w14:textId="32BB561F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</w:t>
      </w:r>
      <w:r w:rsidR="007C3E89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 xml:space="preserve"> HIV/AIDS (napr. ritonavir);</w:t>
      </w:r>
    </w:p>
    <w:p w14:paraId="6F1897C4" w14:textId="77777777" w:rsidR="00893095" w:rsidRPr="00EF07C1" w:rsidRDefault="00893095" w:rsidP="00394115">
      <w:pPr>
        <w:pStyle w:val="Default"/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 acenokumarol);</w:t>
      </w:r>
    </w:p>
    <w:p w14:paraId="1D833FCD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lastRenderedPageBreak/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4F337037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hanging="720"/>
        <w:rPr>
          <w:sz w:val="22"/>
          <w:szCs w:val="22"/>
        </w:rPr>
      </w:pPr>
      <w:r w:rsidRPr="00EF07C1">
        <w:rPr>
          <w:sz w:val="22"/>
          <w:szCs w:val="22"/>
        </w:rPr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0364D888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 xml:space="preserve">niektoré lieky na liečbu depresie (selektívne inhibítory spätného vychytávania sérotonínu (SSRI) alebo inhibítory spätného vychytávania sérotonínu a noradrenalínu (SNRI)). </w:t>
      </w:r>
    </w:p>
    <w:p w14:paraId="4ED3981F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267FB860" w14:textId="57E3C352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0CD10FE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4B5C8A6E" w14:textId="77777777" w:rsidR="00893095" w:rsidRPr="00EF07C1" w:rsidRDefault="00893095" w:rsidP="00893095">
      <w:pPr>
        <w:pStyle w:val="Default"/>
      </w:pPr>
    </w:p>
    <w:p w14:paraId="3837728E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42328E33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2886017C" w14:textId="57C8F562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B572BB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37F3CC69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rifampicín, antibiotikum. </w:t>
      </w:r>
    </w:p>
    <w:p w14:paraId="1EF5B43C" w14:textId="537A8D36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53101E57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2C68C074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49ABFB9B" w14:textId="1F883DF1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65E03E80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66CAA27E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6C8AE7E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5BDACEC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43B41D7" w14:textId="77777777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obsahuje </w:t>
      </w:r>
      <w:r w:rsidR="00464E42">
        <w:rPr>
          <w:b/>
          <w:bCs/>
          <w:sz w:val="22"/>
          <w:szCs w:val="22"/>
        </w:rPr>
        <w:t>monohydrát laktózy (druh cukru)</w:t>
      </w:r>
      <w:r w:rsidR="00893095" w:rsidRPr="00EF07C1">
        <w:rPr>
          <w:b/>
          <w:bCs/>
          <w:sz w:val="22"/>
          <w:szCs w:val="22"/>
        </w:rPr>
        <w:t xml:space="preserve"> </w:t>
      </w:r>
      <w:r w:rsidR="00893095" w:rsidRPr="00F10B78">
        <w:rPr>
          <w:b/>
          <w:bCs/>
          <w:sz w:val="22"/>
          <w:szCs w:val="22"/>
        </w:rPr>
        <w:t>a sodík</w:t>
      </w:r>
      <w:r w:rsidR="00893095" w:rsidRPr="00EF07C1">
        <w:rPr>
          <w:b/>
          <w:bCs/>
          <w:sz w:val="22"/>
          <w:szCs w:val="22"/>
        </w:rPr>
        <w:t xml:space="preserve"> </w:t>
      </w:r>
    </w:p>
    <w:p w14:paraId="2059D2FD" w14:textId="434A956B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</w:t>
      </w:r>
      <w:r w:rsidRPr="00E952D5">
        <w:rPr>
          <w:sz w:val="22"/>
          <w:szCs w:val="22"/>
        </w:rPr>
        <w:t>vám</w:t>
      </w:r>
      <w:r w:rsidR="005136CD" w:rsidRPr="00E952D5">
        <w:rPr>
          <w:sz w:val="22"/>
          <w:szCs w:val="22"/>
        </w:rPr>
        <w:t xml:space="preserve"> váš</w:t>
      </w:r>
      <w:r w:rsidRPr="00E952D5">
        <w:rPr>
          <w:sz w:val="22"/>
          <w:szCs w:val="22"/>
        </w:rPr>
        <w:t xml:space="preserve"> lekár</w:t>
      </w:r>
      <w:r w:rsidRPr="00EF07C1">
        <w:rPr>
          <w:sz w:val="22"/>
          <w:szCs w:val="22"/>
        </w:rPr>
        <w:t xml:space="preserve"> povedal, že neznášate niektoré cukry, kontaktujte svojho lekára pred užitím tohto lieku. </w:t>
      </w:r>
    </w:p>
    <w:p w14:paraId="30FFED62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t>Tento liek obsahuje 1 mmol sodíka (23 mg) v jednej tablete, t. j. v podstate zanedbateľné množstvo sodíka.</w:t>
      </w:r>
    </w:p>
    <w:p w14:paraId="6542884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47367DB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1A6428C2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B05B96">
        <w:rPr>
          <w:b/>
          <w:bCs/>
          <w:sz w:val="22"/>
          <w:szCs w:val="22"/>
        </w:rPr>
        <w:t>3.</w:t>
      </w:r>
      <w:r w:rsidR="00E049AA" w:rsidRPr="00B05B96">
        <w:rPr>
          <w:b/>
          <w:bCs/>
          <w:sz w:val="22"/>
          <w:szCs w:val="22"/>
        </w:rPr>
        <w:tab/>
      </w:r>
      <w:r w:rsidRPr="00B05B96">
        <w:rPr>
          <w:b/>
          <w:bCs/>
          <w:sz w:val="22"/>
          <w:szCs w:val="22"/>
        </w:rPr>
        <w:t xml:space="preserve">Ako užívať </w:t>
      </w:r>
      <w:r w:rsidR="008F0110" w:rsidRPr="00B05B96">
        <w:rPr>
          <w:b/>
          <w:sz w:val="22"/>
          <w:szCs w:val="22"/>
        </w:rPr>
        <w:t>Xanirvu</w:t>
      </w:r>
    </w:p>
    <w:p w14:paraId="0F7C590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3070C82C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71BC1D44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58BBBF60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tabliet užívať </w:t>
      </w:r>
    </w:p>
    <w:p w14:paraId="35A9A183" w14:textId="77777777" w:rsidR="00893095" w:rsidRPr="00EF07C1" w:rsidRDefault="00893095" w:rsidP="001873F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zabránenie vzniku krvných zrazenín v</w:t>
      </w:r>
      <w:r w:rsidR="00873380">
        <w:rPr>
          <w:b/>
          <w:sz w:val="22"/>
          <w:szCs w:val="22"/>
        </w:rPr>
        <w:t> žilách po operácii</w:t>
      </w:r>
      <w:r w:rsidR="00B05B96">
        <w:rPr>
          <w:b/>
          <w:sz w:val="22"/>
          <w:szCs w:val="22"/>
        </w:rPr>
        <w:t xml:space="preserve"> </w:t>
      </w:r>
      <w:r w:rsidR="00C36174">
        <w:rPr>
          <w:b/>
          <w:sz w:val="22"/>
          <w:szCs w:val="22"/>
        </w:rPr>
        <w:t xml:space="preserve">na </w:t>
      </w:r>
      <w:r w:rsidR="00873380">
        <w:rPr>
          <w:b/>
          <w:sz w:val="22"/>
          <w:szCs w:val="22"/>
        </w:rPr>
        <w:t>nahradeni</w:t>
      </w:r>
      <w:r w:rsidR="00C36174">
        <w:rPr>
          <w:b/>
          <w:sz w:val="22"/>
          <w:szCs w:val="22"/>
        </w:rPr>
        <w:t>e</w:t>
      </w:r>
      <w:r w:rsidR="00873380">
        <w:rPr>
          <w:b/>
          <w:sz w:val="22"/>
          <w:szCs w:val="22"/>
        </w:rPr>
        <w:t xml:space="preserve"> bedrového alebo kolenného kĺbu</w:t>
      </w:r>
    </w:p>
    <w:p w14:paraId="47A5FE0C" w14:textId="48BCFA8D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Odporúčaná dávka je jedna tableta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</w:t>
      </w:r>
      <w:r w:rsidR="00907DB3">
        <w:rPr>
          <w:sz w:val="22"/>
          <w:szCs w:val="22"/>
        </w:rPr>
        <w:t>1</w:t>
      </w:r>
      <w:r w:rsidRPr="00EF07C1">
        <w:rPr>
          <w:sz w:val="22"/>
          <w:szCs w:val="22"/>
        </w:rPr>
        <w:t xml:space="preserve">0 mg jedenkrát denne. </w:t>
      </w:r>
    </w:p>
    <w:p w14:paraId="460FFBEF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E40D70A" w14:textId="77777777" w:rsidR="00893095" w:rsidRPr="00EF07C1" w:rsidRDefault="00893095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liečbu krvných zrazenín v žilách nôh a krvných zrazenín v krvných cievach vašich pľúc a na zabránenie opätovného vzniku krvných zrazenín</w:t>
      </w:r>
      <w:r w:rsidRPr="00EF07C1">
        <w:rPr>
          <w:sz w:val="22"/>
          <w:szCs w:val="22"/>
        </w:rPr>
        <w:t xml:space="preserve">. </w:t>
      </w:r>
    </w:p>
    <w:p w14:paraId="488684F5" w14:textId="77777777" w:rsidR="00873380" w:rsidRPr="00EF07C1" w:rsidRDefault="00893095" w:rsidP="00873380">
      <w:pPr>
        <w:pStyle w:val="Default"/>
        <w:ind w:left="708"/>
      </w:pPr>
      <w:r w:rsidRPr="00EF07C1">
        <w:rPr>
          <w:sz w:val="22"/>
          <w:szCs w:val="22"/>
        </w:rPr>
        <w:t xml:space="preserve">Po najmenej 6 mesiacoch liečby krvných zrazenín </w:t>
      </w:r>
      <w:r w:rsidR="00873380" w:rsidRPr="00EF07C1">
        <w:rPr>
          <w:sz w:val="22"/>
          <w:szCs w:val="22"/>
        </w:rPr>
        <w:t xml:space="preserve">je odporúčaná dávka </w:t>
      </w:r>
      <w:r w:rsidR="00873380">
        <w:rPr>
          <w:sz w:val="22"/>
          <w:szCs w:val="22"/>
        </w:rPr>
        <w:t xml:space="preserve">buď </w:t>
      </w:r>
      <w:r w:rsidR="00873380" w:rsidRPr="00EF07C1">
        <w:rPr>
          <w:sz w:val="22"/>
          <w:szCs w:val="22"/>
        </w:rPr>
        <w:t xml:space="preserve">jedna </w:t>
      </w:r>
      <w:r w:rsidR="00873380">
        <w:rPr>
          <w:sz w:val="22"/>
          <w:szCs w:val="22"/>
        </w:rPr>
        <w:t>1</w:t>
      </w:r>
      <w:r w:rsidR="00873380" w:rsidRPr="00EF07C1">
        <w:rPr>
          <w:sz w:val="22"/>
          <w:szCs w:val="22"/>
        </w:rPr>
        <w:t>0 mg tableta jedenkrát denne</w:t>
      </w:r>
      <w:r w:rsidR="00873380">
        <w:rPr>
          <w:sz w:val="22"/>
          <w:szCs w:val="22"/>
        </w:rPr>
        <w:t xml:space="preserve"> alebo </w:t>
      </w:r>
      <w:r w:rsidR="00873380" w:rsidRPr="00EF07C1">
        <w:rPr>
          <w:sz w:val="22"/>
          <w:szCs w:val="22"/>
        </w:rPr>
        <w:t xml:space="preserve">jedna </w:t>
      </w:r>
      <w:r w:rsidR="00873380">
        <w:rPr>
          <w:sz w:val="22"/>
          <w:szCs w:val="22"/>
        </w:rPr>
        <w:t>2</w:t>
      </w:r>
      <w:r w:rsidR="00873380" w:rsidRPr="00EF07C1">
        <w:rPr>
          <w:sz w:val="22"/>
          <w:szCs w:val="22"/>
        </w:rPr>
        <w:t>0 mg tableta jedenkrát denne</w:t>
      </w:r>
      <w:r w:rsidR="00873380">
        <w:rPr>
          <w:sz w:val="22"/>
          <w:szCs w:val="22"/>
        </w:rPr>
        <w:t xml:space="preserve">. Lekár vám predpísal Xanirvu 10 mg </w:t>
      </w:r>
      <w:r w:rsidR="00873380" w:rsidRPr="00EF07C1">
        <w:rPr>
          <w:sz w:val="22"/>
          <w:szCs w:val="22"/>
        </w:rPr>
        <w:t>jedenkrát denne</w:t>
      </w:r>
      <w:r w:rsidR="00873380">
        <w:rPr>
          <w:sz w:val="22"/>
          <w:szCs w:val="22"/>
        </w:rPr>
        <w:t>.</w:t>
      </w:r>
    </w:p>
    <w:p w14:paraId="6BA77B40" w14:textId="77777777" w:rsidR="00893095" w:rsidRPr="00EF07C1" w:rsidRDefault="00893095" w:rsidP="001873FA">
      <w:pPr>
        <w:spacing w:line="240" w:lineRule="auto"/>
        <w:ind w:left="708"/>
        <w:rPr>
          <w:rFonts w:ascii="Times New Roman" w:hAnsi="Times New Roman" w:cs="Times New Roman"/>
        </w:rPr>
      </w:pPr>
    </w:p>
    <w:p w14:paraId="133034B3" w14:textId="14E4CF50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Tabletu  prehltnite a zapite ju, najlepšie vodou. </w:t>
      </w:r>
    </w:p>
    <w:p w14:paraId="3B62609D" w14:textId="77777777" w:rsidR="00391062" w:rsidRPr="00EF07C1" w:rsidRDefault="000854FD" w:rsidP="00391062">
      <w:pPr>
        <w:rPr>
          <w:rFonts w:ascii="Times New Roman" w:hAnsi="Times New Roman" w:cs="Times New Roman"/>
        </w:rPr>
      </w:pPr>
      <w:r w:rsidRPr="000854FD">
        <w:rPr>
          <w:rFonts w:ascii="Times New Roman" w:hAnsi="Times New Roman" w:cs="Times New Roman"/>
        </w:rPr>
        <w:t>Xanirvu</w:t>
      </w:r>
      <w:r w:rsidR="00391062" w:rsidRPr="00EF07C1">
        <w:rPr>
          <w:rFonts w:ascii="Times New Roman" w:hAnsi="Times New Roman" w:cs="Times New Roman"/>
        </w:rPr>
        <w:t xml:space="preserve"> </w:t>
      </w:r>
      <w:r w:rsidR="00873380">
        <w:rPr>
          <w:rFonts w:ascii="Times New Roman" w:hAnsi="Times New Roman" w:cs="Times New Roman"/>
        </w:rPr>
        <w:t xml:space="preserve">možno užiť </w:t>
      </w:r>
      <w:r w:rsidR="00391062" w:rsidRPr="00EF07C1">
        <w:rPr>
          <w:rFonts w:ascii="Times New Roman" w:hAnsi="Times New Roman" w:cs="Times New Roman"/>
        </w:rPr>
        <w:t>s</w:t>
      </w:r>
      <w:r w:rsidR="00873380">
        <w:rPr>
          <w:rFonts w:ascii="Times New Roman" w:hAnsi="Times New Roman" w:cs="Times New Roman"/>
        </w:rPr>
        <w:t> </w:t>
      </w:r>
      <w:r w:rsidR="00391062" w:rsidRPr="00EF07C1">
        <w:rPr>
          <w:rFonts w:ascii="Times New Roman" w:hAnsi="Times New Roman" w:cs="Times New Roman"/>
        </w:rPr>
        <w:t>jedlom</w:t>
      </w:r>
      <w:r w:rsidR="00873380">
        <w:rPr>
          <w:rFonts w:ascii="Times New Roman" w:hAnsi="Times New Roman" w:cs="Times New Roman"/>
        </w:rPr>
        <w:t xml:space="preserve"> alebo bez jedla</w:t>
      </w:r>
      <w:r w:rsidR="00391062" w:rsidRPr="00EF07C1">
        <w:rPr>
          <w:rFonts w:ascii="Times New Roman" w:hAnsi="Times New Roman" w:cs="Times New Roman"/>
        </w:rPr>
        <w:t>.</w:t>
      </w:r>
    </w:p>
    <w:p w14:paraId="4821399B" w14:textId="640EC728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Ak máte problémy s prehĺtaním celých tabliet, váš lekár vám povie o iných spôsoboch užitia </w:t>
      </w:r>
      <w:r w:rsidR="000854FD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>. Tabletu môžete rozdrviť a rozmiešať vo vode alebo jabl</w:t>
      </w:r>
      <w:r w:rsidR="007A1160">
        <w:rPr>
          <w:sz w:val="22"/>
          <w:szCs w:val="22"/>
        </w:rPr>
        <w:t>kovom</w:t>
      </w:r>
      <w:r w:rsidRPr="00EF07C1">
        <w:rPr>
          <w:sz w:val="22"/>
          <w:szCs w:val="22"/>
        </w:rPr>
        <w:t xml:space="preserve"> pyré tesne predtým</w:t>
      </w:r>
      <w:r w:rsidR="003C035E">
        <w:rPr>
          <w:sz w:val="22"/>
          <w:szCs w:val="22"/>
        </w:rPr>
        <w:t>,</w:t>
      </w:r>
      <w:r w:rsidRPr="00EF07C1">
        <w:rPr>
          <w:sz w:val="22"/>
          <w:szCs w:val="22"/>
        </w:rPr>
        <w:t xml:space="preserve"> ako ju užijete. </w:t>
      </w:r>
    </w:p>
    <w:p w14:paraId="3DABCF98" w14:textId="25FB22FF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je to potrebné, váš lekár vám môže taktiež podať rozdrvenú tabletu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0347BD5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72381C4E" w14:textId="77777777" w:rsidR="00391062" w:rsidRPr="00EF07C1" w:rsidRDefault="002A7B9D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Tabletu</w:t>
      </w:r>
      <w:r w:rsidR="00391062" w:rsidRPr="00EF07C1">
        <w:rPr>
          <w:sz w:val="22"/>
          <w:szCs w:val="22"/>
        </w:rPr>
        <w:t xml:space="preserve"> užívajte každý deň, až kým vám lekár nepovie, aby ste užívanie ukončili. </w:t>
      </w:r>
    </w:p>
    <w:p w14:paraId="6DA2CAC8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Sn</w:t>
      </w:r>
      <w:r w:rsidR="002A7B9D">
        <w:rPr>
          <w:sz w:val="22"/>
          <w:szCs w:val="22"/>
        </w:rPr>
        <w:t>ažte sa užívať tabletu</w:t>
      </w:r>
      <w:r w:rsidRPr="00EF07C1">
        <w:rPr>
          <w:sz w:val="22"/>
          <w:szCs w:val="22"/>
        </w:rPr>
        <w:t xml:space="preserve"> každý deň v rovnakom čase, </w:t>
      </w:r>
      <w:r w:rsidR="003B608C" w:rsidRPr="000B393D">
        <w:rPr>
          <w:sz w:val="22"/>
          <w:szCs w:val="22"/>
        </w:rPr>
        <w:t>čo v</w:t>
      </w:r>
      <w:r w:rsidR="003B608C" w:rsidRPr="00EF07C1">
        <w:rPr>
          <w:sz w:val="22"/>
          <w:szCs w:val="22"/>
        </w:rPr>
        <w:t xml:space="preserve">ám </w:t>
      </w:r>
      <w:r w:rsidRPr="00EF07C1">
        <w:rPr>
          <w:sz w:val="22"/>
          <w:szCs w:val="22"/>
        </w:rPr>
        <w:t xml:space="preserve">pomôže </w:t>
      </w:r>
      <w:r w:rsidRPr="000B393D">
        <w:rPr>
          <w:sz w:val="22"/>
          <w:szCs w:val="22"/>
        </w:rPr>
        <w:t xml:space="preserve">zapamätať si </w:t>
      </w:r>
      <w:r w:rsidR="003B608C" w:rsidRPr="000B393D">
        <w:rPr>
          <w:sz w:val="22"/>
          <w:szCs w:val="22"/>
        </w:rPr>
        <w:t>užívanie</w:t>
      </w:r>
      <w:r w:rsidRPr="00912448">
        <w:rPr>
          <w:sz w:val="22"/>
          <w:szCs w:val="22"/>
        </w:rPr>
        <w:t xml:space="preserve">. </w:t>
      </w:r>
    </w:p>
    <w:p w14:paraId="194A4189" w14:textId="77777777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Lekár rozhodne, ako dlho musíte v liečbe pokračovať.</w:t>
      </w:r>
    </w:p>
    <w:p w14:paraId="50C0E761" w14:textId="77777777" w:rsidR="00391062" w:rsidRPr="00C36174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Prevencia </w:t>
      </w:r>
      <w:r w:rsidR="00D42AE8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</w:t>
      </w:r>
      <w:r w:rsidR="00D42AE8" w:rsidRPr="00EF07C1">
        <w:rPr>
          <w:sz w:val="22"/>
          <w:szCs w:val="22"/>
        </w:rPr>
        <w:t>í</w:t>
      </w:r>
      <w:r w:rsidRPr="00EF07C1">
        <w:rPr>
          <w:sz w:val="22"/>
          <w:szCs w:val="22"/>
        </w:rPr>
        <w:t>n v</w:t>
      </w:r>
      <w:r w:rsidR="00C36174">
        <w:rPr>
          <w:sz w:val="22"/>
          <w:szCs w:val="22"/>
        </w:rPr>
        <w:t> žilách po operácii na nahradenie</w:t>
      </w:r>
      <w:r w:rsidR="00C36174" w:rsidRPr="00C36174">
        <w:rPr>
          <w:sz w:val="22"/>
          <w:szCs w:val="22"/>
        </w:rPr>
        <w:t xml:space="preserve"> bedrového alebo kolenného kĺbu</w:t>
      </w:r>
      <w:r w:rsidRPr="00C36174">
        <w:rPr>
          <w:sz w:val="22"/>
          <w:szCs w:val="22"/>
        </w:rPr>
        <w:t xml:space="preserve">: </w:t>
      </w:r>
    </w:p>
    <w:p w14:paraId="13796070" w14:textId="77777777" w:rsidR="00C36174" w:rsidRDefault="00C36174" w:rsidP="00C361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Prvú tabletu užite 6-10 hodín po operácii. </w:t>
      </w:r>
    </w:p>
    <w:p w14:paraId="32756741" w14:textId="77777777" w:rsidR="00C36174" w:rsidRPr="00C36174" w:rsidRDefault="00C36174" w:rsidP="00C36174">
      <w:pPr>
        <w:pStyle w:val="Default"/>
        <w:rPr>
          <w:sz w:val="22"/>
          <w:szCs w:val="22"/>
        </w:rPr>
      </w:pPr>
      <w:r w:rsidRPr="00C36174">
        <w:rPr>
          <w:sz w:val="22"/>
          <w:szCs w:val="22"/>
        </w:rPr>
        <w:t xml:space="preserve">Ak ste mali vážnejšiu operáciu bedrového kĺbu, zvyčajne budete tablety užívať 5 týždňov. </w:t>
      </w:r>
    </w:p>
    <w:p w14:paraId="5D06F5CA" w14:textId="77777777" w:rsidR="00391062" w:rsidRPr="00C36174" w:rsidRDefault="00C36174" w:rsidP="00C36174">
      <w:pPr>
        <w:rPr>
          <w:rFonts w:ascii="Times New Roman" w:hAnsi="Times New Roman" w:cs="Times New Roman"/>
        </w:rPr>
      </w:pPr>
      <w:r w:rsidRPr="00C36174">
        <w:rPr>
          <w:rFonts w:ascii="Times New Roman" w:hAnsi="Times New Roman" w:cs="Times New Roman"/>
        </w:rPr>
        <w:t>Ak ste mali vážnejšiu operáciu kolena, zvyčajne budete užívať tablety 2 týždne.</w:t>
      </w:r>
    </w:p>
    <w:p w14:paraId="6F1023AA" w14:textId="2E7A65D5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382E3E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935366E" w14:textId="52869371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tabliet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6975F59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6D5BCE0A" w14:textId="77777777" w:rsidR="004E538D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zabudli užiť dávku, užite ju, len čo si spomeniete. Ďalšiu tabletu užite v nasledujúci deň a potom pokračujte v užívaní tablety ako zvyčajne jedenkrát denne. </w:t>
      </w:r>
    </w:p>
    <w:p w14:paraId="75FC3F34" w14:textId="77777777" w:rsidR="00C36174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14:paraId="6911AB8B" w14:textId="77777777" w:rsidR="004E538D" w:rsidRPr="00EF07C1" w:rsidRDefault="004E538D" w:rsidP="004E538D">
      <w:pPr>
        <w:pStyle w:val="Default"/>
        <w:rPr>
          <w:sz w:val="22"/>
          <w:szCs w:val="22"/>
        </w:rPr>
      </w:pPr>
    </w:p>
    <w:p w14:paraId="65EEE4D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18CEC54F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lekárom, pretože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lieči </w:t>
      </w:r>
    </w:p>
    <w:p w14:paraId="4F742511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 chráni pred vznikom závažných stavov. </w:t>
      </w:r>
    </w:p>
    <w:p w14:paraId="35BECDF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73EFB5C5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4E1D463E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41CA625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6A1EA950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997C0E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3552540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326E74F3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5289510A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8F6C066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2D400C1B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D1D35D0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34A6236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64A94B7C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4DC1B3CE" w14:textId="3468296C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CB15F1">
        <w:rPr>
          <w:i/>
          <w:sz w:val="22"/>
          <w:szCs w:val="22"/>
        </w:rPr>
        <w:t>ang</w:t>
      </w:r>
      <w:r w:rsidR="00B572BB" w:rsidRPr="00CB15F1">
        <w:rPr>
          <w:i/>
          <w:sz w:val="22"/>
          <w:szCs w:val="22"/>
        </w:rPr>
        <w:t>i</w:t>
      </w:r>
      <w:r w:rsidR="00391062" w:rsidRPr="00CB15F1">
        <w:rPr>
          <w:i/>
          <w:sz w:val="22"/>
          <w:szCs w:val="22"/>
        </w:rPr>
        <w:t>na pe</w:t>
      </w:r>
      <w:r w:rsidR="00B572BB" w:rsidRPr="00CB15F1">
        <w:rPr>
          <w:i/>
          <w:sz w:val="22"/>
          <w:szCs w:val="22"/>
        </w:rPr>
        <w:t>c</w:t>
      </w:r>
      <w:r w:rsidR="00391062" w:rsidRPr="00CB15F1">
        <w:rPr>
          <w:i/>
          <w:sz w:val="22"/>
          <w:szCs w:val="22"/>
        </w:rPr>
        <w:t>toris,</w:t>
      </w:r>
      <w:r w:rsidR="00391062" w:rsidRPr="00EF07C1">
        <w:rPr>
          <w:sz w:val="22"/>
          <w:szCs w:val="22"/>
        </w:rPr>
        <w:t xml:space="preserve"> ktoré môžu byť prejavmi krvácania. </w:t>
      </w:r>
    </w:p>
    <w:p w14:paraId="1B1BC4EC" w14:textId="1B09EBC1" w:rsidR="00391062" w:rsidRPr="00EF07C1" w:rsidRDefault="00B572BB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135E587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2574B90E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09EC102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403549C4" w14:textId="6EFAFA3A" w:rsidR="00391062" w:rsidRPr="00EF07C1" w:rsidRDefault="00DC640C" w:rsidP="00CB27F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CB27FC">
        <w:rPr>
          <w:sz w:val="22"/>
          <w:szCs w:val="22"/>
        </w:rPr>
        <w:t>Často</w:t>
      </w:r>
      <w:r w:rsidR="00EE3CDE">
        <w:rPr>
          <w:sz w:val="22"/>
          <w:szCs w:val="22"/>
        </w:rPr>
        <w:t>sť výskytu</w:t>
      </w:r>
      <w:r w:rsidR="00391062"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575BBF9D" w14:textId="789F3CC4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reakcia na liek, ktorá spôsobí vyrážku, horúčku, zápal vnútorných orgánov, </w:t>
      </w:r>
      <w:r w:rsidR="00EE3CDE">
        <w:rPr>
          <w:sz w:val="22"/>
          <w:szCs w:val="22"/>
        </w:rPr>
        <w:t xml:space="preserve">poruchy </w:t>
      </w:r>
      <w:r w:rsidRPr="00EF07C1">
        <w:rPr>
          <w:sz w:val="22"/>
          <w:szCs w:val="22"/>
        </w:rPr>
        <w:t>krv</w:t>
      </w:r>
      <w:r w:rsidR="00EE3CDE">
        <w:rPr>
          <w:sz w:val="22"/>
          <w:szCs w:val="22"/>
        </w:rPr>
        <w:t>i</w:t>
      </w:r>
      <w:r w:rsidRPr="00EF07C1">
        <w:rPr>
          <w:sz w:val="22"/>
          <w:szCs w:val="22"/>
        </w:rPr>
        <w:t xml:space="preserve">  a systémové (celkové) ochorenie (DRESS syndróm). </w:t>
      </w:r>
      <w:r w:rsidR="00EE3CDE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75D2DAF3" w14:textId="77777777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</w:p>
    <w:p w14:paraId="35269237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23C41E3A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lastRenderedPageBreak/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35C84D2B" w14:textId="0FEB3680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EE3CDE">
        <w:rPr>
          <w:sz w:val="22"/>
          <w:szCs w:val="22"/>
        </w:rPr>
        <w:t>Častosti výskytu</w:t>
      </w:r>
      <w:r w:rsidRPr="00EF07C1">
        <w:rPr>
          <w:sz w:val="22"/>
          <w:szCs w:val="22"/>
        </w:rPr>
        <w:t xml:space="preserve"> 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60454A01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5D34EAF8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5227076E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3E54F0E9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5BAAEE57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47865553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0784233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7347316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0D3ECFAE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3DB1ED8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6DF2FB8F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1DA985C7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0B7DDB45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76518D7A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31AD6FFE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65AE21B0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644F428A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4FB88DA9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761F6AF3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2E56F553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590E2D2B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0FE7B76C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77453D2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54C071DC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75DCE53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3651E56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ED9FD93" w14:textId="77777777" w:rsidR="00C34453" w:rsidRPr="00DF4688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C34453" w:rsidRPr="00DF4688">
        <w:rPr>
          <w:sz w:val="22"/>
          <w:szCs w:val="22"/>
        </w:rPr>
        <w:t>alergické reakcie, vrátane alergických kožných reakcií,</w:t>
      </w:r>
    </w:p>
    <w:p w14:paraId="0BE1DEDA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732EFAC7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6C579D3A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78379A80" w14:textId="77338492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EE3CDE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082F180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11B8FA24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006102C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24B3917D" w14:textId="77777777" w:rsidR="00DC640C" w:rsidRPr="00EF07C1" w:rsidRDefault="00DC640C" w:rsidP="00DF4688">
      <w:pPr>
        <w:spacing w:after="0" w:line="240" w:lineRule="auto"/>
        <w:rPr>
          <w:rFonts w:ascii="Times New Roman" w:hAnsi="Times New Roman" w:cs="Times New Roman"/>
        </w:rPr>
      </w:pPr>
    </w:p>
    <w:p w14:paraId="17E1270E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33A40041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35AA91FC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6BAF3840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3C0DE8EF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7CADF20F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382C3677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324761" w14:textId="0E71C223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EE3CDE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0AE9070B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28BFEA51" w14:textId="1FD58139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EE3CDE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658CFD8A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E78859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Hlásenie vedľajších účinkov </w:t>
      </w:r>
    </w:p>
    <w:p w14:paraId="0966A9C8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AB7049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428C236A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77779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0BEF07E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6C0E92BD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06203F7F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1E308EBB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7E05A20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04EE4E54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53F91AE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nevyžaduje žiadne zvláštne podmienky na uchovávanie. </w:t>
      </w:r>
    </w:p>
    <w:p w14:paraId="32C49DA6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3BE0B03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35D3F4D5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646F97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6B19B00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5382AA8C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56D5AB14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5E10FF85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n. Každ</w:t>
      </w:r>
      <w:r w:rsidR="00DF4688">
        <w:rPr>
          <w:rFonts w:ascii="Times New Roman" w:hAnsi="Times New Roman" w:cs="Times New Roman"/>
        </w:rPr>
        <w:t>á tableta obsahuje 1</w:t>
      </w:r>
      <w:r w:rsidRPr="00EF07C1">
        <w:rPr>
          <w:rFonts w:ascii="Times New Roman" w:hAnsi="Times New Roman" w:cs="Times New Roman"/>
        </w:rPr>
        <w:t>0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4D2788AD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 xml:space="preserve">Ďalšie zložky sú: </w:t>
      </w:r>
    </w:p>
    <w:p w14:paraId="00B33C41" w14:textId="77777777" w:rsidR="00BE2871" w:rsidRPr="00FD52EE" w:rsidRDefault="00BE2871" w:rsidP="00B302CA">
      <w:pPr>
        <w:pStyle w:val="Default"/>
        <w:tabs>
          <w:tab w:val="left" w:pos="6096"/>
        </w:tabs>
        <w:ind w:left="567"/>
        <w:rPr>
          <w:i/>
          <w:sz w:val="22"/>
          <w:szCs w:val="22"/>
        </w:rPr>
      </w:pPr>
      <w:r w:rsidRPr="00FD52EE">
        <w:rPr>
          <w:i/>
          <w:sz w:val="22"/>
          <w:szCs w:val="22"/>
        </w:rPr>
        <w:t>Jadro tablety:</w:t>
      </w:r>
    </w:p>
    <w:p w14:paraId="771B3033" w14:textId="2D5E6AFF" w:rsidR="00BE2871" w:rsidRPr="00EF07C1" w:rsidRDefault="00FD52EE" w:rsidP="00B302CA">
      <w:pPr>
        <w:pStyle w:val="Default"/>
        <w:tabs>
          <w:tab w:val="left" w:pos="6096"/>
        </w:tabs>
        <w:ind w:left="567"/>
        <w:rPr>
          <w:sz w:val="22"/>
          <w:szCs w:val="22"/>
        </w:rPr>
      </w:pPr>
      <w:r w:rsidRPr="00EF07C1">
        <w:rPr>
          <w:sz w:val="22"/>
          <w:szCs w:val="22"/>
        </w:rPr>
        <w:t>monohydrát laktózy</w:t>
      </w:r>
      <w:r>
        <w:rPr>
          <w:sz w:val="22"/>
          <w:szCs w:val="22"/>
        </w:rPr>
        <w:t xml:space="preserve">, </w:t>
      </w:r>
      <w:r w:rsidRPr="00EF07C1">
        <w:rPr>
          <w:sz w:val="22"/>
          <w:szCs w:val="22"/>
        </w:rPr>
        <w:t>mikrokryštalická celulóza</w:t>
      </w:r>
      <w:r w:rsidR="00C84C3C">
        <w:rPr>
          <w:sz w:val="22"/>
          <w:szCs w:val="22"/>
        </w:rPr>
        <w:t xml:space="preserve">, </w:t>
      </w:r>
      <w:r w:rsidR="001C54D7">
        <w:rPr>
          <w:sz w:val="22"/>
          <w:szCs w:val="22"/>
        </w:rPr>
        <w:t xml:space="preserve">sodná soľ </w:t>
      </w:r>
      <w:r w:rsidR="00C84C3C" w:rsidRPr="00EF07C1">
        <w:rPr>
          <w:sz w:val="22"/>
          <w:szCs w:val="22"/>
        </w:rPr>
        <w:t>kroskarmelóz</w:t>
      </w:r>
      <w:r w:rsidR="001C54D7">
        <w:rPr>
          <w:sz w:val="22"/>
          <w:szCs w:val="22"/>
        </w:rPr>
        <w:t>y</w:t>
      </w:r>
      <w:r w:rsidR="00C84C3C" w:rsidRPr="00EF07C1">
        <w:rPr>
          <w:sz w:val="22"/>
          <w:szCs w:val="22"/>
        </w:rPr>
        <w:t xml:space="preserve">, </w:t>
      </w:r>
      <w:r w:rsidR="00C84C3C"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laurylsíran sodný, stear</w:t>
      </w:r>
      <w:r w:rsidR="001C54D7">
        <w:rPr>
          <w:sz w:val="22"/>
          <w:szCs w:val="22"/>
        </w:rPr>
        <w:t>át</w:t>
      </w:r>
      <w:r w:rsidR="00BE2871" w:rsidRPr="00EF07C1">
        <w:rPr>
          <w:sz w:val="22"/>
          <w:szCs w:val="22"/>
        </w:rPr>
        <w:t xml:space="preserve"> horečnatý</w:t>
      </w:r>
      <w:r w:rsidR="00C84C3C">
        <w:rPr>
          <w:sz w:val="22"/>
          <w:szCs w:val="22"/>
        </w:rPr>
        <w:t>.</w:t>
      </w:r>
    </w:p>
    <w:p w14:paraId="69150345" w14:textId="2A7C1F3F" w:rsidR="00BE2871" w:rsidRPr="00C84C3C" w:rsidRDefault="00C84C3C" w:rsidP="00B302CA">
      <w:pPr>
        <w:pStyle w:val="Default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Filmový obal </w:t>
      </w:r>
      <w:r w:rsidRPr="00C84C3C">
        <w:rPr>
          <w:i/>
          <w:sz w:val="22"/>
          <w:szCs w:val="22"/>
        </w:rPr>
        <w:t xml:space="preserve">(Opadry </w:t>
      </w:r>
      <w:r w:rsidR="009E27AB">
        <w:rPr>
          <w:i/>
          <w:sz w:val="22"/>
          <w:szCs w:val="22"/>
        </w:rPr>
        <w:t>r</w:t>
      </w:r>
      <w:r w:rsidR="00602092">
        <w:rPr>
          <w:i/>
          <w:sz w:val="22"/>
          <w:szCs w:val="22"/>
        </w:rPr>
        <w:t>u</w:t>
      </w:r>
      <w:r w:rsidR="009E27AB">
        <w:rPr>
          <w:i/>
          <w:sz w:val="22"/>
          <w:szCs w:val="22"/>
        </w:rPr>
        <w:t>žov</w:t>
      </w:r>
      <w:r w:rsidRPr="00C84C3C">
        <w:rPr>
          <w:i/>
          <w:sz w:val="22"/>
          <w:szCs w:val="22"/>
        </w:rPr>
        <w:t>á 03F</w:t>
      </w:r>
      <w:r w:rsidR="009E27AB">
        <w:rPr>
          <w:i/>
          <w:sz w:val="22"/>
          <w:szCs w:val="22"/>
        </w:rPr>
        <w:t>54</w:t>
      </w:r>
      <w:r w:rsidRPr="00C84C3C">
        <w:rPr>
          <w:i/>
          <w:sz w:val="22"/>
          <w:szCs w:val="22"/>
        </w:rPr>
        <w:t>01</w:t>
      </w:r>
      <w:r w:rsidR="009E27AB">
        <w:rPr>
          <w:i/>
          <w:sz w:val="22"/>
          <w:szCs w:val="22"/>
        </w:rPr>
        <w:t>28)</w:t>
      </w:r>
      <w:r w:rsidRPr="00C84C3C">
        <w:rPr>
          <w:i/>
          <w:sz w:val="22"/>
          <w:szCs w:val="22"/>
        </w:rPr>
        <w:t>:</w:t>
      </w:r>
    </w:p>
    <w:p w14:paraId="662B6546" w14:textId="77777777" w:rsidR="00BE2871" w:rsidRPr="00EF07C1" w:rsidRDefault="00C84C3C" w:rsidP="00B302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oxid titaničitý (E 171),</w:t>
      </w:r>
      <w:r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m</w:t>
      </w:r>
      <w:r>
        <w:rPr>
          <w:sz w:val="22"/>
          <w:szCs w:val="22"/>
        </w:rPr>
        <w:t xml:space="preserve">akrogol 3350, </w:t>
      </w:r>
      <w:r w:rsidR="00BE2871" w:rsidRPr="00EF07C1">
        <w:rPr>
          <w:sz w:val="22"/>
          <w:szCs w:val="22"/>
        </w:rPr>
        <w:t>červený oxid železitý (E 172)</w:t>
      </w:r>
      <w:r w:rsidR="007C1E38" w:rsidRPr="00EF07C1">
        <w:rPr>
          <w:sz w:val="22"/>
          <w:szCs w:val="22"/>
        </w:rPr>
        <w:t>.</w:t>
      </w:r>
    </w:p>
    <w:p w14:paraId="29D92E42" w14:textId="77777777" w:rsidR="007C1E38" w:rsidRPr="00EF07C1" w:rsidRDefault="007C1E38" w:rsidP="00BE2871">
      <w:pPr>
        <w:pStyle w:val="Default"/>
        <w:rPr>
          <w:sz w:val="22"/>
          <w:szCs w:val="22"/>
        </w:rPr>
      </w:pPr>
    </w:p>
    <w:p w14:paraId="0BD06F2C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5645B29D" w14:textId="77777777" w:rsidR="00DF4688" w:rsidRPr="005B3B88" w:rsidRDefault="00DF4688" w:rsidP="00DF4688">
      <w:pPr>
        <w:pStyle w:val="Default"/>
        <w:rPr>
          <w:sz w:val="22"/>
          <w:szCs w:val="22"/>
        </w:rPr>
      </w:pPr>
    </w:p>
    <w:p w14:paraId="4AE223C0" w14:textId="5BC3C1B9" w:rsidR="007C1E38" w:rsidRPr="00EF07C1" w:rsidRDefault="009E27AB" w:rsidP="00DF4688">
      <w:pPr>
        <w:pStyle w:val="Default"/>
        <w:rPr>
          <w:sz w:val="22"/>
          <w:szCs w:val="22"/>
        </w:rPr>
      </w:pPr>
      <w:r w:rsidRPr="009E27AB">
        <w:rPr>
          <w:bCs/>
          <w:sz w:val="22"/>
          <w:szCs w:val="22"/>
        </w:rPr>
        <w:t>Xanirva 10 mg filmom obalené tablety</w:t>
      </w:r>
      <w:r>
        <w:rPr>
          <w:sz w:val="22"/>
          <w:szCs w:val="22"/>
        </w:rPr>
        <w:t xml:space="preserve"> sú r</w:t>
      </w:r>
      <w:r w:rsidR="00602092">
        <w:rPr>
          <w:sz w:val="22"/>
          <w:szCs w:val="22"/>
        </w:rPr>
        <w:t>u</w:t>
      </w:r>
      <w:r w:rsidR="00DF4688">
        <w:rPr>
          <w:sz w:val="22"/>
          <w:szCs w:val="22"/>
        </w:rPr>
        <w:t>žové</w:t>
      </w:r>
      <w:r w:rsidR="00602092">
        <w:rPr>
          <w:sz w:val="22"/>
          <w:szCs w:val="22"/>
        </w:rPr>
        <w:t>,</w:t>
      </w:r>
      <w:r w:rsidR="00DF4688" w:rsidRPr="005B3B88">
        <w:rPr>
          <w:sz w:val="22"/>
          <w:szCs w:val="22"/>
        </w:rPr>
        <w:t xml:space="preserve"> okrúhle</w:t>
      </w:r>
      <w:r w:rsidR="00602092">
        <w:rPr>
          <w:sz w:val="22"/>
          <w:szCs w:val="22"/>
        </w:rPr>
        <w:t>,</w:t>
      </w:r>
      <w:r w:rsidR="00DF4688" w:rsidRPr="005B3B88">
        <w:rPr>
          <w:sz w:val="22"/>
          <w:szCs w:val="22"/>
        </w:rPr>
        <w:t xml:space="preserve"> </w:t>
      </w:r>
      <w:r w:rsidR="00602092">
        <w:rPr>
          <w:sz w:val="22"/>
          <w:szCs w:val="22"/>
        </w:rPr>
        <w:t>obojstranne vypuklé,</w:t>
      </w:r>
      <w:r w:rsidR="00DF4688" w:rsidRPr="005B3B88">
        <w:rPr>
          <w:sz w:val="22"/>
          <w:szCs w:val="22"/>
        </w:rPr>
        <w:t xml:space="preserve"> filmom obalené tablety </w:t>
      </w:r>
      <w:r w:rsidR="00DF4688">
        <w:rPr>
          <w:sz w:val="22"/>
          <w:szCs w:val="22"/>
        </w:rPr>
        <w:t>(</w:t>
      </w:r>
      <w:r w:rsidR="00DF4688" w:rsidRPr="005B3B88">
        <w:rPr>
          <w:sz w:val="22"/>
          <w:szCs w:val="22"/>
        </w:rPr>
        <w:t xml:space="preserve">s priemerom približne </w:t>
      </w:r>
      <w:r w:rsidR="00DF4688">
        <w:rPr>
          <w:sz w:val="22"/>
          <w:szCs w:val="22"/>
        </w:rPr>
        <w:t>8</w:t>
      </w:r>
      <w:r w:rsidR="00DF4688" w:rsidRPr="005B3B88">
        <w:rPr>
          <w:sz w:val="22"/>
          <w:szCs w:val="22"/>
        </w:rPr>
        <w:t>,</w:t>
      </w:r>
      <w:r w:rsidR="00DF4688">
        <w:rPr>
          <w:sz w:val="22"/>
          <w:szCs w:val="22"/>
        </w:rPr>
        <w:t>4</w:t>
      </w:r>
      <w:r w:rsidR="00DF4688" w:rsidRPr="005B3B88">
        <w:rPr>
          <w:sz w:val="22"/>
          <w:szCs w:val="22"/>
        </w:rPr>
        <w:t xml:space="preserve"> mm</w:t>
      </w:r>
      <w:r w:rsidR="00DF4688">
        <w:rPr>
          <w:sz w:val="22"/>
          <w:szCs w:val="22"/>
        </w:rPr>
        <w:t>)</w:t>
      </w:r>
      <w:r w:rsidR="00DF4688" w:rsidRPr="005B3B88">
        <w:rPr>
          <w:sz w:val="22"/>
          <w:szCs w:val="22"/>
        </w:rPr>
        <w:t xml:space="preserve"> </w:t>
      </w:r>
      <w:r w:rsidR="00DF4688">
        <w:rPr>
          <w:sz w:val="22"/>
          <w:szCs w:val="22"/>
        </w:rPr>
        <w:t>s vyrazeným „10</w:t>
      </w:r>
      <w:r w:rsidR="00DF4688" w:rsidRPr="005B3B88">
        <w:rPr>
          <w:sz w:val="22"/>
          <w:szCs w:val="22"/>
        </w:rPr>
        <w:t>“ na jednej strane, hladké na druhej strane.</w:t>
      </w:r>
    </w:p>
    <w:p w14:paraId="60825A1C" w14:textId="77777777" w:rsidR="00C84C3C" w:rsidRDefault="00C84C3C" w:rsidP="007C1E38">
      <w:pPr>
        <w:pStyle w:val="Default"/>
        <w:rPr>
          <w:sz w:val="22"/>
          <w:szCs w:val="22"/>
        </w:rPr>
      </w:pPr>
    </w:p>
    <w:p w14:paraId="03C7CA74" w14:textId="77777777" w:rsidR="007C1E38" w:rsidRPr="00EF07C1" w:rsidRDefault="009E27AB" w:rsidP="007C1E38">
      <w:pPr>
        <w:pStyle w:val="Default"/>
        <w:rPr>
          <w:sz w:val="22"/>
          <w:szCs w:val="22"/>
        </w:rPr>
      </w:pPr>
      <w:r w:rsidRPr="009E27AB">
        <w:rPr>
          <w:bCs/>
          <w:sz w:val="22"/>
          <w:szCs w:val="22"/>
        </w:rPr>
        <w:t xml:space="preserve">Xanirva 10 mg </w:t>
      </w:r>
      <w:r>
        <w:rPr>
          <w:bCs/>
          <w:sz w:val="22"/>
          <w:szCs w:val="22"/>
        </w:rPr>
        <w:t>sa d</w:t>
      </w:r>
      <w:r w:rsidR="007C1E38" w:rsidRPr="00EF07C1">
        <w:rPr>
          <w:sz w:val="22"/>
          <w:szCs w:val="22"/>
        </w:rPr>
        <w:t xml:space="preserve">odáva v </w:t>
      </w:r>
      <w:r w:rsidR="00C84C3C">
        <w:rPr>
          <w:sz w:val="22"/>
          <w:szCs w:val="22"/>
        </w:rPr>
        <w:t>baleniach</w:t>
      </w:r>
      <w:r w:rsidR="007C1E38" w:rsidRPr="00EF07C1">
        <w:rPr>
          <w:sz w:val="22"/>
          <w:szCs w:val="22"/>
        </w:rPr>
        <w:t xml:space="preserve"> po </w:t>
      </w:r>
      <w:r w:rsidR="00C84C3C" w:rsidRPr="00CB15F1">
        <w:rPr>
          <w:rFonts w:eastAsia="Times New Roman"/>
          <w:spacing w:val="-1"/>
          <w:szCs w:val="22"/>
          <w:lang w:val="pl-PL"/>
        </w:rPr>
        <w:t xml:space="preserve">10, </w:t>
      </w:r>
      <w:r w:rsidR="00C84C3C" w:rsidRPr="00CB15F1">
        <w:rPr>
          <w:szCs w:val="22"/>
          <w:lang w:val="pl-PL"/>
        </w:rPr>
        <w:t>1</w:t>
      </w:r>
      <w:r w:rsidRPr="00CB15F1">
        <w:rPr>
          <w:szCs w:val="22"/>
          <w:lang w:val="pl-PL"/>
        </w:rPr>
        <w:t>5</w:t>
      </w:r>
      <w:r w:rsidR="00C84C3C" w:rsidRPr="00CB15F1">
        <w:rPr>
          <w:szCs w:val="22"/>
          <w:lang w:val="pl-PL"/>
        </w:rPr>
        <w:t>, 2</w:t>
      </w:r>
      <w:r w:rsidRPr="00CB15F1">
        <w:rPr>
          <w:szCs w:val="22"/>
          <w:lang w:val="pl-PL"/>
        </w:rPr>
        <w:t>0</w:t>
      </w:r>
      <w:r w:rsidR="00C84C3C" w:rsidRPr="00CB15F1">
        <w:rPr>
          <w:szCs w:val="22"/>
          <w:lang w:val="pl-PL"/>
        </w:rPr>
        <w:t xml:space="preserve">, 30, 98 a 100 </w:t>
      </w:r>
      <w:r w:rsidR="007C1E38" w:rsidRPr="00EF07C1">
        <w:rPr>
          <w:sz w:val="22"/>
          <w:szCs w:val="22"/>
        </w:rPr>
        <w:t xml:space="preserve">filmom obalených tabliet. </w:t>
      </w:r>
    </w:p>
    <w:p w14:paraId="22AE754C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19D69E15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597B4B51" w14:textId="77777777" w:rsidR="00BE2871" w:rsidRPr="00EF07C1" w:rsidRDefault="00BE2871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6A054B66" w14:textId="77777777" w:rsidR="007C1E38" w:rsidRPr="00EF07C1" w:rsidRDefault="007C1E38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682A7440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3FBAA02E" w14:textId="77777777" w:rsidR="00A93C07" w:rsidRPr="00CB15F1" w:rsidRDefault="00A93C07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Zentiva k.s.</w:t>
      </w:r>
    </w:p>
    <w:p w14:paraId="759FD1E2" w14:textId="77777777" w:rsidR="00EF44C9" w:rsidRPr="00CB15F1" w:rsidRDefault="00EF44C9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U Kabelovny 130</w:t>
      </w:r>
    </w:p>
    <w:p w14:paraId="0F43CEC1" w14:textId="62F56AF9" w:rsidR="00EF44C9" w:rsidRDefault="00EF44C9" w:rsidP="00CB15F1">
      <w:pPr>
        <w:spacing w:after="0"/>
        <w:rPr>
          <w:rFonts w:ascii="Times New Roman" w:hAnsi="Times New Roman" w:cs="Times New Roman"/>
        </w:rPr>
      </w:pPr>
      <w:r w:rsidRPr="00CB15F1">
        <w:rPr>
          <w:rFonts w:ascii="Times New Roman" w:hAnsi="Times New Roman" w:cs="Times New Roman"/>
          <w:lang w:val="pt-PT"/>
        </w:rPr>
        <w:t xml:space="preserve">102 37 Praha 10 </w:t>
      </w:r>
      <w:r w:rsidRPr="00A93C07">
        <w:rPr>
          <w:rFonts w:ascii="Times New Roman" w:hAnsi="Times New Roman" w:cs="Times New Roman"/>
        </w:rPr>
        <w:t xml:space="preserve">– </w:t>
      </w:r>
      <w:r w:rsidR="00967F38">
        <w:rPr>
          <w:rFonts w:ascii="Times New Roman" w:hAnsi="Times New Roman" w:cs="Times New Roman"/>
        </w:rPr>
        <w:t>Dolní</w:t>
      </w:r>
      <w:bookmarkStart w:id="0" w:name="_GoBack"/>
      <w:bookmarkEnd w:id="0"/>
      <w:r w:rsidRPr="00A93C07">
        <w:rPr>
          <w:rFonts w:ascii="Times New Roman" w:hAnsi="Times New Roman" w:cs="Times New Roman"/>
        </w:rPr>
        <w:t xml:space="preserve"> Měcholupy</w:t>
      </w:r>
    </w:p>
    <w:p w14:paraId="375F7B22" w14:textId="77777777" w:rsidR="00A93C07" w:rsidRPr="00CB15F1" w:rsidRDefault="00A93C07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Česká republika</w:t>
      </w:r>
    </w:p>
    <w:p w14:paraId="6503A9F5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89BF757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726CAE8D" w14:textId="77777777" w:rsidR="00EF44C9" w:rsidRPr="00CB15F1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S.C. Zentiva S.A.</w:t>
      </w:r>
    </w:p>
    <w:p w14:paraId="4E715148" w14:textId="77777777" w:rsidR="00EF44C9" w:rsidRPr="00CB15F1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6C480CF2" w14:textId="77777777" w:rsidR="00A93C07" w:rsidRPr="00CB15F1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CB15F1">
        <w:rPr>
          <w:rFonts w:ascii="Times New Roman" w:hAnsi="Times New Roman" w:cs="Times New Roman"/>
          <w:lang w:val="pt-PT"/>
        </w:rPr>
        <w:t>322 66 Bu</w:t>
      </w:r>
      <w:r w:rsidR="00A93C07" w:rsidRPr="00CB15F1">
        <w:rPr>
          <w:rFonts w:ascii="Times New Roman" w:hAnsi="Times New Roman" w:cs="Times New Roman"/>
          <w:lang w:val="pt-PT"/>
        </w:rPr>
        <w:t>kurešť</w:t>
      </w:r>
    </w:p>
    <w:p w14:paraId="23259F4B" w14:textId="77777777" w:rsidR="00537A29" w:rsidRPr="00EF44C9" w:rsidRDefault="00EF44C9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5F1">
        <w:rPr>
          <w:rFonts w:ascii="Times New Roman" w:hAnsi="Times New Roman" w:cs="Times New Roman"/>
          <w:lang w:val="pt-PT"/>
        </w:rPr>
        <w:t>R</w:t>
      </w:r>
      <w:r w:rsidR="00A93C07" w:rsidRPr="00CB15F1">
        <w:rPr>
          <w:rFonts w:ascii="Times New Roman" w:hAnsi="Times New Roman" w:cs="Times New Roman"/>
          <w:lang w:val="pt-PT"/>
        </w:rPr>
        <w:t>umunsko</w:t>
      </w:r>
    </w:p>
    <w:p w14:paraId="755CD1FD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04F0DDA3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27735A1B" w14:textId="7FEBB2E4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Xanirva v Českej republike, Bulharsku, Estónsku, Litve, Lot</w:t>
      </w:r>
      <w:r w:rsidR="00602092">
        <w:rPr>
          <w:sz w:val="22"/>
          <w:szCs w:val="22"/>
        </w:rPr>
        <w:t>y</w:t>
      </w:r>
      <w:r>
        <w:rPr>
          <w:sz w:val="22"/>
          <w:szCs w:val="22"/>
        </w:rPr>
        <w:t>šsku, Rumunsku</w:t>
      </w:r>
      <w:r w:rsidR="009E27AB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kráľovstve; Roxazen v Poľsku.</w:t>
      </w:r>
    </w:p>
    <w:p w14:paraId="0F5497E0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3B532C97" w14:textId="103AC91F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CB15F1">
        <w:rPr>
          <w:b/>
          <w:bCs/>
          <w:sz w:val="22"/>
          <w:szCs w:val="22"/>
        </w:rPr>
        <w:t> 06/2020</w:t>
      </w:r>
      <w:r w:rsidR="00B6195E" w:rsidRPr="00EF07C1">
        <w:rPr>
          <w:b/>
          <w:bCs/>
          <w:sz w:val="22"/>
          <w:szCs w:val="22"/>
        </w:rPr>
        <w:t>.</w:t>
      </w:r>
    </w:p>
    <w:p w14:paraId="00E269E3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8550EC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823411" w16cid:durableId="22777F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BEF7A" w14:textId="77777777" w:rsidR="00033E05" w:rsidRDefault="00033E05" w:rsidP="006528CE">
      <w:pPr>
        <w:spacing w:after="0" w:line="240" w:lineRule="auto"/>
      </w:pPr>
      <w:r>
        <w:separator/>
      </w:r>
    </w:p>
  </w:endnote>
  <w:endnote w:type="continuationSeparator" w:id="0">
    <w:p w14:paraId="79708AA6" w14:textId="77777777" w:rsidR="00033E05" w:rsidRDefault="00033E05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5082F33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67F38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6078275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7EEB" w14:textId="77777777" w:rsidR="00033E05" w:rsidRDefault="00033E05" w:rsidP="006528CE">
      <w:pPr>
        <w:spacing w:after="0" w:line="240" w:lineRule="auto"/>
      </w:pPr>
      <w:r>
        <w:separator/>
      </w:r>
    </w:p>
  </w:footnote>
  <w:footnote w:type="continuationSeparator" w:id="0">
    <w:p w14:paraId="2D02F3F1" w14:textId="77777777" w:rsidR="00033E05" w:rsidRDefault="00033E05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ECE8" w14:textId="77777777" w:rsidR="00D64876" w:rsidRPr="006528CE" w:rsidRDefault="00D64876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2E369A">
      <w:rPr>
        <w:rFonts w:ascii="Times New Roman" w:hAnsi="Times New Roman" w:cs="Times New Roman"/>
        <w:sz w:val="18"/>
        <w:szCs w:val="18"/>
      </w:rPr>
      <w:t>2018/05443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E"/>
    <w:rsid w:val="00033E05"/>
    <w:rsid w:val="00061B3A"/>
    <w:rsid w:val="000854FD"/>
    <w:rsid w:val="00097AB3"/>
    <w:rsid w:val="000B393D"/>
    <w:rsid w:val="000D507D"/>
    <w:rsid w:val="00105384"/>
    <w:rsid w:val="00152B2F"/>
    <w:rsid w:val="00157EA9"/>
    <w:rsid w:val="001873FA"/>
    <w:rsid w:val="001C397C"/>
    <w:rsid w:val="001C54D7"/>
    <w:rsid w:val="002602C0"/>
    <w:rsid w:val="002A7B9D"/>
    <w:rsid w:val="002C1CAB"/>
    <w:rsid w:val="002C2062"/>
    <w:rsid w:val="002D2825"/>
    <w:rsid w:val="002E369A"/>
    <w:rsid w:val="00327BEA"/>
    <w:rsid w:val="00347888"/>
    <w:rsid w:val="003632DC"/>
    <w:rsid w:val="003641BE"/>
    <w:rsid w:val="00382E3E"/>
    <w:rsid w:val="00391062"/>
    <w:rsid w:val="00394115"/>
    <w:rsid w:val="003B3187"/>
    <w:rsid w:val="003B608C"/>
    <w:rsid w:val="003C035E"/>
    <w:rsid w:val="003E76B1"/>
    <w:rsid w:val="0046470F"/>
    <w:rsid w:val="00464E42"/>
    <w:rsid w:val="004C3201"/>
    <w:rsid w:val="004E2598"/>
    <w:rsid w:val="004E26B9"/>
    <w:rsid w:val="004E538D"/>
    <w:rsid w:val="004E660A"/>
    <w:rsid w:val="005136CD"/>
    <w:rsid w:val="00537A29"/>
    <w:rsid w:val="00540316"/>
    <w:rsid w:val="00554034"/>
    <w:rsid w:val="00594FAA"/>
    <w:rsid w:val="005D1CF6"/>
    <w:rsid w:val="005D65F5"/>
    <w:rsid w:val="00602092"/>
    <w:rsid w:val="006528CE"/>
    <w:rsid w:val="006A42A5"/>
    <w:rsid w:val="006D3DC5"/>
    <w:rsid w:val="006E2351"/>
    <w:rsid w:val="006E330F"/>
    <w:rsid w:val="007303A3"/>
    <w:rsid w:val="00743C7F"/>
    <w:rsid w:val="007A1160"/>
    <w:rsid w:val="007C1E38"/>
    <w:rsid w:val="007C3E89"/>
    <w:rsid w:val="007F620A"/>
    <w:rsid w:val="007F63BE"/>
    <w:rsid w:val="00830C7D"/>
    <w:rsid w:val="008550EC"/>
    <w:rsid w:val="00873380"/>
    <w:rsid w:val="00893095"/>
    <w:rsid w:val="008C5B05"/>
    <w:rsid w:val="008C7255"/>
    <w:rsid w:val="008F0110"/>
    <w:rsid w:val="00907DB3"/>
    <w:rsid w:val="00912448"/>
    <w:rsid w:val="00967F38"/>
    <w:rsid w:val="00997C0E"/>
    <w:rsid w:val="009D50BE"/>
    <w:rsid w:val="009E27AB"/>
    <w:rsid w:val="00A93C07"/>
    <w:rsid w:val="00AB7049"/>
    <w:rsid w:val="00AE79F5"/>
    <w:rsid w:val="00B0090F"/>
    <w:rsid w:val="00B05B96"/>
    <w:rsid w:val="00B302CA"/>
    <w:rsid w:val="00B572BB"/>
    <w:rsid w:val="00B6195E"/>
    <w:rsid w:val="00B91712"/>
    <w:rsid w:val="00BA5D83"/>
    <w:rsid w:val="00BE2871"/>
    <w:rsid w:val="00BF67F0"/>
    <w:rsid w:val="00C34453"/>
    <w:rsid w:val="00C36174"/>
    <w:rsid w:val="00C84C3C"/>
    <w:rsid w:val="00CA397F"/>
    <w:rsid w:val="00CB15F1"/>
    <w:rsid w:val="00CB27FC"/>
    <w:rsid w:val="00CB37FA"/>
    <w:rsid w:val="00D42AE8"/>
    <w:rsid w:val="00D4636E"/>
    <w:rsid w:val="00D53E55"/>
    <w:rsid w:val="00D64876"/>
    <w:rsid w:val="00D7454F"/>
    <w:rsid w:val="00DA1106"/>
    <w:rsid w:val="00DC640C"/>
    <w:rsid w:val="00DF4688"/>
    <w:rsid w:val="00E049AA"/>
    <w:rsid w:val="00E6252A"/>
    <w:rsid w:val="00E952D5"/>
    <w:rsid w:val="00EE3CDE"/>
    <w:rsid w:val="00EF07C1"/>
    <w:rsid w:val="00EF23A8"/>
    <w:rsid w:val="00EF44C9"/>
    <w:rsid w:val="00F10B78"/>
    <w:rsid w:val="00F3782C"/>
    <w:rsid w:val="00F92E97"/>
    <w:rsid w:val="00F9457B"/>
    <w:rsid w:val="00F950B5"/>
    <w:rsid w:val="00FB5EF7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76403"/>
  <w15:docId w15:val="{ACB97292-4049-45B8-830E-5DAF511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97A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7A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7A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7A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7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C6A1-75A3-40B5-A3C5-0FC759D1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PM</cp:lastModifiedBy>
  <cp:revision>38</cp:revision>
  <dcterms:created xsi:type="dcterms:W3CDTF">2019-03-19T11:51:00Z</dcterms:created>
  <dcterms:modified xsi:type="dcterms:W3CDTF">2020-05-29T08:23:00Z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