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52095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4C7FE93E" w14:textId="77777777" w:rsidR="006528CE" w:rsidRPr="00EF07C1" w:rsidRDefault="006528CE" w:rsidP="006528CE">
      <w:pPr>
        <w:pStyle w:val="Default"/>
        <w:rPr>
          <w:b/>
          <w:bCs/>
          <w:sz w:val="22"/>
          <w:szCs w:val="22"/>
        </w:rPr>
      </w:pPr>
    </w:p>
    <w:p w14:paraId="6223C5B0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1163ECCC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41800B40" w14:textId="77777777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528CE" w:rsidRPr="00EF07C1">
        <w:rPr>
          <w:b/>
          <w:bCs/>
          <w:sz w:val="22"/>
          <w:szCs w:val="22"/>
        </w:rPr>
        <w:t xml:space="preserve"> 15 mg filmom obalené tablety</w:t>
      </w:r>
    </w:p>
    <w:p w14:paraId="683C787B" w14:textId="77777777" w:rsidR="006528CE" w:rsidRPr="00EF07C1" w:rsidRDefault="002D2825" w:rsidP="006528C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528CE" w:rsidRPr="001A2BBB">
        <w:rPr>
          <w:b/>
          <w:bCs/>
          <w:sz w:val="22"/>
          <w:szCs w:val="22"/>
        </w:rPr>
        <w:t xml:space="preserve"> 20 mg filmom obalené tablety</w:t>
      </w:r>
    </w:p>
    <w:p w14:paraId="1F00DDB0" w14:textId="77777777" w:rsidR="003641BE" w:rsidRPr="00EF07C1" w:rsidRDefault="00347888" w:rsidP="002A6EA7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7F457AD5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27862BAD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61464DB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61200BFE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2578F70D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2CAA7727" w14:textId="77777777" w:rsidR="006528CE" w:rsidRPr="00EF07C1" w:rsidRDefault="00347888" w:rsidP="008550EC">
      <w:pPr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22A9ED4F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6C01B6E1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18D1C50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427FAD86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3730D8AE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67F54D5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48A61E43" w14:textId="77777777" w:rsidR="006528CE" w:rsidRPr="00EF07C1" w:rsidRDefault="006528CE" w:rsidP="008550EC">
      <w:pPr>
        <w:tabs>
          <w:tab w:val="left" w:pos="567"/>
        </w:tabs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27E3C7A2" w14:textId="77777777" w:rsidR="006528CE" w:rsidRPr="00EF07C1" w:rsidRDefault="006528CE" w:rsidP="006528CE">
      <w:pPr>
        <w:rPr>
          <w:rFonts w:ascii="Times New Roman" w:hAnsi="Times New Roman" w:cs="Times New Roman"/>
        </w:rPr>
      </w:pPr>
    </w:p>
    <w:p w14:paraId="686E5CC7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6CEA30B5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6F5B779A" w14:textId="77777777" w:rsidR="006528CE" w:rsidRPr="00EF07C1" w:rsidRDefault="008F0110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6528CE" w:rsidRPr="00EF07C1">
        <w:rPr>
          <w:sz w:val="22"/>
          <w:szCs w:val="22"/>
        </w:rPr>
        <w:t xml:space="preserve"> obsahuje liečivo rivaroxab</w:t>
      </w:r>
      <w:r w:rsidR="00347888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 xml:space="preserve">n a používa sa u dospelých na: </w:t>
      </w:r>
    </w:p>
    <w:p w14:paraId="230845DC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zabránenie vzniku krvných zrazenín v mozgu (cievnej mozgovej príhody) a v iných krvných cievach vášho tela, ak máte poruchu srdcového rytmu (nepravidelnosť), ktorá sa nazýva nevalvulárna fibrilácia predsiení. </w:t>
      </w:r>
    </w:p>
    <w:p w14:paraId="0F6CC697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>liečbu krvných zrazenín v žilách nôh (hlbok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žilov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trombóz</w:t>
      </w:r>
      <w:r w:rsidR="00830C7D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) a v krvných cievach pľúc (pľúcnej embólie) a na zabránenie opätovného vzniku krvných zrazenín v krvných cievach nôh a/alebo v pľúcach. </w:t>
      </w:r>
    </w:p>
    <w:p w14:paraId="5B0B5523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5CCE0817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6719352B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4D199227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6908D2B5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12886337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1552F951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2B336514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6DB98322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00E8AB83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79087350" w14:textId="13F8292E" w:rsidR="006528CE" w:rsidRPr="000B393D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0D7BF9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0D7BF9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543CC324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3A1723DB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24C751FE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EF07C1">
        <w:rPr>
          <w:rFonts w:ascii="Times New Roman" w:hAnsi="Times New Roman" w:cs="Times New Roman"/>
          <w:b/>
          <w:bCs/>
        </w:rPr>
        <w:t xml:space="preserve">neužívajte </w:t>
      </w:r>
      <w:r w:rsidR="008F0110" w:rsidRPr="008F0110">
        <w:rPr>
          <w:rFonts w:ascii="Times New Roman" w:hAnsi="Times New Roman" w:cs="Times New Roman"/>
          <w:b/>
        </w:rPr>
        <w:t>Xanirvu</w:t>
      </w:r>
      <w:r w:rsidRPr="008F0110">
        <w:rPr>
          <w:rFonts w:ascii="Times New Roman" w:hAnsi="Times New Roman" w:cs="Times New Roman"/>
          <w:b/>
          <w:bCs/>
        </w:rPr>
        <w:t xml:space="preserve"> a</w:t>
      </w:r>
      <w:r w:rsidRPr="00EF07C1">
        <w:rPr>
          <w:rFonts w:ascii="Times New Roman" w:hAnsi="Times New Roman" w:cs="Times New Roman"/>
          <w:b/>
          <w:bCs/>
        </w:rPr>
        <w:t xml:space="preserve"> povedzte to svojmu lekárovi.</w:t>
      </w:r>
    </w:p>
    <w:p w14:paraId="0DA1310D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E386E7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Upozornenia a opatrenia </w:t>
      </w:r>
    </w:p>
    <w:p w14:paraId="62BB3B2F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43DA703C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2E1098CC" w14:textId="32507997" w:rsidR="006528CE" w:rsidRPr="00EF07C1" w:rsidRDefault="006528CE" w:rsidP="00540316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Buďte zvlášť opatrný pri užívaní </w:t>
      </w:r>
      <w:r w:rsidR="008F0110" w:rsidRPr="008F0110">
        <w:rPr>
          <w:b/>
          <w:sz w:val="22"/>
          <w:szCs w:val="22"/>
        </w:rPr>
        <w:t>Xanirv</w:t>
      </w:r>
      <w:r w:rsidR="000D7BF9">
        <w:rPr>
          <w:b/>
          <w:sz w:val="22"/>
          <w:szCs w:val="22"/>
        </w:rPr>
        <w:t>y</w:t>
      </w:r>
    </w:p>
    <w:p w14:paraId="4DC28C45" w14:textId="4B1B4C5C" w:rsidR="006528CE" w:rsidRPr="00EF07C1" w:rsidRDefault="00A8394F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0D7BF9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3B8C1BD1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závažné 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0913F839" w14:textId="1640712D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0D7BF9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0D7BF9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4C3201" w:rsidRPr="00EF07C1">
        <w:rPr>
          <w:sz w:val="22"/>
          <w:szCs w:val="22"/>
        </w:rPr>
        <w:t>tepnových katétrov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5E264745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7D89147A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0EE39A8A" w14:textId="31723A85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vášho žalúdka alebo čriev, ktoré môže viesť ku krvácaniu, napr. zápal čriev alebo žalúdka,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0D7BF9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0D7BF9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</w:t>
      </w:r>
      <w:r w:rsidRPr="008E6696">
        <w:rPr>
          <w:sz w:val="22"/>
          <w:szCs w:val="22"/>
        </w:rPr>
        <w:t>ochorenie, ke</w:t>
      </w:r>
      <w:r w:rsidR="001C0C3B" w:rsidRPr="008E6696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4CAC4A51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08ABE962" w14:textId="77777777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462513EA" w14:textId="5A83C5DF" w:rsidR="006528CE" w:rsidRDefault="00A8394F" w:rsidP="0046470F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>ak máte náhradn</w:t>
      </w:r>
      <w:r w:rsidR="00157EA9">
        <w:rPr>
          <w:sz w:val="22"/>
          <w:szCs w:val="22"/>
        </w:rPr>
        <w:t>ú (protetickú) srdcovú chlopňu;</w:t>
      </w:r>
    </w:p>
    <w:p w14:paraId="1779E482" w14:textId="77777777" w:rsidR="00BF67F0" w:rsidRPr="00BF67F0" w:rsidRDefault="00FB5EF7" w:rsidP="00157EA9">
      <w:pPr>
        <w:pStyle w:val="Default"/>
        <w:tabs>
          <w:tab w:val="left" w:pos="524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BF67F0">
        <w:rPr>
          <w:sz w:val="22"/>
          <w:szCs w:val="22"/>
        </w:rPr>
        <w:tab/>
      </w:r>
      <w:r w:rsidR="00BF67F0" w:rsidRPr="00BF67F0">
        <w:rPr>
          <w:sz w:val="22"/>
          <w:szCs w:val="22"/>
        </w:rPr>
        <w:t>ak viete, že máte ochorenie nazývané antifosfolipidový syndróm (ochorenie imunitného systému, ktoré spôsobuje zvýšené riziko tvorby krvných zrazenín), obráťte sa na svojho lekára, ktorý ro</w:t>
      </w:r>
      <w:r w:rsidR="00157EA9">
        <w:rPr>
          <w:sz w:val="22"/>
          <w:szCs w:val="22"/>
        </w:rPr>
        <w:t>zhodne o potrebe zmeniť liečbu;</w:t>
      </w:r>
    </w:p>
    <w:p w14:paraId="3A40034D" w14:textId="30D4FD05" w:rsidR="006528CE" w:rsidRPr="00EF07C1" w:rsidRDefault="00A8394F" w:rsidP="0046470F">
      <w:pPr>
        <w:pStyle w:val="Default"/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lekár určí, že váš krvný tlak nie je stabilný alebo ak sa plánuje ďalšia liečba alebo chirurgický zákrok na odstránenie krvnej zrazeniny z vašich pľúc. </w:t>
      </w:r>
    </w:p>
    <w:p w14:paraId="44CB8407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4E94DF54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40486ABD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3533AA9B" w14:textId="3D5829CE" w:rsidR="00893095" w:rsidRPr="00EF07C1" w:rsidRDefault="00A8394F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1A24BCE6" w14:textId="4B3DF0E7" w:rsidR="00893095" w:rsidRPr="00EF07C1" w:rsidRDefault="00A8394F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C522DD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0E6F8D10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pred injekciou a po injekcii alebo po odstránení katétra presne v čase, ktorý vám nariadil váš lekár, </w:t>
      </w:r>
    </w:p>
    <w:p w14:paraId="6883598E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120F8603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894EA5E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03F00AB8" w14:textId="408EE951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neodporúča podávať </w:t>
      </w:r>
      <w:r w:rsidR="00394115" w:rsidRPr="00BF67F0">
        <w:rPr>
          <w:bCs/>
          <w:sz w:val="22"/>
          <w:szCs w:val="22"/>
        </w:rPr>
        <w:t>osobám</w:t>
      </w:r>
      <w:r w:rsidR="00893095" w:rsidRPr="00BF67F0">
        <w:rPr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>U detí a dospievajúcich nie je dostatok informácií o je</w:t>
      </w:r>
      <w:r w:rsidR="008E6696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2AD7DDFB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66BB54F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5D176A5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6657993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499DDEB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48762FD4" w14:textId="77777777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7915C2EF" w14:textId="45999E4B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tablety </w:t>
      </w:r>
      <w:r w:rsidR="00C522DD">
        <w:rPr>
          <w:sz w:val="22"/>
          <w:szCs w:val="22"/>
        </w:rPr>
        <w:t xml:space="preserve">s </w:t>
      </w:r>
      <w:r w:rsidRPr="00EF07C1">
        <w:rPr>
          <w:sz w:val="22"/>
          <w:szCs w:val="22"/>
        </w:rPr>
        <w:t>ketokonazol</w:t>
      </w:r>
      <w:r w:rsidR="00C522DD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52E452BE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1C47300C" w14:textId="59DA4C89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</w:t>
      </w:r>
      <w:r w:rsidR="00C522DD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>HIV/AIDS (napr. ritonavir);</w:t>
      </w:r>
    </w:p>
    <w:p w14:paraId="720AFAD9" w14:textId="77777777" w:rsidR="00893095" w:rsidRPr="00EF07C1" w:rsidRDefault="00893095" w:rsidP="00394115">
      <w:pPr>
        <w:pStyle w:val="Default"/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lastRenderedPageBreak/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 acenokumarol);</w:t>
      </w:r>
    </w:p>
    <w:p w14:paraId="2A464368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6494A7E6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hanging="720"/>
        <w:rPr>
          <w:sz w:val="22"/>
          <w:szCs w:val="22"/>
        </w:rPr>
      </w:pPr>
      <w:r w:rsidRPr="00EF07C1">
        <w:rPr>
          <w:sz w:val="22"/>
          <w:szCs w:val="22"/>
        </w:rPr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35FA0875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 xml:space="preserve">niektoré lieky na liečbu depresie (selektívne inhibítory spätného vychytávania sérotonínu (SSRI) alebo inhibítory spätného vychytávania sérotonínu a noradrenalínu (SNRI)). </w:t>
      </w:r>
    </w:p>
    <w:p w14:paraId="54234B8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915E192" w14:textId="7831EC2E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077B823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283F7291" w14:textId="77777777" w:rsidR="00893095" w:rsidRPr="00EF07C1" w:rsidRDefault="00893095" w:rsidP="00893095">
      <w:pPr>
        <w:pStyle w:val="Default"/>
      </w:pPr>
    </w:p>
    <w:p w14:paraId="251ADE7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12D496FB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00B0CD51" w14:textId="2E3E8DBC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A811F3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19C13D66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rifampicín, antibiotikum. </w:t>
      </w:r>
    </w:p>
    <w:p w14:paraId="255D2289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102B4C2" w14:textId="30D023DD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5FDD1D2D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0B52D5D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019A2699" w14:textId="3BFCA276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11C77EF2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2D5DC8B5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1E98EFA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781EC606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F9FDB64" w14:textId="77777777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obsahuje </w:t>
      </w:r>
      <w:r w:rsidR="00464E42">
        <w:rPr>
          <w:b/>
          <w:bCs/>
          <w:sz w:val="22"/>
          <w:szCs w:val="22"/>
        </w:rPr>
        <w:t>monohydrát laktózy (druh cukru)</w:t>
      </w:r>
      <w:r w:rsidR="00893095" w:rsidRPr="00EF07C1">
        <w:rPr>
          <w:b/>
          <w:bCs/>
          <w:sz w:val="22"/>
          <w:szCs w:val="22"/>
        </w:rPr>
        <w:t xml:space="preserve"> </w:t>
      </w:r>
      <w:r w:rsidR="00893095" w:rsidRPr="00F10B78">
        <w:rPr>
          <w:b/>
          <w:bCs/>
          <w:sz w:val="22"/>
          <w:szCs w:val="22"/>
        </w:rPr>
        <w:t>a sodík</w:t>
      </w:r>
      <w:r w:rsidR="00893095" w:rsidRPr="00EF07C1">
        <w:rPr>
          <w:b/>
          <w:bCs/>
          <w:sz w:val="22"/>
          <w:szCs w:val="22"/>
        </w:rPr>
        <w:t xml:space="preserve"> </w:t>
      </w:r>
    </w:p>
    <w:p w14:paraId="42B06039" w14:textId="1BA76D7A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vám </w:t>
      </w:r>
      <w:r w:rsidR="005765DC" w:rsidRPr="001378F9">
        <w:rPr>
          <w:sz w:val="22"/>
          <w:szCs w:val="22"/>
        </w:rPr>
        <w:t>váš</w:t>
      </w:r>
      <w:r w:rsidR="005765DC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lekár povedal, že neznášate niektoré cukry, kontaktujte svojho lekára pred užitím tohto lieku. </w:t>
      </w:r>
    </w:p>
    <w:p w14:paraId="03683CD5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t>Tento liek obsahuje 1 mmol sodíka (23 mg) v jednej tablete, t. j. v podstate zanedbateľné množstvo sodíka.</w:t>
      </w:r>
    </w:p>
    <w:p w14:paraId="50F26DD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F6D200E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1873AD74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B05B96">
        <w:rPr>
          <w:b/>
          <w:bCs/>
          <w:sz w:val="22"/>
          <w:szCs w:val="22"/>
        </w:rPr>
        <w:t>3.</w:t>
      </w:r>
      <w:r w:rsidR="00E049AA" w:rsidRPr="00B05B96">
        <w:rPr>
          <w:b/>
          <w:bCs/>
          <w:sz w:val="22"/>
          <w:szCs w:val="22"/>
        </w:rPr>
        <w:tab/>
      </w:r>
      <w:r w:rsidRPr="00B05B96">
        <w:rPr>
          <w:b/>
          <w:bCs/>
          <w:sz w:val="22"/>
          <w:szCs w:val="22"/>
        </w:rPr>
        <w:t xml:space="preserve">Ako užívať </w:t>
      </w:r>
      <w:r w:rsidR="008F0110" w:rsidRPr="00B05B96">
        <w:rPr>
          <w:b/>
          <w:sz w:val="22"/>
          <w:szCs w:val="22"/>
        </w:rPr>
        <w:t>Xanirvu</w:t>
      </w:r>
    </w:p>
    <w:p w14:paraId="28D1F21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19402F20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4E5C93E6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50A2BE03" w14:textId="77777777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tabliet užívať </w:t>
      </w:r>
    </w:p>
    <w:p w14:paraId="0E6062AB" w14:textId="77777777" w:rsidR="00893095" w:rsidRPr="00EF07C1" w:rsidRDefault="00893095" w:rsidP="001873F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zabránenie vzniku krvných zrazenín v mozgu (cievnej mozgovej príhody) a v i</w:t>
      </w:r>
      <w:r w:rsidR="00B05B96">
        <w:rPr>
          <w:b/>
          <w:sz w:val="22"/>
          <w:szCs w:val="22"/>
        </w:rPr>
        <w:t>ných krvných cievach vášho tela</w:t>
      </w:r>
    </w:p>
    <w:p w14:paraId="22B5EAFA" w14:textId="65F16627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Odporúčaná dávka je jedna tableta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20 mg jedenkrát denne. </w:t>
      </w:r>
    </w:p>
    <w:p w14:paraId="38043CC8" w14:textId="78E8C579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ťažkosti s obličkami, dávku možno znížiť na jednu tabletu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="000854FD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15 mg jedenkrát denne. </w:t>
      </w:r>
    </w:p>
    <w:p w14:paraId="159C94D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306707E" w14:textId="48B1E2AE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Ak potrebujete podstúpiť zákrok kvôli zablokovaným krvným cievam v srdci (nazývaný perkutánna koronárna intervencia </w:t>
      </w:r>
      <w:r w:rsidR="007612FC">
        <w:rPr>
          <w:sz w:val="22"/>
          <w:szCs w:val="22"/>
        </w:rPr>
        <w:t>(</w:t>
      </w:r>
      <w:r w:rsidR="007612FC" w:rsidRPr="002A6EA7">
        <w:rPr>
          <w:szCs w:val="22"/>
        </w:rPr>
        <w:t>percutaneous coronary intervention</w:t>
      </w:r>
      <w:r w:rsidR="005765DC" w:rsidRPr="002A6EA7">
        <w:rPr>
          <w:szCs w:val="22"/>
        </w:rPr>
        <w:t xml:space="preserve">, </w:t>
      </w:r>
      <w:r w:rsidR="005765DC" w:rsidRPr="00D74294">
        <w:rPr>
          <w:szCs w:val="22"/>
        </w:rPr>
        <w:t>PCI</w:t>
      </w:r>
      <w:r w:rsidR="00251564" w:rsidRPr="00D74294">
        <w:rPr>
          <w:szCs w:val="22"/>
        </w:rPr>
        <w:t>)</w:t>
      </w:r>
      <w:r w:rsidRPr="00EF07C1">
        <w:rPr>
          <w:sz w:val="22"/>
          <w:szCs w:val="22"/>
        </w:rPr>
        <w:t xml:space="preserve"> so zavedením stentu), sú nedostatočné dôkazy </w:t>
      </w:r>
      <w:r w:rsidR="005861D8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zníženie dávky na jednu tabletu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15 mg jedenkrát denne (alebo na jednu tabletu </w:t>
      </w:r>
      <w:r w:rsidR="00B05B96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10 mg jedenkrát denne v prípade, že vaše obličky správne nefungujú) </w:t>
      </w:r>
      <w:r w:rsidR="00D64876" w:rsidRPr="00EF07C1">
        <w:rPr>
          <w:sz w:val="22"/>
          <w:szCs w:val="22"/>
        </w:rPr>
        <w:t>podávanú spolu s</w:t>
      </w:r>
      <w:r w:rsidRPr="00EF07C1">
        <w:rPr>
          <w:sz w:val="22"/>
          <w:szCs w:val="22"/>
        </w:rPr>
        <w:t xml:space="preserve"> liek</w:t>
      </w:r>
      <w:r w:rsidR="00D64876" w:rsidRPr="00EF07C1">
        <w:rPr>
          <w:sz w:val="22"/>
          <w:szCs w:val="22"/>
        </w:rPr>
        <w:t>om</w:t>
      </w:r>
      <w:r w:rsidR="005861D8">
        <w:rPr>
          <w:sz w:val="22"/>
          <w:szCs w:val="22"/>
        </w:rPr>
        <w:t xml:space="preserve"> proti zhlukovaniu krvných doštičiek</w:t>
      </w:r>
      <w:r w:rsidRPr="000B393D">
        <w:rPr>
          <w:sz w:val="22"/>
          <w:szCs w:val="22"/>
        </w:rPr>
        <w:t xml:space="preserve">, ako je klopidogrel. </w:t>
      </w:r>
    </w:p>
    <w:p w14:paraId="191665B2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B4821ED" w14:textId="77777777" w:rsidR="00893095" w:rsidRPr="00EF07C1" w:rsidRDefault="00893095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liečbu krvných zrazenín v žilách nôh a krvných zrazenín v krvných cievach vašich pľúc a na zabránenie opätovného vzniku krvných zrazenín</w:t>
      </w:r>
      <w:r w:rsidRPr="00EF07C1">
        <w:rPr>
          <w:sz w:val="22"/>
          <w:szCs w:val="22"/>
        </w:rPr>
        <w:t xml:space="preserve">. </w:t>
      </w:r>
    </w:p>
    <w:p w14:paraId="694A46C7" w14:textId="6B521C07" w:rsidR="00B05B96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Odporúčaná dávka je jedna tableta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15 mg dvakrát denne počas prvých 3 týždňov. </w:t>
      </w:r>
    </w:p>
    <w:p w14:paraId="618A3DA5" w14:textId="480A2B2F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Na liečbu po 3 týždňoch je odporúčaná dávka jedna tableta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20 mg jedenkrát denne. </w:t>
      </w:r>
    </w:p>
    <w:p w14:paraId="0F6BDEBA" w14:textId="77777777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Po najmenej 6 mesiacoch liečby krvných zrazenín môže lekár rozhodnúť o pokračovaní liečby buď jednou 10 mg tabletou jedenkrát denne, alebo jednou 20 mg tabletou jedenkrát denne. </w:t>
      </w:r>
    </w:p>
    <w:p w14:paraId="384C3BBF" w14:textId="0B7DFF60" w:rsidR="00893095" w:rsidRPr="00EF07C1" w:rsidRDefault="00893095" w:rsidP="001873FA">
      <w:pPr>
        <w:spacing w:line="240" w:lineRule="auto"/>
        <w:ind w:left="708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máte ťažkosti s obličkami a užívate jednu </w:t>
      </w:r>
      <w:r w:rsidRPr="000854FD">
        <w:rPr>
          <w:rFonts w:ascii="Times New Roman" w:hAnsi="Times New Roman" w:cs="Times New Roman"/>
        </w:rPr>
        <w:t xml:space="preserve">tabletu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EF07C1">
        <w:rPr>
          <w:rFonts w:ascii="Times New Roman" w:hAnsi="Times New Roman" w:cs="Times New Roman"/>
        </w:rPr>
        <w:t xml:space="preserve"> 20 mg jedenkrát denne, váš lekár vám môže po 3 týždňoch liečby dávku znížiť na jednu tabletu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="00391062" w:rsidRPr="000854FD">
        <w:rPr>
          <w:rFonts w:ascii="Times New Roman" w:hAnsi="Times New Roman" w:cs="Times New Roman"/>
        </w:rPr>
        <w:t xml:space="preserve"> </w:t>
      </w:r>
      <w:r w:rsidR="00391062" w:rsidRPr="00EF07C1">
        <w:rPr>
          <w:rFonts w:ascii="Times New Roman" w:hAnsi="Times New Roman" w:cs="Times New Roman"/>
        </w:rPr>
        <w:t>1</w:t>
      </w:r>
      <w:r w:rsidRPr="00EF07C1">
        <w:rPr>
          <w:rFonts w:ascii="Times New Roman" w:hAnsi="Times New Roman" w:cs="Times New Roman"/>
        </w:rPr>
        <w:t xml:space="preserve">5 mg jedenkrát denne, ak je riziko krvácania väčšie ako riziko </w:t>
      </w:r>
      <w:r w:rsidR="00554034" w:rsidRPr="00EF07C1">
        <w:rPr>
          <w:rFonts w:ascii="Times New Roman" w:hAnsi="Times New Roman" w:cs="Times New Roman"/>
        </w:rPr>
        <w:t xml:space="preserve">vzniku </w:t>
      </w:r>
      <w:r w:rsidRPr="00EF07C1">
        <w:rPr>
          <w:rFonts w:ascii="Times New Roman" w:hAnsi="Times New Roman" w:cs="Times New Roman"/>
        </w:rPr>
        <w:t>ďalších krvných zrazenín.</w:t>
      </w:r>
    </w:p>
    <w:p w14:paraId="5F9CCE60" w14:textId="7BBAAE68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Tabletu  prehltnite a zapite ju, najlepšie vodou. </w:t>
      </w:r>
    </w:p>
    <w:p w14:paraId="1DA6175D" w14:textId="77777777" w:rsidR="00391062" w:rsidRPr="00EF07C1" w:rsidRDefault="000854FD" w:rsidP="00391062">
      <w:pPr>
        <w:rPr>
          <w:rFonts w:ascii="Times New Roman" w:hAnsi="Times New Roman" w:cs="Times New Roman"/>
        </w:rPr>
      </w:pPr>
      <w:r w:rsidRPr="000854FD">
        <w:rPr>
          <w:rFonts w:ascii="Times New Roman" w:hAnsi="Times New Roman" w:cs="Times New Roman"/>
        </w:rPr>
        <w:t>Xanirvu</w:t>
      </w:r>
      <w:r w:rsidR="00391062" w:rsidRPr="00EF07C1">
        <w:rPr>
          <w:rFonts w:ascii="Times New Roman" w:hAnsi="Times New Roman" w:cs="Times New Roman"/>
        </w:rPr>
        <w:t xml:space="preserve"> užívajte spolu s jedlom.</w:t>
      </w:r>
    </w:p>
    <w:p w14:paraId="07DB0023" w14:textId="7E45227F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problémy s prehĺtaním celých tabliet, váš lekár vám povie o iných spôsoboch užitia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>. Tabletu môžete rozdrviť a rozmiešať vo vode alebo jabl</w:t>
      </w:r>
      <w:r w:rsidR="003D5823">
        <w:rPr>
          <w:sz w:val="22"/>
          <w:szCs w:val="22"/>
        </w:rPr>
        <w:t>kovom</w:t>
      </w:r>
      <w:r w:rsidRPr="00EF07C1">
        <w:rPr>
          <w:sz w:val="22"/>
          <w:szCs w:val="22"/>
        </w:rPr>
        <w:t xml:space="preserve"> pyré tesne predtým ako ju užijete. Po užití rozmixovanej tablety je potrebné sa </w:t>
      </w:r>
      <w:r w:rsidR="003B608C" w:rsidRPr="00EF07C1">
        <w:rPr>
          <w:sz w:val="22"/>
          <w:szCs w:val="22"/>
        </w:rPr>
        <w:t xml:space="preserve">ihneď </w:t>
      </w:r>
      <w:r w:rsidRPr="00EF07C1">
        <w:rPr>
          <w:sz w:val="22"/>
          <w:szCs w:val="22"/>
        </w:rPr>
        <w:t xml:space="preserve">najesť. </w:t>
      </w:r>
    </w:p>
    <w:p w14:paraId="77A0FEC7" w14:textId="3D496CC1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je to potrebné, váš lekár vám môže taktiež podať rozdrvenú tabletu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765AFDBE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1BC56021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Tabletu (tablety) užívajte každý deň, až kým vám lekár nepovie, aby ste užívanie ukončili. </w:t>
      </w:r>
    </w:p>
    <w:p w14:paraId="7E05A06F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Snažte sa užívať tabletu (tablety) každý deň v rovnakom čase, </w:t>
      </w:r>
      <w:r w:rsidR="003B608C" w:rsidRPr="000B393D">
        <w:rPr>
          <w:sz w:val="22"/>
          <w:szCs w:val="22"/>
        </w:rPr>
        <w:t>čo v</w:t>
      </w:r>
      <w:r w:rsidR="003B608C" w:rsidRPr="00EF07C1">
        <w:rPr>
          <w:sz w:val="22"/>
          <w:szCs w:val="22"/>
        </w:rPr>
        <w:t xml:space="preserve">ám </w:t>
      </w:r>
      <w:r w:rsidRPr="00EF07C1">
        <w:rPr>
          <w:sz w:val="22"/>
          <w:szCs w:val="22"/>
        </w:rPr>
        <w:t xml:space="preserve">pomôže </w:t>
      </w:r>
      <w:r w:rsidRPr="000B393D">
        <w:rPr>
          <w:sz w:val="22"/>
          <w:szCs w:val="22"/>
        </w:rPr>
        <w:t xml:space="preserve">zapamätať si </w:t>
      </w:r>
      <w:r w:rsidR="003B608C" w:rsidRPr="000B393D">
        <w:rPr>
          <w:sz w:val="22"/>
          <w:szCs w:val="22"/>
        </w:rPr>
        <w:t>užívanie</w:t>
      </w:r>
      <w:r w:rsidRPr="00912448">
        <w:rPr>
          <w:sz w:val="22"/>
          <w:szCs w:val="22"/>
        </w:rPr>
        <w:t xml:space="preserve">. </w:t>
      </w:r>
    </w:p>
    <w:p w14:paraId="38E8C959" w14:textId="77777777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Lekár rozhodne, ako dlho musíte v liečbe pokračovať.</w:t>
      </w:r>
    </w:p>
    <w:p w14:paraId="55811B18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Prevencia </w:t>
      </w:r>
      <w:r w:rsidR="00D42AE8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</w:t>
      </w:r>
      <w:r w:rsidR="00D42AE8" w:rsidRPr="00EF07C1">
        <w:rPr>
          <w:sz w:val="22"/>
          <w:szCs w:val="22"/>
        </w:rPr>
        <w:t>í</w:t>
      </w:r>
      <w:r w:rsidRPr="00EF07C1">
        <w:rPr>
          <w:sz w:val="22"/>
          <w:szCs w:val="22"/>
        </w:rPr>
        <w:t>n v mozgu (</w:t>
      </w:r>
      <w:r w:rsidR="00D42AE8" w:rsidRPr="00EF07C1">
        <w:rPr>
          <w:sz w:val="22"/>
          <w:szCs w:val="22"/>
        </w:rPr>
        <w:t>cievna mozgová príhoda</w:t>
      </w:r>
      <w:r w:rsidRPr="00EF07C1">
        <w:rPr>
          <w:sz w:val="22"/>
          <w:szCs w:val="22"/>
        </w:rPr>
        <w:t xml:space="preserve">) a v ostatných cievach vášho tela: </w:t>
      </w:r>
    </w:p>
    <w:p w14:paraId="54F957A9" w14:textId="77777777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Ak je potrebné, aby bol</w:t>
      </w:r>
      <w:r w:rsidR="00D42AE8" w:rsidRPr="00EF07C1">
        <w:rPr>
          <w:rFonts w:ascii="Times New Roman" w:hAnsi="Times New Roman" w:cs="Times New Roman"/>
        </w:rPr>
        <w:t xml:space="preserve"> váš srdcový rytmus</w:t>
      </w:r>
      <w:r w:rsidRPr="00EF07C1">
        <w:rPr>
          <w:rFonts w:ascii="Times New Roman" w:hAnsi="Times New Roman" w:cs="Times New Roman"/>
        </w:rPr>
        <w:t xml:space="preserve"> </w:t>
      </w:r>
      <w:r w:rsidR="00D42AE8" w:rsidRPr="00EF07C1">
        <w:rPr>
          <w:rFonts w:ascii="Times New Roman" w:hAnsi="Times New Roman" w:cs="Times New Roman"/>
        </w:rPr>
        <w:t>upravený</w:t>
      </w:r>
      <w:r w:rsidRPr="00EF07C1">
        <w:rPr>
          <w:rFonts w:ascii="Times New Roman" w:hAnsi="Times New Roman" w:cs="Times New Roman"/>
        </w:rPr>
        <w:t xml:space="preserve"> na normálne hodnoty postupom nazývaným kardioverzia, užívajte </w:t>
      </w:r>
      <w:r w:rsidR="000854FD" w:rsidRPr="000854FD">
        <w:rPr>
          <w:rFonts w:ascii="Times New Roman" w:hAnsi="Times New Roman" w:cs="Times New Roman"/>
        </w:rPr>
        <w:t>Xanirvu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v časových intervaloch podľa pokynov vášho lekára.</w:t>
      </w:r>
    </w:p>
    <w:p w14:paraId="7CA4D677" w14:textId="44DE0373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0D7BF9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AC49EE5" w14:textId="26217F44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tabliet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4410A736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4DEB8B4C" w14:textId="77777777" w:rsidR="00391062" w:rsidRPr="00EF07C1" w:rsidRDefault="001873FA" w:rsidP="001873FA">
      <w:pPr>
        <w:pStyle w:val="Default"/>
        <w:ind w:left="705" w:hanging="705"/>
        <w:rPr>
          <w:sz w:val="22"/>
          <w:szCs w:val="22"/>
        </w:rPr>
      </w:pPr>
      <w:r>
        <w:rPr>
          <w:sz w:val="16"/>
          <w:szCs w:val="16"/>
        </w:rPr>
        <w:t>--</w:t>
      </w:r>
      <w:r>
        <w:rPr>
          <w:sz w:val="16"/>
          <w:szCs w:val="16"/>
        </w:rPr>
        <w:tab/>
      </w:r>
      <w:r w:rsidR="00391062" w:rsidRPr="00EF07C1">
        <w:rPr>
          <w:sz w:val="22"/>
          <w:szCs w:val="22"/>
        </w:rPr>
        <w:t xml:space="preserve">Ak užívate jednu 20 mg tabletu alebo jednu 15 mg tabletu </w:t>
      </w:r>
      <w:r w:rsidR="00391062" w:rsidRPr="00CB37FA">
        <w:rPr>
          <w:sz w:val="22"/>
          <w:szCs w:val="22"/>
        </w:rPr>
        <w:t xml:space="preserve">jedenkrát </w:t>
      </w:r>
      <w:r w:rsidR="00391062" w:rsidRPr="00EF07C1">
        <w:rPr>
          <w:sz w:val="22"/>
          <w:szCs w:val="22"/>
        </w:rPr>
        <w:t xml:space="preserve">denne a zabudli ste dávku užiť, užite ju, len čo si spomeniete. Neužívajte viac než jednu tabletu v jeden deň, aby ste nahradili vynechanú dávku. Ďalšiu tabletu užite v nasledujúci deň a potom pokračujte v užívaní jednej tablety jedenkrát denne. </w:t>
      </w:r>
    </w:p>
    <w:p w14:paraId="604BC3CA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5A30CC6" w14:textId="77777777" w:rsidR="00391062" w:rsidRPr="00EF07C1" w:rsidRDefault="00391062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 jednu 15 mg tabletu </w:t>
      </w:r>
      <w:r w:rsidRPr="00CB37FA">
        <w:rPr>
          <w:sz w:val="22"/>
          <w:szCs w:val="22"/>
        </w:rPr>
        <w:t xml:space="preserve">dvakrát </w:t>
      </w:r>
      <w:r w:rsidRPr="00EF07C1">
        <w:rPr>
          <w:sz w:val="22"/>
          <w:szCs w:val="22"/>
        </w:rPr>
        <w:t xml:space="preserve">denne a zabudli ste dávku užiť, užite ju, len čo si spomeniete. Neužívajte viac než dve 15 mg tablety v jeden deň. Ak zabudnete dávku užiť, môžete užiť dve 15 mg tablety naraz, aby ste užili celkovo dve tablety (30 mg) v jeden deň. V nasledujúci deň pokračujte v užívaní jednej 15 mg tablety dvakrát denne. </w:t>
      </w:r>
    </w:p>
    <w:p w14:paraId="6B2DF37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CE175B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506DDFE5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lekárom, pretože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lieči </w:t>
      </w:r>
    </w:p>
    <w:p w14:paraId="22333C0B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 chráni pred vznikom závažných stavov. </w:t>
      </w:r>
    </w:p>
    <w:p w14:paraId="22934265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666F2B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3679F7AD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01F6D3C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50AE51EA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3E76B1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4A8963E9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13CACB12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65DD3AD1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326567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20D0EF3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A753FB0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4F18F35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0B3C377C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20295296" w14:textId="496DE648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2A6EA7">
        <w:rPr>
          <w:i/>
          <w:sz w:val="22"/>
          <w:szCs w:val="22"/>
        </w:rPr>
        <w:t>ang</w:t>
      </w:r>
      <w:r w:rsidR="000B1427" w:rsidRPr="002A6EA7">
        <w:rPr>
          <w:i/>
          <w:sz w:val="22"/>
          <w:szCs w:val="22"/>
        </w:rPr>
        <w:t>i</w:t>
      </w:r>
      <w:r w:rsidR="00391062" w:rsidRPr="002A6EA7">
        <w:rPr>
          <w:i/>
          <w:sz w:val="22"/>
          <w:szCs w:val="22"/>
        </w:rPr>
        <w:t>na pe</w:t>
      </w:r>
      <w:r w:rsidR="000B1427" w:rsidRPr="002A6EA7">
        <w:rPr>
          <w:i/>
          <w:sz w:val="22"/>
          <w:szCs w:val="22"/>
        </w:rPr>
        <w:t>c</w:t>
      </w:r>
      <w:r w:rsidR="00391062" w:rsidRPr="002A6EA7">
        <w:rPr>
          <w:i/>
          <w:sz w:val="22"/>
          <w:szCs w:val="22"/>
        </w:rPr>
        <w:t>toris</w:t>
      </w:r>
      <w:r w:rsidR="00391062" w:rsidRPr="00EF07C1">
        <w:rPr>
          <w:sz w:val="22"/>
          <w:szCs w:val="22"/>
        </w:rPr>
        <w:t xml:space="preserve">, ktoré môžu byť prejavmi krvácania. </w:t>
      </w:r>
    </w:p>
    <w:p w14:paraId="6C52035B" w14:textId="18282E1A" w:rsidR="00391062" w:rsidRPr="00EF07C1" w:rsidRDefault="000B1427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2157A31C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3A193620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743E3201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11113C0A" w14:textId="587D5C08" w:rsidR="00391062" w:rsidRPr="00EF07C1" w:rsidRDefault="00DC640C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0B1427">
        <w:rPr>
          <w:sz w:val="22"/>
          <w:szCs w:val="22"/>
        </w:rPr>
        <w:t>Častosť výskytu</w:t>
      </w:r>
      <w:r w:rsidR="000B1427" w:rsidRPr="00EF07C1">
        <w:rPr>
          <w:sz w:val="22"/>
          <w:szCs w:val="22"/>
        </w:rPr>
        <w:t xml:space="preserve"> </w:t>
      </w:r>
      <w:r w:rsidR="00391062"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5D38FFDB" w14:textId="53F6F9B1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reakcia na liek, ktorá spôsobí vyrážku, horúčku, zápal vnútorných orgánov,</w:t>
      </w:r>
      <w:r w:rsidR="000B1427">
        <w:rPr>
          <w:sz w:val="22"/>
          <w:szCs w:val="22"/>
        </w:rPr>
        <w:t xml:space="preserve"> poruchy</w:t>
      </w:r>
      <w:r w:rsidRPr="00EF07C1">
        <w:rPr>
          <w:sz w:val="22"/>
          <w:szCs w:val="22"/>
        </w:rPr>
        <w:t xml:space="preserve"> krv</w:t>
      </w:r>
      <w:r w:rsidR="000B1427">
        <w:rPr>
          <w:sz w:val="22"/>
          <w:szCs w:val="22"/>
        </w:rPr>
        <w:t>i</w:t>
      </w:r>
      <w:r w:rsidRPr="00EF07C1">
        <w:rPr>
          <w:sz w:val="22"/>
          <w:szCs w:val="22"/>
        </w:rPr>
        <w:t xml:space="preserve">  a systémové (celkové) ochorenie (DRESS syndróm). </w:t>
      </w:r>
      <w:r w:rsidR="000B1427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6EBC658C" w14:textId="77777777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</w:p>
    <w:p w14:paraId="4C90A8C4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64A7393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7E4C221D" w14:textId="44D5EAF2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0B1427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49C5B8E2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15283CD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1597372D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652C7BC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76969275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097D7FAE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2E97DC5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12ED2DA2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2FFC5786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7EB687F1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3B8A27B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3E2207A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3A8D1ED0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52E3D66C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09A5C44E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37689A5C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42F693D6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08925F79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7265598E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35298A0F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15A22377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083740AF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AB932B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3DDC9391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5215F4C5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2F5C144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A82415A" w14:textId="77777777" w:rsidR="00C34453" w:rsidRPr="008C30B9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C34453" w:rsidRPr="008C30B9">
        <w:rPr>
          <w:sz w:val="22"/>
          <w:szCs w:val="22"/>
        </w:rPr>
        <w:t>alergické reakcie, vrátane alergických kožných reakcií,</w:t>
      </w:r>
    </w:p>
    <w:p w14:paraId="721212ED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3A6D0A68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0434F873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7F2BFDE2" w14:textId="6EBF0A73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AF4C96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55B7CA7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06DE87A8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2206DE66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7C8EA287" w14:textId="77777777" w:rsidR="00DC640C" w:rsidRPr="00EF07C1" w:rsidRDefault="00DC640C" w:rsidP="008C30B9">
      <w:pPr>
        <w:spacing w:after="0" w:line="240" w:lineRule="auto"/>
        <w:rPr>
          <w:rFonts w:ascii="Times New Roman" w:hAnsi="Times New Roman" w:cs="Times New Roman"/>
        </w:rPr>
      </w:pPr>
    </w:p>
    <w:p w14:paraId="06FE0D15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5B4891CE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0A0E6800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65B88B82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73CCED50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17B91645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32980073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561C23" w14:textId="4051AD5D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AF4C96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5E8234D1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4431286B" w14:textId="53FAD852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AF4C96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2CE85954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B7B7CA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Hlásenie vedľajších účinkov </w:t>
      </w:r>
    </w:p>
    <w:p w14:paraId="6B12BD23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990058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48EED21D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FF79AE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3FEBC534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52F9302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3CBA622D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55552FCA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0173140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54C9280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412B00D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nevyžaduje žiadne zvláštne podmienky na uchovávanie. </w:t>
      </w:r>
    </w:p>
    <w:p w14:paraId="1BF8AC14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2DEE4E7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2A43E9FE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747DCF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320B1B1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6F1AC6E6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714D5053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3E0F7A36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n. Každá tableta obsahuje 15 mg alebo 20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72D03F68" w14:textId="77777777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 xml:space="preserve">Ďalšie zložky sú: </w:t>
      </w:r>
    </w:p>
    <w:p w14:paraId="3A1D7829" w14:textId="77777777" w:rsidR="00BE2871" w:rsidRPr="00FD52EE" w:rsidRDefault="00BE2871" w:rsidP="00B302CA">
      <w:pPr>
        <w:pStyle w:val="Default"/>
        <w:tabs>
          <w:tab w:val="left" w:pos="6096"/>
        </w:tabs>
        <w:ind w:left="567"/>
        <w:rPr>
          <w:i/>
          <w:sz w:val="22"/>
          <w:szCs w:val="22"/>
        </w:rPr>
      </w:pPr>
      <w:r w:rsidRPr="00FD52EE">
        <w:rPr>
          <w:i/>
          <w:sz w:val="22"/>
          <w:szCs w:val="22"/>
        </w:rPr>
        <w:t>Jadro tablety:</w:t>
      </w:r>
    </w:p>
    <w:p w14:paraId="17978EA5" w14:textId="6E8EC51B" w:rsidR="00BE2871" w:rsidRPr="00EF07C1" w:rsidRDefault="00FD52EE" w:rsidP="00B302CA">
      <w:pPr>
        <w:pStyle w:val="Default"/>
        <w:tabs>
          <w:tab w:val="left" w:pos="6096"/>
        </w:tabs>
        <w:ind w:left="567"/>
        <w:rPr>
          <w:sz w:val="22"/>
          <w:szCs w:val="22"/>
        </w:rPr>
      </w:pPr>
      <w:r w:rsidRPr="00EF07C1">
        <w:rPr>
          <w:sz w:val="22"/>
          <w:szCs w:val="22"/>
        </w:rPr>
        <w:t>monohydrát laktózy</w:t>
      </w:r>
      <w:r>
        <w:rPr>
          <w:sz w:val="22"/>
          <w:szCs w:val="22"/>
        </w:rPr>
        <w:t xml:space="preserve">, </w:t>
      </w:r>
      <w:r w:rsidRPr="00EF07C1">
        <w:rPr>
          <w:sz w:val="22"/>
          <w:szCs w:val="22"/>
        </w:rPr>
        <w:t>mikrokryštalická celulóza</w:t>
      </w:r>
      <w:r w:rsidR="00C84C3C">
        <w:rPr>
          <w:sz w:val="22"/>
          <w:szCs w:val="22"/>
        </w:rPr>
        <w:t xml:space="preserve">, </w:t>
      </w:r>
      <w:r w:rsidR="0080423F">
        <w:rPr>
          <w:sz w:val="22"/>
          <w:szCs w:val="22"/>
        </w:rPr>
        <w:t xml:space="preserve">sodná soľ </w:t>
      </w:r>
      <w:r w:rsidR="00C84C3C" w:rsidRPr="00EF07C1">
        <w:rPr>
          <w:sz w:val="22"/>
          <w:szCs w:val="22"/>
        </w:rPr>
        <w:t>kroskarmelóz</w:t>
      </w:r>
      <w:r w:rsidR="0080423F">
        <w:rPr>
          <w:sz w:val="22"/>
          <w:szCs w:val="22"/>
        </w:rPr>
        <w:t>y</w:t>
      </w:r>
      <w:r w:rsidR="00C84C3C" w:rsidRPr="00EF07C1">
        <w:rPr>
          <w:sz w:val="22"/>
          <w:szCs w:val="22"/>
        </w:rPr>
        <w:t xml:space="preserve">,  </w:t>
      </w:r>
      <w:r w:rsidR="00C84C3C"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laurylsíran sodný, stear</w:t>
      </w:r>
      <w:r w:rsidR="0080423F">
        <w:rPr>
          <w:sz w:val="22"/>
          <w:szCs w:val="22"/>
        </w:rPr>
        <w:t>át</w:t>
      </w:r>
      <w:r w:rsidR="00BE2871" w:rsidRPr="00EF07C1">
        <w:rPr>
          <w:sz w:val="22"/>
          <w:szCs w:val="22"/>
        </w:rPr>
        <w:t xml:space="preserve"> horečnatý</w:t>
      </w:r>
      <w:r w:rsidR="00C84C3C">
        <w:rPr>
          <w:sz w:val="22"/>
          <w:szCs w:val="22"/>
        </w:rPr>
        <w:t>.</w:t>
      </w:r>
    </w:p>
    <w:p w14:paraId="2C4809F0" w14:textId="77777777" w:rsidR="00BE2871" w:rsidRPr="00C84C3C" w:rsidRDefault="00C84C3C" w:rsidP="00B302CA">
      <w:pPr>
        <w:pStyle w:val="Default"/>
        <w:ind w:left="567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Filmový obal </w:t>
      </w:r>
      <w:r w:rsidRPr="00C84C3C">
        <w:rPr>
          <w:i/>
          <w:sz w:val="22"/>
          <w:szCs w:val="22"/>
        </w:rPr>
        <w:t>(Opadry červená 03F650001 (Xanirva 15 mg) a Opadry hnedá 03F565080 (Xanirva 20 mg):</w:t>
      </w:r>
    </w:p>
    <w:p w14:paraId="62B2064A" w14:textId="77777777" w:rsidR="00BE2871" w:rsidRPr="00EF07C1" w:rsidRDefault="00C84C3C" w:rsidP="00B302CA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hypromelóza</w:t>
      </w:r>
      <w:r w:rsidR="00BE2871" w:rsidRPr="00EF07C1">
        <w:rPr>
          <w:sz w:val="22"/>
          <w:szCs w:val="22"/>
        </w:rPr>
        <w:t>, oxid titaničitý (E 171),</w:t>
      </w:r>
      <w:r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m</w:t>
      </w:r>
      <w:r>
        <w:rPr>
          <w:sz w:val="22"/>
          <w:szCs w:val="22"/>
        </w:rPr>
        <w:t xml:space="preserve">akrogol 3350, </w:t>
      </w:r>
      <w:r w:rsidR="00BE2871" w:rsidRPr="00EF07C1">
        <w:rPr>
          <w:sz w:val="22"/>
          <w:szCs w:val="22"/>
        </w:rPr>
        <w:t>červený oxid železitý (E 172)</w:t>
      </w:r>
      <w:r w:rsidR="007C1E38" w:rsidRPr="00EF07C1">
        <w:rPr>
          <w:sz w:val="22"/>
          <w:szCs w:val="22"/>
        </w:rPr>
        <w:t>.</w:t>
      </w:r>
    </w:p>
    <w:p w14:paraId="62A8375F" w14:textId="77777777" w:rsidR="007C1E38" w:rsidRPr="00EF07C1" w:rsidRDefault="007C1E38" w:rsidP="00BE2871">
      <w:pPr>
        <w:pStyle w:val="Default"/>
        <w:rPr>
          <w:sz w:val="22"/>
          <w:szCs w:val="22"/>
        </w:rPr>
      </w:pPr>
    </w:p>
    <w:p w14:paraId="6A612654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2C085728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</w:p>
    <w:p w14:paraId="57046FEC" w14:textId="316DF3EA" w:rsidR="007C1E38" w:rsidRPr="00EF07C1" w:rsidRDefault="000854FD" w:rsidP="007C1E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C84C3C">
        <w:rPr>
          <w:sz w:val="22"/>
          <w:szCs w:val="22"/>
        </w:rPr>
        <w:t xml:space="preserve"> 15 mg sú červené</w:t>
      </w:r>
      <w:r w:rsidR="0080423F">
        <w:rPr>
          <w:sz w:val="22"/>
          <w:szCs w:val="22"/>
        </w:rPr>
        <w:t>,</w:t>
      </w:r>
      <w:r w:rsidR="007C1E38" w:rsidRPr="00EF07C1">
        <w:rPr>
          <w:sz w:val="22"/>
          <w:szCs w:val="22"/>
        </w:rPr>
        <w:t xml:space="preserve"> okrúhle</w:t>
      </w:r>
      <w:r w:rsidR="0080423F">
        <w:rPr>
          <w:sz w:val="22"/>
          <w:szCs w:val="22"/>
        </w:rPr>
        <w:t>,</w:t>
      </w:r>
      <w:r w:rsidR="007C1E38" w:rsidRPr="00EF07C1">
        <w:rPr>
          <w:sz w:val="22"/>
          <w:szCs w:val="22"/>
        </w:rPr>
        <w:t xml:space="preserve"> </w:t>
      </w:r>
      <w:r w:rsidR="00C84C3C">
        <w:rPr>
          <w:sz w:val="22"/>
          <w:szCs w:val="22"/>
        </w:rPr>
        <w:t>obojstranne vypuklé</w:t>
      </w:r>
      <w:r w:rsidR="0080423F">
        <w:rPr>
          <w:sz w:val="22"/>
          <w:szCs w:val="22"/>
        </w:rPr>
        <w:t>,</w:t>
      </w:r>
      <w:r w:rsidR="007C1E38" w:rsidRPr="00EF07C1">
        <w:rPr>
          <w:sz w:val="22"/>
          <w:szCs w:val="22"/>
        </w:rPr>
        <w:t xml:space="preserve"> filmom obalené tablety </w:t>
      </w:r>
      <w:r w:rsidR="00C84C3C">
        <w:rPr>
          <w:sz w:val="22"/>
          <w:szCs w:val="22"/>
        </w:rPr>
        <w:t>(</w:t>
      </w:r>
      <w:r w:rsidR="00C84C3C" w:rsidRPr="005B3B88">
        <w:rPr>
          <w:sz w:val="22"/>
          <w:szCs w:val="22"/>
        </w:rPr>
        <w:t xml:space="preserve">s priemerom približne </w:t>
      </w:r>
      <w:r w:rsidR="00C84C3C">
        <w:rPr>
          <w:sz w:val="22"/>
          <w:szCs w:val="22"/>
        </w:rPr>
        <w:t>9</w:t>
      </w:r>
      <w:r w:rsidR="00C84C3C" w:rsidRPr="005B3B88">
        <w:rPr>
          <w:sz w:val="22"/>
          <w:szCs w:val="22"/>
        </w:rPr>
        <w:t>,</w:t>
      </w:r>
      <w:r w:rsidR="00C84C3C">
        <w:rPr>
          <w:sz w:val="22"/>
          <w:szCs w:val="22"/>
        </w:rPr>
        <w:t>5</w:t>
      </w:r>
      <w:r w:rsidR="00C84C3C" w:rsidRPr="005B3B88">
        <w:rPr>
          <w:sz w:val="22"/>
          <w:szCs w:val="22"/>
        </w:rPr>
        <w:t xml:space="preserve"> mm</w:t>
      </w:r>
      <w:r w:rsidR="00C84C3C">
        <w:rPr>
          <w:sz w:val="22"/>
          <w:szCs w:val="22"/>
        </w:rPr>
        <w:t>)</w:t>
      </w:r>
      <w:r w:rsidR="00C84C3C" w:rsidRPr="005B3B88">
        <w:rPr>
          <w:sz w:val="22"/>
          <w:szCs w:val="22"/>
        </w:rPr>
        <w:t xml:space="preserve"> s vyrazeným „15“ na jednej strane, hladké na druhej strane.</w:t>
      </w:r>
    </w:p>
    <w:p w14:paraId="60469B22" w14:textId="77777777" w:rsidR="00C84C3C" w:rsidRDefault="00C84C3C" w:rsidP="007C1E38">
      <w:pPr>
        <w:pStyle w:val="Default"/>
        <w:rPr>
          <w:sz w:val="22"/>
          <w:szCs w:val="22"/>
        </w:rPr>
      </w:pPr>
    </w:p>
    <w:p w14:paraId="0FBA3E7F" w14:textId="251535EE" w:rsidR="007C1E38" w:rsidRPr="00EF07C1" w:rsidRDefault="0080423F" w:rsidP="007C1E38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>Xanirva 15 mg sa d</w:t>
      </w:r>
      <w:r w:rsidR="007C1E38" w:rsidRPr="00EF07C1">
        <w:rPr>
          <w:sz w:val="22"/>
          <w:szCs w:val="22"/>
        </w:rPr>
        <w:t xml:space="preserve">odáva v </w:t>
      </w:r>
      <w:r w:rsidR="00C84C3C">
        <w:rPr>
          <w:sz w:val="22"/>
          <w:szCs w:val="22"/>
        </w:rPr>
        <w:t>baleniach</w:t>
      </w:r>
      <w:r w:rsidR="007C1E38" w:rsidRPr="00EF07C1">
        <w:rPr>
          <w:sz w:val="22"/>
          <w:szCs w:val="22"/>
        </w:rPr>
        <w:t xml:space="preserve"> po </w:t>
      </w:r>
      <w:r w:rsidR="00C84C3C" w:rsidRPr="002A6EA7">
        <w:rPr>
          <w:rFonts w:eastAsia="Times New Roman"/>
          <w:spacing w:val="-1"/>
          <w:szCs w:val="22"/>
        </w:rPr>
        <w:t xml:space="preserve">10, </w:t>
      </w:r>
      <w:r w:rsidR="00C84C3C" w:rsidRPr="002A6EA7">
        <w:rPr>
          <w:szCs w:val="22"/>
        </w:rPr>
        <w:t>14, 28, 30, 42, 50, 98 a</w:t>
      </w:r>
      <w:r w:rsidRPr="002A6EA7">
        <w:rPr>
          <w:szCs w:val="22"/>
        </w:rPr>
        <w:t>lebo</w:t>
      </w:r>
      <w:r w:rsidR="00C84C3C" w:rsidRPr="002A6EA7">
        <w:rPr>
          <w:szCs w:val="22"/>
        </w:rPr>
        <w:t xml:space="preserve"> 100 </w:t>
      </w:r>
      <w:r w:rsidR="007C1E38" w:rsidRPr="00EF07C1">
        <w:rPr>
          <w:sz w:val="22"/>
          <w:szCs w:val="22"/>
        </w:rPr>
        <w:t xml:space="preserve">filmom obalených tabliet. </w:t>
      </w:r>
    </w:p>
    <w:p w14:paraId="76FC4B20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47DB0548" w14:textId="39C2B112" w:rsidR="007C1E38" w:rsidRDefault="000854FD" w:rsidP="007C1E38">
      <w:pPr>
        <w:pStyle w:val="Default"/>
        <w:rPr>
          <w:sz w:val="22"/>
          <w:szCs w:val="22"/>
        </w:rPr>
      </w:pPr>
      <w:r w:rsidRPr="00C84C3C">
        <w:rPr>
          <w:sz w:val="22"/>
          <w:szCs w:val="22"/>
        </w:rPr>
        <w:t>Xanirva</w:t>
      </w:r>
      <w:r w:rsidR="007C1E38" w:rsidRPr="00C84C3C">
        <w:rPr>
          <w:sz w:val="22"/>
          <w:szCs w:val="22"/>
        </w:rPr>
        <w:t xml:space="preserve"> 20 mg </w:t>
      </w:r>
      <w:r w:rsidR="00C84C3C" w:rsidRPr="00163D04">
        <w:rPr>
          <w:sz w:val="22"/>
          <w:szCs w:val="22"/>
        </w:rPr>
        <w:t>sú hnedočervené</w:t>
      </w:r>
      <w:r w:rsidR="0080423F">
        <w:rPr>
          <w:sz w:val="22"/>
          <w:szCs w:val="22"/>
        </w:rPr>
        <w:t>,</w:t>
      </w:r>
      <w:r w:rsidR="00C84C3C" w:rsidRPr="00163D04">
        <w:rPr>
          <w:sz w:val="22"/>
          <w:szCs w:val="22"/>
        </w:rPr>
        <w:t xml:space="preserve"> okrúhle</w:t>
      </w:r>
      <w:r w:rsidR="0080423F">
        <w:rPr>
          <w:sz w:val="22"/>
          <w:szCs w:val="22"/>
        </w:rPr>
        <w:t>,</w:t>
      </w:r>
      <w:r w:rsidR="00C84C3C" w:rsidRPr="00163D04">
        <w:rPr>
          <w:sz w:val="22"/>
          <w:szCs w:val="22"/>
        </w:rPr>
        <w:t xml:space="preserve"> </w:t>
      </w:r>
      <w:r w:rsidR="0080423F">
        <w:rPr>
          <w:sz w:val="22"/>
          <w:szCs w:val="22"/>
        </w:rPr>
        <w:t>obojstranne vypuklé,</w:t>
      </w:r>
      <w:r w:rsidR="0080423F" w:rsidRPr="00163D04">
        <w:rPr>
          <w:sz w:val="22"/>
          <w:szCs w:val="22"/>
        </w:rPr>
        <w:t xml:space="preserve"> </w:t>
      </w:r>
      <w:r w:rsidR="00C84C3C" w:rsidRPr="00163D04">
        <w:rPr>
          <w:sz w:val="22"/>
          <w:szCs w:val="22"/>
        </w:rPr>
        <w:t>filmom obalené tablety (s priemerom približne 10,5 mm) s vyrazeným „20“ na jednej strane, hladké na druhej strane.</w:t>
      </w:r>
    </w:p>
    <w:p w14:paraId="38668255" w14:textId="77777777" w:rsidR="00C84C3C" w:rsidRPr="00C84C3C" w:rsidRDefault="00C84C3C" w:rsidP="007C1E38">
      <w:pPr>
        <w:pStyle w:val="Default"/>
        <w:rPr>
          <w:sz w:val="22"/>
          <w:szCs w:val="22"/>
        </w:rPr>
      </w:pPr>
    </w:p>
    <w:p w14:paraId="4FA2D54A" w14:textId="629AA0DA" w:rsidR="007C1E38" w:rsidRPr="00EF07C1" w:rsidRDefault="0080423F" w:rsidP="007C1E38">
      <w:pPr>
        <w:pStyle w:val="Default"/>
        <w:rPr>
          <w:sz w:val="22"/>
          <w:szCs w:val="22"/>
        </w:rPr>
      </w:pPr>
      <w:r w:rsidRPr="00C84C3C">
        <w:rPr>
          <w:sz w:val="22"/>
          <w:szCs w:val="22"/>
        </w:rPr>
        <w:t xml:space="preserve">Xanirva 20 mg </w:t>
      </w:r>
      <w:r>
        <w:rPr>
          <w:sz w:val="22"/>
          <w:szCs w:val="22"/>
        </w:rPr>
        <w:t>sa d</w:t>
      </w:r>
      <w:r w:rsidR="007C1E38" w:rsidRPr="00C84C3C">
        <w:rPr>
          <w:sz w:val="22"/>
          <w:szCs w:val="22"/>
        </w:rPr>
        <w:t xml:space="preserve">odáva v </w:t>
      </w:r>
      <w:r w:rsidR="00A93C07">
        <w:rPr>
          <w:sz w:val="22"/>
          <w:szCs w:val="22"/>
        </w:rPr>
        <w:t>baleniach</w:t>
      </w:r>
      <w:r w:rsidR="007C1E38" w:rsidRPr="00C84C3C">
        <w:rPr>
          <w:sz w:val="22"/>
          <w:szCs w:val="22"/>
        </w:rPr>
        <w:t xml:space="preserve"> po </w:t>
      </w:r>
      <w:r w:rsidR="00C84C3C" w:rsidRPr="002A6EA7">
        <w:rPr>
          <w:rFonts w:eastAsia="Times New Roman"/>
          <w:spacing w:val="-1"/>
          <w:szCs w:val="22"/>
        </w:rPr>
        <w:t xml:space="preserve">10, </w:t>
      </w:r>
      <w:r w:rsidR="00C84C3C" w:rsidRPr="002A6EA7">
        <w:rPr>
          <w:szCs w:val="22"/>
        </w:rPr>
        <w:t>14, 28, 30, 50, 98 a</w:t>
      </w:r>
      <w:r w:rsidR="0016506D" w:rsidRPr="002A6EA7">
        <w:rPr>
          <w:szCs w:val="22"/>
        </w:rPr>
        <w:t>lebo</w:t>
      </w:r>
      <w:r w:rsidR="00C84C3C" w:rsidRPr="002A6EA7">
        <w:rPr>
          <w:szCs w:val="22"/>
        </w:rPr>
        <w:t xml:space="preserve"> 100</w:t>
      </w:r>
      <w:r w:rsidR="00C84C3C" w:rsidRPr="005B3B88">
        <w:rPr>
          <w:sz w:val="22"/>
          <w:szCs w:val="22"/>
        </w:rPr>
        <w:t xml:space="preserve"> </w:t>
      </w:r>
      <w:r w:rsidR="007C1E38" w:rsidRPr="00C84C3C">
        <w:rPr>
          <w:sz w:val="22"/>
          <w:szCs w:val="22"/>
        </w:rPr>
        <w:t>filmom obalených tabliet.</w:t>
      </w:r>
      <w:r w:rsidR="007C1E38" w:rsidRPr="00EF07C1">
        <w:rPr>
          <w:sz w:val="22"/>
          <w:szCs w:val="22"/>
        </w:rPr>
        <w:t xml:space="preserve"> </w:t>
      </w:r>
    </w:p>
    <w:p w14:paraId="34DD4CA1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28D180AD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08422B91" w14:textId="77777777" w:rsidR="00BE2871" w:rsidRPr="00EF07C1" w:rsidRDefault="00BE2871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6D8E0E6C" w14:textId="77777777" w:rsidR="007C1E38" w:rsidRPr="00EF07C1" w:rsidRDefault="007C1E38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7DCC40A3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1FD8B3B7" w14:textId="77777777" w:rsidR="00A93C07" w:rsidRPr="002A6EA7" w:rsidRDefault="00A93C07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Zentiva k.s.</w:t>
      </w:r>
    </w:p>
    <w:p w14:paraId="577328C1" w14:textId="77777777" w:rsidR="00EF44C9" w:rsidRPr="002A6EA7" w:rsidRDefault="00EF44C9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U Kabelovny 130</w:t>
      </w:r>
    </w:p>
    <w:p w14:paraId="77EF5392" w14:textId="1874C07C" w:rsidR="00EF44C9" w:rsidRDefault="00EF44C9" w:rsidP="0028222E">
      <w:pPr>
        <w:spacing w:after="0"/>
        <w:rPr>
          <w:rFonts w:ascii="Times New Roman" w:hAnsi="Times New Roman" w:cs="Times New Roman"/>
        </w:rPr>
      </w:pPr>
      <w:r w:rsidRPr="002A6EA7">
        <w:rPr>
          <w:rFonts w:ascii="Times New Roman" w:hAnsi="Times New Roman" w:cs="Times New Roman"/>
          <w:lang w:val="pt-PT"/>
        </w:rPr>
        <w:t xml:space="preserve">102 37 Praha 10 </w:t>
      </w:r>
      <w:r w:rsidRPr="00A93C07">
        <w:rPr>
          <w:rFonts w:ascii="Times New Roman" w:hAnsi="Times New Roman" w:cs="Times New Roman"/>
        </w:rPr>
        <w:t xml:space="preserve">– </w:t>
      </w:r>
      <w:r w:rsidR="00E40424">
        <w:rPr>
          <w:rFonts w:ascii="Times New Roman" w:hAnsi="Times New Roman" w:cs="Times New Roman"/>
        </w:rPr>
        <w:t>Dolní</w:t>
      </w:r>
      <w:bookmarkStart w:id="0" w:name="_GoBack"/>
      <w:bookmarkEnd w:id="0"/>
      <w:r w:rsidRPr="00A93C07">
        <w:rPr>
          <w:rFonts w:ascii="Times New Roman" w:hAnsi="Times New Roman" w:cs="Times New Roman"/>
        </w:rPr>
        <w:t xml:space="preserve"> Měcholupy</w:t>
      </w:r>
    </w:p>
    <w:p w14:paraId="3365F19D" w14:textId="77777777" w:rsidR="00A93C07" w:rsidRPr="002A6EA7" w:rsidRDefault="00A93C07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Česká republika</w:t>
      </w:r>
    </w:p>
    <w:p w14:paraId="68F2EB53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4A3AC072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4AF5A177" w14:textId="77777777" w:rsidR="00EF44C9" w:rsidRPr="002A6EA7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S.C. Zentiva S.A.</w:t>
      </w:r>
    </w:p>
    <w:p w14:paraId="4C403A15" w14:textId="77777777" w:rsidR="00EF44C9" w:rsidRPr="002A6EA7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57010807" w14:textId="77777777" w:rsidR="00A93C07" w:rsidRPr="002A6EA7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2A6EA7">
        <w:rPr>
          <w:rFonts w:ascii="Times New Roman" w:hAnsi="Times New Roman" w:cs="Times New Roman"/>
          <w:lang w:val="pt-PT"/>
        </w:rPr>
        <w:t>322 66 Bu</w:t>
      </w:r>
      <w:r w:rsidR="00A93C07" w:rsidRPr="002A6EA7">
        <w:rPr>
          <w:rFonts w:ascii="Times New Roman" w:hAnsi="Times New Roman" w:cs="Times New Roman"/>
          <w:lang w:val="pt-PT"/>
        </w:rPr>
        <w:t>kurešť</w:t>
      </w:r>
    </w:p>
    <w:p w14:paraId="5D9DCA8F" w14:textId="77777777" w:rsidR="00537A29" w:rsidRPr="00EF44C9" w:rsidRDefault="00EF44C9" w:rsidP="004E2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6EA7">
        <w:rPr>
          <w:rFonts w:ascii="Times New Roman" w:hAnsi="Times New Roman" w:cs="Times New Roman"/>
          <w:lang w:val="pt-PT"/>
        </w:rPr>
        <w:t>R</w:t>
      </w:r>
      <w:r w:rsidR="00A93C07" w:rsidRPr="002A6EA7">
        <w:rPr>
          <w:rFonts w:ascii="Times New Roman" w:hAnsi="Times New Roman" w:cs="Times New Roman"/>
          <w:lang w:val="pt-PT"/>
        </w:rPr>
        <w:t>umunsko</w:t>
      </w:r>
    </w:p>
    <w:p w14:paraId="0970BDDF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4530D965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7E10D92B" w14:textId="6119A76E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 v Českej republike, Bulharsku, Estónsku, Litve, Lot</w:t>
      </w:r>
      <w:r w:rsidR="0016506D">
        <w:rPr>
          <w:sz w:val="22"/>
          <w:szCs w:val="22"/>
        </w:rPr>
        <w:t>y</w:t>
      </w:r>
      <w:r>
        <w:rPr>
          <w:sz w:val="22"/>
          <w:szCs w:val="22"/>
        </w:rPr>
        <w:t>šsku, Rumunsku</w:t>
      </w:r>
      <w:r w:rsidR="001F0E8F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kráľovstve; Roxazen v Poľsku.</w:t>
      </w:r>
    </w:p>
    <w:p w14:paraId="676852E3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2840A981" w14:textId="303917CE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2A6EA7">
        <w:rPr>
          <w:b/>
          <w:bCs/>
          <w:sz w:val="22"/>
          <w:szCs w:val="22"/>
        </w:rPr>
        <w:t> 06/2020</w:t>
      </w:r>
      <w:r w:rsidR="00B6195E" w:rsidRPr="00EF07C1">
        <w:rPr>
          <w:b/>
          <w:bCs/>
          <w:sz w:val="22"/>
          <w:szCs w:val="22"/>
        </w:rPr>
        <w:t>.</w:t>
      </w:r>
    </w:p>
    <w:p w14:paraId="53B387F0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8550EC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B4DA7B" w16cid:durableId="22778117"/>
  <w16cid:commentId w16cid:paraId="54ABF603" w16cid:durableId="22778118"/>
  <w16cid:commentId w16cid:paraId="5A16E6F2" w16cid:durableId="227781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F2DBC" w14:textId="77777777" w:rsidR="0002082D" w:rsidRDefault="0002082D" w:rsidP="006528CE">
      <w:pPr>
        <w:spacing w:after="0" w:line="240" w:lineRule="auto"/>
      </w:pPr>
      <w:r>
        <w:separator/>
      </w:r>
    </w:p>
  </w:endnote>
  <w:endnote w:type="continuationSeparator" w:id="0">
    <w:p w14:paraId="40B12492" w14:textId="77777777" w:rsidR="0002082D" w:rsidRDefault="0002082D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0329655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40424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FBE1EAE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694F7" w14:textId="77777777" w:rsidR="0002082D" w:rsidRDefault="0002082D" w:rsidP="006528CE">
      <w:pPr>
        <w:spacing w:after="0" w:line="240" w:lineRule="auto"/>
      </w:pPr>
      <w:r>
        <w:separator/>
      </w:r>
    </w:p>
  </w:footnote>
  <w:footnote w:type="continuationSeparator" w:id="0">
    <w:p w14:paraId="650587C3" w14:textId="77777777" w:rsidR="0002082D" w:rsidRDefault="0002082D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B7951" w14:textId="77777777" w:rsidR="00D64876" w:rsidRPr="006528CE" w:rsidRDefault="00D64876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2D2825">
      <w:rPr>
        <w:rFonts w:ascii="Times New Roman" w:hAnsi="Times New Roman" w:cs="Times New Roman"/>
        <w:sz w:val="18"/>
        <w:szCs w:val="18"/>
      </w:rPr>
      <w:t>2018/05444-REG, 2018/05445-REG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E"/>
    <w:rsid w:val="0002082D"/>
    <w:rsid w:val="00061B3A"/>
    <w:rsid w:val="000854FD"/>
    <w:rsid w:val="000B1427"/>
    <w:rsid w:val="000B393D"/>
    <w:rsid w:val="000D7BF9"/>
    <w:rsid w:val="00105384"/>
    <w:rsid w:val="001378F9"/>
    <w:rsid w:val="00157EA9"/>
    <w:rsid w:val="0016506D"/>
    <w:rsid w:val="001873FA"/>
    <w:rsid w:val="001A2BBB"/>
    <w:rsid w:val="001C0C3B"/>
    <w:rsid w:val="001C397C"/>
    <w:rsid w:val="001F0E8F"/>
    <w:rsid w:val="00251564"/>
    <w:rsid w:val="00280071"/>
    <w:rsid w:val="0028222E"/>
    <w:rsid w:val="002A6EA7"/>
    <w:rsid w:val="002C1CAB"/>
    <w:rsid w:val="002D2825"/>
    <w:rsid w:val="002D43A4"/>
    <w:rsid w:val="002E0E50"/>
    <w:rsid w:val="002E1ED2"/>
    <w:rsid w:val="00312EB1"/>
    <w:rsid w:val="00347888"/>
    <w:rsid w:val="003632DC"/>
    <w:rsid w:val="003641BE"/>
    <w:rsid w:val="00365082"/>
    <w:rsid w:val="00391062"/>
    <w:rsid w:val="00394115"/>
    <w:rsid w:val="003B3187"/>
    <w:rsid w:val="003B608C"/>
    <w:rsid w:val="003D5823"/>
    <w:rsid w:val="003E76B1"/>
    <w:rsid w:val="0046470F"/>
    <w:rsid w:val="00464E42"/>
    <w:rsid w:val="004C3201"/>
    <w:rsid w:val="004E26B9"/>
    <w:rsid w:val="004E660A"/>
    <w:rsid w:val="00537A29"/>
    <w:rsid w:val="00540316"/>
    <w:rsid w:val="00554034"/>
    <w:rsid w:val="005765DC"/>
    <w:rsid w:val="00576E12"/>
    <w:rsid w:val="005861D8"/>
    <w:rsid w:val="00594FAA"/>
    <w:rsid w:val="00640D72"/>
    <w:rsid w:val="006528CE"/>
    <w:rsid w:val="006679BE"/>
    <w:rsid w:val="006A42A5"/>
    <w:rsid w:val="006D3DC5"/>
    <w:rsid w:val="006E2351"/>
    <w:rsid w:val="006E330F"/>
    <w:rsid w:val="007303A3"/>
    <w:rsid w:val="00743C7F"/>
    <w:rsid w:val="007612FC"/>
    <w:rsid w:val="007C1E38"/>
    <w:rsid w:val="007F63BE"/>
    <w:rsid w:val="0080423F"/>
    <w:rsid w:val="00810AB0"/>
    <w:rsid w:val="00830C7D"/>
    <w:rsid w:val="008550EC"/>
    <w:rsid w:val="00893095"/>
    <w:rsid w:val="008C30B9"/>
    <w:rsid w:val="008C5B05"/>
    <w:rsid w:val="008E6696"/>
    <w:rsid w:val="008F0110"/>
    <w:rsid w:val="00912448"/>
    <w:rsid w:val="00990058"/>
    <w:rsid w:val="009D50BE"/>
    <w:rsid w:val="00A2045C"/>
    <w:rsid w:val="00A811F3"/>
    <w:rsid w:val="00A8394F"/>
    <w:rsid w:val="00A93C07"/>
    <w:rsid w:val="00AF4C96"/>
    <w:rsid w:val="00B0090F"/>
    <w:rsid w:val="00B05B96"/>
    <w:rsid w:val="00B302CA"/>
    <w:rsid w:val="00B6195E"/>
    <w:rsid w:val="00B91712"/>
    <w:rsid w:val="00BA5D83"/>
    <w:rsid w:val="00BE2871"/>
    <w:rsid w:val="00BF67F0"/>
    <w:rsid w:val="00C34453"/>
    <w:rsid w:val="00C522DD"/>
    <w:rsid w:val="00C84C3C"/>
    <w:rsid w:val="00CA397F"/>
    <w:rsid w:val="00CB37FA"/>
    <w:rsid w:val="00CF42C7"/>
    <w:rsid w:val="00D42AE8"/>
    <w:rsid w:val="00D4636E"/>
    <w:rsid w:val="00D64876"/>
    <w:rsid w:val="00D74294"/>
    <w:rsid w:val="00D7454F"/>
    <w:rsid w:val="00DA1106"/>
    <w:rsid w:val="00DC640C"/>
    <w:rsid w:val="00E049AA"/>
    <w:rsid w:val="00E40424"/>
    <w:rsid w:val="00EF07C1"/>
    <w:rsid w:val="00EF23A8"/>
    <w:rsid w:val="00EF44C9"/>
    <w:rsid w:val="00F10B78"/>
    <w:rsid w:val="00F86AF4"/>
    <w:rsid w:val="00F92E97"/>
    <w:rsid w:val="00F9457B"/>
    <w:rsid w:val="00FB5EF7"/>
    <w:rsid w:val="00FD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26EC1"/>
  <w15:docId w15:val="{25F64CF4-03B8-42AE-B091-593DA6AD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679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9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9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9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F75DF-C245-45E3-AE12-A89C3616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2789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PM</cp:lastModifiedBy>
  <cp:revision>49</cp:revision>
  <dcterms:created xsi:type="dcterms:W3CDTF">2019-03-19T11:51:00Z</dcterms:created>
  <dcterms:modified xsi:type="dcterms:W3CDTF">2020-05-29T08:24:00Z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