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74" w:rsidRDefault="00097A74">
      <w:pPr>
        <w:jc w:val="center"/>
        <w:outlineLvl w:val="0"/>
        <w:rPr>
          <w:b/>
          <w:noProof/>
          <w:szCs w:val="22"/>
        </w:rPr>
      </w:pPr>
      <w:bookmarkStart w:id="0" w:name="_GoBack"/>
      <w:bookmarkEnd w:id="0"/>
    </w:p>
    <w:p w:rsidR="00097A74" w:rsidRDefault="00097A74">
      <w:pPr>
        <w:jc w:val="center"/>
        <w:outlineLvl w:val="0"/>
        <w:rPr>
          <w:noProof/>
          <w:szCs w:val="22"/>
        </w:rPr>
      </w:pPr>
      <w:r w:rsidRPr="00925180">
        <w:rPr>
          <w:b/>
          <w:szCs w:val="22"/>
        </w:rPr>
        <w:t>Písomná informácia</w:t>
      </w:r>
      <w:r w:rsidRPr="00A505E4">
        <w:rPr>
          <w:b/>
        </w:rPr>
        <w:t xml:space="preserve"> </w:t>
      </w:r>
      <w:r>
        <w:rPr>
          <w:b/>
          <w:szCs w:val="22"/>
        </w:rPr>
        <w:t xml:space="preserve">pre </w:t>
      </w:r>
      <w:r w:rsidRPr="00925180">
        <w:rPr>
          <w:b/>
          <w:szCs w:val="22"/>
        </w:rPr>
        <w:t>používateľa</w:t>
      </w:r>
    </w:p>
    <w:p w:rsidR="00097A74" w:rsidRDefault="00097A74">
      <w:pPr>
        <w:jc w:val="center"/>
        <w:rPr>
          <w:noProof/>
          <w:szCs w:val="22"/>
        </w:rPr>
      </w:pPr>
    </w:p>
    <w:p w:rsidR="00097A74" w:rsidRDefault="00097A74">
      <w:pPr>
        <w:pStyle w:val="Nadpis5"/>
      </w:pP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r w:rsidRPr="00BE1793">
        <w:rPr>
          <w:b/>
        </w:rPr>
        <w:t xml:space="preserve">10 mg/g + 400 mg/g </w:t>
      </w:r>
      <w:proofErr w:type="spellStart"/>
      <w:r w:rsidRPr="00BE1793">
        <w:rPr>
          <w:b/>
          <w:szCs w:val="22"/>
        </w:rPr>
        <w:t>dermálna</w:t>
      </w:r>
      <w:proofErr w:type="spellEnd"/>
      <w:r w:rsidRPr="00BE1793">
        <w:rPr>
          <w:b/>
          <w:szCs w:val="22"/>
        </w:rPr>
        <w:t xml:space="preserve"> masť </w:t>
      </w:r>
    </w:p>
    <w:p w:rsidR="00097A74" w:rsidRPr="00BE1793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</w:p>
    <w:p w:rsidR="00097A74" w:rsidRDefault="00097A74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bifonazol</w:t>
      </w:r>
      <w:proofErr w:type="spellEnd"/>
      <w:r>
        <w:rPr>
          <w:szCs w:val="22"/>
        </w:rPr>
        <w:t>/močovina</w:t>
      </w:r>
    </w:p>
    <w:p w:rsidR="00097A74" w:rsidRDefault="00097A74">
      <w:pPr>
        <w:numPr>
          <w:ilvl w:val="12"/>
          <w:numId w:val="0"/>
        </w:numPr>
        <w:jc w:val="center"/>
        <w:rPr>
          <w:b/>
          <w:bCs/>
          <w:noProof/>
        </w:rPr>
      </w:pPr>
    </w:p>
    <w:p w:rsidR="00097A74" w:rsidRPr="00A505E4" w:rsidRDefault="00097A74" w:rsidP="002411CA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b/>
          <w:noProof/>
          <w:szCs w:val="22"/>
        </w:rPr>
        <w:t>Pozorne si prečítajte celú písomnú informáciu predtým, ako začnete používať</w:t>
      </w:r>
      <w:r w:rsidRPr="00967D26">
        <w:rPr>
          <w:noProof/>
          <w:szCs w:val="22"/>
        </w:rPr>
        <w:t xml:space="preserve"> </w:t>
      </w:r>
      <w:r w:rsidRPr="00967D26">
        <w:rPr>
          <w:b/>
          <w:noProof/>
          <w:szCs w:val="22"/>
        </w:rPr>
        <w:t>tento liek, pretože obsahuje pre vás dôležité informácie.</w:t>
      </w:r>
    </w:p>
    <w:p w:rsidR="00097A74" w:rsidRPr="00A505E4" w:rsidRDefault="00097A74" w:rsidP="002411CA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Vždy používajte tento liek presne tak, ako je to uvedené v tejto informácii alebo ako vám povedal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váš lekár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</w:t>
      </w:r>
      <w:r w:rsidRPr="00967D26">
        <w:rPr>
          <w:b/>
          <w:i/>
          <w:noProof/>
          <w:szCs w:val="22"/>
        </w:rPr>
        <w:t>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Túto písomnú informáciu si uschovajte.</w:t>
      </w:r>
      <w:r w:rsidRPr="00A505E4">
        <w:t xml:space="preserve"> </w:t>
      </w:r>
      <w:r w:rsidRPr="00967D26">
        <w:rPr>
          <w:noProof/>
          <w:szCs w:val="22"/>
        </w:rPr>
        <w:t>Možno bude potrebné, aby ste si ju znovu prečítali.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Ak potrebujete ďalšie informácie alebo radu, obráťte sa na svojho lekárnika.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lekárnika.</w:t>
      </w:r>
      <w:r w:rsidRPr="00A505E4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 Pozri časť 4.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 xml:space="preserve">Ak sa do </w:t>
      </w:r>
      <w:r w:rsidRPr="00C51A8F">
        <w:rPr>
          <w:noProof/>
          <w:szCs w:val="22"/>
        </w:rPr>
        <w:t>7 až 14</w:t>
      </w:r>
      <w:r w:rsidRPr="0046524D">
        <w:rPr>
          <w:noProof/>
          <w:szCs w:val="22"/>
        </w:rPr>
        <w:t xml:space="preserve"> dní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 </w:t>
      </w:r>
      <w:r w:rsidRPr="00967D26">
        <w:t xml:space="preserve">nebudete cítiť lepšie alebo sa budete cítiť horšie, </w:t>
      </w:r>
      <w:r w:rsidRPr="00967D26">
        <w:rPr>
          <w:noProof/>
          <w:szCs w:val="22"/>
        </w:rPr>
        <w:t>musíte sa obrátiť na lekára.</w:t>
      </w:r>
    </w:p>
    <w:p w:rsidR="00097A74" w:rsidRDefault="00097A74">
      <w:pPr>
        <w:rPr>
          <w:noProof/>
          <w:szCs w:val="22"/>
        </w:rPr>
      </w:pPr>
    </w:p>
    <w:p w:rsidR="00097A74" w:rsidRDefault="00097A74"/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 xml:space="preserve">: 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>Čo je Canespor sada na nechty a na čo sa používa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Pr="00967D26">
        <w:rPr>
          <w:noProof/>
          <w:szCs w:val="22"/>
        </w:rPr>
        <w:t xml:space="preserve">Čo potrebujete vedieť predtým, ako </w:t>
      </w:r>
      <w:r>
        <w:rPr>
          <w:noProof/>
          <w:szCs w:val="22"/>
        </w:rPr>
        <w:t>použijete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používať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>Ako uchovávať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Pr="00967D26">
        <w:rPr>
          <w:noProof/>
          <w:szCs w:val="22"/>
        </w:rPr>
        <w:t>Obsah balenia a ďalšie informácie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 xml:space="preserve">Čo je </w:t>
      </w:r>
      <w:r>
        <w:rPr>
          <w:b/>
          <w:noProof/>
          <w:szCs w:val="22"/>
        </w:rPr>
        <w:t>Canespor sada na nechty</w:t>
      </w:r>
      <w:r w:rsidRPr="00967D26">
        <w:rPr>
          <w:b/>
          <w:noProof/>
          <w:szCs w:val="22"/>
        </w:rPr>
        <w:t xml:space="preserve"> a na čo sa používa</w:t>
      </w:r>
      <w:r>
        <w:rPr>
          <w:b/>
          <w:noProof/>
          <w:szCs w:val="22"/>
        </w:rPr>
        <w:t xml:space="preserve"> 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 w:rsidP="00183BE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r>
        <w:rPr>
          <w:noProof/>
          <w:szCs w:val="22"/>
        </w:rPr>
        <w:t>Canespor sada na nechty</w:t>
      </w:r>
      <w:r>
        <w:t xml:space="preserve"> obsahuje </w:t>
      </w:r>
      <w:proofErr w:type="spellStart"/>
      <w:r>
        <w:t>bifonazol</w:t>
      </w:r>
      <w:proofErr w:type="spellEnd"/>
      <w:r>
        <w:t xml:space="preserve"> a močovinu. </w:t>
      </w:r>
      <w:proofErr w:type="spellStart"/>
      <w:r w:rsidRPr="00FD7BA4">
        <w:rPr>
          <w:szCs w:val="22"/>
        </w:rPr>
        <w:t>Bifonazol</w:t>
      </w:r>
      <w:proofErr w:type="spellEnd"/>
      <w:r w:rsidRPr="00FD7BA4">
        <w:rPr>
          <w:szCs w:val="22"/>
        </w:rPr>
        <w:t xml:space="preserve"> je antimykotikum so širokým spektrom účinku na liečbu plesňových ochorení kože.</w:t>
      </w:r>
      <w:r>
        <w:rPr>
          <w:szCs w:val="22"/>
        </w:rPr>
        <w:t xml:space="preserve"> Močovina zmäkčuje liečené nechty a preto ich možno jednoduchšie odstrániť.   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Canespor sada na nechty</w:t>
      </w:r>
      <w:r>
        <w:t xml:space="preserve"> je liek, ktorý sa používa na liečbu plesňových infekcií  na nechtoch rúk a nôh, vrátane odstránenia nechtov  so súčasným </w:t>
      </w:r>
      <w:proofErr w:type="spellStart"/>
      <w:r>
        <w:t>antimykotickým</w:t>
      </w:r>
      <w:proofErr w:type="spellEnd"/>
      <w:r>
        <w:t xml:space="preserve"> (protiplesňovým) účinkom.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Čo potrebujete vedieť predtým, ako</w:t>
      </w:r>
      <w:r>
        <w:rPr>
          <w:b/>
          <w:noProof/>
          <w:szCs w:val="22"/>
        </w:rPr>
        <w:t xml:space="preserve"> použijete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>Nepoužívajte Canespor sadu na nechty</w:t>
      </w:r>
    </w:p>
    <w:p w:rsidR="00097A74" w:rsidRPr="00A505E4" w:rsidRDefault="00097A74" w:rsidP="00183BED">
      <w:pPr>
        <w:tabs>
          <w:tab w:val="left" w:pos="567"/>
        </w:tabs>
      </w:pPr>
      <w:r w:rsidRPr="00FD7BA4">
        <w:rPr>
          <w:noProof/>
          <w:szCs w:val="22"/>
        </w:rPr>
        <w:t>-</w:t>
      </w:r>
      <w:r w:rsidRPr="00FD7BA4">
        <w:rPr>
          <w:noProof/>
          <w:szCs w:val="22"/>
        </w:rPr>
        <w:tab/>
      </w:r>
      <w:r w:rsidRPr="002411CA">
        <w:rPr>
          <w:noProof/>
          <w:szCs w:val="22"/>
        </w:rPr>
        <w:t xml:space="preserve">ak ste alergický na bifonazol alebo </w:t>
      </w:r>
      <w:r>
        <w:t xml:space="preserve">močovinu </w:t>
      </w:r>
      <w:r w:rsidRPr="002411CA">
        <w:rPr>
          <w:noProof/>
          <w:szCs w:val="22"/>
        </w:rPr>
        <w:t xml:space="preserve">alebo na </w:t>
      </w:r>
      <w:r w:rsidRPr="00967D26">
        <w:rPr>
          <w:noProof/>
          <w:szCs w:val="22"/>
        </w:rPr>
        <w:t>ktorúkoľvek z ďalších zložiek tohto lieku (uvedených v časti 6).</w:t>
      </w:r>
    </w:p>
    <w:p w:rsidR="00097A74" w:rsidRPr="002411CA" w:rsidRDefault="00097A74" w:rsidP="00183BED">
      <w:pPr>
        <w:rPr>
          <w:noProof/>
          <w:szCs w:val="22"/>
        </w:rPr>
      </w:pPr>
    </w:p>
    <w:p w:rsidR="00097A74" w:rsidRPr="00A505E4" w:rsidRDefault="00097A74" w:rsidP="00183BED">
      <w:pPr>
        <w:tabs>
          <w:tab w:val="left" w:pos="720"/>
        </w:tabs>
        <w:outlineLvl w:val="0"/>
      </w:pPr>
      <w:r w:rsidRPr="00967D26">
        <w:rPr>
          <w:b/>
          <w:noProof/>
          <w:szCs w:val="22"/>
        </w:rPr>
        <w:t>Upozornenia a opatrenia</w:t>
      </w:r>
    </w:p>
    <w:p w:rsidR="00097A74" w:rsidRPr="00A505E4" w:rsidRDefault="00097A74" w:rsidP="00183BED">
      <w:pPr>
        <w:tabs>
          <w:tab w:val="left" w:pos="720"/>
        </w:tabs>
      </w:pPr>
      <w:r w:rsidRPr="00967D26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Canespor sadu na nechty</w:t>
      </w:r>
      <w:r w:rsidRPr="00967D26">
        <w:rPr>
          <w:noProof/>
          <w:szCs w:val="22"/>
        </w:rPr>
        <w:t>, obráťte sa na svojho lekára alebo</w:t>
      </w:r>
      <w:r>
        <w:rPr>
          <w:noProof/>
          <w:szCs w:val="22"/>
        </w:rPr>
        <w:t xml:space="preserve"> l</w:t>
      </w:r>
      <w:r w:rsidRPr="00967D26">
        <w:rPr>
          <w:noProof/>
          <w:szCs w:val="22"/>
        </w:rPr>
        <w:t>ekárnika.</w:t>
      </w:r>
    </w:p>
    <w:p w:rsidR="00097A74" w:rsidRPr="003A0AAD" w:rsidRDefault="00097A74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Zamedzte kontaktu tohto lieku s očami. </w:t>
      </w:r>
      <w:r>
        <w:rPr>
          <w:rFonts w:ascii="Times New Roman" w:hAnsi="Times New Roman" w:cs="Times New Roman"/>
          <w:b w:val="0"/>
          <w:noProof/>
          <w:sz w:val="22"/>
          <w:szCs w:val="22"/>
        </w:rPr>
        <w:t xml:space="preserve">Liek </w:t>
      </w: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Canespor </w:t>
      </w:r>
      <w:r>
        <w:rPr>
          <w:rFonts w:ascii="Times New Roman" w:hAnsi="Times New Roman" w:cs="Times New Roman"/>
          <w:b w:val="0"/>
          <w:noProof/>
          <w:sz w:val="22"/>
          <w:szCs w:val="22"/>
        </w:rPr>
        <w:t>sada na nechty</w:t>
      </w: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 je určený na vonkajšie použitie</w:t>
      </w:r>
      <w:r w:rsidRPr="003A0AAD">
        <w:rPr>
          <w:rFonts w:ascii="Times New Roman" w:hAnsi="Times New Roman" w:cs="Times New Roman"/>
          <w:b w:val="0"/>
          <w:bCs w:val="0"/>
          <w:sz w:val="22"/>
          <w:szCs w:val="22"/>
        </w:rPr>
        <w:t>. Neprehĺtajte.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97A74" w:rsidRDefault="00097A74" w:rsidP="00183BED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 xml:space="preserve">Ak ste u vás vyskytla reakcia z precitlivenosti na iné </w:t>
      </w:r>
      <w:proofErr w:type="spellStart"/>
      <w:r>
        <w:rPr>
          <w:iCs/>
          <w:spacing w:val="-4"/>
          <w:szCs w:val="22"/>
        </w:rPr>
        <w:t>imidazolové</w:t>
      </w:r>
      <w:proofErr w:type="spellEnd"/>
      <w:r>
        <w:rPr>
          <w:iCs/>
          <w:spacing w:val="-4"/>
          <w:szCs w:val="22"/>
        </w:rPr>
        <w:t xml:space="preserve"> antimykotiká (napr. </w:t>
      </w:r>
      <w:proofErr w:type="spellStart"/>
      <w:r>
        <w:rPr>
          <w:iCs/>
          <w:spacing w:val="-4"/>
          <w:szCs w:val="22"/>
        </w:rPr>
        <w:t>ekonazol</w:t>
      </w:r>
      <w:proofErr w:type="spellEnd"/>
      <w:r>
        <w:rPr>
          <w:iCs/>
          <w:spacing w:val="-4"/>
          <w:szCs w:val="22"/>
        </w:rPr>
        <w:t xml:space="preserve">, </w:t>
      </w:r>
      <w:proofErr w:type="spellStart"/>
      <w:r>
        <w:rPr>
          <w:iCs/>
          <w:spacing w:val="-4"/>
          <w:szCs w:val="22"/>
        </w:rPr>
        <w:t>klotrimazol</w:t>
      </w:r>
      <w:proofErr w:type="spellEnd"/>
      <w:r>
        <w:rPr>
          <w:iCs/>
          <w:spacing w:val="-4"/>
          <w:szCs w:val="22"/>
        </w:rPr>
        <w:t xml:space="preserve">, </w:t>
      </w:r>
      <w:proofErr w:type="spellStart"/>
      <w:r>
        <w:rPr>
          <w:iCs/>
          <w:spacing w:val="-4"/>
          <w:szCs w:val="22"/>
        </w:rPr>
        <w:t>mikonazol</w:t>
      </w:r>
      <w:proofErr w:type="spellEnd"/>
      <w:r>
        <w:rPr>
          <w:iCs/>
          <w:spacing w:val="-4"/>
          <w:szCs w:val="22"/>
        </w:rPr>
        <w:t xml:space="preserve">), lieky s obsahom </w:t>
      </w:r>
      <w:proofErr w:type="spellStart"/>
      <w:r>
        <w:rPr>
          <w:iCs/>
          <w:spacing w:val="-4"/>
          <w:szCs w:val="22"/>
        </w:rPr>
        <w:t>bifonazolu</w:t>
      </w:r>
      <w:proofErr w:type="spellEnd"/>
      <w:r>
        <w:rPr>
          <w:iCs/>
          <w:spacing w:val="-4"/>
          <w:szCs w:val="22"/>
        </w:rPr>
        <w:t xml:space="preserve"> musíte používať opatrne.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bCs/>
        </w:rPr>
      </w:pPr>
      <w:r>
        <w:rPr>
          <w:b/>
          <w:bCs/>
        </w:rPr>
        <w:t>Deti</w:t>
      </w:r>
    </w:p>
    <w:p w:rsidR="00097A74" w:rsidRPr="00EC5702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FD7BA4">
        <w:rPr>
          <w:szCs w:val="22"/>
        </w:rPr>
        <w:t>U</w:t>
      </w:r>
      <w:r>
        <w:rPr>
          <w:szCs w:val="22"/>
        </w:rPr>
        <w:t> </w:t>
      </w:r>
      <w:r w:rsidRPr="00FD7BA4">
        <w:rPr>
          <w:szCs w:val="22"/>
        </w:rPr>
        <w:t>dojčiat</w:t>
      </w:r>
      <w:r>
        <w:rPr>
          <w:szCs w:val="22"/>
        </w:rPr>
        <w:t xml:space="preserve"> a detí do 3 rokov</w:t>
      </w:r>
      <w:r w:rsidRPr="00FD7BA4">
        <w:rPr>
          <w:szCs w:val="22"/>
        </w:rPr>
        <w:t xml:space="preserve"> sa </w:t>
      </w: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</w:t>
      </w:r>
      <w:r w:rsidRPr="00FD7BA4">
        <w:rPr>
          <w:szCs w:val="22"/>
        </w:rPr>
        <w:t xml:space="preserve"> môže podávať len pod lekárskym dohľad</w:t>
      </w:r>
      <w:r>
        <w:rPr>
          <w:szCs w:val="22"/>
        </w:rPr>
        <w:t>om</w:t>
      </w:r>
      <w:r>
        <w:t xml:space="preserve">.  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b/>
          <w:noProof/>
          <w:szCs w:val="22"/>
        </w:rPr>
        <w:lastRenderedPageBreak/>
        <w:t>Iné lieky</w:t>
      </w:r>
      <w:r>
        <w:rPr>
          <w:b/>
          <w:noProof/>
          <w:szCs w:val="22"/>
        </w:rPr>
        <w:t xml:space="preserve"> a Canespor sada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Ak </w:t>
      </w:r>
      <w:r>
        <w:rPr>
          <w:noProof/>
          <w:szCs w:val="22"/>
        </w:rPr>
        <w:t xml:space="preserve">teraz </w:t>
      </w:r>
      <w:r w:rsidRPr="00967D26">
        <w:rPr>
          <w:noProof/>
          <w:szCs w:val="22"/>
        </w:rPr>
        <w:t xml:space="preserve">používate alebo ste v poslednom čase používali, </w:t>
      </w:r>
      <w:r>
        <w:rPr>
          <w:noProof/>
          <w:szCs w:val="22"/>
        </w:rPr>
        <w:t>či práve</w:t>
      </w:r>
      <w:r w:rsidRPr="00967D26">
        <w:rPr>
          <w:noProof/>
          <w:szCs w:val="22"/>
        </w:rPr>
        <w:t xml:space="preserve"> budete používať</w:t>
      </w:r>
      <w:r w:rsidRPr="00967D26">
        <w:rPr>
          <w:b/>
          <w:i/>
          <w:noProof/>
          <w:szCs w:val="22"/>
        </w:rPr>
        <w:t xml:space="preserve"> </w:t>
      </w:r>
      <w:r w:rsidRPr="00967D26">
        <w:rPr>
          <w:noProof/>
          <w:szCs w:val="22"/>
        </w:rPr>
        <w:t>ďa</w:t>
      </w:r>
      <w:r>
        <w:rPr>
          <w:noProof/>
          <w:szCs w:val="22"/>
        </w:rPr>
        <w:t>lšie lieky, povedzte to svojmu lekárovi alebo lekárnikovi.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Pr="00FD7BA4" w:rsidRDefault="00097A74" w:rsidP="00B70C8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jc w:val="both"/>
        <w:rPr>
          <w:b/>
          <w:szCs w:val="22"/>
        </w:rPr>
      </w:pPr>
      <w:r w:rsidRPr="00F92DBD">
        <w:rPr>
          <w:szCs w:val="22"/>
        </w:rPr>
        <w:t xml:space="preserve">Ak užívate </w:t>
      </w:r>
      <w:proofErr w:type="spellStart"/>
      <w:r w:rsidRPr="00F92DBD">
        <w:rPr>
          <w:szCs w:val="22"/>
        </w:rPr>
        <w:t>warfarín</w:t>
      </w:r>
      <w:proofErr w:type="spellEnd"/>
      <w:r w:rsidRPr="00F92DBD">
        <w:rPr>
          <w:szCs w:val="22"/>
        </w:rPr>
        <w:t xml:space="preserve">, poraďte sa o používaní lieku </w:t>
      </w:r>
      <w:proofErr w:type="spellStart"/>
      <w:r w:rsidRPr="00F92DBD">
        <w:rPr>
          <w:szCs w:val="22"/>
        </w:rPr>
        <w:t>Canespor</w:t>
      </w:r>
      <w:proofErr w:type="spellEnd"/>
      <w:r w:rsidRPr="00F92DBD"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</w:t>
      </w:r>
      <w:r w:rsidRPr="00F92DBD">
        <w:rPr>
          <w:szCs w:val="22"/>
        </w:rPr>
        <w:t xml:space="preserve"> so svojím lekárom.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jc w:val="both"/>
        <w:rPr>
          <w:b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 a dojčenie</w:t>
      </w:r>
    </w:p>
    <w:p w:rsidR="00097A74" w:rsidRDefault="00097A74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>
        <w:rPr>
          <w:noProof/>
          <w:szCs w:val="22"/>
        </w:rPr>
        <w:t>po</w:t>
      </w:r>
      <w:r w:rsidRPr="00967D26">
        <w:rPr>
          <w:noProof/>
          <w:szCs w:val="22"/>
        </w:rPr>
        <w:t>užívať tento liek.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vozidla a obsluha strojov</w:t>
      </w:r>
    </w:p>
    <w:p w:rsidR="00097A74" w:rsidRPr="00E97E28" w:rsidRDefault="00097A74" w:rsidP="00E253B8">
      <w:pPr>
        <w:ind w:left="0" w:firstLine="0"/>
        <w:rPr>
          <w:szCs w:val="22"/>
        </w:rPr>
      </w:pPr>
      <w:r w:rsidRPr="00E97E28">
        <w:rPr>
          <w:noProof/>
          <w:szCs w:val="22"/>
        </w:rPr>
        <w:t xml:space="preserve">Canespor </w:t>
      </w:r>
      <w:r>
        <w:rPr>
          <w:noProof/>
          <w:szCs w:val="22"/>
        </w:rPr>
        <w:t>sada na nechty</w:t>
      </w:r>
      <w:r w:rsidRPr="00E97E28">
        <w:rPr>
          <w:noProof/>
          <w:szCs w:val="22"/>
        </w:rPr>
        <w:t xml:space="preserve"> nemá žiadny </w:t>
      </w:r>
      <w:r>
        <w:rPr>
          <w:noProof/>
          <w:szCs w:val="22"/>
        </w:rPr>
        <w:t xml:space="preserve">alebo má zanedbateľný </w:t>
      </w:r>
      <w:r w:rsidRPr="00E97E28">
        <w:rPr>
          <w:noProof/>
          <w:szCs w:val="22"/>
        </w:rPr>
        <w:t>vplyv na schopnosť viesť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vozidlá a</w:t>
      </w:r>
      <w:r>
        <w:rPr>
          <w:noProof/>
          <w:szCs w:val="22"/>
        </w:rPr>
        <w:t> </w:t>
      </w:r>
      <w:r w:rsidRPr="00E97E28">
        <w:rPr>
          <w:noProof/>
          <w:szCs w:val="22"/>
        </w:rPr>
        <w:t>obsluhovať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stroje.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Canespor sada na nechty </w:t>
      </w:r>
      <w:r w:rsidRPr="00967D26">
        <w:rPr>
          <w:b/>
          <w:szCs w:val="22"/>
        </w:rPr>
        <w:t>obsahuje</w:t>
      </w:r>
      <w:r>
        <w:rPr>
          <w:b/>
          <w:szCs w:val="22"/>
        </w:rPr>
        <w:t xml:space="preserve"> lanolín.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iCs/>
          <w:spacing w:val="-4"/>
          <w:szCs w:val="22"/>
        </w:rPr>
      </w:pPr>
      <w:r>
        <w:rPr>
          <w:bCs/>
        </w:rPr>
        <w:t xml:space="preserve">Lanolín môže spôsobiť miestne kožné reakcie (napr. kontaktnú dermatitídu - </w:t>
      </w:r>
      <w:r>
        <w:rPr>
          <w:iCs/>
          <w:spacing w:val="-4"/>
          <w:szCs w:val="22"/>
        </w:rPr>
        <w:t xml:space="preserve">zápal kože 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Cs/>
        </w:rPr>
      </w:pPr>
      <w:r>
        <w:rPr>
          <w:iCs/>
          <w:spacing w:val="-4"/>
          <w:szCs w:val="22"/>
        </w:rPr>
        <w:t>spôsobený podaním masti</w:t>
      </w:r>
      <w:r>
        <w:rPr>
          <w:bCs/>
        </w:rPr>
        <w:t>).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Ako používať</w:t>
      </w:r>
      <w:r>
        <w:rPr>
          <w:b/>
          <w:noProof/>
          <w:szCs w:val="22"/>
        </w:rPr>
        <w:t xml:space="preserve">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Vždy </w:t>
      </w:r>
      <w:r>
        <w:rPr>
          <w:noProof/>
          <w:szCs w:val="22"/>
        </w:rPr>
        <w:t>po</w:t>
      </w:r>
      <w:r>
        <w:rPr>
          <w:bCs/>
          <w:noProof/>
          <w:szCs w:val="22"/>
        </w:rPr>
        <w:t>užívajte tento liek presne tak, ako je to uvedené v tejto písomnej informácii pre používateľa alebo ako vám povedal váš lekár alebo lekárnik. Ak si nie ste niečím istý, overte si to u svojho lekára alebo lekárnika.</w:t>
      </w:r>
    </w:p>
    <w:p w:rsidR="00097A74" w:rsidRDefault="00097A74">
      <w:pPr>
        <w:ind w:left="0" w:firstLine="0"/>
        <w:rPr>
          <w:bCs/>
          <w:noProof/>
          <w:szCs w:val="22"/>
        </w:rPr>
      </w:pPr>
    </w:p>
    <w:p w:rsidR="00097A74" w:rsidRDefault="00097A74">
      <w:pPr>
        <w:pStyle w:val="Nadpis1"/>
      </w:pPr>
      <w:r>
        <w:t>Spôsob podávania</w:t>
      </w:r>
    </w:p>
    <w:p w:rsidR="00097A74" w:rsidRDefault="00097A74">
      <w:pPr>
        <w:ind w:left="0" w:firstLine="0"/>
      </w:pPr>
      <w:r>
        <w:t xml:space="preserve">Z tuby </w:t>
      </w:r>
      <w:r>
        <w:rPr>
          <w:u w:val="single"/>
        </w:rPr>
        <w:t>jedenkrát denne</w:t>
      </w:r>
      <w:r>
        <w:t xml:space="preserve"> nanesiete na postihnutý necht toľko masti, aby pokrývala v tenkej vrstve celú nechtovú plochu. Potom liečené nechty na ruke alebo nohe prikryte náplasťou. Náplasť možno bude potrebné rozdeliť na polovicu v závislosti od veľkosti nechtu. Aby sa zabezpečilo zachovanie priľnavosti náplasti, presvedčte sa, že v mieste aplikácie priľnavej vrstvy sa na koži nenachádza žiadna masť. Okrem toho sa vyhnite kontaktu s priľnavou vrstvou náplastí prstami.  </w:t>
      </w:r>
    </w:p>
    <w:p w:rsidR="00097A74" w:rsidRDefault="00097A74">
      <w:pPr>
        <w:ind w:left="0" w:firstLine="0"/>
      </w:pPr>
      <w:r>
        <w:t xml:space="preserve">Po 24 hodinách odstráňte náplasť a namočte postihnuté prsty na rukách alebo nohách asi na 10 minút do teplej vody. Potom opatrne odstráňte zmäknutú časť postihnutého nechtu priloženou škrabkou. Nakoniec dôkladne osušte liečené nechty a znovu naneste masť rovnakým spôsobom ako je už popísané a prikryte opäť náplasťou. </w:t>
      </w:r>
    </w:p>
    <w:p w:rsidR="00097A74" w:rsidRDefault="00097A74">
      <w:pPr>
        <w:ind w:left="0" w:firstLine="0"/>
      </w:pPr>
    </w:p>
    <w:p w:rsidR="00097A74" w:rsidRDefault="00097A74">
      <w:pPr>
        <w:ind w:left="0" w:firstLine="0"/>
      </w:pPr>
      <w:r>
        <w:t xml:space="preserve">Prikrytie kože okolo nechtu nie je zvyčajne potrebné. Ak sa však vo výnimočných prípadoch vyskytne podráždenie, na kožu okolo nechtu sa má naniesť napr. zinková pasta. </w:t>
      </w:r>
    </w:p>
    <w:p w:rsidR="00097A74" w:rsidRDefault="00097A74" w:rsidP="00B14906">
      <w:pPr>
        <w:pStyle w:val="Nadpis1"/>
      </w:pPr>
    </w:p>
    <w:p w:rsidR="00097A74" w:rsidRDefault="00097A74">
      <w:pPr>
        <w:pStyle w:val="Nadpis1"/>
        <w:rPr>
          <w:bCs/>
          <w:noProof w:val="0"/>
          <w:szCs w:val="24"/>
        </w:rPr>
      </w:pPr>
      <w:r>
        <w:rPr>
          <w:bCs/>
          <w:noProof w:val="0"/>
          <w:szCs w:val="24"/>
        </w:rPr>
        <w:t>Dĺžka používania</w:t>
      </w:r>
    </w:p>
    <w:p w:rsidR="00097A74" w:rsidRDefault="00097A74">
      <w:pPr>
        <w:ind w:left="0" w:firstLine="0"/>
      </w:pPr>
      <w:r>
        <w:t xml:space="preserve">Liečba sa musí denne opakovať, a to tak dlho, kým sa neodstráni celý postihnutý necht a nechtové lôžko nie je hladké. Masť pôsobí iba na postihnuté nechtové tkanivo, zdravé tkanivo nie je ovplyvnené. Podľa závažnosti infekcie a hrúbky nechtu trvá liečba zvyčajne 7 až 14 dní. </w:t>
      </w:r>
    </w:p>
    <w:p w:rsidR="00097A74" w:rsidRDefault="00097A74">
      <w:pPr>
        <w:ind w:left="0" w:firstLine="0"/>
      </w:pPr>
      <w:r>
        <w:t>Po odstránení nechtu sa má systematicky pokračovať asi 4 týždne v </w:t>
      </w:r>
      <w:proofErr w:type="spellStart"/>
      <w:r>
        <w:t>antimykotickej</w:t>
      </w:r>
      <w:proofErr w:type="spellEnd"/>
      <w:r>
        <w:t xml:space="preserve"> (protiplesňovej)  liečbe liekom </w:t>
      </w:r>
      <w:proofErr w:type="spellStart"/>
      <w:r>
        <w:t>Canespor</w:t>
      </w:r>
      <w:proofErr w:type="spellEnd"/>
      <w:r>
        <w:t xml:space="preserve"> krém. </w:t>
      </w:r>
    </w:p>
    <w:p w:rsidR="00097A74" w:rsidRDefault="00097A74">
      <w:pPr>
        <w:ind w:left="0" w:firstLine="0"/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sa neodstránia všetky postihnuté časti nechtu a nechtové lôžko nie je hladké po 7 až 14 dňoch liečby, kontaktujte svojho lekára.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Čo ešte musíte robiť?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Denne si vymieňajte uterák a jednotlivé časti odevu, ktoré prichádzajú do kontaktu s postihnutými miestami. Toto opatrenie zabráni rozšíreniu plesňovej infekcie na iné časti vášho tela alebo na iných ľudí.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Iné upozornenie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lastRenderedPageBreak/>
        <w:t xml:space="preserve">Náplasti, ktoré sa dodávajú s liekom </w:t>
      </w: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nechty, nie sú komerčne dostupné (bežne dostupné na trhu). Ak na liečbu nepostačujú náplasti zo súpravy, možno použiť inú vodovzdornú náplasť, ktorú podľa potreby možno upraviť pristrihnutím.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Ak použijete viac Canespor sady na nechty, ako máte</w:t>
      </w:r>
    </w:p>
    <w:p w:rsidR="00097A74" w:rsidRDefault="00097A7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Liek </w:t>
      </w: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 je určený na vonkajšie použitie. P</w:t>
      </w:r>
      <w:r w:rsidRPr="00FD7BA4">
        <w:rPr>
          <w:szCs w:val="22"/>
        </w:rPr>
        <w:t>redávkovani</w:t>
      </w:r>
      <w:r>
        <w:rPr>
          <w:szCs w:val="22"/>
        </w:rPr>
        <w:t>e je pri správnom podávaní nepravdepodobné</w:t>
      </w:r>
      <w:r w:rsidRPr="00FD7BA4">
        <w:rPr>
          <w:szCs w:val="22"/>
        </w:rPr>
        <w:t>.</w:t>
      </w:r>
      <w:r>
        <w:rPr>
          <w:szCs w:val="22"/>
        </w:rPr>
        <w:t xml:space="preserve"> V prípade neúmyselného požitia tohto lieku kontaktujte ihneď svojho lekára.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Ak zabudnete použiť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Nepoužívajte dvojnásobnú dávku, aby ste nahradili vynechanú dávku. Liečbu neukončite skôr, ako sa odporúča v tejto písomnej informácii pre používateľa, pretože sa infekcia môže vrátiť.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akékoľvek ďalšie otázky týkajúce sa použitia tohto lieku, </w:t>
      </w:r>
      <w:r w:rsidRPr="003C282E">
        <w:rPr>
          <w:szCs w:val="22"/>
        </w:rPr>
        <w:t>opýtajte sa svojho lekára alebo lekárnika</w:t>
      </w:r>
      <w:r>
        <w:rPr>
          <w:noProof/>
          <w:szCs w:val="22"/>
        </w:rPr>
        <w:t>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Možné vedľajšie účinky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>Tak ako všetky lieky, aj tento liek môže spôsobovať vedľajšie účinky, hoci sa neprejavia u každého.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iCs/>
          <w:spacing w:val="-4"/>
          <w:szCs w:val="22"/>
        </w:rPr>
        <w:t xml:space="preserve">• </w:t>
      </w:r>
      <w:r>
        <w:rPr>
          <w:b/>
          <w:bCs/>
          <w:szCs w:val="22"/>
        </w:rPr>
        <w:t xml:space="preserve">Poruchy kože a podkožného tkaniva 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 xml:space="preserve">Kontaktná dermatitída (zápal kože spôsobený podaním masti), odlupovanie kože, </w:t>
      </w:r>
      <w:r>
        <w:t>šúpanie</w:t>
      </w:r>
      <w:r>
        <w:rPr>
          <w:iCs/>
          <w:spacing w:val="-4"/>
          <w:szCs w:val="22"/>
        </w:rPr>
        <w:t xml:space="preserve">, ochorenia </w:t>
      </w:r>
    </w:p>
    <w:p w:rsidR="00097A74" w:rsidRDefault="00097A74" w:rsidP="00183BED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>nechtov, zmena farby nechtov, sčervenenie, podráždenie kože, bolesť v mieste aplikácie, bolesť končatín, svrbenie, vyrážka.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97A74" w:rsidRDefault="00097A74">
      <w:pPr>
        <w:pStyle w:val="GlobalBayerBodyTextCharChar"/>
        <w:spacing w:before="0" w:after="0"/>
        <w:rPr>
          <w:rFonts w:ascii="Times New Roman" w:hAnsi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 w:eastAsia="en-US"/>
        </w:rPr>
        <w:t xml:space="preserve">Tieto vedľajšie účinky po ukončení liečby samovoľne vymiznú. 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noProof/>
        </w:rPr>
      </w:pPr>
      <w:r>
        <w:t xml:space="preserve"> </w:t>
      </w:r>
    </w:p>
    <w:p w:rsidR="00097A74" w:rsidRPr="00967D26" w:rsidRDefault="00097A74" w:rsidP="005B610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:rsidR="00097A74" w:rsidRDefault="00097A74" w:rsidP="005B610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967D26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lekárnika.</w:t>
      </w:r>
      <w:r w:rsidRPr="00A505E4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 pre používateľa.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</w:t>
      </w:r>
      <w:r w:rsidRPr="005B6107">
        <w:rPr>
          <w:noProof/>
          <w:szCs w:val="22"/>
          <w:highlight w:val="lightGray"/>
        </w:rPr>
        <w:t xml:space="preserve"> v </w:t>
      </w:r>
      <w:hyperlink r:id="rId7" w:history="1">
        <w:r w:rsidRPr="009B14AF">
          <w:rPr>
            <w:rStyle w:val="Hypertextovprepojenie"/>
            <w:noProof/>
            <w:color w:val="000000"/>
            <w:szCs w:val="22"/>
            <w:highlight w:val="lightGray"/>
          </w:rPr>
          <w:t>P</w:t>
        </w:r>
        <w:proofErr w:type="spellStart"/>
        <w:r w:rsidRPr="009B14AF">
          <w:rPr>
            <w:rStyle w:val="Hypertextovprepojenie"/>
            <w:color w:val="000000"/>
            <w:highlight w:val="lightGray"/>
          </w:rPr>
          <w:t>rílohe</w:t>
        </w:r>
        <w:proofErr w:type="spellEnd"/>
        <w:r w:rsidRPr="009B14AF">
          <w:rPr>
            <w:rStyle w:val="Hypertextovprepojenie"/>
            <w:color w:val="000000"/>
            <w:highlight w:val="lightGray"/>
          </w:rPr>
          <w:t xml:space="preserve"> V</w:t>
        </w:r>
      </w:hyperlink>
      <w:r w:rsidRPr="009B14AF">
        <w:rPr>
          <w:noProof/>
          <w:color w:val="000000"/>
          <w:szCs w:val="22"/>
        </w:rPr>
        <w:t>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Ako uchovávať</w:t>
      </w:r>
      <w:r>
        <w:rPr>
          <w:b/>
          <w:noProof/>
          <w:szCs w:val="22"/>
        </w:rPr>
        <w:t xml:space="preserve">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i/>
          <w:noProof/>
          <w:color w:val="008000"/>
        </w:rPr>
      </w:pPr>
    </w:p>
    <w:p w:rsidR="00097A74" w:rsidRPr="00A505E4" w:rsidRDefault="00097A74" w:rsidP="005B6107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bookmarkStart w:id="1" w:name="_Hlk22814654"/>
      <w:r>
        <w:rPr>
          <w:szCs w:val="22"/>
        </w:rPr>
        <w:t xml:space="preserve">Uchovávajte pri teplote do </w:t>
      </w:r>
      <w:r w:rsidR="00757BD1">
        <w:rPr>
          <w:szCs w:val="22"/>
        </w:rPr>
        <w:t>30</w:t>
      </w:r>
      <w:r>
        <w:rPr>
          <w:szCs w:val="22"/>
        </w:rPr>
        <w:t xml:space="preserve"> °C.</w:t>
      </w:r>
    </w:p>
    <w:p w:rsidR="00B9352B" w:rsidRPr="00B95022" w:rsidRDefault="00B9352B" w:rsidP="00B9352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>
        <w:rPr>
          <w:szCs w:val="22"/>
        </w:rPr>
        <w:t>Po prvom otvorení spotrebujte masť do 3 mesiacov.</w:t>
      </w:r>
    </w:p>
    <w:bookmarkEnd w:id="1"/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Nepoužívajte tento liek po dátume exspirácie, ktorý je uvedený na škatuli po EXP (skratka používaná pre dátum exspirácie). Dátum exspirácie sa vzťahuje na posledný deň v danom mesiaci.</w:t>
      </w:r>
    </w:p>
    <w:p w:rsidR="00097A74" w:rsidRDefault="00097A74">
      <w:pPr>
        <w:numPr>
          <w:ilvl w:val="12"/>
          <w:numId w:val="0"/>
        </w:numPr>
        <w:ind w:right="-2"/>
        <w:rPr>
          <w:i/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Nepoužívajte tento liek, ak spozorujete viditeľné prejavy poškodenia lieku.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 w:rsidRPr="00967D26">
        <w:rPr>
          <w:noProof/>
          <w:szCs w:val="22"/>
        </w:rPr>
        <w:t>Nelikvidujte lieky odpadovou vodou alebo domovým odpadom.</w:t>
      </w:r>
      <w:r w:rsidRPr="00A505E4">
        <w:t xml:space="preserve"> </w:t>
      </w:r>
      <w:r w:rsidRPr="00967D26">
        <w:rPr>
          <w:noProof/>
          <w:szCs w:val="22"/>
        </w:rPr>
        <w:t>Nepoužitý liek vráťte do lekárne.</w:t>
      </w:r>
      <w:r w:rsidRPr="00A505E4">
        <w:t xml:space="preserve"> </w:t>
      </w:r>
      <w:r w:rsidRPr="00967D26">
        <w:rPr>
          <w:noProof/>
          <w:szCs w:val="22"/>
        </w:rPr>
        <w:t>Tieto opatrenia pomôžu chrániť životné prostredie</w:t>
      </w:r>
      <w:r>
        <w:rPr>
          <w:noProof/>
          <w:szCs w:val="22"/>
        </w:rPr>
        <w:t>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Obsah balenia a ďalšie informácie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Čo Canespor sada na nechty obsahuje</w:t>
      </w:r>
    </w:p>
    <w:p w:rsidR="00097A74" w:rsidRDefault="00097A74" w:rsidP="00183BED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szCs w:val="20"/>
          <w:lang w:eastAsia="en-US"/>
        </w:rPr>
      </w:pPr>
      <w:r>
        <w:rPr>
          <w:noProof/>
          <w:szCs w:val="22"/>
        </w:rPr>
        <w:t xml:space="preserve">Liečivá sú bifonazol a močovina. </w:t>
      </w:r>
      <w:r>
        <w:t xml:space="preserve">1 g masti obsahuje 10 mg </w:t>
      </w:r>
      <w:proofErr w:type="spellStart"/>
      <w:r>
        <w:t>bifonazolu</w:t>
      </w:r>
      <w:proofErr w:type="spellEnd"/>
      <w:r>
        <w:t xml:space="preserve"> a  400 mg močoviny.</w:t>
      </w:r>
    </w:p>
    <w:p w:rsidR="00097A74" w:rsidRDefault="00097A74" w:rsidP="00183BED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szCs w:val="20"/>
          <w:lang w:eastAsia="en-US"/>
        </w:rPr>
      </w:pPr>
      <w:r>
        <w:rPr>
          <w:noProof/>
          <w:szCs w:val="22"/>
        </w:rPr>
        <w:lastRenderedPageBreak/>
        <w:t>Ďalšie zložky sú l</w:t>
      </w:r>
      <w:proofErr w:type="spellStart"/>
      <w:r>
        <w:t>anolín</w:t>
      </w:r>
      <w:proofErr w:type="spellEnd"/>
      <w:r>
        <w:t>, biely vosk, biela vazelína.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Ako vyzerá Canespor sada na nechty a obsah balenia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 je </w:t>
      </w:r>
      <w:r>
        <w:t>žltkastá homogénna masť</w:t>
      </w:r>
      <w:r>
        <w:rPr>
          <w:szCs w:val="22"/>
        </w:rPr>
        <w:t>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  <w:r>
        <w:rPr>
          <w:szCs w:val="22"/>
        </w:rPr>
        <w:t xml:space="preserve">Veľkosť balenia: </w:t>
      </w:r>
      <w:r>
        <w:t>10 g masti.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  <w:r>
        <w:t>Vo veľkej papierovej škatuľke je dostupná: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hliníková tuba s masťou, 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 prúžkov vodovzdornej náplasti,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 škrabka na nechty.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 w:rsidP="00835B3D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 a výrobca</w:t>
      </w:r>
    </w:p>
    <w:p w:rsidR="00097A74" w:rsidRDefault="00097A74" w:rsidP="00835B3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 </w:t>
      </w:r>
    </w:p>
    <w:p w:rsidR="00097A74" w:rsidRDefault="00097A74" w:rsidP="00E56C9E">
      <w:pPr>
        <w:rPr>
          <w:color w:val="000000"/>
          <w:szCs w:val="22"/>
        </w:rPr>
      </w:pPr>
      <w:r>
        <w:rPr>
          <w:color w:val="000000"/>
          <w:szCs w:val="22"/>
        </w:rPr>
        <w:t xml:space="preserve">Bayer, spol. s </w:t>
      </w:r>
      <w:proofErr w:type="spellStart"/>
      <w:r>
        <w:rPr>
          <w:color w:val="000000"/>
          <w:szCs w:val="22"/>
        </w:rPr>
        <w:t>r.o</w:t>
      </w:r>
      <w:proofErr w:type="spellEnd"/>
      <w:r>
        <w:rPr>
          <w:color w:val="000000"/>
          <w:szCs w:val="22"/>
        </w:rPr>
        <w:t>.</w:t>
      </w:r>
    </w:p>
    <w:p w:rsidR="00097A74" w:rsidRDefault="00097A74" w:rsidP="003F215C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t>Karadžičova</w:t>
      </w:r>
      <w:proofErr w:type="spellEnd"/>
      <w:r w:rsidRPr="00E97C56">
        <w:rPr>
          <w:bCs/>
          <w:szCs w:val="22"/>
        </w:rPr>
        <w:t xml:space="preserve"> 2</w:t>
      </w:r>
    </w:p>
    <w:p w:rsidR="00097A74" w:rsidRDefault="00097A74" w:rsidP="00E56C9E">
      <w:pPr>
        <w:rPr>
          <w:color w:val="000000"/>
          <w:szCs w:val="22"/>
          <w:lang w:val="sv-SE"/>
        </w:rPr>
      </w:pPr>
      <w:r w:rsidRPr="00E97C56">
        <w:rPr>
          <w:bCs/>
          <w:szCs w:val="22"/>
        </w:rPr>
        <w:t>811 09 Bratislava</w:t>
      </w:r>
    </w:p>
    <w:p w:rsidR="00097A74" w:rsidRDefault="00097A74" w:rsidP="00E56C9E">
      <w:pPr>
        <w:rPr>
          <w:color w:val="000000"/>
          <w:szCs w:val="22"/>
          <w:lang w:val="pt-PT"/>
        </w:rPr>
      </w:pPr>
      <w:r>
        <w:rPr>
          <w:color w:val="000000"/>
          <w:szCs w:val="22"/>
          <w:lang w:val="sv-SE"/>
        </w:rPr>
        <w:t>Slovenská republika</w:t>
      </w:r>
      <w:r>
        <w:rPr>
          <w:color w:val="000000"/>
          <w:szCs w:val="22"/>
          <w:lang w:val="pt-PT"/>
        </w:rPr>
        <w:t xml:space="preserve">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ind w:right="-449"/>
        <w:rPr>
          <w:b/>
          <w:noProof/>
          <w:szCs w:val="22"/>
        </w:rPr>
      </w:pPr>
      <w:r w:rsidRPr="00183BED">
        <w:rPr>
          <w:b/>
          <w:noProof/>
          <w:szCs w:val="22"/>
        </w:rPr>
        <w:t>Výrobca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>Kern Pharma S.L.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proofErr w:type="spellStart"/>
      <w:r w:rsidRPr="00183BED">
        <w:rPr>
          <w:szCs w:val="22"/>
          <w:lang w:val="en-US" w:eastAsia="en-US"/>
        </w:rPr>
        <w:t>Poligono</w:t>
      </w:r>
      <w:proofErr w:type="spellEnd"/>
      <w:r w:rsidRPr="00183BED">
        <w:rPr>
          <w:szCs w:val="22"/>
          <w:lang w:val="en-US" w:eastAsia="en-US"/>
        </w:rPr>
        <w:t xml:space="preserve"> industrial Colon II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>Venus, 72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>08228 Terrassa (Barcelona)</w:t>
      </w:r>
    </w:p>
    <w:p w:rsidR="00097A74" w:rsidRDefault="00097A74" w:rsidP="005954C6">
      <w:pPr>
        <w:ind w:right="-449"/>
        <w:rPr>
          <w:szCs w:val="22"/>
          <w:lang w:val="en-US" w:eastAsia="en-US"/>
        </w:rPr>
      </w:pPr>
      <w:proofErr w:type="spellStart"/>
      <w:r>
        <w:rPr>
          <w:szCs w:val="22"/>
          <w:lang w:val="en-US" w:eastAsia="en-US"/>
        </w:rPr>
        <w:t>Španielsko</w:t>
      </w:r>
      <w:proofErr w:type="spellEnd"/>
    </w:p>
    <w:p w:rsidR="00EE0EFB" w:rsidRDefault="00EE0EFB" w:rsidP="005954C6">
      <w:pPr>
        <w:ind w:right="-449"/>
        <w:rPr>
          <w:szCs w:val="22"/>
          <w:lang w:val="en-US" w:eastAsia="en-US"/>
        </w:rPr>
      </w:pPr>
    </w:p>
    <w:p w:rsidR="00EE0EFB" w:rsidRPr="002A1C07" w:rsidRDefault="00EE0EFB" w:rsidP="00EE0EFB">
      <w:pPr>
        <w:rPr>
          <w:color w:val="000000"/>
          <w:szCs w:val="22"/>
          <w:highlight w:val="lightGray"/>
          <w:lang w:val="pt-PT"/>
        </w:rPr>
      </w:pPr>
      <w:r w:rsidRPr="002A1C07">
        <w:rPr>
          <w:color w:val="000000"/>
          <w:szCs w:val="22"/>
          <w:highlight w:val="lightGray"/>
          <w:lang w:val="pt-PT"/>
        </w:rPr>
        <w:t>GP Grenzach Produktions GmbH</w:t>
      </w:r>
    </w:p>
    <w:p w:rsidR="00EE0EFB" w:rsidRPr="002A1C07" w:rsidRDefault="00EE0EFB" w:rsidP="00EE0EFB">
      <w:pPr>
        <w:rPr>
          <w:color w:val="000000"/>
          <w:szCs w:val="22"/>
          <w:highlight w:val="lightGray"/>
          <w:lang w:val="pt-PT"/>
        </w:rPr>
      </w:pPr>
      <w:r w:rsidRPr="002A1C07">
        <w:rPr>
          <w:color w:val="000000"/>
          <w:szCs w:val="22"/>
          <w:highlight w:val="lightGray"/>
          <w:lang w:val="pt-PT"/>
        </w:rPr>
        <w:t>Emil-Barell-Strasse 7</w:t>
      </w:r>
    </w:p>
    <w:p w:rsidR="00EE0EFB" w:rsidRPr="002A1C07" w:rsidRDefault="00EE0EFB" w:rsidP="00EE0EFB">
      <w:pPr>
        <w:rPr>
          <w:color w:val="000000"/>
          <w:szCs w:val="22"/>
          <w:highlight w:val="lightGray"/>
          <w:lang w:val="pt-PT"/>
        </w:rPr>
      </w:pPr>
      <w:r w:rsidRPr="002A1C07">
        <w:rPr>
          <w:color w:val="000000"/>
          <w:szCs w:val="22"/>
          <w:highlight w:val="lightGray"/>
          <w:lang w:val="pt-PT"/>
        </w:rPr>
        <w:t>79639 Grenzach-Wyhlen</w:t>
      </w:r>
    </w:p>
    <w:p w:rsidR="00097A74" w:rsidRDefault="00EE0EFB">
      <w:pPr>
        <w:ind w:right="-449"/>
        <w:rPr>
          <w:noProof/>
          <w:szCs w:val="22"/>
        </w:rPr>
      </w:pPr>
      <w:r w:rsidRPr="002A1C07">
        <w:rPr>
          <w:color w:val="000000"/>
          <w:szCs w:val="22"/>
          <w:highlight w:val="lightGray"/>
          <w:lang w:val="pt-PT"/>
        </w:rPr>
        <w:t>Nemecko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aktualizovaná </w:t>
      </w:r>
      <w:r w:rsidR="00F97561">
        <w:rPr>
          <w:b/>
          <w:noProof/>
          <w:szCs w:val="22"/>
        </w:rPr>
        <w:t>v júli 2020.</w:t>
      </w:r>
    </w:p>
    <w:p w:rsidR="00097A74" w:rsidRDefault="00097A74">
      <w:pPr>
        <w:ind w:right="-449"/>
        <w:rPr>
          <w:noProof/>
          <w:szCs w:val="22"/>
        </w:rPr>
      </w:pPr>
    </w:p>
    <w:p w:rsidR="00097A74" w:rsidRDefault="00097A74">
      <w:pPr>
        <w:ind w:right="-449"/>
        <w:rPr>
          <w:noProof/>
          <w:szCs w:val="22"/>
        </w:rPr>
      </w:pPr>
    </w:p>
    <w:p w:rsidR="00097A74" w:rsidRDefault="00097A74">
      <w:pPr>
        <w:rPr>
          <w:b/>
          <w:szCs w:val="22"/>
        </w:rPr>
      </w:pPr>
    </w:p>
    <w:p w:rsidR="00097A74" w:rsidRDefault="00097A74"/>
    <w:sectPr w:rsidR="00097A74" w:rsidSect="00097A7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38" w:rsidRDefault="00C10B38">
      <w:r>
        <w:separator/>
      </w:r>
    </w:p>
  </w:endnote>
  <w:endnote w:type="continuationSeparator" w:id="0">
    <w:p w:rsidR="00C10B38" w:rsidRDefault="00C1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74" w:rsidRPr="00183BED" w:rsidRDefault="00840C2D">
    <w:pPr>
      <w:pStyle w:val="Pta"/>
      <w:jc w:val="center"/>
      <w:rPr>
        <w:rFonts w:ascii="Times New Roman" w:hAnsi="Times New Roman"/>
        <w:sz w:val="18"/>
      </w:rPr>
    </w:pPr>
    <w:r w:rsidRPr="00183BED">
      <w:rPr>
        <w:rFonts w:ascii="Times New Roman" w:hAnsi="Times New Roman"/>
        <w:sz w:val="18"/>
      </w:rPr>
      <w:fldChar w:fldCharType="begin"/>
    </w:r>
    <w:r w:rsidR="00097A74" w:rsidRPr="00183BED">
      <w:rPr>
        <w:rFonts w:ascii="Times New Roman" w:hAnsi="Times New Roman"/>
        <w:sz w:val="18"/>
      </w:rPr>
      <w:instrText>PAGE   \* MERGEFORMAT</w:instrText>
    </w:r>
    <w:r w:rsidRPr="00183BED">
      <w:rPr>
        <w:rFonts w:ascii="Times New Roman" w:hAnsi="Times New Roman"/>
        <w:sz w:val="18"/>
      </w:rPr>
      <w:fldChar w:fldCharType="separate"/>
    </w:r>
    <w:r w:rsidR="00F60A48" w:rsidRPr="00F60A48">
      <w:rPr>
        <w:rFonts w:ascii="Times New Roman" w:hAnsi="Times New Roman"/>
        <w:noProof/>
        <w:sz w:val="18"/>
        <w:lang w:val="sk-SK"/>
      </w:rPr>
      <w:t>4</w:t>
    </w:r>
    <w:r w:rsidRPr="00183BED">
      <w:rPr>
        <w:rFonts w:ascii="Times New Roman" w:hAnsi="Times New Roman"/>
        <w:sz w:val="18"/>
      </w:rPr>
      <w:fldChar w:fldCharType="end"/>
    </w:r>
  </w:p>
  <w:p w:rsidR="00097A74" w:rsidRDefault="00097A74" w:rsidP="00183BED">
    <w:pPr>
      <w:pStyle w:val="Pta"/>
      <w:tabs>
        <w:tab w:val="clear" w:pos="8930"/>
        <w:tab w:val="right" w:pos="8931"/>
      </w:tabs>
      <w:ind w:right="9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74" w:rsidRDefault="00840C2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097A74">
      <w:instrText xml:space="preserve"> EQ </w:instrText>
    </w:r>
    <w:r>
      <w:fldChar w:fldCharType="end"/>
    </w:r>
    <w:r w:rsidRPr="00183BED">
      <w:rPr>
        <w:rStyle w:val="slostrany"/>
        <w:rFonts w:ascii="Times New Roman" w:hAnsi="Times New Roman"/>
        <w:sz w:val="18"/>
      </w:rPr>
      <w:fldChar w:fldCharType="begin"/>
    </w:r>
    <w:r w:rsidR="00097A74" w:rsidRPr="00183BED">
      <w:rPr>
        <w:rStyle w:val="slostrany"/>
        <w:rFonts w:ascii="Times New Roman" w:hAnsi="Times New Roman"/>
        <w:sz w:val="18"/>
      </w:rPr>
      <w:instrText xml:space="preserve">PAGE  </w:instrText>
    </w:r>
    <w:r w:rsidRPr="00183BED">
      <w:rPr>
        <w:rStyle w:val="slostrany"/>
        <w:rFonts w:ascii="Times New Roman" w:hAnsi="Times New Roman"/>
        <w:sz w:val="18"/>
      </w:rPr>
      <w:fldChar w:fldCharType="separate"/>
    </w:r>
    <w:r w:rsidR="00F60A48">
      <w:rPr>
        <w:rStyle w:val="slostrany"/>
        <w:rFonts w:ascii="Times New Roman" w:hAnsi="Times New Roman"/>
        <w:noProof/>
        <w:sz w:val="18"/>
      </w:rPr>
      <w:t>1</w:t>
    </w:r>
    <w:r w:rsidRPr="00183BED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38" w:rsidRDefault="00C10B38">
      <w:r>
        <w:separator/>
      </w:r>
    </w:p>
  </w:footnote>
  <w:footnote w:type="continuationSeparator" w:id="0">
    <w:p w:rsidR="00C10B38" w:rsidRDefault="00C1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561" w:rsidRDefault="00F97561" w:rsidP="00F97561">
    <w:pPr>
      <w:pStyle w:val="Hlavika"/>
    </w:pPr>
    <w:r>
      <w:rPr>
        <w:bCs/>
        <w:sz w:val="18"/>
        <w:szCs w:val="18"/>
      </w:rPr>
      <w:t xml:space="preserve">Príloha č.2 k notifikácii </w:t>
    </w:r>
    <w:r w:rsidRPr="00FF4BB4">
      <w:rPr>
        <w:bCs/>
        <w:sz w:val="18"/>
        <w:szCs w:val="18"/>
      </w:rPr>
      <w:t>o zmene</w:t>
    </w:r>
    <w:r w:rsidRPr="00820AFB">
      <w:rPr>
        <w:b/>
        <w:bCs/>
        <w:sz w:val="18"/>
        <w:szCs w:val="18"/>
      </w:rPr>
      <w:t xml:space="preserve">, </w:t>
    </w:r>
    <w:r w:rsidRPr="00820AFB">
      <w:rPr>
        <w:bCs/>
        <w:sz w:val="18"/>
        <w:szCs w:val="18"/>
      </w:rPr>
      <w:t>ev. č.</w:t>
    </w:r>
    <w:r>
      <w:rPr>
        <w:bCs/>
        <w:sz w:val="18"/>
        <w:szCs w:val="18"/>
      </w:rPr>
      <w:t>: 2019/06540-ZIB</w:t>
    </w:r>
  </w:p>
  <w:p w:rsidR="00F97561" w:rsidRDefault="00F97561" w:rsidP="00F97561">
    <w:pPr>
      <w:pStyle w:val="Hlavika"/>
    </w:pPr>
    <w:r>
      <w:rPr>
        <w:bCs/>
        <w:sz w:val="18"/>
        <w:szCs w:val="18"/>
      </w:rPr>
      <w:t xml:space="preserve">Príloha č.1 k notifikácii </w:t>
    </w:r>
    <w:r w:rsidRPr="00FF4BB4">
      <w:rPr>
        <w:bCs/>
        <w:sz w:val="18"/>
        <w:szCs w:val="18"/>
      </w:rPr>
      <w:t>o zmene</w:t>
    </w:r>
    <w:r w:rsidRPr="00820AFB">
      <w:rPr>
        <w:b/>
        <w:bCs/>
        <w:sz w:val="18"/>
        <w:szCs w:val="18"/>
      </w:rPr>
      <w:t xml:space="preserve">, </w:t>
    </w:r>
    <w:r w:rsidRPr="00820AFB">
      <w:rPr>
        <w:bCs/>
        <w:sz w:val="18"/>
        <w:szCs w:val="18"/>
      </w:rPr>
      <w:t>ev. č.</w:t>
    </w:r>
    <w:r>
      <w:rPr>
        <w:bCs/>
        <w:sz w:val="18"/>
        <w:szCs w:val="18"/>
      </w:rPr>
      <w:t>:</w:t>
    </w:r>
    <w:r w:rsidRPr="00EE0EFB">
      <w:t xml:space="preserve"> </w:t>
    </w:r>
    <w:r w:rsidRPr="00EE0EFB">
      <w:rPr>
        <w:bCs/>
        <w:sz w:val="18"/>
        <w:szCs w:val="18"/>
      </w:rPr>
      <w:t>2019/03265-Z1B</w:t>
    </w:r>
  </w:p>
  <w:p w:rsidR="00F97561" w:rsidRDefault="00F975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74" w:rsidRDefault="00097A74" w:rsidP="005211C8">
    <w:pPr>
      <w:pStyle w:val="Hlavika"/>
    </w:pPr>
    <w:r>
      <w:rPr>
        <w:bCs/>
        <w:sz w:val="18"/>
        <w:szCs w:val="18"/>
      </w:rPr>
      <w:t>Príloha č.</w:t>
    </w:r>
    <w:r w:rsidR="00B9352B">
      <w:rPr>
        <w:bCs/>
        <w:sz w:val="18"/>
        <w:szCs w:val="18"/>
      </w:rPr>
      <w:t>2</w:t>
    </w:r>
    <w:r>
      <w:rPr>
        <w:bCs/>
        <w:sz w:val="18"/>
        <w:szCs w:val="18"/>
      </w:rPr>
      <w:t xml:space="preserve"> k notifikácii </w:t>
    </w:r>
    <w:r w:rsidRPr="00FF4BB4">
      <w:rPr>
        <w:bCs/>
        <w:sz w:val="18"/>
        <w:szCs w:val="18"/>
      </w:rPr>
      <w:t>o zmene</w:t>
    </w:r>
    <w:r w:rsidRPr="00820AFB">
      <w:rPr>
        <w:b/>
        <w:bCs/>
        <w:sz w:val="18"/>
        <w:szCs w:val="18"/>
      </w:rPr>
      <w:t xml:space="preserve">, </w:t>
    </w:r>
    <w:r w:rsidRPr="00820AFB">
      <w:rPr>
        <w:bCs/>
        <w:sz w:val="18"/>
        <w:szCs w:val="18"/>
      </w:rPr>
      <w:t>ev. č.</w:t>
    </w:r>
    <w:r>
      <w:rPr>
        <w:bCs/>
        <w:sz w:val="18"/>
        <w:szCs w:val="18"/>
      </w:rPr>
      <w:t xml:space="preserve">: </w:t>
    </w:r>
    <w:r w:rsidR="00F97561">
      <w:rPr>
        <w:bCs/>
        <w:sz w:val="18"/>
        <w:szCs w:val="18"/>
      </w:rPr>
      <w:t>2019/06540-ZIB</w:t>
    </w:r>
  </w:p>
  <w:p w:rsidR="00097A74" w:rsidRDefault="00EE0EFB">
    <w:pPr>
      <w:pStyle w:val="Hlavika"/>
    </w:pPr>
    <w:r>
      <w:rPr>
        <w:bCs/>
        <w:sz w:val="18"/>
        <w:szCs w:val="18"/>
      </w:rPr>
      <w:t xml:space="preserve">Príloha č.1 k notifikácii </w:t>
    </w:r>
    <w:r w:rsidRPr="00FF4BB4">
      <w:rPr>
        <w:bCs/>
        <w:sz w:val="18"/>
        <w:szCs w:val="18"/>
      </w:rPr>
      <w:t>o zmene</w:t>
    </w:r>
    <w:r w:rsidRPr="00820AFB">
      <w:rPr>
        <w:b/>
        <w:bCs/>
        <w:sz w:val="18"/>
        <w:szCs w:val="18"/>
      </w:rPr>
      <w:t xml:space="preserve">, </w:t>
    </w:r>
    <w:r w:rsidRPr="00820AFB">
      <w:rPr>
        <w:bCs/>
        <w:sz w:val="18"/>
        <w:szCs w:val="18"/>
      </w:rPr>
      <w:t>ev. č.</w:t>
    </w:r>
    <w:r>
      <w:rPr>
        <w:bCs/>
        <w:sz w:val="18"/>
        <w:szCs w:val="18"/>
      </w:rPr>
      <w:t>:</w:t>
    </w:r>
    <w:r w:rsidRPr="00EE0EFB">
      <w:t xml:space="preserve"> </w:t>
    </w:r>
    <w:r w:rsidRPr="00EE0EFB">
      <w:rPr>
        <w:bCs/>
        <w:sz w:val="18"/>
        <w:szCs w:val="18"/>
      </w:rPr>
      <w:t>2019/03265-Z1B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190CD9"/>
    <w:multiLevelType w:val="singleLevel"/>
    <w:tmpl w:val="82AED5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98724AC"/>
    <w:multiLevelType w:val="hybridMultilevel"/>
    <w:tmpl w:val="4036D13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5DF09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5C864EFD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C"/>
    <w:rsid w:val="00003D15"/>
    <w:rsid w:val="0006407C"/>
    <w:rsid w:val="00064E9E"/>
    <w:rsid w:val="00080310"/>
    <w:rsid w:val="00097A74"/>
    <w:rsid w:val="000D44A3"/>
    <w:rsid w:val="001350D7"/>
    <w:rsid w:val="001554AF"/>
    <w:rsid w:val="00180043"/>
    <w:rsid w:val="00183BED"/>
    <w:rsid w:val="001A0D3C"/>
    <w:rsid w:val="001A6583"/>
    <w:rsid w:val="002034F3"/>
    <w:rsid w:val="002411CA"/>
    <w:rsid w:val="002B1FF9"/>
    <w:rsid w:val="002B650F"/>
    <w:rsid w:val="003021DE"/>
    <w:rsid w:val="003911ED"/>
    <w:rsid w:val="00394B53"/>
    <w:rsid w:val="003A0AAD"/>
    <w:rsid w:val="003C282E"/>
    <w:rsid w:val="003F215C"/>
    <w:rsid w:val="0044641F"/>
    <w:rsid w:val="0046524D"/>
    <w:rsid w:val="00476C0A"/>
    <w:rsid w:val="00496D14"/>
    <w:rsid w:val="004E6100"/>
    <w:rsid w:val="004F0190"/>
    <w:rsid w:val="005211C8"/>
    <w:rsid w:val="00540EF0"/>
    <w:rsid w:val="00586560"/>
    <w:rsid w:val="005954C6"/>
    <w:rsid w:val="005B6107"/>
    <w:rsid w:val="00603A1A"/>
    <w:rsid w:val="006148F3"/>
    <w:rsid w:val="006277A3"/>
    <w:rsid w:val="006A73CA"/>
    <w:rsid w:val="006B59E8"/>
    <w:rsid w:val="007172AE"/>
    <w:rsid w:val="0073039B"/>
    <w:rsid w:val="00753427"/>
    <w:rsid w:val="00757BD1"/>
    <w:rsid w:val="00783024"/>
    <w:rsid w:val="00790E68"/>
    <w:rsid w:val="00820AFB"/>
    <w:rsid w:val="00835B3D"/>
    <w:rsid w:val="00840C2D"/>
    <w:rsid w:val="008473A0"/>
    <w:rsid w:val="00894879"/>
    <w:rsid w:val="008C7D89"/>
    <w:rsid w:val="00925180"/>
    <w:rsid w:val="0096565A"/>
    <w:rsid w:val="00967D26"/>
    <w:rsid w:val="0098104F"/>
    <w:rsid w:val="00987D67"/>
    <w:rsid w:val="009A1EF6"/>
    <w:rsid w:val="009B14AF"/>
    <w:rsid w:val="009D4307"/>
    <w:rsid w:val="00A03795"/>
    <w:rsid w:val="00A05C81"/>
    <w:rsid w:val="00A32E7D"/>
    <w:rsid w:val="00A365A2"/>
    <w:rsid w:val="00A505E4"/>
    <w:rsid w:val="00A90752"/>
    <w:rsid w:val="00B13F68"/>
    <w:rsid w:val="00B14906"/>
    <w:rsid w:val="00B15DA1"/>
    <w:rsid w:val="00B35B14"/>
    <w:rsid w:val="00B70C84"/>
    <w:rsid w:val="00B91054"/>
    <w:rsid w:val="00B9352B"/>
    <w:rsid w:val="00BC0EDE"/>
    <w:rsid w:val="00BE1793"/>
    <w:rsid w:val="00C10B38"/>
    <w:rsid w:val="00C13ED6"/>
    <w:rsid w:val="00C51A8F"/>
    <w:rsid w:val="00C94112"/>
    <w:rsid w:val="00D510F7"/>
    <w:rsid w:val="00DA2472"/>
    <w:rsid w:val="00E253B8"/>
    <w:rsid w:val="00E56C9E"/>
    <w:rsid w:val="00E83376"/>
    <w:rsid w:val="00E97C56"/>
    <w:rsid w:val="00E97E28"/>
    <w:rsid w:val="00EA4F82"/>
    <w:rsid w:val="00EC5702"/>
    <w:rsid w:val="00ED1A20"/>
    <w:rsid w:val="00EE0EFB"/>
    <w:rsid w:val="00F033FF"/>
    <w:rsid w:val="00F05AE0"/>
    <w:rsid w:val="00F3607F"/>
    <w:rsid w:val="00F60A48"/>
    <w:rsid w:val="00F6767C"/>
    <w:rsid w:val="00F92DBD"/>
    <w:rsid w:val="00F97561"/>
    <w:rsid w:val="00F97FF2"/>
    <w:rsid w:val="00FD7BA4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2EB28B-1D94-496A-A5FB-E3AD35BF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C2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0C2D"/>
    <w:pPr>
      <w:keepNext/>
      <w:ind w:left="0" w:firstLine="0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40C2D"/>
    <w:pPr>
      <w:keepNext/>
      <w:ind w:right="-449"/>
      <w:outlineLvl w:val="1"/>
    </w:pPr>
    <w:rPr>
      <w:b/>
      <w:noProof/>
      <w:color w:val="FF0000"/>
      <w:szCs w:val="22"/>
    </w:rPr>
  </w:style>
  <w:style w:type="paragraph" w:styleId="Nadpis3">
    <w:name w:val="heading 3"/>
    <w:basedOn w:val="Normlny"/>
    <w:next w:val="Normlny"/>
    <w:link w:val="Nadpis3Char"/>
    <w:uiPriority w:val="9"/>
    <w:qFormat/>
    <w:rsid w:val="00840C2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0" w:firstLine="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840C2D"/>
    <w:pPr>
      <w:keepNext/>
      <w:autoSpaceDE w:val="0"/>
      <w:autoSpaceDN w:val="0"/>
      <w:ind w:left="0" w:firstLine="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840C2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  <w:outlineLvl w:val="4"/>
    </w:pPr>
    <w:rPr>
      <w:b/>
      <w:szCs w:val="22"/>
    </w:rPr>
  </w:style>
  <w:style w:type="paragraph" w:styleId="Nadpis6">
    <w:name w:val="heading 6"/>
    <w:basedOn w:val="Normlny"/>
    <w:next w:val="Normlny"/>
    <w:link w:val="Nadpis6Char"/>
    <w:uiPriority w:val="9"/>
    <w:qFormat/>
    <w:rsid w:val="00840C2D"/>
    <w:pPr>
      <w:ind w:left="708" w:firstLine="0"/>
      <w:outlineLvl w:val="5"/>
    </w:pPr>
    <w:rPr>
      <w:rFonts w:ascii="Tms Rmn" w:hAnsi="Tms Rmn"/>
      <w:sz w:val="20"/>
      <w:szCs w:val="20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2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2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2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2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20E8"/>
    <w:rPr>
      <w:rFonts w:ascii="Calibri" w:eastAsia="Times New Roman" w:hAnsi="Calibri" w:cs="Times New Roman"/>
      <w:b/>
      <w:bCs/>
      <w:sz w:val="22"/>
      <w:szCs w:val="22"/>
    </w:rPr>
  </w:style>
  <w:style w:type="character" w:styleId="slostrany">
    <w:name w:val="page number"/>
    <w:basedOn w:val="Predvolenpsmoodseku"/>
    <w:uiPriority w:val="99"/>
    <w:rsid w:val="00840C2D"/>
    <w:rPr>
      <w:rFonts w:cs="Times New Roman"/>
    </w:rPr>
  </w:style>
  <w:style w:type="paragraph" w:styleId="Pta">
    <w:name w:val="footer"/>
    <w:basedOn w:val="Normlny"/>
    <w:link w:val="PtaChar"/>
    <w:uiPriority w:val="99"/>
    <w:rsid w:val="00840C2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5211C8"/>
    <w:rPr>
      <w:rFonts w:ascii="Helvetica" w:hAnsi="Helvetica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840C2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020E8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840C2D"/>
    <w:pPr>
      <w:autoSpaceDE w:val="0"/>
      <w:autoSpaceDN w:val="0"/>
      <w:ind w:left="0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20E8"/>
    <w:rPr>
      <w:sz w:val="22"/>
      <w:szCs w:val="24"/>
    </w:rPr>
  </w:style>
  <w:style w:type="paragraph" w:styleId="Nzov">
    <w:name w:val="Title"/>
    <w:basedOn w:val="Normlny"/>
    <w:link w:val="NzovChar"/>
    <w:uiPriority w:val="10"/>
    <w:qFormat/>
    <w:rsid w:val="00840C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0" w:firstLine="0"/>
      <w:jc w:val="center"/>
    </w:pPr>
    <w:rPr>
      <w:rFonts w:ascii="Arial" w:hAnsi="Arial"/>
      <w:b/>
      <w:sz w:val="24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E56C9E"/>
    <w:rPr>
      <w:rFonts w:ascii="Arial" w:hAnsi="Arial"/>
      <w:b/>
      <w:sz w:val="24"/>
      <w:lang w:val="sk-SK"/>
    </w:rPr>
  </w:style>
  <w:style w:type="paragraph" w:customStyle="1" w:styleId="GlobalBayerBodyTextChar">
    <w:name w:val="Global Bayer Body Text Char"/>
    <w:basedOn w:val="Normlny"/>
    <w:rsid w:val="00840C2D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840C2D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character" w:customStyle="1" w:styleId="GlobalBayerBodyTextCharCharChar">
    <w:name w:val="Global Bayer Body Text Char Char Char"/>
    <w:link w:val="GlobalBayerBodyTextCharChar"/>
    <w:locked/>
    <w:rsid w:val="00840C2D"/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40C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20E8"/>
    <w:rPr>
      <w:sz w:val="0"/>
      <w:szCs w:val="0"/>
    </w:rPr>
  </w:style>
  <w:style w:type="character" w:styleId="Hypertextovprepojenie">
    <w:name w:val="Hyperlink"/>
    <w:basedOn w:val="Predvolenpsmoodseku"/>
    <w:uiPriority w:val="99"/>
    <w:semiHidden/>
    <w:unhideWhenUsed/>
    <w:rsid w:val="00E56C9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9075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90752"/>
    <w:rPr>
      <w:sz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0AAD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0A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0AA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0A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0AAD"/>
    <w:rPr>
      <w:rFonts w:cs="Times New Roman"/>
      <w:b/>
    </w:rPr>
  </w:style>
  <w:style w:type="paragraph" w:styleId="Revzia">
    <w:name w:val="Revision"/>
    <w:hidden/>
    <w:uiPriority w:val="99"/>
    <w:semiHidden/>
    <w:rsid w:val="005954C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RegPharm Slovakia</dc:creator>
  <cp:keywords/>
  <dc:description/>
  <cp:lastModifiedBy>Bolebruchová Monika</cp:lastModifiedBy>
  <cp:revision>2</cp:revision>
  <cp:lastPrinted>2020-07-13T08:21:00Z</cp:lastPrinted>
  <dcterms:created xsi:type="dcterms:W3CDTF">2020-07-13T08:22:00Z</dcterms:created>
  <dcterms:modified xsi:type="dcterms:W3CDTF">2020-07-13T08:22:00Z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2016-08-07T12:58:14Z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