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FC45E" w14:textId="77777777" w:rsidR="00B67F55" w:rsidRDefault="00B67F55" w:rsidP="00A65E8F">
      <w:pPr>
        <w:rPr>
          <w:szCs w:val="22"/>
          <w:lang w:val="sk-SK"/>
        </w:rPr>
      </w:pPr>
    </w:p>
    <w:p w14:paraId="300D220A" w14:textId="77777777" w:rsidR="00B67F55" w:rsidRPr="009D3DED" w:rsidRDefault="00B67F55" w:rsidP="00A65E8F">
      <w:pPr>
        <w:rPr>
          <w:szCs w:val="22"/>
          <w:lang w:val="sk-SK"/>
        </w:rPr>
      </w:pPr>
    </w:p>
    <w:p w14:paraId="02DFB5F3" w14:textId="77777777" w:rsidR="002D70F1" w:rsidRPr="009D3DED" w:rsidRDefault="002D70F1" w:rsidP="00A65E8F">
      <w:pPr>
        <w:jc w:val="center"/>
        <w:outlineLvl w:val="0"/>
        <w:rPr>
          <w:b/>
          <w:lang w:val="sk-SK"/>
        </w:rPr>
      </w:pPr>
      <w:r w:rsidRPr="009D3DED">
        <w:rPr>
          <w:b/>
          <w:lang w:val="sk-SK"/>
        </w:rPr>
        <w:t>Písomná informácia pre používateľa</w:t>
      </w:r>
    </w:p>
    <w:p w14:paraId="5B53D65C" w14:textId="77777777" w:rsidR="002D70F1" w:rsidRPr="009D3DED" w:rsidRDefault="002D70F1" w:rsidP="00A65E8F">
      <w:pPr>
        <w:jc w:val="center"/>
        <w:outlineLvl w:val="0"/>
        <w:rPr>
          <w:b/>
          <w:szCs w:val="22"/>
          <w:lang w:val="sk-SK"/>
        </w:rPr>
      </w:pPr>
    </w:p>
    <w:p w14:paraId="3A537246" w14:textId="7ACC3E24" w:rsidR="002D70F1" w:rsidRDefault="002D70F1" w:rsidP="00A65E8F">
      <w:pPr>
        <w:numPr>
          <w:ilvl w:val="12"/>
          <w:numId w:val="0"/>
        </w:numPr>
        <w:jc w:val="center"/>
        <w:rPr>
          <w:b/>
          <w:szCs w:val="22"/>
          <w:lang w:val="sk-SK"/>
        </w:rPr>
      </w:pP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</w:t>
      </w:r>
    </w:p>
    <w:p w14:paraId="2E53B2A9" w14:textId="77777777" w:rsidR="002D70F1" w:rsidRPr="009D3DED" w:rsidRDefault="002D70F1" w:rsidP="00A65E8F">
      <w:pPr>
        <w:numPr>
          <w:ilvl w:val="12"/>
          <w:numId w:val="0"/>
        </w:numPr>
        <w:jc w:val="center"/>
        <w:rPr>
          <w:b/>
          <w:bCs/>
          <w:szCs w:val="22"/>
          <w:lang w:val="sk-SK"/>
        </w:rPr>
      </w:pPr>
      <w:r w:rsidRPr="009D3DED">
        <w:rPr>
          <w:b/>
          <w:bCs/>
          <w:szCs w:val="22"/>
          <w:lang w:val="sk-SK"/>
        </w:rPr>
        <w:t>400 mg/100</w:t>
      </w:r>
      <w:r>
        <w:rPr>
          <w:b/>
          <w:bCs/>
          <w:szCs w:val="22"/>
          <w:lang w:val="sk-SK"/>
        </w:rPr>
        <w:t xml:space="preserve"> </w:t>
      </w:r>
      <w:r w:rsidRPr="009D3DED">
        <w:rPr>
          <w:b/>
          <w:bCs/>
          <w:szCs w:val="22"/>
          <w:lang w:val="sk-SK"/>
        </w:rPr>
        <w:t>mg filmom obalené tablety</w:t>
      </w:r>
    </w:p>
    <w:p w14:paraId="5BF9BEF5" w14:textId="77777777" w:rsidR="002D70F1" w:rsidRPr="009D3DED" w:rsidRDefault="002D70F1" w:rsidP="00A65E8F">
      <w:pPr>
        <w:numPr>
          <w:ilvl w:val="12"/>
          <w:numId w:val="0"/>
        </w:numPr>
        <w:jc w:val="center"/>
        <w:rPr>
          <w:bCs/>
          <w:szCs w:val="22"/>
          <w:lang w:val="sk-SK"/>
        </w:rPr>
      </w:pPr>
      <w:proofErr w:type="spellStart"/>
      <w:r w:rsidRPr="009D3DED">
        <w:rPr>
          <w:bCs/>
          <w:szCs w:val="22"/>
          <w:lang w:val="sk-SK"/>
        </w:rPr>
        <w:t>ibuprofén</w:t>
      </w:r>
      <w:proofErr w:type="spellEnd"/>
      <w:r w:rsidRPr="009D3DED">
        <w:rPr>
          <w:bCs/>
          <w:szCs w:val="22"/>
          <w:lang w:val="sk-SK"/>
        </w:rPr>
        <w:t>/kofeín</w:t>
      </w:r>
    </w:p>
    <w:p w14:paraId="171F9460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318BD269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Pozorne si prečítajte celú písomnú informáciu </w:t>
      </w:r>
      <w:r w:rsidRPr="009D3DED">
        <w:rPr>
          <w:b/>
          <w:lang w:val="sk-SK"/>
        </w:rPr>
        <w:t>predtým, ako</w:t>
      </w:r>
      <w:r w:rsidRPr="009D3DED">
        <w:rPr>
          <w:b/>
          <w:szCs w:val="22"/>
          <w:lang w:val="sk-SK"/>
        </w:rPr>
        <w:t xml:space="preserve"> začnete užívať</w:t>
      </w:r>
      <w:r w:rsidRPr="009D3DED">
        <w:rPr>
          <w:szCs w:val="22"/>
          <w:lang w:val="sk-SK"/>
        </w:rPr>
        <w:t xml:space="preserve"> </w:t>
      </w:r>
      <w:r w:rsidRPr="009D3DED">
        <w:rPr>
          <w:b/>
          <w:szCs w:val="22"/>
          <w:lang w:val="sk-SK"/>
        </w:rPr>
        <w:t>tento liek</w:t>
      </w:r>
      <w:r w:rsidRPr="009D3DED">
        <w:rPr>
          <w:b/>
          <w:lang w:val="sk-SK"/>
        </w:rPr>
        <w:t>, pretože obsahuje pre vás dôležité informácie</w:t>
      </w:r>
      <w:r w:rsidRPr="009D3DED">
        <w:rPr>
          <w:b/>
          <w:szCs w:val="22"/>
          <w:lang w:val="sk-SK"/>
        </w:rPr>
        <w:t>.</w:t>
      </w:r>
    </w:p>
    <w:p w14:paraId="5C13CE13" w14:textId="7743D8E8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Vždy užívajte tento liek presne </w:t>
      </w:r>
      <w:r w:rsidR="00BC5BBC">
        <w:rPr>
          <w:szCs w:val="22"/>
          <w:lang w:val="sk-SK"/>
        </w:rPr>
        <w:t>tak, ako je to uvedené v tejto</w:t>
      </w:r>
      <w:r w:rsidRPr="009D3DED">
        <w:rPr>
          <w:szCs w:val="22"/>
          <w:lang w:val="sk-SK"/>
        </w:rPr>
        <w:t xml:space="preserve"> písomn</w:t>
      </w:r>
      <w:r w:rsidR="00BC5BBC">
        <w:rPr>
          <w:szCs w:val="22"/>
          <w:lang w:val="sk-SK"/>
        </w:rPr>
        <w:t>ej</w:t>
      </w:r>
      <w:r w:rsidRPr="009D3DED">
        <w:rPr>
          <w:szCs w:val="22"/>
          <w:lang w:val="sk-SK"/>
        </w:rPr>
        <w:t xml:space="preserve"> informáci</w:t>
      </w:r>
      <w:r w:rsidR="00BC5BBC">
        <w:rPr>
          <w:szCs w:val="22"/>
          <w:lang w:val="sk-SK"/>
        </w:rPr>
        <w:t>i</w:t>
      </w:r>
      <w:r w:rsidRPr="009D3DED">
        <w:rPr>
          <w:szCs w:val="22"/>
          <w:lang w:val="sk-SK"/>
        </w:rPr>
        <w:t xml:space="preserve"> alebo </w:t>
      </w:r>
      <w:r w:rsidR="00BC5BBC">
        <w:rPr>
          <w:szCs w:val="22"/>
          <w:lang w:val="sk-SK"/>
        </w:rPr>
        <w:t>ako vám povedal váš lekár alebo lekárnik.</w:t>
      </w:r>
    </w:p>
    <w:p w14:paraId="3FA244EA" w14:textId="77777777" w:rsidR="00966564" w:rsidRPr="00966564" w:rsidRDefault="00966564" w:rsidP="00A65E8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 w:eastAsia="sk-SK"/>
        </w:rPr>
      </w:pPr>
      <w:r w:rsidRPr="00966564">
        <w:rPr>
          <w:noProof/>
          <w:szCs w:val="22"/>
          <w:lang w:val="sk-SK" w:eastAsia="sk-SK"/>
        </w:rPr>
        <w:t>Túto písomnú informáciu si uschovajte. Možno bude potrebné, aby ste si ju znovu prečítali.</w:t>
      </w:r>
    </w:p>
    <w:p w14:paraId="4F3AA092" w14:textId="77777777" w:rsidR="00966564" w:rsidRPr="00966564" w:rsidRDefault="00966564" w:rsidP="00A65E8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 w:eastAsia="sk-SK"/>
        </w:rPr>
      </w:pPr>
      <w:r w:rsidRPr="00966564">
        <w:rPr>
          <w:noProof/>
          <w:szCs w:val="22"/>
          <w:lang w:val="sk-SK" w:eastAsia="sk-SK"/>
        </w:rPr>
        <w:t>Ak potrebujete ďalšie informácie alebo radu, obráťte sa na svojho lekárnika.</w:t>
      </w:r>
    </w:p>
    <w:p w14:paraId="172ED988" w14:textId="273C6F80" w:rsidR="00966564" w:rsidRPr="00966564" w:rsidRDefault="00966564" w:rsidP="00A65E8F">
      <w:pPr>
        <w:tabs>
          <w:tab w:val="clear" w:pos="567"/>
        </w:tabs>
        <w:spacing w:line="240" w:lineRule="auto"/>
        <w:ind w:left="567" w:hanging="567"/>
        <w:rPr>
          <w:noProof/>
          <w:szCs w:val="24"/>
          <w:lang w:val="sk-SK" w:eastAsia="sk-SK"/>
        </w:rPr>
      </w:pPr>
      <w:r w:rsidRPr="00966564">
        <w:rPr>
          <w:noProof/>
          <w:szCs w:val="24"/>
          <w:lang w:val="sk-SK" w:eastAsia="sk-SK"/>
        </w:rPr>
        <w:t>-</w:t>
      </w:r>
      <w:r w:rsidRPr="00966564">
        <w:rPr>
          <w:noProof/>
          <w:szCs w:val="24"/>
          <w:lang w:val="sk-SK" w:eastAsia="sk-SK"/>
        </w:rPr>
        <w:tab/>
        <w:t>Ak sa u vás vyskytne akýkoľvek vedľajší účinok, obráťte sa na svojho lekára</w:t>
      </w:r>
      <w:r>
        <w:rPr>
          <w:noProof/>
          <w:szCs w:val="24"/>
          <w:lang w:val="sk-SK" w:eastAsia="sk-SK"/>
        </w:rPr>
        <w:t xml:space="preserve"> </w:t>
      </w:r>
      <w:r w:rsidRPr="00966564">
        <w:rPr>
          <w:noProof/>
          <w:szCs w:val="24"/>
          <w:lang w:val="sk-SK" w:eastAsia="sk-SK"/>
        </w:rPr>
        <w:t>alebo</w:t>
      </w:r>
      <w:r>
        <w:rPr>
          <w:noProof/>
          <w:szCs w:val="24"/>
          <w:lang w:val="sk-SK" w:eastAsia="sk-SK"/>
        </w:rPr>
        <w:t xml:space="preserve"> </w:t>
      </w:r>
      <w:r w:rsidRPr="00966564">
        <w:rPr>
          <w:noProof/>
          <w:szCs w:val="24"/>
          <w:lang w:val="sk-SK" w:eastAsia="sk-SK"/>
        </w:rPr>
        <w:t>lekárnika. To sa týka aj akýchkoľvek vedľajších účinkov</w:t>
      </w:r>
      <w:r w:rsidRPr="00966564">
        <w:rPr>
          <w:szCs w:val="24"/>
          <w:lang w:val="sk-SK" w:eastAsia="sk-SK"/>
        </w:rPr>
        <w:t>,</w:t>
      </w:r>
      <w:r w:rsidRPr="00966564">
        <w:rPr>
          <w:noProof/>
          <w:szCs w:val="24"/>
          <w:lang w:val="sk-SK" w:eastAsia="sk-SK"/>
        </w:rPr>
        <w:t xml:space="preserve"> ktoré nie sú uvedené v tejto písomnej informácii.</w:t>
      </w:r>
      <w:r w:rsidRPr="00966564">
        <w:rPr>
          <w:noProof/>
          <w:szCs w:val="22"/>
          <w:lang w:val="sk-SK" w:eastAsia="sk-SK"/>
        </w:rPr>
        <w:t xml:space="preserve"> Pozri časť 4.</w:t>
      </w:r>
    </w:p>
    <w:p w14:paraId="7B5BFDBC" w14:textId="50C5106E" w:rsidR="00966564" w:rsidRPr="00966564" w:rsidRDefault="00966564" w:rsidP="00A65E8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 w:eastAsia="sk-SK"/>
        </w:rPr>
      </w:pPr>
      <w:r w:rsidRPr="00966564">
        <w:rPr>
          <w:noProof/>
          <w:szCs w:val="22"/>
          <w:lang w:val="sk-SK" w:eastAsia="sk-SK"/>
        </w:rPr>
        <w:t xml:space="preserve">Ak sa do </w:t>
      </w:r>
      <w:r>
        <w:rPr>
          <w:noProof/>
          <w:szCs w:val="22"/>
          <w:lang w:val="sk-SK" w:eastAsia="sk-SK"/>
        </w:rPr>
        <w:t xml:space="preserve">3 </w:t>
      </w:r>
      <w:r w:rsidRPr="00966564">
        <w:rPr>
          <w:noProof/>
          <w:szCs w:val="22"/>
          <w:lang w:val="sk-SK" w:eastAsia="sk-SK"/>
        </w:rPr>
        <w:t>dní</w:t>
      </w:r>
      <w:r>
        <w:rPr>
          <w:noProof/>
          <w:szCs w:val="22"/>
          <w:lang w:val="sk-SK" w:eastAsia="sk-SK"/>
        </w:rPr>
        <w:t xml:space="preserve"> </w:t>
      </w:r>
      <w:r w:rsidRPr="00966564">
        <w:rPr>
          <w:szCs w:val="24"/>
          <w:lang w:val="sk-SK" w:eastAsia="sk-SK"/>
        </w:rPr>
        <w:t xml:space="preserve">nebudete cítiť lepšie </w:t>
      </w:r>
      <w:r w:rsidRPr="00966564">
        <w:rPr>
          <w:noProof/>
          <w:szCs w:val="22"/>
          <w:lang w:val="sk-SK" w:eastAsia="sk-SK"/>
        </w:rPr>
        <w:t xml:space="preserve">alebo sa </w:t>
      </w:r>
      <w:r w:rsidRPr="00966564">
        <w:rPr>
          <w:szCs w:val="24"/>
          <w:lang w:val="sk-SK" w:eastAsia="sk-SK"/>
        </w:rPr>
        <w:t>budete cítiť horšie</w:t>
      </w:r>
      <w:r w:rsidRPr="00966564">
        <w:rPr>
          <w:noProof/>
          <w:szCs w:val="22"/>
          <w:lang w:val="sk-SK" w:eastAsia="sk-SK"/>
        </w:rPr>
        <w:t xml:space="preserve">, musíte </w:t>
      </w:r>
      <w:r w:rsidRPr="00966564">
        <w:rPr>
          <w:noProof/>
          <w:szCs w:val="24"/>
          <w:lang w:val="sk-SK" w:eastAsia="sk-SK"/>
        </w:rPr>
        <w:t>sa obrátiť na</w:t>
      </w:r>
      <w:r w:rsidRPr="00966564">
        <w:rPr>
          <w:noProof/>
          <w:szCs w:val="22"/>
          <w:lang w:val="sk-SK" w:eastAsia="sk-SK"/>
        </w:rPr>
        <w:t xml:space="preserve"> lekára</w:t>
      </w:r>
      <w:r>
        <w:rPr>
          <w:noProof/>
          <w:szCs w:val="22"/>
          <w:lang w:val="sk-SK" w:eastAsia="sk-SK"/>
        </w:rPr>
        <w:t>.</w:t>
      </w:r>
    </w:p>
    <w:p w14:paraId="329BBE72" w14:textId="77777777" w:rsidR="002D70F1" w:rsidRPr="009D3DED" w:rsidRDefault="002D70F1" w:rsidP="00A65E8F">
      <w:pPr>
        <w:ind w:right="-2"/>
        <w:rPr>
          <w:szCs w:val="22"/>
          <w:lang w:val="sk-SK"/>
        </w:rPr>
      </w:pPr>
    </w:p>
    <w:p w14:paraId="28A03259" w14:textId="77777777" w:rsidR="0041154C" w:rsidRDefault="002D70F1" w:rsidP="00A65E8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V tejto písomnej informácii sa dozviete </w:t>
      </w:r>
    </w:p>
    <w:p w14:paraId="1BE5FA5A" w14:textId="24B83D40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9D3DED">
        <w:rPr>
          <w:b/>
          <w:szCs w:val="22"/>
          <w:lang w:val="sk-SK"/>
        </w:rPr>
        <w:fldChar w:fldCharType="begin"/>
      </w:r>
      <w:r w:rsidRPr="009D3DED">
        <w:rPr>
          <w:b/>
          <w:szCs w:val="22"/>
          <w:lang w:val="sk-SK"/>
        </w:rPr>
        <w:instrText xml:space="preserve"> DOCVARIABLE vault_nd_3929adc4-ba60-411e-b6c2-8e6d40ab4b81 \* MERGEFORMAT </w:instrText>
      </w:r>
      <w:r w:rsidRPr="009D3DED">
        <w:rPr>
          <w:b/>
          <w:szCs w:val="22"/>
          <w:lang w:val="sk-SK"/>
        </w:rPr>
        <w:fldChar w:fldCharType="end"/>
      </w:r>
    </w:p>
    <w:p w14:paraId="60C2077D" w14:textId="77777777" w:rsidR="002D70F1" w:rsidRPr="009D3DED" w:rsidRDefault="002D70F1" w:rsidP="00A65E8F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9D3DED">
        <w:rPr>
          <w:szCs w:val="22"/>
          <w:lang w:val="sk-SK"/>
        </w:rPr>
        <w:t>1.</w:t>
      </w:r>
      <w:r w:rsidRPr="009D3DED">
        <w:rPr>
          <w:szCs w:val="22"/>
          <w:lang w:val="sk-SK"/>
        </w:rPr>
        <w:tab/>
        <w:t xml:space="preserve">Čo je </w:t>
      </w:r>
      <w:bookmarkStart w:id="0" w:name="_Hlk32311112"/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</w:t>
      </w:r>
      <w:r w:rsidRPr="009D3DED">
        <w:rPr>
          <w:b/>
          <w:szCs w:val="22"/>
          <w:lang w:val="sk-SK"/>
        </w:rPr>
        <w:t xml:space="preserve"> </w:t>
      </w:r>
      <w:bookmarkEnd w:id="0"/>
      <w:r w:rsidRPr="009D3DED">
        <w:rPr>
          <w:szCs w:val="22"/>
          <w:lang w:val="sk-SK"/>
        </w:rPr>
        <w:t>a na čo sa používa</w:t>
      </w:r>
    </w:p>
    <w:p w14:paraId="0EA63A7A" w14:textId="77777777" w:rsidR="002D70F1" w:rsidRPr="009D3DED" w:rsidRDefault="002D70F1" w:rsidP="00A65E8F">
      <w:pPr>
        <w:numPr>
          <w:ilvl w:val="12"/>
          <w:numId w:val="0"/>
        </w:numPr>
        <w:ind w:right="-29"/>
        <w:rPr>
          <w:bCs/>
          <w:szCs w:val="22"/>
          <w:lang w:val="sk-SK"/>
        </w:rPr>
      </w:pPr>
      <w:r w:rsidRPr="009D3DED">
        <w:rPr>
          <w:szCs w:val="22"/>
          <w:lang w:val="sk-SK"/>
        </w:rPr>
        <w:t>2.</w:t>
      </w:r>
      <w:r w:rsidRPr="009D3DED">
        <w:rPr>
          <w:szCs w:val="22"/>
          <w:lang w:val="sk-SK"/>
        </w:rPr>
        <w:tab/>
      </w:r>
      <w:r w:rsidRPr="009D3DED">
        <w:rPr>
          <w:lang w:val="sk-SK"/>
        </w:rPr>
        <w:t>Čo potrebujete vedieť predtým,</w:t>
      </w:r>
      <w:r w:rsidRPr="009D3DED">
        <w:rPr>
          <w:szCs w:val="22"/>
          <w:lang w:val="sk-SK"/>
        </w:rPr>
        <w:t xml:space="preserve"> ako užijete </w:t>
      </w: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</w:t>
      </w:r>
    </w:p>
    <w:p w14:paraId="1A1E1BA9" w14:textId="77777777" w:rsidR="002D70F1" w:rsidRPr="009D3DED" w:rsidRDefault="002D70F1" w:rsidP="00A65E8F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9D3DED">
        <w:rPr>
          <w:szCs w:val="22"/>
          <w:lang w:val="sk-SK"/>
        </w:rPr>
        <w:t>3.</w:t>
      </w:r>
      <w:r w:rsidRPr="009D3DED">
        <w:rPr>
          <w:szCs w:val="22"/>
          <w:lang w:val="sk-SK"/>
        </w:rPr>
        <w:tab/>
        <w:t xml:space="preserve">Ako užívať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Plus</w:t>
      </w:r>
    </w:p>
    <w:p w14:paraId="1017E4DC" w14:textId="77777777" w:rsidR="002D70F1" w:rsidRPr="009D3DED" w:rsidRDefault="002D70F1" w:rsidP="00A65E8F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9D3DED">
        <w:rPr>
          <w:szCs w:val="22"/>
          <w:lang w:val="sk-SK"/>
        </w:rPr>
        <w:t>4.</w:t>
      </w:r>
      <w:r w:rsidRPr="009D3DED">
        <w:rPr>
          <w:szCs w:val="22"/>
          <w:lang w:val="sk-SK"/>
        </w:rPr>
        <w:tab/>
        <w:t>Možné vedľajšie účinky</w:t>
      </w:r>
    </w:p>
    <w:p w14:paraId="7FB383D1" w14:textId="77777777" w:rsidR="002D70F1" w:rsidRPr="009D3DED" w:rsidRDefault="002D70F1" w:rsidP="00A65E8F">
      <w:pPr>
        <w:numPr>
          <w:ilvl w:val="0"/>
          <w:numId w:val="2"/>
        </w:numPr>
        <w:spacing w:line="240" w:lineRule="auto"/>
        <w:ind w:right="-29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Ako uchovávať </w:t>
      </w: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</w:t>
      </w:r>
      <w:r w:rsidRPr="009D3DED">
        <w:rPr>
          <w:b/>
          <w:szCs w:val="22"/>
          <w:lang w:val="sk-SK"/>
        </w:rPr>
        <w:t xml:space="preserve"> </w:t>
      </w:r>
    </w:p>
    <w:p w14:paraId="24D4D619" w14:textId="77777777" w:rsidR="002D70F1" w:rsidRPr="009D3DED" w:rsidRDefault="002D70F1" w:rsidP="00A65E8F">
      <w:pPr>
        <w:spacing w:line="240" w:lineRule="auto"/>
        <w:ind w:right="-29"/>
        <w:rPr>
          <w:szCs w:val="22"/>
          <w:lang w:val="sk-SK"/>
        </w:rPr>
      </w:pPr>
      <w:r w:rsidRPr="009D3DED">
        <w:rPr>
          <w:szCs w:val="22"/>
          <w:lang w:val="sk-SK"/>
        </w:rPr>
        <w:t>6.</w:t>
      </w:r>
      <w:r w:rsidRPr="009D3DED">
        <w:rPr>
          <w:szCs w:val="22"/>
          <w:lang w:val="sk-SK"/>
        </w:rPr>
        <w:tab/>
      </w:r>
      <w:r w:rsidRPr="009D3DED">
        <w:rPr>
          <w:lang w:val="sk-SK"/>
        </w:rPr>
        <w:t>Obsah balenia a ďalšie</w:t>
      </w:r>
      <w:r w:rsidRPr="009D3DED">
        <w:rPr>
          <w:szCs w:val="22"/>
          <w:lang w:val="sk-SK"/>
        </w:rPr>
        <w:t xml:space="preserve"> informácie</w:t>
      </w:r>
    </w:p>
    <w:p w14:paraId="14264996" w14:textId="77777777" w:rsidR="002D70F1" w:rsidRPr="009D3DED" w:rsidRDefault="002D70F1" w:rsidP="00A65E8F">
      <w:pPr>
        <w:numPr>
          <w:ilvl w:val="12"/>
          <w:numId w:val="0"/>
        </w:numPr>
        <w:rPr>
          <w:szCs w:val="22"/>
          <w:lang w:val="sk-SK"/>
        </w:rPr>
      </w:pPr>
    </w:p>
    <w:p w14:paraId="1BE1C46E" w14:textId="77777777" w:rsidR="002D70F1" w:rsidRPr="009D3DED" w:rsidRDefault="002D70F1" w:rsidP="00A65E8F">
      <w:pPr>
        <w:numPr>
          <w:ilvl w:val="12"/>
          <w:numId w:val="0"/>
        </w:numPr>
        <w:rPr>
          <w:szCs w:val="22"/>
          <w:lang w:val="sk-SK"/>
        </w:rPr>
      </w:pPr>
    </w:p>
    <w:p w14:paraId="3F3967A2" w14:textId="77777777" w:rsidR="002D70F1" w:rsidRPr="009D3DED" w:rsidRDefault="002D70F1" w:rsidP="00A65E8F">
      <w:pPr>
        <w:numPr>
          <w:ilvl w:val="0"/>
          <w:numId w:val="6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9D3DED">
        <w:rPr>
          <w:b/>
          <w:lang w:val="sk-SK"/>
        </w:rPr>
        <w:t xml:space="preserve">Čo je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 </w:t>
      </w:r>
      <w:r w:rsidRPr="009D3DED">
        <w:rPr>
          <w:b/>
          <w:lang w:val="sk-SK"/>
        </w:rPr>
        <w:t>a na čo sa používa</w:t>
      </w:r>
    </w:p>
    <w:p w14:paraId="18498A1F" w14:textId="77777777" w:rsidR="002D70F1" w:rsidRPr="009D3DED" w:rsidRDefault="002D70F1" w:rsidP="00A65E8F">
      <w:pPr>
        <w:numPr>
          <w:ilvl w:val="12"/>
          <w:numId w:val="0"/>
        </w:numPr>
        <w:rPr>
          <w:szCs w:val="22"/>
          <w:lang w:val="sk-SK"/>
        </w:rPr>
      </w:pPr>
    </w:p>
    <w:p w14:paraId="584479B0" w14:textId="55A310E2" w:rsidR="002D70F1" w:rsidRPr="009D3DED" w:rsidRDefault="002D70F1" w:rsidP="00A65E8F">
      <w:pPr>
        <w:numPr>
          <w:ilvl w:val="12"/>
          <w:numId w:val="0"/>
        </w:numPr>
        <w:rPr>
          <w:bCs/>
          <w:szCs w:val="22"/>
          <w:lang w:val="sk-SK"/>
        </w:rPr>
      </w:pP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 obsahuje dve </w:t>
      </w:r>
      <w:r w:rsidR="0041154C">
        <w:rPr>
          <w:bCs/>
          <w:szCs w:val="22"/>
          <w:lang w:val="sk-SK"/>
        </w:rPr>
        <w:t>liečivá</w:t>
      </w:r>
      <w:r w:rsidRPr="009D3DED">
        <w:rPr>
          <w:bCs/>
          <w:szCs w:val="22"/>
          <w:lang w:val="sk-SK"/>
        </w:rPr>
        <w:t xml:space="preserve">: </w:t>
      </w:r>
      <w:proofErr w:type="spellStart"/>
      <w:r w:rsidRPr="009D3DED">
        <w:rPr>
          <w:bCs/>
          <w:szCs w:val="22"/>
          <w:lang w:val="sk-SK"/>
        </w:rPr>
        <w:t>ibuprofén</w:t>
      </w:r>
      <w:proofErr w:type="spellEnd"/>
      <w:r w:rsidRPr="009D3DED">
        <w:rPr>
          <w:bCs/>
          <w:szCs w:val="22"/>
          <w:lang w:val="sk-SK"/>
        </w:rPr>
        <w:t xml:space="preserve"> a kofeín. </w:t>
      </w:r>
      <w:r w:rsidRPr="009D3DED">
        <w:rPr>
          <w:bCs/>
          <w:szCs w:val="22"/>
          <w:lang w:val="sk-SK"/>
        </w:rPr>
        <w:br/>
      </w:r>
      <w:proofErr w:type="spellStart"/>
      <w:r w:rsidRPr="009D3DED">
        <w:rPr>
          <w:bCs/>
          <w:szCs w:val="22"/>
          <w:lang w:val="sk-SK"/>
        </w:rPr>
        <w:t>Ibuprofén</w:t>
      </w:r>
      <w:proofErr w:type="spellEnd"/>
      <w:r w:rsidRPr="009D3DED">
        <w:rPr>
          <w:bCs/>
          <w:szCs w:val="22"/>
          <w:lang w:val="sk-SK"/>
        </w:rPr>
        <w:t xml:space="preserve"> patrí do skupiny liekov nazývaných </w:t>
      </w:r>
      <w:proofErr w:type="spellStart"/>
      <w:r w:rsidRPr="009D3DED">
        <w:rPr>
          <w:bCs/>
          <w:szCs w:val="22"/>
          <w:lang w:val="sk-SK"/>
        </w:rPr>
        <w:t>nesteroidné</w:t>
      </w:r>
      <w:proofErr w:type="spellEnd"/>
      <w:r w:rsidRPr="009D3DED">
        <w:rPr>
          <w:bCs/>
          <w:szCs w:val="22"/>
          <w:lang w:val="sk-SK"/>
        </w:rPr>
        <w:t xml:space="preserve"> protizápalové lieky (NSAID). </w:t>
      </w:r>
    </w:p>
    <w:p w14:paraId="55FD3824" w14:textId="77777777" w:rsidR="002D70F1" w:rsidRPr="009D3DED" w:rsidRDefault="002D70F1" w:rsidP="00A65E8F">
      <w:pPr>
        <w:numPr>
          <w:ilvl w:val="12"/>
          <w:numId w:val="0"/>
        </w:numPr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>NSAID poskytujú úľavu zmenou odpovede tela na bolesť.</w:t>
      </w:r>
    </w:p>
    <w:p w14:paraId="6E5FA9CC" w14:textId="33141D2F" w:rsidR="002D70F1" w:rsidRPr="009D3DED" w:rsidRDefault="002D70F1" w:rsidP="00A65E8F">
      <w:pPr>
        <w:numPr>
          <w:ilvl w:val="12"/>
          <w:numId w:val="0"/>
        </w:numPr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 xml:space="preserve">Kofeín patrí do skupiny liekov označovaných ako </w:t>
      </w:r>
      <w:proofErr w:type="spellStart"/>
      <w:r w:rsidRPr="009D3DED">
        <w:rPr>
          <w:bCs/>
          <w:szCs w:val="22"/>
          <w:lang w:val="sk-SK"/>
        </w:rPr>
        <w:t>stimulanciá</w:t>
      </w:r>
      <w:proofErr w:type="spellEnd"/>
      <w:r w:rsidR="00DB4619">
        <w:rPr>
          <w:bCs/>
          <w:szCs w:val="22"/>
          <w:lang w:val="sk-SK"/>
        </w:rPr>
        <w:t xml:space="preserve"> (</w:t>
      </w:r>
      <w:r w:rsidR="00C507B7">
        <w:rPr>
          <w:bCs/>
          <w:szCs w:val="22"/>
          <w:lang w:val="sk-SK"/>
        </w:rPr>
        <w:t xml:space="preserve">povzbudzujúce </w:t>
      </w:r>
      <w:r w:rsidR="00DB4619">
        <w:rPr>
          <w:bCs/>
          <w:szCs w:val="22"/>
          <w:lang w:val="sk-SK"/>
        </w:rPr>
        <w:t>látky</w:t>
      </w:r>
      <w:r w:rsidR="00C507B7">
        <w:rPr>
          <w:bCs/>
          <w:szCs w:val="22"/>
          <w:lang w:val="sk-SK"/>
        </w:rPr>
        <w:t>)</w:t>
      </w:r>
      <w:r w:rsidRPr="009D3DED">
        <w:rPr>
          <w:bCs/>
          <w:szCs w:val="22"/>
          <w:lang w:val="sk-SK"/>
        </w:rPr>
        <w:t>.</w:t>
      </w:r>
    </w:p>
    <w:p w14:paraId="6701E673" w14:textId="77777777" w:rsidR="002D70F1" w:rsidRPr="009D3DED" w:rsidRDefault="002D70F1" w:rsidP="00A65E8F">
      <w:pPr>
        <w:numPr>
          <w:ilvl w:val="12"/>
          <w:numId w:val="0"/>
        </w:numPr>
        <w:rPr>
          <w:bCs/>
          <w:szCs w:val="22"/>
          <w:lang w:val="sk-SK"/>
        </w:rPr>
      </w:pPr>
    </w:p>
    <w:p w14:paraId="4EF2C6FB" w14:textId="25B06A05" w:rsidR="002D70F1" w:rsidRPr="009D3DED" w:rsidRDefault="002D70F1" w:rsidP="00A65E8F">
      <w:pPr>
        <w:numPr>
          <w:ilvl w:val="12"/>
          <w:numId w:val="0"/>
        </w:numPr>
        <w:rPr>
          <w:szCs w:val="22"/>
          <w:lang w:val="sk-SK"/>
        </w:rPr>
      </w:pP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</w:t>
      </w:r>
      <w:r w:rsidRPr="009D3DED">
        <w:rPr>
          <w:b/>
          <w:szCs w:val="22"/>
          <w:lang w:val="sk-SK"/>
        </w:rPr>
        <w:t xml:space="preserve"> </w:t>
      </w:r>
      <w:r w:rsidRPr="009D3DED">
        <w:rPr>
          <w:bCs/>
          <w:szCs w:val="22"/>
          <w:lang w:val="sk-SK"/>
        </w:rPr>
        <w:t>sa používa na krátkodobú</w:t>
      </w:r>
      <w:r w:rsidR="000B5CCB">
        <w:rPr>
          <w:bCs/>
          <w:szCs w:val="22"/>
          <w:lang w:val="sk-SK"/>
        </w:rPr>
        <w:t>,</w:t>
      </w:r>
      <w:r w:rsidRPr="009D3DED">
        <w:rPr>
          <w:bCs/>
          <w:szCs w:val="22"/>
          <w:lang w:val="sk-SK"/>
        </w:rPr>
        <w:t xml:space="preserve"> symptomatickú liečbu akútnej stredne silnej bolesti, ako je bolesť zubov alebo bolesť hlavy</w:t>
      </w:r>
      <w:r w:rsidRPr="009D3DED">
        <w:rPr>
          <w:szCs w:val="22"/>
          <w:lang w:val="sk-SK"/>
        </w:rPr>
        <w:t>.</w:t>
      </w:r>
    </w:p>
    <w:p w14:paraId="52C87907" w14:textId="77777777" w:rsidR="002D70F1" w:rsidRPr="009D3DED" w:rsidRDefault="002D70F1" w:rsidP="00A65E8F">
      <w:pPr>
        <w:numPr>
          <w:ilvl w:val="12"/>
          <w:numId w:val="0"/>
        </w:numPr>
        <w:rPr>
          <w:b/>
          <w:szCs w:val="22"/>
          <w:lang w:val="sk-SK"/>
        </w:rPr>
      </w:pPr>
    </w:p>
    <w:p w14:paraId="6FD7E652" w14:textId="77777777" w:rsidR="002D70F1" w:rsidRPr="009D3DED" w:rsidRDefault="002D70F1" w:rsidP="00A65E8F">
      <w:pPr>
        <w:rPr>
          <w:szCs w:val="22"/>
          <w:lang w:val="sk-SK"/>
        </w:rPr>
      </w:pP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 je </w:t>
      </w:r>
      <w:r w:rsidR="008826DC">
        <w:rPr>
          <w:bCs/>
          <w:szCs w:val="22"/>
          <w:lang w:val="sk-SK"/>
        </w:rPr>
        <w:t>určený len pre</w:t>
      </w:r>
      <w:r w:rsidRPr="009D3DED">
        <w:rPr>
          <w:bCs/>
          <w:szCs w:val="22"/>
          <w:lang w:val="sk-SK"/>
        </w:rPr>
        <w:t xml:space="preserve"> dospelých</w:t>
      </w:r>
      <w:r w:rsidRPr="009D3DED">
        <w:rPr>
          <w:szCs w:val="22"/>
          <w:lang w:val="sk-SK"/>
        </w:rPr>
        <w:t>.</w:t>
      </w:r>
    </w:p>
    <w:p w14:paraId="7F8D8ADA" w14:textId="77777777" w:rsidR="002D70F1" w:rsidRPr="009D3DED" w:rsidRDefault="002D70F1" w:rsidP="00A65E8F">
      <w:pPr>
        <w:ind w:right="-2"/>
        <w:rPr>
          <w:szCs w:val="22"/>
          <w:lang w:val="sk-SK"/>
        </w:rPr>
      </w:pPr>
    </w:p>
    <w:p w14:paraId="7414D21E" w14:textId="7AF4312B" w:rsidR="002D70F1" w:rsidRPr="009D3DED" w:rsidRDefault="002D70F1" w:rsidP="00A65E8F">
      <w:p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sa do 3 dní nebudete cítiť lepšie alebo </w:t>
      </w:r>
      <w:r w:rsidR="0041154C">
        <w:rPr>
          <w:szCs w:val="22"/>
          <w:lang w:val="sk-SK"/>
        </w:rPr>
        <w:t>sa budete cítiť horšie, musíte sa obrátiť na lekára.</w:t>
      </w:r>
      <w:r w:rsidRPr="009D3DED">
        <w:rPr>
          <w:szCs w:val="22"/>
          <w:lang w:val="sk-SK"/>
        </w:rPr>
        <w:t xml:space="preserve"> </w:t>
      </w:r>
    </w:p>
    <w:p w14:paraId="5DCDABBA" w14:textId="77777777" w:rsidR="002D70F1" w:rsidRPr="009D3DED" w:rsidRDefault="002D70F1" w:rsidP="00A65E8F">
      <w:pPr>
        <w:ind w:right="-2"/>
        <w:rPr>
          <w:szCs w:val="22"/>
          <w:lang w:val="sk-SK"/>
        </w:rPr>
      </w:pPr>
    </w:p>
    <w:p w14:paraId="1A765F05" w14:textId="77777777" w:rsidR="002D70F1" w:rsidRPr="009D3DED" w:rsidRDefault="002D70F1" w:rsidP="00A65E8F">
      <w:pPr>
        <w:ind w:right="-2"/>
        <w:rPr>
          <w:szCs w:val="22"/>
          <w:lang w:val="sk-SK"/>
        </w:rPr>
      </w:pPr>
    </w:p>
    <w:p w14:paraId="4A281384" w14:textId="77777777" w:rsidR="002D70F1" w:rsidRPr="009D3DED" w:rsidRDefault="002D70F1" w:rsidP="00A65E8F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9D3DED">
        <w:rPr>
          <w:b/>
          <w:lang w:val="sk-SK"/>
        </w:rPr>
        <w:t>Čo potrebujete vedieť predtým, ako užijete</w:t>
      </w:r>
      <w:r w:rsidRPr="009D3DED">
        <w:rPr>
          <w:b/>
          <w:szCs w:val="22"/>
          <w:lang w:val="sk-SK"/>
        </w:rPr>
        <w:t xml:space="preserve">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</w:t>
      </w:r>
    </w:p>
    <w:p w14:paraId="7E817A7A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48449E1E" w14:textId="77777777" w:rsidR="002D70F1" w:rsidRPr="009D3DED" w:rsidRDefault="002D70F1" w:rsidP="00A65E8F">
      <w:pPr>
        <w:numPr>
          <w:ilvl w:val="12"/>
          <w:numId w:val="0"/>
        </w:numPr>
        <w:outlineLvl w:val="0"/>
        <w:rPr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Neužívajte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Plus:</w:t>
      </w:r>
      <w:r w:rsidRPr="009D3DED">
        <w:rPr>
          <w:b/>
          <w:bCs/>
          <w:szCs w:val="22"/>
          <w:lang w:val="sk-SK"/>
        </w:rPr>
        <w:fldChar w:fldCharType="begin"/>
      </w:r>
      <w:r w:rsidRPr="009D3DED">
        <w:rPr>
          <w:b/>
          <w:bCs/>
          <w:szCs w:val="22"/>
          <w:lang w:val="sk-SK"/>
        </w:rPr>
        <w:instrText xml:space="preserve"> DOCVARIABLE vault_nd_f73471f2-61b5-4224-bca0-5268fb45284f \* MERGEFORMAT </w:instrText>
      </w:r>
      <w:r w:rsidRPr="009D3DED">
        <w:rPr>
          <w:b/>
          <w:bCs/>
          <w:szCs w:val="22"/>
          <w:lang w:val="sk-SK"/>
        </w:rPr>
        <w:fldChar w:fldCharType="end"/>
      </w:r>
    </w:p>
    <w:p w14:paraId="0B72D239" w14:textId="31DC1994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ste alergický na </w:t>
      </w:r>
      <w:proofErr w:type="spellStart"/>
      <w:r w:rsidRPr="009D3DED">
        <w:rPr>
          <w:szCs w:val="22"/>
          <w:lang w:val="sk-SK"/>
        </w:rPr>
        <w:t>ibuprofén</w:t>
      </w:r>
      <w:proofErr w:type="spellEnd"/>
      <w:r w:rsidRPr="009D3DED">
        <w:rPr>
          <w:szCs w:val="22"/>
          <w:lang w:val="sk-SK"/>
        </w:rPr>
        <w:t>, kofeín alebo na ktorúkoľvek z ďalších zložiek tohto lieku (uveden</w:t>
      </w:r>
      <w:r w:rsidR="003E6BE9">
        <w:rPr>
          <w:szCs w:val="22"/>
          <w:lang w:val="sk-SK"/>
        </w:rPr>
        <w:t>ých</w:t>
      </w:r>
      <w:r w:rsidRPr="009D3DED">
        <w:rPr>
          <w:szCs w:val="22"/>
          <w:lang w:val="sk-SK"/>
        </w:rPr>
        <w:t xml:space="preserve"> v časti 6)</w:t>
      </w:r>
    </w:p>
    <w:p w14:paraId="4EF788B5" w14:textId="1EFFD32A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ste niekedy </w:t>
      </w:r>
      <w:r w:rsidR="003E6BE9">
        <w:rPr>
          <w:szCs w:val="22"/>
          <w:lang w:val="sk-SK"/>
        </w:rPr>
        <w:t>mali dýchavičnosť</w:t>
      </w:r>
      <w:r w:rsidRPr="009D3DED">
        <w:rPr>
          <w:szCs w:val="22"/>
          <w:lang w:val="sk-SK"/>
        </w:rPr>
        <w:t xml:space="preserve">, astmu, nádchu, opuch alebo žihľavku po užití kyseliny </w:t>
      </w:r>
      <w:proofErr w:type="spellStart"/>
      <w:r w:rsidRPr="009D3DED">
        <w:rPr>
          <w:szCs w:val="22"/>
          <w:lang w:val="sk-SK"/>
        </w:rPr>
        <w:t>acetylsalicylovej</w:t>
      </w:r>
      <w:proofErr w:type="spellEnd"/>
      <w:r w:rsidRPr="009D3DED">
        <w:rPr>
          <w:szCs w:val="22"/>
          <w:lang w:val="sk-SK"/>
        </w:rPr>
        <w:t xml:space="preserve"> alebo iných podobných liekov proti bolesti (NSAID)</w:t>
      </w:r>
    </w:p>
    <w:p w14:paraId="094463D8" w14:textId="5754B3BE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máte vred žalúdka alebo dvanástnika alebo krvácanie (alebo ste v minulosti mali dve alebo viac </w:t>
      </w:r>
      <w:r w:rsidR="003E6BE9">
        <w:rPr>
          <w:szCs w:val="22"/>
          <w:lang w:val="sk-SK"/>
        </w:rPr>
        <w:t>takýchto udalostí</w:t>
      </w:r>
      <w:r w:rsidRPr="009D3DED">
        <w:rPr>
          <w:szCs w:val="22"/>
          <w:lang w:val="sk-SK"/>
        </w:rPr>
        <w:t>)</w:t>
      </w:r>
    </w:p>
    <w:p w14:paraId="1FB71203" w14:textId="081B9330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>ak sa u vás v minulosti vyskytlo krvácanie do žalúdk</w:t>
      </w:r>
      <w:r w:rsidR="003E6BE9">
        <w:rPr>
          <w:szCs w:val="22"/>
          <w:lang w:val="sk-SK"/>
        </w:rPr>
        <w:t>a</w:t>
      </w:r>
      <w:r w:rsidRPr="009D3DED">
        <w:rPr>
          <w:szCs w:val="22"/>
          <w:lang w:val="sk-SK"/>
        </w:rPr>
        <w:t xml:space="preserve"> alebo čriev alebo </w:t>
      </w:r>
      <w:proofErr w:type="spellStart"/>
      <w:r w:rsidRPr="009D3DED">
        <w:rPr>
          <w:szCs w:val="22"/>
          <w:lang w:val="sk-SK"/>
        </w:rPr>
        <w:t>prederavanie</w:t>
      </w:r>
      <w:proofErr w:type="spellEnd"/>
      <w:r w:rsidRPr="009D3DED">
        <w:rPr>
          <w:szCs w:val="22"/>
          <w:lang w:val="sk-SK"/>
        </w:rPr>
        <w:t xml:space="preserve"> v súvislosti s predchádzajúcou liečbou NSAID</w:t>
      </w:r>
    </w:p>
    <w:p w14:paraId="4D3ACDF0" w14:textId="4E06EE3B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</w:t>
      </w:r>
      <w:r w:rsidR="003E6BE9">
        <w:rPr>
          <w:szCs w:val="22"/>
          <w:lang w:val="sk-SK"/>
        </w:rPr>
        <w:t>vám závažne zlyhávajú</w:t>
      </w:r>
      <w:r w:rsidRPr="009D3DED">
        <w:rPr>
          <w:szCs w:val="22"/>
          <w:lang w:val="sk-SK"/>
        </w:rPr>
        <w:t xml:space="preserve"> oblič</w:t>
      </w:r>
      <w:r w:rsidR="003E6BE9">
        <w:rPr>
          <w:szCs w:val="22"/>
          <w:lang w:val="sk-SK"/>
        </w:rPr>
        <w:t>ky</w:t>
      </w:r>
      <w:r w:rsidRPr="009D3DED">
        <w:rPr>
          <w:szCs w:val="22"/>
          <w:lang w:val="sk-SK"/>
        </w:rPr>
        <w:t xml:space="preserve"> alebo peče</w:t>
      </w:r>
      <w:r w:rsidR="003E6BE9">
        <w:rPr>
          <w:szCs w:val="22"/>
          <w:lang w:val="sk-SK"/>
        </w:rPr>
        <w:t>ň</w:t>
      </w:r>
    </w:p>
    <w:p w14:paraId="63FB49A6" w14:textId="069B42FC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lastRenderedPageBreak/>
        <w:t xml:space="preserve">ak </w:t>
      </w:r>
      <w:r w:rsidR="003E6BE9">
        <w:rPr>
          <w:szCs w:val="22"/>
          <w:lang w:val="sk-SK"/>
        </w:rPr>
        <w:t>vám závažne zlyháva srdce</w:t>
      </w:r>
    </w:p>
    <w:p w14:paraId="3A4560DD" w14:textId="7E87661E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</w:t>
      </w:r>
      <w:r w:rsidR="003E6BE9">
        <w:rPr>
          <w:szCs w:val="22"/>
          <w:lang w:val="sk-SK"/>
        </w:rPr>
        <w:t>krvácate v mozgovo-cievnej oblasti</w:t>
      </w:r>
      <w:r w:rsidR="00176C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alebo </w:t>
      </w:r>
      <w:r w:rsidR="003E6BE9">
        <w:rPr>
          <w:szCs w:val="22"/>
          <w:lang w:val="sk-SK"/>
        </w:rPr>
        <w:t xml:space="preserve">máte </w:t>
      </w:r>
      <w:r w:rsidRPr="009D3DED">
        <w:rPr>
          <w:szCs w:val="22"/>
          <w:lang w:val="sk-SK"/>
        </w:rPr>
        <w:t>in</w:t>
      </w:r>
      <w:r w:rsidR="003E6BE9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aktívn</w:t>
      </w:r>
      <w:r w:rsidR="003E6BE9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krvácan</w:t>
      </w:r>
      <w:r w:rsidR="003E6BE9">
        <w:rPr>
          <w:szCs w:val="22"/>
          <w:lang w:val="sk-SK"/>
        </w:rPr>
        <w:t>ie</w:t>
      </w:r>
    </w:p>
    <w:p w14:paraId="12A1C5EB" w14:textId="74FDF76E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</w:t>
      </w:r>
      <w:r w:rsidR="003E6BE9">
        <w:rPr>
          <w:szCs w:val="22"/>
          <w:lang w:val="sk-SK"/>
        </w:rPr>
        <w:t>máte</w:t>
      </w:r>
      <w:r w:rsidRPr="009D3DED">
        <w:rPr>
          <w:szCs w:val="22"/>
          <w:lang w:val="sk-SK"/>
        </w:rPr>
        <w:t xml:space="preserve"> neobjasnenú poruchu krvotvorby</w:t>
      </w:r>
    </w:p>
    <w:p w14:paraId="633294B9" w14:textId="74D7589A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</w:t>
      </w:r>
      <w:r w:rsidR="003E6BE9">
        <w:rPr>
          <w:szCs w:val="22"/>
          <w:lang w:val="sk-SK"/>
        </w:rPr>
        <w:t>ste</w:t>
      </w:r>
      <w:r w:rsidRPr="009D3DED">
        <w:rPr>
          <w:szCs w:val="22"/>
          <w:lang w:val="sk-SK"/>
        </w:rPr>
        <w:t xml:space="preserve"> závažn</w:t>
      </w:r>
      <w:r w:rsidR="003E6BE9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dehydrat</w:t>
      </w:r>
      <w:r w:rsidR="003E6BE9">
        <w:rPr>
          <w:szCs w:val="22"/>
          <w:lang w:val="sk-SK"/>
        </w:rPr>
        <w:t>ovaný</w:t>
      </w:r>
      <w:r w:rsidRPr="009D3DED">
        <w:rPr>
          <w:szCs w:val="22"/>
          <w:lang w:val="sk-SK"/>
        </w:rPr>
        <w:t xml:space="preserve"> (spôsoben</w:t>
      </w:r>
      <w:r w:rsidR="003E6BE9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vracaním, hnačkou alebo nedostatočným príjmom tekutín)</w:t>
      </w:r>
    </w:p>
    <w:p w14:paraId="26805A92" w14:textId="77777777" w:rsidR="002D70F1" w:rsidRPr="009D3DED" w:rsidRDefault="002D70F1" w:rsidP="00A65E8F">
      <w:pPr>
        <w:numPr>
          <w:ilvl w:val="0"/>
          <w:numId w:val="11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>ak ste v posledných 3 mesiacoch tehotenstva</w:t>
      </w:r>
      <w:r w:rsidRPr="009D3DED">
        <w:rPr>
          <w:szCs w:val="22"/>
          <w:lang w:val="sk-SK"/>
        </w:rPr>
        <w:fldChar w:fldCharType="begin"/>
      </w:r>
      <w:r w:rsidRPr="009D3DED">
        <w:rPr>
          <w:szCs w:val="22"/>
          <w:lang w:val="sk-SK"/>
        </w:rPr>
        <w:instrText xml:space="preserve"> DOCVARIABLE vault_nd_c6548f3c-781e-4f48-8d17-9711c08c8c71 \* MERGEFORMAT </w:instrText>
      </w:r>
      <w:r w:rsidRPr="009D3DED">
        <w:rPr>
          <w:szCs w:val="22"/>
          <w:lang w:val="sk-SK"/>
        </w:rPr>
        <w:fldChar w:fldCharType="end"/>
      </w:r>
    </w:p>
    <w:p w14:paraId="251F52F4" w14:textId="77777777" w:rsidR="002D70F1" w:rsidRPr="009D3DED" w:rsidRDefault="002D70F1" w:rsidP="00A65E8F">
      <w:pPr>
        <w:ind w:left="720"/>
        <w:outlineLvl w:val="0"/>
        <w:rPr>
          <w:szCs w:val="22"/>
          <w:lang w:val="sk-SK"/>
        </w:rPr>
      </w:pPr>
    </w:p>
    <w:p w14:paraId="3DBE3228" w14:textId="77777777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9D3DED">
        <w:rPr>
          <w:b/>
          <w:szCs w:val="22"/>
          <w:lang w:val="sk-SK"/>
        </w:rPr>
        <w:t>Upozornenia a opatrenia</w:t>
      </w:r>
    </w:p>
    <w:p w14:paraId="7128BDD6" w14:textId="046F0795" w:rsidR="002D70F1" w:rsidRPr="009D3DED" w:rsidRDefault="002D70F1" w:rsidP="00A65E8F">
      <w:pPr>
        <w:numPr>
          <w:ilvl w:val="12"/>
          <w:numId w:val="0"/>
        </w:numPr>
        <w:rPr>
          <w:b/>
          <w:szCs w:val="22"/>
          <w:lang w:val="sk-SK"/>
        </w:rPr>
      </w:pPr>
      <w:r w:rsidRPr="009D3DED">
        <w:rPr>
          <w:szCs w:val="22"/>
          <w:lang w:val="sk-SK"/>
        </w:rPr>
        <w:t xml:space="preserve">Pred užitím </w:t>
      </w:r>
      <w:proofErr w:type="spellStart"/>
      <w:r w:rsidRPr="009D3DED">
        <w:rPr>
          <w:b/>
          <w:bCs/>
          <w:szCs w:val="22"/>
          <w:lang w:val="sk-SK"/>
        </w:rPr>
        <w:t>Ibalgin</w:t>
      </w:r>
      <w:r w:rsidR="00833C7C">
        <w:rPr>
          <w:b/>
          <w:bCs/>
          <w:szCs w:val="22"/>
          <w:lang w:val="sk-SK"/>
        </w:rPr>
        <w:t>u</w:t>
      </w:r>
      <w:proofErr w:type="spellEnd"/>
      <w:r w:rsidRPr="009D3DED">
        <w:rPr>
          <w:b/>
          <w:bCs/>
          <w:szCs w:val="22"/>
          <w:lang w:val="sk-SK"/>
        </w:rPr>
        <w:t xml:space="preserve"> Plus</w:t>
      </w:r>
      <w:r w:rsidRPr="009D3DED">
        <w:rPr>
          <w:szCs w:val="22"/>
          <w:lang w:val="sk-SK"/>
        </w:rPr>
        <w:t xml:space="preserve"> sa poraďte so svojím lekárom alebo lekárnikom</w:t>
      </w:r>
      <w:r w:rsidRPr="009D3DED">
        <w:rPr>
          <w:b/>
          <w:szCs w:val="22"/>
          <w:lang w:val="sk-SK"/>
        </w:rPr>
        <w:t>:</w:t>
      </w:r>
    </w:p>
    <w:p w14:paraId="4307A3B8" w14:textId="77777777" w:rsidR="002D70F1" w:rsidRPr="009D3DED" w:rsidRDefault="002D70F1" w:rsidP="00A65E8F">
      <w:pPr>
        <w:numPr>
          <w:ilvl w:val="12"/>
          <w:numId w:val="0"/>
        </w:numPr>
        <w:rPr>
          <w:b/>
          <w:szCs w:val="22"/>
          <w:lang w:val="sk-SK"/>
        </w:rPr>
      </w:pPr>
    </w:p>
    <w:p w14:paraId="17208FC1" w14:textId="2B2E516C" w:rsidR="002D70F1" w:rsidRPr="00F80F72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80F72">
        <w:rPr>
          <w:szCs w:val="22"/>
          <w:lang w:val="sk-SK"/>
        </w:rPr>
        <w:t xml:space="preserve">ak sa </w:t>
      </w:r>
      <w:proofErr w:type="spellStart"/>
      <w:r w:rsidRPr="00F80F72">
        <w:rPr>
          <w:szCs w:val="22"/>
          <w:lang w:val="sk-SK"/>
        </w:rPr>
        <w:t>Ibalgin</w:t>
      </w:r>
      <w:proofErr w:type="spellEnd"/>
      <w:r w:rsidRPr="00F80F72">
        <w:rPr>
          <w:szCs w:val="22"/>
          <w:lang w:val="sk-SK"/>
        </w:rPr>
        <w:t xml:space="preserve"> Plus užíva na iné typy bolesti ako bolesť zubov a hlavy, </w:t>
      </w:r>
      <w:r w:rsidR="00833C7C">
        <w:rPr>
          <w:szCs w:val="22"/>
          <w:lang w:val="sk-SK"/>
        </w:rPr>
        <w:t>účinok</w:t>
      </w:r>
      <w:r w:rsidRPr="00F80F72">
        <w:rPr>
          <w:szCs w:val="22"/>
          <w:lang w:val="sk-SK"/>
        </w:rPr>
        <w:t xml:space="preserve"> </w:t>
      </w:r>
      <w:proofErr w:type="spellStart"/>
      <w:r w:rsidRPr="00F80F72">
        <w:rPr>
          <w:szCs w:val="22"/>
          <w:lang w:val="sk-SK"/>
        </w:rPr>
        <w:t>Ibalgin</w:t>
      </w:r>
      <w:r w:rsidR="00833C7C">
        <w:rPr>
          <w:szCs w:val="22"/>
          <w:lang w:val="sk-SK"/>
        </w:rPr>
        <w:t>u</w:t>
      </w:r>
      <w:proofErr w:type="spellEnd"/>
      <w:r w:rsidRPr="00F80F72">
        <w:rPr>
          <w:szCs w:val="22"/>
          <w:lang w:val="sk-SK"/>
        </w:rPr>
        <w:t xml:space="preserve"> Plus môže byť rôzny podľa typu bolesti (napr. pr</w:t>
      </w:r>
      <w:r w:rsidR="00833C7C">
        <w:rPr>
          <w:szCs w:val="22"/>
          <w:lang w:val="sk-SK"/>
        </w:rPr>
        <w:t>í</w:t>
      </w:r>
      <w:r w:rsidRPr="00F80F72">
        <w:rPr>
          <w:szCs w:val="22"/>
          <w:lang w:val="sk-SK"/>
        </w:rPr>
        <w:t xml:space="preserve">nos nebol </w:t>
      </w:r>
      <w:r w:rsidR="00833C7C">
        <w:rPr>
          <w:szCs w:val="22"/>
          <w:lang w:val="sk-SK"/>
        </w:rPr>
        <w:t>vyhodnotený</w:t>
      </w:r>
      <w:r w:rsidRPr="00F80F72">
        <w:rPr>
          <w:szCs w:val="22"/>
          <w:lang w:val="sk-SK"/>
        </w:rPr>
        <w:t xml:space="preserve"> pri bolesti chrbta alebo bolesti krku)</w:t>
      </w:r>
      <w:r w:rsidR="000B5CCB">
        <w:rPr>
          <w:szCs w:val="22"/>
          <w:lang w:val="sk-SK"/>
        </w:rPr>
        <w:t>.</w:t>
      </w:r>
    </w:p>
    <w:p w14:paraId="5737A4A5" w14:textId="19C61EF9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ak máte alebo ste v minulosti mali astmu alebo alergické ochorenie, pretože môže dôjsť k</w:t>
      </w:r>
      <w:r w:rsidR="000B5CCB">
        <w:rPr>
          <w:szCs w:val="22"/>
          <w:lang w:val="sk-SK"/>
        </w:rPr>
        <w:t> </w:t>
      </w:r>
      <w:r w:rsidRPr="009D3DED">
        <w:rPr>
          <w:szCs w:val="22"/>
          <w:lang w:val="sk-SK"/>
        </w:rPr>
        <w:t>dýchavičnosti</w:t>
      </w:r>
      <w:r w:rsidR="000B5CCB">
        <w:rPr>
          <w:szCs w:val="22"/>
          <w:lang w:val="sk-SK"/>
        </w:rPr>
        <w:t>.</w:t>
      </w:r>
    </w:p>
    <w:p w14:paraId="0CB43D5D" w14:textId="609EEA02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</w:t>
      </w:r>
      <w:r w:rsidR="00704E52">
        <w:rPr>
          <w:szCs w:val="22"/>
          <w:lang w:val="sk-SK"/>
        </w:rPr>
        <w:t>máte</w:t>
      </w:r>
      <w:r w:rsidRPr="009D3DED">
        <w:rPr>
          <w:szCs w:val="22"/>
          <w:lang w:val="sk-SK"/>
        </w:rPr>
        <w:t xml:space="preserve"> senn</w:t>
      </w:r>
      <w:r w:rsidR="00704E52">
        <w:rPr>
          <w:szCs w:val="22"/>
          <w:lang w:val="sk-SK"/>
        </w:rPr>
        <w:t>ú</w:t>
      </w:r>
      <w:r w:rsidRPr="009D3DED">
        <w:rPr>
          <w:szCs w:val="22"/>
          <w:lang w:val="sk-SK"/>
        </w:rPr>
        <w:t xml:space="preserve"> nádchu, noso</w:t>
      </w:r>
      <w:r w:rsidR="00704E52">
        <w:rPr>
          <w:szCs w:val="22"/>
          <w:lang w:val="sk-SK"/>
        </w:rPr>
        <w:t>vé</w:t>
      </w:r>
      <w:r w:rsidRPr="009D3DED">
        <w:rPr>
          <w:szCs w:val="22"/>
          <w:lang w:val="sk-SK"/>
        </w:rPr>
        <w:t xml:space="preserve"> polyp</w:t>
      </w:r>
      <w:r w:rsidR="00704E52">
        <w:rPr>
          <w:szCs w:val="22"/>
          <w:lang w:val="sk-SK"/>
        </w:rPr>
        <w:t>y</w:t>
      </w:r>
      <w:r w:rsidRPr="009D3DED">
        <w:rPr>
          <w:szCs w:val="22"/>
          <w:lang w:val="sk-SK"/>
        </w:rPr>
        <w:t xml:space="preserve"> alebo chronick</w:t>
      </w:r>
      <w:r w:rsidR="00704E52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obštrukčn</w:t>
      </w:r>
      <w:r w:rsidR="00704E52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</w:t>
      </w:r>
      <w:r w:rsidR="00704E52">
        <w:rPr>
          <w:szCs w:val="22"/>
          <w:lang w:val="sk-SK"/>
        </w:rPr>
        <w:t>dýchacie</w:t>
      </w:r>
      <w:r w:rsidRPr="009D3DED">
        <w:rPr>
          <w:szCs w:val="22"/>
          <w:lang w:val="sk-SK"/>
        </w:rPr>
        <w:t xml:space="preserve"> </w:t>
      </w:r>
      <w:r w:rsidR="00704E52">
        <w:rPr>
          <w:szCs w:val="22"/>
          <w:lang w:val="sk-SK"/>
        </w:rPr>
        <w:t>ochorenie</w:t>
      </w:r>
      <w:r w:rsidRPr="009D3DED">
        <w:rPr>
          <w:szCs w:val="22"/>
          <w:lang w:val="sk-SK"/>
        </w:rPr>
        <w:t xml:space="preserve">, pretože existuje zvýšené riziko alergických reakcií. Alergické reakcie sa môžu prejaviť ako astmatické záchvaty (tzv. analgetická astma), </w:t>
      </w:r>
      <w:proofErr w:type="spellStart"/>
      <w:r w:rsidRPr="009D3DED">
        <w:rPr>
          <w:szCs w:val="22"/>
          <w:lang w:val="sk-SK"/>
        </w:rPr>
        <w:t>Quinckeho</w:t>
      </w:r>
      <w:proofErr w:type="spellEnd"/>
      <w:r w:rsidRPr="009D3DED">
        <w:rPr>
          <w:szCs w:val="22"/>
          <w:lang w:val="sk-SK"/>
        </w:rPr>
        <w:t xml:space="preserve"> edém alebo žihľavka</w:t>
      </w:r>
      <w:r w:rsidR="000B5CCB">
        <w:rPr>
          <w:szCs w:val="22"/>
          <w:lang w:val="sk-SK"/>
        </w:rPr>
        <w:t>.</w:t>
      </w:r>
    </w:p>
    <w:p w14:paraId="79A2D014" w14:textId="4B84275E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ak máte ochorenie pečene</w:t>
      </w:r>
      <w:r w:rsidR="000B5CCB">
        <w:rPr>
          <w:szCs w:val="22"/>
          <w:lang w:val="sk-SK"/>
        </w:rPr>
        <w:t>.</w:t>
      </w:r>
    </w:p>
    <w:p w14:paraId="7615916A" w14:textId="27E7166B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ak máte zníženú funkciu obličiek</w:t>
      </w:r>
      <w:r w:rsidR="000B5CCB">
        <w:rPr>
          <w:szCs w:val="22"/>
          <w:lang w:val="sk-SK"/>
        </w:rPr>
        <w:t>.</w:t>
      </w:r>
    </w:p>
    <w:p w14:paraId="34787CFB" w14:textId="6753D578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užívate lieky, ktoré sa navzájom ovplyvňujú s </w:t>
      </w:r>
      <w:proofErr w:type="spellStart"/>
      <w:r w:rsidRPr="009D3DED">
        <w:rPr>
          <w:szCs w:val="22"/>
          <w:lang w:val="sk-SK"/>
        </w:rPr>
        <w:t>Ibalgin</w:t>
      </w:r>
      <w:r w:rsidR="00704E52">
        <w:rPr>
          <w:szCs w:val="22"/>
          <w:lang w:val="sk-SK"/>
        </w:rPr>
        <w:t>om</w:t>
      </w:r>
      <w:proofErr w:type="spellEnd"/>
      <w:r w:rsidRPr="009D3DED">
        <w:rPr>
          <w:szCs w:val="22"/>
          <w:lang w:val="sk-SK"/>
        </w:rPr>
        <w:t xml:space="preserve"> Plus, ako sú kortikosteroidy, lieky na riedenie krvi (napr. </w:t>
      </w:r>
      <w:proofErr w:type="spellStart"/>
      <w:r w:rsidRPr="009D3DED">
        <w:rPr>
          <w:szCs w:val="22"/>
          <w:lang w:val="sk-SK"/>
        </w:rPr>
        <w:t>warfarín</w:t>
      </w:r>
      <w:proofErr w:type="spellEnd"/>
      <w:r w:rsidRPr="009D3DED">
        <w:rPr>
          <w:szCs w:val="22"/>
          <w:lang w:val="sk-SK"/>
        </w:rPr>
        <w:t xml:space="preserve">), selektívne inhibítory spätného vychytávania </w:t>
      </w:r>
      <w:proofErr w:type="spellStart"/>
      <w:r w:rsidRPr="009D3DED">
        <w:rPr>
          <w:szCs w:val="22"/>
          <w:lang w:val="sk-SK"/>
        </w:rPr>
        <w:t>s</w:t>
      </w:r>
      <w:r>
        <w:rPr>
          <w:szCs w:val="22"/>
          <w:lang w:val="sk-SK"/>
        </w:rPr>
        <w:t>é</w:t>
      </w:r>
      <w:r w:rsidRPr="009D3DED">
        <w:rPr>
          <w:szCs w:val="22"/>
          <w:lang w:val="sk-SK"/>
        </w:rPr>
        <w:t>rotonínu</w:t>
      </w:r>
      <w:proofErr w:type="spellEnd"/>
      <w:r w:rsidRPr="009D3DED">
        <w:rPr>
          <w:szCs w:val="22"/>
          <w:lang w:val="sk-SK"/>
        </w:rPr>
        <w:t xml:space="preserve"> (lieky používané na liečbu depresie) alebo </w:t>
      </w:r>
      <w:r w:rsidR="00704E52">
        <w:rPr>
          <w:szCs w:val="22"/>
          <w:lang w:val="sk-SK"/>
        </w:rPr>
        <w:t>lieky proti zhlukovaniu krvných doštičiek</w:t>
      </w:r>
      <w:r w:rsidRPr="009D3DED">
        <w:rPr>
          <w:szCs w:val="22"/>
          <w:lang w:val="sk-SK"/>
        </w:rPr>
        <w:t xml:space="preserve"> (napr. kyselina </w:t>
      </w:r>
      <w:proofErr w:type="spellStart"/>
      <w:r w:rsidRPr="009D3DED">
        <w:rPr>
          <w:szCs w:val="22"/>
          <w:lang w:val="sk-SK"/>
        </w:rPr>
        <w:t>acetylsalicylová</w:t>
      </w:r>
      <w:proofErr w:type="spellEnd"/>
      <w:r w:rsidRPr="009D3DED">
        <w:rPr>
          <w:szCs w:val="22"/>
          <w:lang w:val="sk-SK"/>
        </w:rPr>
        <w:t xml:space="preserve"> (pozri časť "Iné lieky a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Plus“)</w:t>
      </w:r>
      <w:r w:rsidR="000B5CCB">
        <w:rPr>
          <w:szCs w:val="22"/>
          <w:lang w:val="sk-SK"/>
        </w:rPr>
        <w:t>.</w:t>
      </w:r>
    </w:p>
    <w:p w14:paraId="0D5F6B33" w14:textId="16314B31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ak máte alebo ste niekedy mali črevné ochorenie (</w:t>
      </w:r>
      <w:proofErr w:type="spellStart"/>
      <w:r w:rsidRPr="009D3DED">
        <w:rPr>
          <w:szCs w:val="22"/>
          <w:lang w:val="sk-SK"/>
        </w:rPr>
        <w:t>ulcerózn</w:t>
      </w:r>
      <w:r>
        <w:rPr>
          <w:szCs w:val="22"/>
          <w:lang w:val="sk-SK"/>
        </w:rPr>
        <w:t>u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kolitíd</w:t>
      </w:r>
      <w:r>
        <w:rPr>
          <w:szCs w:val="22"/>
          <w:lang w:val="sk-SK"/>
        </w:rPr>
        <w:t>u</w:t>
      </w:r>
      <w:proofErr w:type="spellEnd"/>
      <w:r w:rsidRPr="009D3DED">
        <w:rPr>
          <w:szCs w:val="22"/>
          <w:lang w:val="sk-SK"/>
        </w:rPr>
        <w:t xml:space="preserve"> alebo </w:t>
      </w:r>
      <w:proofErr w:type="spellStart"/>
      <w:r w:rsidRPr="009D3DED">
        <w:rPr>
          <w:szCs w:val="22"/>
          <w:lang w:val="sk-SK"/>
        </w:rPr>
        <w:t>Crohnov</w:t>
      </w:r>
      <w:r>
        <w:rPr>
          <w:szCs w:val="22"/>
          <w:lang w:val="sk-SK"/>
        </w:rPr>
        <w:t>u</w:t>
      </w:r>
      <w:proofErr w:type="spellEnd"/>
      <w:r w:rsidRPr="009D3DED">
        <w:rPr>
          <w:szCs w:val="22"/>
          <w:lang w:val="sk-SK"/>
        </w:rPr>
        <w:t xml:space="preserve"> chorob</w:t>
      </w:r>
      <w:r>
        <w:rPr>
          <w:szCs w:val="22"/>
          <w:lang w:val="sk-SK"/>
        </w:rPr>
        <w:t>u</w:t>
      </w:r>
      <w:r w:rsidRPr="009D3DED">
        <w:rPr>
          <w:szCs w:val="22"/>
          <w:lang w:val="sk-SK"/>
        </w:rPr>
        <w:t>)</w:t>
      </w:r>
      <w:r w:rsidR="000B5CCB">
        <w:rPr>
          <w:szCs w:val="22"/>
          <w:lang w:val="sk-SK"/>
        </w:rPr>
        <w:t>.</w:t>
      </w:r>
    </w:p>
    <w:p w14:paraId="20A037FB" w14:textId="57F925A3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máte srdcové problémy, vrátane </w:t>
      </w:r>
      <w:r w:rsidR="00463AD8">
        <w:rPr>
          <w:szCs w:val="22"/>
          <w:lang w:val="sk-SK"/>
        </w:rPr>
        <w:t>zlyhávania srdca</w:t>
      </w:r>
      <w:r w:rsidRPr="009D3DED">
        <w:rPr>
          <w:szCs w:val="22"/>
          <w:lang w:val="sk-SK"/>
        </w:rPr>
        <w:t xml:space="preserve">, angíny </w:t>
      </w:r>
      <w:proofErr w:type="spellStart"/>
      <w:r w:rsidRPr="009D3DED">
        <w:rPr>
          <w:szCs w:val="22"/>
          <w:lang w:val="sk-SK"/>
        </w:rPr>
        <w:t>pe</w:t>
      </w:r>
      <w:r w:rsidR="001E3C79">
        <w:rPr>
          <w:szCs w:val="22"/>
          <w:lang w:val="sk-SK"/>
        </w:rPr>
        <w:t>k</w:t>
      </w:r>
      <w:r w:rsidRPr="009D3DED">
        <w:rPr>
          <w:szCs w:val="22"/>
          <w:lang w:val="sk-SK"/>
        </w:rPr>
        <w:t>toris</w:t>
      </w:r>
      <w:proofErr w:type="spellEnd"/>
      <w:r w:rsidRPr="009D3DED">
        <w:rPr>
          <w:szCs w:val="22"/>
          <w:lang w:val="sk-SK"/>
        </w:rPr>
        <w:t xml:space="preserve"> (bolesť na hrudníku), alebo ak ste prekonali infarkt, </w:t>
      </w:r>
      <w:r w:rsidRPr="00463AD8">
        <w:rPr>
          <w:szCs w:val="22"/>
          <w:lang w:val="sk-SK"/>
        </w:rPr>
        <w:t xml:space="preserve">ste po </w:t>
      </w:r>
      <w:proofErr w:type="spellStart"/>
      <w:r w:rsidRPr="00463AD8">
        <w:rPr>
          <w:szCs w:val="22"/>
          <w:lang w:val="sk-SK"/>
        </w:rPr>
        <w:t>bypass</w:t>
      </w:r>
      <w:r w:rsidR="00463AD8" w:rsidRPr="00966564">
        <w:rPr>
          <w:szCs w:val="22"/>
          <w:lang w:val="sk-SK"/>
        </w:rPr>
        <w:t>e</w:t>
      </w:r>
      <w:proofErr w:type="spellEnd"/>
      <w:r w:rsidR="00463AD8">
        <w:rPr>
          <w:szCs w:val="22"/>
          <w:lang w:val="sk-SK"/>
        </w:rPr>
        <w:t xml:space="preserve"> (operácia srdca)</w:t>
      </w:r>
      <w:r w:rsidRPr="00463AD8">
        <w:rPr>
          <w:szCs w:val="22"/>
          <w:lang w:val="sk-SK"/>
        </w:rPr>
        <w:t xml:space="preserve">, </w:t>
      </w:r>
      <w:r w:rsidR="00463AD8" w:rsidRPr="00463AD8">
        <w:rPr>
          <w:szCs w:val="22"/>
          <w:lang w:val="sk-SK"/>
        </w:rPr>
        <w:t>máte</w:t>
      </w:r>
      <w:r w:rsidR="001E3C79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ochoren</w:t>
      </w:r>
      <w:r w:rsidR="00463AD8">
        <w:rPr>
          <w:szCs w:val="22"/>
          <w:lang w:val="sk-SK"/>
        </w:rPr>
        <w:t>ie</w:t>
      </w:r>
      <w:r w:rsidRPr="009D3DED">
        <w:rPr>
          <w:szCs w:val="22"/>
          <w:lang w:val="sk-SK"/>
        </w:rPr>
        <w:t xml:space="preserve"> periférnych ciev (zlý obeh krvi v predkolení alebo </w:t>
      </w:r>
      <w:r>
        <w:rPr>
          <w:szCs w:val="22"/>
          <w:lang w:val="sk-SK"/>
        </w:rPr>
        <w:t>nohách</w:t>
      </w:r>
      <w:r w:rsidRPr="009D3DED">
        <w:rPr>
          <w:szCs w:val="22"/>
          <w:lang w:val="sk-SK"/>
        </w:rPr>
        <w:t xml:space="preserve"> v dôsledku zúženia alebo upchatia tepien) alebo akýkoľvek druh cievnej mozgovej príhody (vrátane "</w:t>
      </w:r>
      <w:proofErr w:type="spellStart"/>
      <w:r w:rsidRPr="009D3DED">
        <w:rPr>
          <w:szCs w:val="22"/>
          <w:lang w:val="sk-SK"/>
        </w:rPr>
        <w:t>minimŕtvice</w:t>
      </w:r>
      <w:proofErr w:type="spellEnd"/>
      <w:r w:rsidRPr="009D3DED">
        <w:rPr>
          <w:szCs w:val="22"/>
          <w:lang w:val="sk-SK"/>
        </w:rPr>
        <w:t xml:space="preserve">" alebo </w:t>
      </w:r>
      <w:proofErr w:type="spellStart"/>
      <w:r w:rsidRPr="009D3DED">
        <w:rPr>
          <w:szCs w:val="22"/>
          <w:lang w:val="sk-SK"/>
        </w:rPr>
        <w:t>tranzitórneho</w:t>
      </w:r>
      <w:proofErr w:type="spellEnd"/>
      <w:r w:rsidRPr="009D3DED">
        <w:rPr>
          <w:szCs w:val="22"/>
          <w:lang w:val="sk-SK"/>
        </w:rPr>
        <w:t xml:space="preserve"> (prechodného) ischemického ataku "TIA").</w:t>
      </w:r>
    </w:p>
    <w:p w14:paraId="3D90515B" w14:textId="4CDBE6B3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ak máte vysoký krvný tlak, cukrovku, vysoký cholesterol, alebo máte v</w:t>
      </w:r>
      <w:r w:rsidR="000B5CCB">
        <w:rPr>
          <w:szCs w:val="22"/>
          <w:lang w:val="sk-SK"/>
        </w:rPr>
        <w:t> </w:t>
      </w:r>
      <w:r w:rsidRPr="009D3DED">
        <w:rPr>
          <w:szCs w:val="22"/>
          <w:lang w:val="sk-SK"/>
        </w:rPr>
        <w:t>rodinne</w:t>
      </w:r>
      <w:r w:rsidR="000B5CCB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srdcové ochorenie alebo cievnu mozgovú príhodu, alebo ak fajčíte.</w:t>
      </w:r>
    </w:p>
    <w:p w14:paraId="648DDA3C" w14:textId="7C1E4E2B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ste niekedy mali vysoký krvný tlak a/alebo </w:t>
      </w:r>
      <w:r w:rsidR="00463AD8">
        <w:rPr>
          <w:szCs w:val="22"/>
          <w:lang w:val="sk-SK"/>
        </w:rPr>
        <w:t>zlyhanie srdca</w:t>
      </w:r>
      <w:r w:rsidR="000B5CCB">
        <w:rPr>
          <w:szCs w:val="22"/>
          <w:lang w:val="sk-SK"/>
        </w:rPr>
        <w:t>.</w:t>
      </w:r>
    </w:p>
    <w:p w14:paraId="30FA2942" w14:textId="31A9D0BE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bezprostredne po </w:t>
      </w:r>
      <w:r w:rsidR="00463AD8">
        <w:rPr>
          <w:szCs w:val="22"/>
          <w:lang w:val="sk-SK"/>
        </w:rPr>
        <w:t>rozsiahlej</w:t>
      </w:r>
      <w:r w:rsidRPr="009D3DED">
        <w:rPr>
          <w:szCs w:val="22"/>
          <w:lang w:val="sk-SK"/>
        </w:rPr>
        <w:t xml:space="preserve"> operácii sa </w:t>
      </w:r>
      <w:r>
        <w:rPr>
          <w:szCs w:val="22"/>
          <w:lang w:val="sk-SK"/>
        </w:rPr>
        <w:t xml:space="preserve">obzvlášť </w:t>
      </w:r>
      <w:r w:rsidRPr="009D3DED">
        <w:rPr>
          <w:szCs w:val="22"/>
          <w:lang w:val="sk-SK"/>
        </w:rPr>
        <w:t>vyžaduje lekársky dohľad</w:t>
      </w:r>
      <w:r w:rsidR="000B5CCB">
        <w:rPr>
          <w:szCs w:val="22"/>
          <w:lang w:val="sk-SK"/>
        </w:rPr>
        <w:t>.</w:t>
      </w:r>
    </w:p>
    <w:p w14:paraId="080D8D51" w14:textId="5AB9CC15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</w:t>
      </w:r>
      <w:r w:rsidR="00463AD8">
        <w:rPr>
          <w:szCs w:val="22"/>
          <w:lang w:val="sk-SK"/>
        </w:rPr>
        <w:t>máte</w:t>
      </w:r>
      <w:r w:rsidR="00463AD8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poruch</w:t>
      </w:r>
      <w:r w:rsidR="00463AD8"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zráža</w:t>
      </w:r>
      <w:r w:rsidR="00463AD8">
        <w:rPr>
          <w:szCs w:val="22"/>
          <w:lang w:val="sk-SK"/>
        </w:rPr>
        <w:t>vosti</w:t>
      </w:r>
      <w:r w:rsidRPr="009D3DED">
        <w:rPr>
          <w:szCs w:val="22"/>
          <w:lang w:val="sk-SK"/>
        </w:rPr>
        <w:t xml:space="preserve"> krvi</w:t>
      </w:r>
      <w:r w:rsidR="000B5CCB">
        <w:rPr>
          <w:szCs w:val="22"/>
          <w:lang w:val="sk-SK"/>
        </w:rPr>
        <w:t>.</w:t>
      </w:r>
    </w:p>
    <w:p w14:paraId="0AF302B8" w14:textId="24D73146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ak máte dedičnú poruchu krvotvorby (napr. akútn</w:t>
      </w:r>
      <w:r>
        <w:rPr>
          <w:szCs w:val="22"/>
          <w:lang w:val="sk-SK"/>
        </w:rPr>
        <w:t>u</w:t>
      </w:r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intermitentn</w:t>
      </w:r>
      <w:r>
        <w:rPr>
          <w:szCs w:val="22"/>
          <w:lang w:val="sk-SK"/>
        </w:rPr>
        <w:t>ú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porfýri</w:t>
      </w:r>
      <w:r>
        <w:rPr>
          <w:szCs w:val="22"/>
          <w:lang w:val="sk-SK"/>
        </w:rPr>
        <w:t>u</w:t>
      </w:r>
      <w:proofErr w:type="spellEnd"/>
      <w:r w:rsidRPr="009D3DED">
        <w:rPr>
          <w:szCs w:val="22"/>
          <w:lang w:val="sk-SK"/>
        </w:rPr>
        <w:t>)</w:t>
      </w:r>
      <w:r w:rsidR="000B5CCB">
        <w:rPr>
          <w:szCs w:val="22"/>
          <w:lang w:val="sk-SK"/>
        </w:rPr>
        <w:t>.</w:t>
      </w:r>
    </w:p>
    <w:p w14:paraId="27BBF95A" w14:textId="6E8A16A1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</w:t>
      </w:r>
      <w:r w:rsidR="00463AD8">
        <w:rPr>
          <w:szCs w:val="22"/>
          <w:lang w:val="sk-SK"/>
        </w:rPr>
        <w:t>máte</w:t>
      </w:r>
      <w:r w:rsidRPr="009D3DED">
        <w:rPr>
          <w:szCs w:val="22"/>
          <w:lang w:val="sk-SK"/>
        </w:rPr>
        <w:t xml:space="preserve"> určit</w:t>
      </w:r>
      <w:r w:rsidR="00463AD8">
        <w:rPr>
          <w:szCs w:val="22"/>
          <w:lang w:val="sk-SK"/>
        </w:rPr>
        <w:t>é</w:t>
      </w:r>
      <w:r w:rsidRPr="009D3DED">
        <w:rPr>
          <w:szCs w:val="22"/>
          <w:lang w:val="sk-SK"/>
        </w:rPr>
        <w:t xml:space="preserve"> ochoreni</w:t>
      </w:r>
      <w:r w:rsidR="00463AD8">
        <w:rPr>
          <w:szCs w:val="22"/>
          <w:lang w:val="sk-SK"/>
        </w:rPr>
        <w:t>e</w:t>
      </w:r>
      <w:r w:rsidRPr="009D3DED">
        <w:rPr>
          <w:szCs w:val="22"/>
          <w:lang w:val="sk-SK"/>
        </w:rPr>
        <w:t xml:space="preserve"> kože (systémový </w:t>
      </w:r>
      <w:proofErr w:type="spellStart"/>
      <w:r w:rsidRPr="00BD2DB7">
        <w:rPr>
          <w:i/>
          <w:szCs w:val="22"/>
          <w:lang w:val="sk-SK"/>
        </w:rPr>
        <w:t>lupus</w:t>
      </w:r>
      <w:proofErr w:type="spellEnd"/>
      <w:r w:rsidRPr="00BD2DB7">
        <w:rPr>
          <w:i/>
          <w:szCs w:val="22"/>
          <w:lang w:val="sk-SK"/>
        </w:rPr>
        <w:t xml:space="preserve"> </w:t>
      </w:r>
      <w:proofErr w:type="spellStart"/>
      <w:r w:rsidRPr="00BD2DB7">
        <w:rPr>
          <w:i/>
          <w:szCs w:val="22"/>
          <w:lang w:val="sk-SK"/>
        </w:rPr>
        <w:t>erythematosus</w:t>
      </w:r>
      <w:proofErr w:type="spellEnd"/>
      <w:r w:rsidRPr="009D3DED">
        <w:rPr>
          <w:szCs w:val="22"/>
          <w:lang w:val="sk-SK"/>
        </w:rPr>
        <w:t xml:space="preserve"> (SLE) alebo zmiešané ochorenie spojivového tkaniva)</w:t>
      </w:r>
      <w:r w:rsidR="000B5CCB">
        <w:rPr>
          <w:szCs w:val="22"/>
          <w:lang w:val="sk-SK"/>
        </w:rPr>
        <w:t>.</w:t>
      </w:r>
    </w:p>
    <w:p w14:paraId="7159C77C" w14:textId="56BF1D6D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máte ovčie kiahne. V takom prípade je vhodné sa vyhnúť užitiu </w:t>
      </w:r>
      <w:proofErr w:type="spellStart"/>
      <w:r w:rsidRPr="009D3DED">
        <w:rPr>
          <w:szCs w:val="22"/>
          <w:lang w:val="sk-SK"/>
        </w:rPr>
        <w:t>Ibalgin</w:t>
      </w:r>
      <w:r w:rsidR="00463AD8">
        <w:rPr>
          <w:szCs w:val="22"/>
          <w:lang w:val="sk-SK"/>
        </w:rPr>
        <w:t>u</w:t>
      </w:r>
      <w:proofErr w:type="spellEnd"/>
      <w:r w:rsidRPr="009D3DED">
        <w:rPr>
          <w:szCs w:val="22"/>
          <w:lang w:val="sk-SK"/>
        </w:rPr>
        <w:t xml:space="preserve"> Plus</w:t>
      </w:r>
    </w:p>
    <w:p w14:paraId="1C46DF6D" w14:textId="42931447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máte zvýšenú aktivitu štítnej žľazy </w:t>
      </w:r>
      <w:r w:rsidR="00463AD8">
        <w:rPr>
          <w:szCs w:val="22"/>
          <w:lang w:val="sk-SK"/>
        </w:rPr>
        <w:t>(</w:t>
      </w:r>
      <w:proofErr w:type="spellStart"/>
      <w:r w:rsidRPr="009D3DED">
        <w:rPr>
          <w:szCs w:val="22"/>
          <w:lang w:val="sk-SK"/>
        </w:rPr>
        <w:t>hypertyre</w:t>
      </w:r>
      <w:r w:rsidR="00463AD8">
        <w:rPr>
          <w:szCs w:val="22"/>
          <w:lang w:val="sk-SK"/>
        </w:rPr>
        <w:t>ózu</w:t>
      </w:r>
      <w:proofErr w:type="spellEnd"/>
      <w:r w:rsidR="00463AD8">
        <w:rPr>
          <w:szCs w:val="22"/>
          <w:lang w:val="sk-SK"/>
        </w:rPr>
        <w:t>)</w:t>
      </w:r>
      <w:r w:rsidRPr="009D3DED">
        <w:rPr>
          <w:szCs w:val="22"/>
          <w:lang w:val="sk-SK"/>
        </w:rPr>
        <w:t xml:space="preserve"> (môže byť zvýšené riziko </w:t>
      </w:r>
      <w:r w:rsidR="00463AD8">
        <w:rPr>
          <w:szCs w:val="22"/>
          <w:lang w:val="sk-SK"/>
        </w:rPr>
        <w:t xml:space="preserve">vedľajších </w:t>
      </w:r>
      <w:r w:rsidRPr="009D3DED">
        <w:rPr>
          <w:szCs w:val="22"/>
          <w:lang w:val="sk-SK"/>
        </w:rPr>
        <w:t>účinkov kofeínu)</w:t>
      </w:r>
      <w:r w:rsidR="000B5CCB">
        <w:rPr>
          <w:szCs w:val="22"/>
          <w:lang w:val="sk-SK"/>
        </w:rPr>
        <w:t>.</w:t>
      </w:r>
    </w:p>
    <w:p w14:paraId="65F62A58" w14:textId="1F7DAFF4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užívate lieky obsahujúce </w:t>
      </w:r>
      <w:proofErr w:type="spellStart"/>
      <w:r w:rsidRPr="009D3DED">
        <w:rPr>
          <w:szCs w:val="22"/>
          <w:lang w:val="sk-SK"/>
        </w:rPr>
        <w:t>ibuprofén</w:t>
      </w:r>
      <w:proofErr w:type="spellEnd"/>
      <w:r w:rsidRPr="009D3DED">
        <w:rPr>
          <w:szCs w:val="22"/>
          <w:lang w:val="sk-SK"/>
        </w:rPr>
        <w:t xml:space="preserve"> dlhodobo (môže byť potrebná pravidelná kontrola pečeňových testov, funkcie obličiek a krvného obrazu</w:t>
      </w:r>
      <w:r w:rsidR="000B5CCB">
        <w:rPr>
          <w:szCs w:val="22"/>
          <w:lang w:val="sk-SK"/>
        </w:rPr>
        <w:t>.</w:t>
      </w:r>
    </w:p>
    <w:p w14:paraId="2FC35254" w14:textId="77777777" w:rsidR="002D70F1" w:rsidRPr="009D3DED" w:rsidRDefault="002D70F1" w:rsidP="00A65E8F">
      <w:pPr>
        <w:autoSpaceDE w:val="0"/>
        <w:autoSpaceDN w:val="0"/>
        <w:adjustRightInd w:val="0"/>
        <w:spacing w:line="240" w:lineRule="auto"/>
        <w:ind w:left="720"/>
        <w:rPr>
          <w:szCs w:val="22"/>
          <w:lang w:val="sk-SK"/>
        </w:rPr>
      </w:pPr>
    </w:p>
    <w:p w14:paraId="733A2A9E" w14:textId="77777777" w:rsidR="002D70F1" w:rsidRPr="009D3DED" w:rsidRDefault="002D70F1" w:rsidP="00A65E8F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9D3DED">
        <w:rPr>
          <w:b/>
          <w:bCs/>
          <w:szCs w:val="22"/>
          <w:lang w:val="sk-SK"/>
        </w:rPr>
        <w:t>Kožné reakcie</w:t>
      </w:r>
    </w:p>
    <w:p w14:paraId="1981E1E4" w14:textId="0C25B68F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V súvislosti s liečbou </w:t>
      </w:r>
      <w:proofErr w:type="spellStart"/>
      <w:r w:rsidRPr="009D3DED">
        <w:rPr>
          <w:szCs w:val="22"/>
          <w:lang w:val="sk-SK"/>
        </w:rPr>
        <w:t>Ibalgin</w:t>
      </w:r>
      <w:r w:rsidR="002D6BD9">
        <w:rPr>
          <w:szCs w:val="22"/>
          <w:lang w:val="sk-SK"/>
        </w:rPr>
        <w:t>om</w:t>
      </w:r>
      <w:proofErr w:type="spellEnd"/>
      <w:r w:rsidRPr="009D3DED">
        <w:rPr>
          <w:szCs w:val="22"/>
          <w:lang w:val="sk-SK"/>
        </w:rPr>
        <w:t xml:space="preserve"> Plus boli hlásené závažné kožné reakcie. Prestaňte užívať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Plus a okamžite vyhľadajte lekársku pomoc, ak sa u vás objavia kožné vyrážky, lézie na slizniciach, pľuzgiere alebo iné pr</w:t>
      </w:r>
      <w:r w:rsidR="002D6BD9">
        <w:rPr>
          <w:szCs w:val="22"/>
          <w:lang w:val="sk-SK"/>
        </w:rPr>
        <w:t>ejavy</w:t>
      </w:r>
      <w:r w:rsidRPr="009D3DED">
        <w:rPr>
          <w:szCs w:val="22"/>
          <w:lang w:val="sk-SK"/>
        </w:rPr>
        <w:t xml:space="preserve"> alergie, pretože  môže </w:t>
      </w:r>
      <w:r w:rsidR="002D6BD9">
        <w:rPr>
          <w:szCs w:val="22"/>
          <w:lang w:val="sk-SK"/>
        </w:rPr>
        <w:t> ísť o</w:t>
      </w:r>
      <w:r w:rsidRPr="009D3DED">
        <w:rPr>
          <w:szCs w:val="22"/>
          <w:lang w:val="sk-SK"/>
        </w:rPr>
        <w:t xml:space="preserve"> pr</w:t>
      </w:r>
      <w:r w:rsidR="002D6BD9">
        <w:rPr>
          <w:szCs w:val="22"/>
          <w:lang w:val="sk-SK"/>
        </w:rPr>
        <w:t>ejavy</w:t>
      </w:r>
      <w:r w:rsidRPr="009D3DED">
        <w:rPr>
          <w:szCs w:val="22"/>
          <w:lang w:val="sk-SK"/>
        </w:rPr>
        <w:t xml:space="preserve"> veľmi závažnej kožnej reakcie. Pozri časť 4.</w:t>
      </w:r>
    </w:p>
    <w:p w14:paraId="26C3B049" w14:textId="77777777" w:rsidR="002D70F1" w:rsidRPr="009D3DED" w:rsidRDefault="002D70F1" w:rsidP="00A65E8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C4EACCC" w14:textId="77777777" w:rsidR="002D70F1" w:rsidRPr="009D3DED" w:rsidRDefault="002D70F1" w:rsidP="00A65E8F">
      <w:pPr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Kontaktujte ihneď svojho lekára, ak sa u vás vyskytne:</w:t>
      </w:r>
    </w:p>
    <w:p w14:paraId="3147E481" w14:textId="7609B0D3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krvavá stolica, dechtovo čierna stolica, vracanie krvi alebo zvratky podobné kávovej usadenine</w:t>
      </w:r>
    </w:p>
    <w:p w14:paraId="2E15ECE6" w14:textId="77777777" w:rsidR="002D70F1" w:rsidRPr="009D3DED" w:rsidRDefault="002D70F1" w:rsidP="00A65E8F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D3DED">
        <w:rPr>
          <w:szCs w:val="22"/>
          <w:lang w:val="sk-SK"/>
        </w:rPr>
        <w:t>silná bolesť v hornej časti žalúdka</w:t>
      </w:r>
    </w:p>
    <w:p w14:paraId="1A2E0AB3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735D3204" w14:textId="3AAAC40A" w:rsidR="002D70F1" w:rsidRPr="009D3DED" w:rsidRDefault="002C1DFF" w:rsidP="00A65E8F">
      <w:p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 w:eastAsia="de-DE"/>
        </w:rPr>
        <w:t>Vedľajšie</w:t>
      </w:r>
      <w:r w:rsidRPr="009D3DED">
        <w:rPr>
          <w:szCs w:val="22"/>
          <w:lang w:val="sk-SK" w:eastAsia="de-DE"/>
        </w:rPr>
        <w:t xml:space="preserve"> </w:t>
      </w:r>
      <w:r w:rsidR="002D70F1" w:rsidRPr="009D3DED">
        <w:rPr>
          <w:szCs w:val="22"/>
          <w:lang w:val="sk-SK" w:eastAsia="de-DE"/>
        </w:rPr>
        <w:t xml:space="preserve">účinky možno minimalizovať užívaním najnižšej účinnej dávky počas čo najkratšej doby nevyhnutnej </w:t>
      </w:r>
      <w:r w:rsidR="002D6BD9">
        <w:rPr>
          <w:szCs w:val="22"/>
          <w:lang w:val="sk-SK" w:eastAsia="de-DE"/>
        </w:rPr>
        <w:t>na</w:t>
      </w:r>
      <w:r w:rsidR="002D70F1" w:rsidRPr="009D3DED">
        <w:rPr>
          <w:szCs w:val="22"/>
          <w:lang w:val="sk-SK" w:eastAsia="de-DE"/>
        </w:rPr>
        <w:t xml:space="preserve"> kontrolu príznakov. U starších osôb je prítomné zvýšené riziko vedľajších účinkov</w:t>
      </w:r>
      <w:r w:rsidR="002D70F1" w:rsidRPr="009D3DED">
        <w:rPr>
          <w:szCs w:val="22"/>
          <w:lang w:val="sk-SK"/>
        </w:rPr>
        <w:t>.</w:t>
      </w:r>
    </w:p>
    <w:p w14:paraId="5954BE1C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230E1F5A" w14:textId="1DD94559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rFonts w:cs="Arial"/>
          <w:color w:val="000000"/>
          <w:lang w:val="sk-SK"/>
        </w:rPr>
        <w:lastRenderedPageBreak/>
        <w:t xml:space="preserve">Súbežné užitie s inými NSAID, vrátane špecifických inhibítorov </w:t>
      </w:r>
      <w:proofErr w:type="spellStart"/>
      <w:r w:rsidRPr="009D3DED">
        <w:rPr>
          <w:rFonts w:cs="Arial"/>
          <w:color w:val="000000"/>
          <w:lang w:val="sk-SK"/>
        </w:rPr>
        <w:t>cyklooxygenázy</w:t>
      </w:r>
      <w:proofErr w:type="spellEnd"/>
      <w:r w:rsidRPr="009D3DED">
        <w:rPr>
          <w:rFonts w:cs="Arial"/>
          <w:color w:val="000000"/>
          <w:lang w:val="sk-SK"/>
        </w:rPr>
        <w:t xml:space="preserve"> 2, zvyšuje riziko vedľajších účinkov (pozri časť "Iné lieky a </w:t>
      </w:r>
      <w:proofErr w:type="spellStart"/>
      <w:r w:rsidRPr="009D3DED">
        <w:rPr>
          <w:rFonts w:cs="Arial"/>
          <w:color w:val="000000"/>
          <w:lang w:val="sk-SK"/>
        </w:rPr>
        <w:t>Ibalgin</w:t>
      </w:r>
      <w:proofErr w:type="spellEnd"/>
      <w:r w:rsidRPr="009D3DED">
        <w:rPr>
          <w:rFonts w:cs="Arial"/>
          <w:color w:val="000000"/>
          <w:lang w:val="sk-SK"/>
        </w:rPr>
        <w:t xml:space="preserve"> Plus") a je potrebné sa mu vyhnúť</w:t>
      </w:r>
      <w:r w:rsidRPr="009D3DED">
        <w:rPr>
          <w:szCs w:val="22"/>
          <w:lang w:val="sk-SK"/>
        </w:rPr>
        <w:t>.</w:t>
      </w:r>
    </w:p>
    <w:p w14:paraId="6FD577BD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6B5F88C4" w14:textId="3084ADA9" w:rsidR="002D70F1" w:rsidRPr="009D3DED" w:rsidRDefault="002D70F1" w:rsidP="00A65E8F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Protizápalové lieky/lieky proti bolesti, ako je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ibuprofén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>, môžu byť spojené s mierne zvýšeným rizikom srdcového infarktu alebo</w:t>
      </w:r>
      <w:r w:rsidR="002D6BD9">
        <w:rPr>
          <w:rFonts w:ascii="Times New Roman" w:hAnsi="Times New Roman" w:cs="Times New Roman"/>
          <w:sz w:val="22"/>
          <w:szCs w:val="22"/>
          <w:lang w:val="sk-SK"/>
        </w:rPr>
        <w:t xml:space="preserve"> cievnej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mozgovej </w:t>
      </w:r>
      <w:r w:rsidR="003E49FE">
        <w:rPr>
          <w:rFonts w:ascii="Times New Roman" w:hAnsi="Times New Roman" w:cs="Times New Roman"/>
          <w:sz w:val="22"/>
          <w:szCs w:val="22"/>
          <w:lang w:val="sk-SK"/>
        </w:rPr>
        <w:t>príhody, najmä pri užití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vysokých dáv</w:t>
      </w:r>
      <w:r w:rsidR="002D6BD9">
        <w:rPr>
          <w:rFonts w:ascii="Times New Roman" w:hAnsi="Times New Roman" w:cs="Times New Roman"/>
          <w:sz w:val="22"/>
          <w:szCs w:val="22"/>
          <w:lang w:val="sk-SK"/>
        </w:rPr>
        <w:t>ok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>. Neprekračujte odporúčanú dávku alebo dobu trvania liečby (3 dni).</w:t>
      </w:r>
    </w:p>
    <w:p w14:paraId="4B0EB1D3" w14:textId="3346200E" w:rsidR="002D70F1" w:rsidRPr="009D3DED" w:rsidRDefault="002D70F1" w:rsidP="00A65E8F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Ak užívate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Ibalgin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Plus, mali by ste pred každým chirurgickým zákrokom konzultovať alebo informovať svojho lekára alebo zubného lekára.</w:t>
      </w:r>
    </w:p>
    <w:p w14:paraId="0DC8D7C7" w14:textId="3FB790BE" w:rsidR="002D70F1" w:rsidRPr="009D3DED" w:rsidRDefault="002D70F1" w:rsidP="00A65E8F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Všeobecne možno konštatovať, že pravidelné užívanie </w:t>
      </w:r>
      <w:r w:rsidR="002D6BD9">
        <w:rPr>
          <w:rFonts w:ascii="Times New Roman" w:hAnsi="Times New Roman" w:cs="Times New Roman"/>
          <w:sz w:val="22"/>
          <w:szCs w:val="22"/>
          <w:lang w:val="sk-SK"/>
        </w:rPr>
        <w:t>liekov proti bolesti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>, a najmä kombináci</w:t>
      </w:r>
      <w:r w:rsidR="002D6BD9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rôznych lieči</w:t>
      </w:r>
      <w:r w:rsidR="002D6BD9">
        <w:rPr>
          <w:rFonts w:ascii="Times New Roman" w:hAnsi="Times New Roman" w:cs="Times New Roman"/>
          <w:sz w:val="22"/>
          <w:szCs w:val="22"/>
          <w:lang w:val="sk-SK"/>
        </w:rPr>
        <w:t>v proti bolesti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, môže viesť k trvalému poškodeniu obličiek s rizikom zlyhania obličiek (analgetická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nefropatia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). Toto riziko môže byť zvýšené pri fyzickej námahe spojené so stratou solí a dehydratáciou. Preto je potrebné vyhýbať sa pravidelnému užívaniu </w:t>
      </w:r>
      <w:r w:rsidR="002D6BD9">
        <w:rPr>
          <w:rFonts w:ascii="Times New Roman" w:hAnsi="Times New Roman" w:cs="Times New Roman"/>
          <w:sz w:val="22"/>
          <w:szCs w:val="22"/>
          <w:lang w:val="sk-SK"/>
        </w:rPr>
        <w:t>liekov proti bolesti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D0AA4E3" w14:textId="40F6DB53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Dlhodobé užívanie liekov </w:t>
      </w:r>
      <w:r w:rsidR="002D6BD9">
        <w:rPr>
          <w:szCs w:val="22"/>
          <w:lang w:val="sk-SK"/>
        </w:rPr>
        <w:t>proti</w:t>
      </w:r>
      <w:r w:rsidRPr="009D3DED">
        <w:rPr>
          <w:szCs w:val="22"/>
          <w:lang w:val="sk-SK"/>
        </w:rPr>
        <w:t xml:space="preserve"> boles</w:t>
      </w:r>
      <w:r w:rsidR="002D6BD9">
        <w:rPr>
          <w:szCs w:val="22"/>
          <w:lang w:val="sk-SK"/>
        </w:rPr>
        <w:t>ti</w:t>
      </w:r>
      <w:r w:rsidRPr="009D3DED">
        <w:rPr>
          <w:szCs w:val="22"/>
          <w:lang w:val="sk-SK"/>
        </w:rPr>
        <w:t xml:space="preserve"> </w:t>
      </w:r>
      <w:r w:rsidR="002D6BD9">
        <w:rPr>
          <w:szCs w:val="22"/>
          <w:lang w:val="sk-SK"/>
        </w:rPr>
        <w:t>rôzneho</w:t>
      </w:r>
      <w:r w:rsidR="002D6BD9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typu na liečbu bolest</w:t>
      </w:r>
      <w:r w:rsidR="002D6BD9">
        <w:rPr>
          <w:szCs w:val="22"/>
          <w:lang w:val="sk-SK"/>
        </w:rPr>
        <w:t>i</w:t>
      </w:r>
      <w:r w:rsidRPr="009D3DED">
        <w:rPr>
          <w:szCs w:val="22"/>
          <w:lang w:val="sk-SK"/>
        </w:rPr>
        <w:t xml:space="preserve"> hlavy môže spôsobiť </w:t>
      </w:r>
      <w:r w:rsidR="002D6BD9">
        <w:rPr>
          <w:szCs w:val="22"/>
          <w:lang w:val="sk-SK"/>
        </w:rPr>
        <w:t>jej</w:t>
      </w:r>
      <w:r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zhoršenie. Ak sa táto situácia vyskytne alebo </w:t>
      </w:r>
      <w:r w:rsidR="002D6BD9">
        <w:rPr>
          <w:szCs w:val="22"/>
          <w:lang w:val="sk-SK"/>
        </w:rPr>
        <w:t>sa predpokladá</w:t>
      </w:r>
      <w:r w:rsidRPr="009D3DED">
        <w:rPr>
          <w:szCs w:val="22"/>
          <w:lang w:val="sk-SK"/>
        </w:rPr>
        <w:t>, je potrebné vyhľadať lekársku pomoc a liečba by mala byť prerušená.</w:t>
      </w:r>
    </w:p>
    <w:p w14:paraId="4C649020" w14:textId="77777777" w:rsidR="002D70F1" w:rsidRPr="009D3DED" w:rsidRDefault="002D70F1" w:rsidP="00A65E8F">
      <w:pPr>
        <w:rPr>
          <w:szCs w:val="22"/>
          <w:lang w:val="sk-SK"/>
        </w:rPr>
      </w:pPr>
    </w:p>
    <w:p w14:paraId="48F9F89C" w14:textId="77777777" w:rsidR="002D70F1" w:rsidRPr="009D3DED" w:rsidRDefault="002D70F1" w:rsidP="00A65E8F">
      <w:pPr>
        <w:rPr>
          <w:szCs w:val="22"/>
          <w:lang w:val="sk-SK"/>
        </w:rPr>
      </w:pPr>
      <w:proofErr w:type="spellStart"/>
      <w:r w:rsidRPr="009D3DED">
        <w:rPr>
          <w:szCs w:val="22"/>
          <w:lang w:val="sk-SK"/>
        </w:rPr>
        <w:t>Ibuprofén</w:t>
      </w:r>
      <w:proofErr w:type="spellEnd"/>
      <w:r w:rsidRPr="009D3DED">
        <w:rPr>
          <w:szCs w:val="22"/>
          <w:lang w:val="sk-SK"/>
        </w:rPr>
        <w:t xml:space="preserve"> môže maskovať príznaky infekcie a horúčky.</w:t>
      </w:r>
    </w:p>
    <w:p w14:paraId="38C36279" w14:textId="77777777" w:rsidR="002D70F1" w:rsidRPr="009D3DED" w:rsidRDefault="002D70F1" w:rsidP="00A65E8F">
      <w:pPr>
        <w:rPr>
          <w:szCs w:val="22"/>
          <w:lang w:val="sk-SK"/>
        </w:rPr>
      </w:pPr>
    </w:p>
    <w:p w14:paraId="3AA581B7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Pacienti, u ktorých sa počas liečby </w:t>
      </w:r>
      <w:proofErr w:type="spellStart"/>
      <w:r w:rsidRPr="009D3DED">
        <w:rPr>
          <w:szCs w:val="22"/>
          <w:lang w:val="sk-SK"/>
        </w:rPr>
        <w:t>ibuprofénom</w:t>
      </w:r>
      <w:proofErr w:type="spellEnd"/>
      <w:r w:rsidRPr="009D3DED">
        <w:rPr>
          <w:szCs w:val="22"/>
          <w:lang w:val="sk-SK"/>
        </w:rPr>
        <w:t xml:space="preserve"> vyskytnú očné poruchy, by mali liečbu prerušiť a podstúpiť očné vyšetrenie.</w:t>
      </w:r>
    </w:p>
    <w:p w14:paraId="7A6E2770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6EEBEB58" w14:textId="417E5DDB" w:rsidR="002D70F1" w:rsidRDefault="003E49FE" w:rsidP="00A65E8F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Iné lieky a </w:t>
      </w:r>
      <w:proofErr w:type="spellStart"/>
      <w:r w:rsidR="002D70F1" w:rsidRPr="009D3DED">
        <w:rPr>
          <w:b/>
          <w:szCs w:val="22"/>
          <w:lang w:val="sk-SK"/>
        </w:rPr>
        <w:t>Ibalgin</w:t>
      </w:r>
      <w:proofErr w:type="spellEnd"/>
      <w:r w:rsidR="002D70F1" w:rsidRPr="009D3DED">
        <w:rPr>
          <w:b/>
          <w:szCs w:val="22"/>
          <w:lang w:val="sk-SK"/>
        </w:rPr>
        <w:t xml:space="preserve"> Plus</w:t>
      </w:r>
    </w:p>
    <w:p w14:paraId="501BAE0C" w14:textId="77777777" w:rsidR="00966564" w:rsidRDefault="00966564" w:rsidP="00A65E8F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14:paraId="45608FF9" w14:textId="10ADB990" w:rsidR="00966564" w:rsidRPr="00966564" w:rsidRDefault="00966564" w:rsidP="00A65E8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 w:eastAsia="sk-SK"/>
        </w:rPr>
      </w:pPr>
      <w:r w:rsidRPr="00966564">
        <w:rPr>
          <w:noProof/>
          <w:szCs w:val="22"/>
          <w:lang w:val="sk-SK" w:eastAsia="sk-SK"/>
        </w:rPr>
        <w:t xml:space="preserve">Ak teraz </w:t>
      </w:r>
      <w:r w:rsidRPr="00966564">
        <w:rPr>
          <w:szCs w:val="22"/>
          <w:lang w:val="sk-SK" w:eastAsia="sk-SK"/>
        </w:rPr>
        <w:t>užívate</w:t>
      </w:r>
      <w:r w:rsidR="00C507B7">
        <w:rPr>
          <w:szCs w:val="22"/>
          <w:lang w:val="sk-SK" w:eastAsia="sk-SK"/>
        </w:rPr>
        <w:t xml:space="preserve"> </w:t>
      </w:r>
      <w:r w:rsidRPr="00966564">
        <w:rPr>
          <w:noProof/>
          <w:szCs w:val="22"/>
          <w:lang w:val="sk-SK" w:eastAsia="sk-SK"/>
        </w:rPr>
        <w:t xml:space="preserve">alebo ste v poslednom čase </w:t>
      </w:r>
      <w:r w:rsidRPr="00966564">
        <w:rPr>
          <w:szCs w:val="22"/>
          <w:lang w:val="sk-SK" w:eastAsia="sk-SK"/>
        </w:rPr>
        <w:t>užívali</w:t>
      </w:r>
      <w:r w:rsidRPr="00966564">
        <w:rPr>
          <w:noProof/>
          <w:szCs w:val="22"/>
          <w:lang w:val="sk-SK" w:eastAsia="sk-SK"/>
        </w:rPr>
        <w:t>, či práve budete užívať</w:t>
      </w:r>
      <w:r w:rsidRPr="00966564">
        <w:rPr>
          <w:b/>
          <w:i/>
          <w:noProof/>
          <w:szCs w:val="22"/>
          <w:lang w:val="sk-SK" w:eastAsia="sk-SK"/>
        </w:rPr>
        <w:t xml:space="preserve"> </w:t>
      </w:r>
      <w:r w:rsidRPr="00966564">
        <w:rPr>
          <w:noProof/>
          <w:szCs w:val="22"/>
          <w:lang w:val="sk-SK" w:eastAsia="sk-SK"/>
        </w:rPr>
        <w:t>ďalšie lieky, povedzte to svojmu lekárovi</w:t>
      </w:r>
      <w:r w:rsidR="00C507B7">
        <w:rPr>
          <w:noProof/>
          <w:szCs w:val="22"/>
          <w:lang w:val="sk-SK" w:eastAsia="sk-SK"/>
        </w:rPr>
        <w:t xml:space="preserve"> </w:t>
      </w:r>
      <w:r w:rsidRPr="00966564">
        <w:rPr>
          <w:noProof/>
          <w:szCs w:val="22"/>
          <w:lang w:val="sk-SK" w:eastAsia="sk-SK"/>
        </w:rPr>
        <w:t>alebo</w:t>
      </w:r>
      <w:r w:rsidR="00C507B7">
        <w:rPr>
          <w:noProof/>
          <w:szCs w:val="22"/>
          <w:lang w:val="sk-SK" w:eastAsia="sk-SK"/>
        </w:rPr>
        <w:t xml:space="preserve"> </w:t>
      </w:r>
      <w:r w:rsidRPr="00966564">
        <w:rPr>
          <w:noProof/>
          <w:szCs w:val="22"/>
          <w:lang w:val="sk-SK" w:eastAsia="sk-SK"/>
        </w:rPr>
        <w:t>lekárnikovi.</w:t>
      </w:r>
    </w:p>
    <w:p w14:paraId="6FEA174C" w14:textId="77777777" w:rsidR="002D70F1" w:rsidRPr="009D3DED" w:rsidRDefault="002D70F1" w:rsidP="00A65E8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k-SK"/>
        </w:rPr>
      </w:pPr>
    </w:p>
    <w:p w14:paraId="028CB1C7" w14:textId="4EF867D6" w:rsidR="002D70F1" w:rsidRPr="009D3DED" w:rsidRDefault="002D70F1" w:rsidP="00A65E8F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9D3DED">
        <w:rPr>
          <w:rFonts w:ascii="Times New Roman" w:hAnsi="Times New Roman" w:cs="Times New Roman"/>
          <w:bCs/>
          <w:sz w:val="22"/>
          <w:szCs w:val="22"/>
          <w:lang w:val="sk-SK"/>
        </w:rPr>
        <w:t>Ibalgin</w:t>
      </w:r>
      <w:proofErr w:type="spellEnd"/>
      <w:r w:rsidRPr="009D3DE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Plus môže ovplyvniť alebo byť ovplyvnený niektorými 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ďalšími </w:t>
      </w:r>
      <w:r w:rsidRPr="009D3DED">
        <w:rPr>
          <w:rFonts w:ascii="Times New Roman" w:hAnsi="Times New Roman" w:cs="Times New Roman"/>
          <w:bCs/>
          <w:sz w:val="22"/>
          <w:szCs w:val="22"/>
          <w:lang w:val="sk-SK"/>
        </w:rPr>
        <w:t>liekmi. Napríklad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6A8CD9CF" w14:textId="6944C40B" w:rsidR="002D70F1" w:rsidRPr="009D3DED" w:rsidRDefault="002D70F1" w:rsidP="00A65E8F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lieky proti zrážaniu krvi, tzv.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antikoagulanciá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(napr. lieky na riedenie krvi/lieky zabraňujúc</w:t>
      </w:r>
      <w:r w:rsidR="00D3367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zrážaniu krvi, ako sú kyselina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acetylsalicylová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tiklopidín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388CD516" w14:textId="43504778" w:rsidR="002D70F1" w:rsidRPr="009D3DED" w:rsidRDefault="002D70F1" w:rsidP="00A65E8F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lieky, </w:t>
      </w:r>
      <w:r w:rsidR="003E49FE">
        <w:rPr>
          <w:rFonts w:ascii="Times New Roman" w:hAnsi="Times New Roman" w:cs="Times New Roman"/>
          <w:sz w:val="22"/>
          <w:szCs w:val="22"/>
          <w:lang w:val="sk-SK"/>
        </w:rPr>
        <w:t>ktoré znižujú vysoký krvný tlak</w:t>
      </w:r>
      <w:r w:rsidR="00C507B7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>inhibítory</w:t>
      </w:r>
      <w:r w:rsidR="001F4A0E">
        <w:rPr>
          <w:rFonts w:ascii="Times New Roman" w:hAnsi="Times New Roman" w:cs="Times New Roman"/>
          <w:sz w:val="22"/>
          <w:szCs w:val="22"/>
          <w:lang w:val="sk-SK"/>
        </w:rPr>
        <w:t xml:space="preserve"> enzýmu konvertujúceho angiotenzín</w:t>
      </w:r>
      <w:r w:rsidR="003E49FE">
        <w:rPr>
          <w:rFonts w:ascii="Times New Roman" w:hAnsi="Times New Roman" w:cs="Times New Roman"/>
          <w:sz w:val="22"/>
          <w:szCs w:val="22"/>
          <w:lang w:val="sk-SK"/>
        </w:rPr>
        <w:t xml:space="preserve"> (ACE),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ako je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kaptopril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betablokátory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, ako je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atenolol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, antagonisty receptora angiotenzínu II, ako je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losartan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0DD77347" w14:textId="601E1E74" w:rsidR="002D70F1" w:rsidRPr="009D3DED" w:rsidRDefault="002D70F1" w:rsidP="00A65E8F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Liečba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Ibalgin</w:t>
      </w:r>
      <w:r w:rsidR="00D86F20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/>
        </w:rPr>
        <w:t xml:space="preserve"> Plus môže tiež ovplyvniť alebo byť ovplyvnená niektorými ďalšími liekmi. Pred použitím 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/>
        </w:rPr>
        <w:t>Ibalgin</w:t>
      </w:r>
      <w:r w:rsidR="00D86F20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D86F2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>Plus s inými liekmi sa preto vždy poraďte so svojím lekárom alebo lekárnikom.</w:t>
      </w:r>
    </w:p>
    <w:p w14:paraId="1D6E2CCF" w14:textId="77777777" w:rsidR="002D70F1" w:rsidRPr="009D3DED" w:rsidRDefault="002D70F1" w:rsidP="00A65E8F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6B9B5A7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>Informujte svojho lekára alebo lekárnika, najmä ak užívate nasledovné lieky: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86"/>
      </w:tblGrid>
      <w:tr w:rsidR="002D70F1" w:rsidRPr="009D3DED" w14:paraId="5E6BFD9D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3D7A80D7" w14:textId="77777777" w:rsidR="002D70F1" w:rsidRPr="009D3DED" w:rsidRDefault="002D70F1" w:rsidP="00A65E8F">
            <w:pPr>
              <w:pStyle w:val="Textkomentra"/>
              <w:rPr>
                <w:sz w:val="22"/>
                <w:szCs w:val="22"/>
                <w:lang w:val="sk-SK"/>
              </w:rPr>
            </w:pPr>
            <w:r w:rsidRPr="009D3DED">
              <w:rPr>
                <w:sz w:val="22"/>
                <w:szCs w:val="22"/>
                <w:lang w:val="sk-SK" w:eastAsia="en-GB"/>
              </w:rPr>
              <w:t xml:space="preserve">kyselina </w:t>
            </w:r>
            <w:proofErr w:type="spellStart"/>
            <w:r w:rsidRPr="009D3DED">
              <w:rPr>
                <w:sz w:val="22"/>
                <w:szCs w:val="22"/>
                <w:lang w:val="sk-SK" w:eastAsia="en-GB"/>
              </w:rPr>
              <w:t>acetylsalicylová</w:t>
            </w:r>
            <w:proofErr w:type="spellEnd"/>
            <w:r w:rsidRPr="009D3DED">
              <w:rPr>
                <w:sz w:val="22"/>
                <w:szCs w:val="22"/>
                <w:lang w:val="sk-SK" w:eastAsia="en-GB"/>
              </w:rPr>
              <w:t xml:space="preserve"> nebo iné NSAID (protizápalové lieky a lieky proti bolesti)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1FAD8249" w14:textId="0BC91D2C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môžu zvýšiť riziko </w:t>
            </w:r>
            <w:r w:rsidR="00966564">
              <w:rPr>
                <w:szCs w:val="22"/>
                <w:lang w:val="sk-SK"/>
              </w:rPr>
              <w:t>žalúdočno</w:t>
            </w:r>
            <w:r w:rsidR="008C362F">
              <w:rPr>
                <w:szCs w:val="22"/>
                <w:lang w:val="sk-SK"/>
              </w:rPr>
              <w:t>-</w:t>
            </w:r>
            <w:r w:rsidR="00966564">
              <w:rPr>
                <w:szCs w:val="22"/>
                <w:lang w:val="sk-SK"/>
              </w:rPr>
              <w:t xml:space="preserve">črevných </w:t>
            </w:r>
            <w:r w:rsidR="008C362F">
              <w:rPr>
                <w:szCs w:val="22"/>
                <w:lang w:val="sk-SK"/>
              </w:rPr>
              <w:t xml:space="preserve"> </w:t>
            </w:r>
            <w:r w:rsidRPr="009D3DED">
              <w:rPr>
                <w:szCs w:val="22"/>
                <w:lang w:val="sk-SK"/>
              </w:rPr>
              <w:t>vredov alebo krvácania</w:t>
            </w:r>
          </w:p>
        </w:tc>
      </w:tr>
      <w:tr w:rsidR="002D70F1" w:rsidRPr="009D3DED" w14:paraId="50B0FF39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6FED5ABB" w14:textId="0CC73CC8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digoxín (liek na </w:t>
            </w:r>
            <w:r>
              <w:rPr>
                <w:szCs w:val="22"/>
                <w:lang w:val="sk-SK"/>
              </w:rPr>
              <w:t>srdcovú nedostatočnosť</w:t>
            </w:r>
            <w:r w:rsidRPr="009D3DED">
              <w:rPr>
                <w:szCs w:val="22"/>
                <w:lang w:val="sk-SK"/>
              </w:rPr>
              <w:t>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7FBEAAF2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môže dôjsť k zvýšeniu účinku </w:t>
            </w:r>
            <w:proofErr w:type="spellStart"/>
            <w:r w:rsidRPr="009D3DED">
              <w:rPr>
                <w:szCs w:val="22"/>
                <w:lang w:val="sk-SK"/>
              </w:rPr>
              <w:t>digoxínu</w:t>
            </w:r>
            <w:proofErr w:type="spellEnd"/>
          </w:p>
        </w:tc>
      </w:tr>
      <w:tr w:rsidR="002D70F1" w:rsidRPr="009D3DED" w14:paraId="67FD616C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313C0A8B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t>glukokortikoidy</w:t>
            </w:r>
            <w:proofErr w:type="spellEnd"/>
            <w:r w:rsidRPr="009D3DED">
              <w:rPr>
                <w:szCs w:val="22"/>
                <w:lang w:val="sk-SK"/>
              </w:rPr>
              <w:t xml:space="preserve"> (lieky obsahujúce </w:t>
            </w:r>
            <w:proofErr w:type="spellStart"/>
            <w:r w:rsidRPr="009D3DED">
              <w:rPr>
                <w:szCs w:val="22"/>
                <w:lang w:val="sk-SK"/>
              </w:rPr>
              <w:t>kortizón</w:t>
            </w:r>
            <w:proofErr w:type="spellEnd"/>
            <w:r w:rsidRPr="009D3DED">
              <w:rPr>
                <w:szCs w:val="22"/>
                <w:lang w:val="sk-SK"/>
              </w:rPr>
              <w:t xml:space="preserve"> alebo látky podobné </w:t>
            </w:r>
            <w:proofErr w:type="spellStart"/>
            <w:r w:rsidRPr="009D3DED">
              <w:rPr>
                <w:szCs w:val="22"/>
                <w:lang w:val="sk-SK"/>
              </w:rPr>
              <w:t>kortizónu</w:t>
            </w:r>
            <w:proofErr w:type="spellEnd"/>
            <w:r w:rsidRPr="009D3DED">
              <w:rPr>
                <w:szCs w:val="22"/>
                <w:lang w:val="sk-SK"/>
              </w:rPr>
              <w:t>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676D525B" w14:textId="3D70DC8E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môžu zvýšiť riziko </w:t>
            </w:r>
            <w:r w:rsidR="001E3C79">
              <w:rPr>
                <w:szCs w:val="22"/>
                <w:lang w:val="sk-SK"/>
              </w:rPr>
              <w:t xml:space="preserve">žalúdočno-črevných </w:t>
            </w:r>
            <w:r w:rsidRPr="009D3DED">
              <w:rPr>
                <w:szCs w:val="22"/>
                <w:lang w:val="sk-SK"/>
              </w:rPr>
              <w:t>vredov alebo krvácania</w:t>
            </w:r>
          </w:p>
        </w:tc>
      </w:tr>
      <w:tr w:rsidR="002D70F1" w:rsidRPr="009D3DED" w14:paraId="049C35F3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7E8F4971" w14:textId="52737FD9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lieky</w:t>
            </w:r>
            <w:r w:rsidR="00742D03">
              <w:rPr>
                <w:szCs w:val="22"/>
                <w:lang w:val="sk-SK"/>
              </w:rPr>
              <w:t xml:space="preserve"> proti zhlukovaniu krvných doštičiek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5A0172C1" w14:textId="2DC9F693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môžu zvýšiť riziko </w:t>
            </w:r>
            <w:r w:rsidR="001E3C79">
              <w:rPr>
                <w:szCs w:val="22"/>
                <w:lang w:val="sk-SK"/>
              </w:rPr>
              <w:t>žalúdočno-črevného</w:t>
            </w:r>
            <w:r w:rsidRPr="009D3DED">
              <w:rPr>
                <w:szCs w:val="22"/>
                <w:lang w:val="sk-SK"/>
              </w:rPr>
              <w:t xml:space="preserve"> krvácania</w:t>
            </w:r>
          </w:p>
        </w:tc>
      </w:tr>
      <w:tr w:rsidR="002D70F1" w:rsidRPr="009D3DED" w14:paraId="70A5DBA9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77CE6AF7" w14:textId="33FC94B4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kyselina </w:t>
            </w:r>
            <w:proofErr w:type="spellStart"/>
            <w:r w:rsidRPr="009D3DED">
              <w:rPr>
                <w:szCs w:val="22"/>
                <w:lang w:val="sk-SK"/>
              </w:rPr>
              <w:t>acetylsalicylová</w:t>
            </w:r>
            <w:proofErr w:type="spellEnd"/>
            <w:r w:rsidRPr="009D3DED">
              <w:rPr>
                <w:szCs w:val="22"/>
                <w:lang w:val="sk-SK"/>
              </w:rPr>
              <w:t xml:space="preserve"> (</w:t>
            </w:r>
            <w:r w:rsidR="002A7AA5">
              <w:rPr>
                <w:szCs w:val="22"/>
                <w:lang w:val="sk-SK"/>
              </w:rPr>
              <w:t>v nízkych dávkach</w:t>
            </w:r>
            <w:r w:rsidRPr="009D3DED">
              <w:rPr>
                <w:szCs w:val="22"/>
                <w:lang w:val="sk-SK"/>
              </w:rPr>
              <w:t>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44EA6EB4" w14:textId="5FE4BC7F" w:rsidR="00D656D9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pretože môže dôjsť k</w:t>
            </w:r>
            <w:r w:rsidR="00270F0C">
              <w:rPr>
                <w:szCs w:val="22"/>
                <w:lang w:val="sk-SK"/>
              </w:rPr>
              <w:t> narušen</w:t>
            </w:r>
            <w:r w:rsidR="00270F0C" w:rsidRPr="00534E50">
              <w:rPr>
                <w:szCs w:val="22"/>
                <w:lang w:val="sk-SK"/>
              </w:rPr>
              <w:t xml:space="preserve">iu </w:t>
            </w:r>
            <w:proofErr w:type="spellStart"/>
            <w:r w:rsidR="00D656D9" w:rsidRPr="00534E50">
              <w:rPr>
                <w:szCs w:val="22"/>
                <w:lang w:val="sk-SK"/>
              </w:rPr>
              <w:t>protizrážanlivého</w:t>
            </w:r>
            <w:proofErr w:type="spellEnd"/>
            <w:r w:rsidR="00D656D9" w:rsidRPr="00534E50">
              <w:rPr>
                <w:szCs w:val="22"/>
                <w:lang w:val="sk-SK"/>
              </w:rPr>
              <w:t xml:space="preserve"> účinku</w:t>
            </w:r>
            <w:r w:rsidR="00270F0C" w:rsidRPr="00534E50">
              <w:rPr>
                <w:szCs w:val="22"/>
                <w:lang w:val="sk-SK"/>
              </w:rPr>
              <w:t xml:space="preserve"> v krvi </w:t>
            </w:r>
            <w:r w:rsidR="00D656D9" w:rsidRPr="00534E50">
              <w:rPr>
                <w:szCs w:val="22"/>
                <w:lang w:val="sk-SK"/>
              </w:rPr>
              <w:t xml:space="preserve"> </w:t>
            </w:r>
          </w:p>
        </w:tc>
      </w:tr>
      <w:tr w:rsidR="002D70F1" w:rsidRPr="009D3DED" w14:paraId="599653A2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25E8CE4B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lieky na riedenie krvi (napr. </w:t>
            </w:r>
            <w:proofErr w:type="spellStart"/>
            <w:r w:rsidRPr="009D3DED">
              <w:rPr>
                <w:szCs w:val="22"/>
                <w:lang w:val="sk-SK"/>
              </w:rPr>
              <w:t>warfarín</w:t>
            </w:r>
            <w:proofErr w:type="spellEnd"/>
            <w:r w:rsidRPr="009D3DED">
              <w:rPr>
                <w:szCs w:val="22"/>
                <w:lang w:val="sk-SK"/>
              </w:rPr>
              <w:t>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6F3EDC4C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</w:t>
            </w:r>
            <w:proofErr w:type="spellStart"/>
            <w:r w:rsidRPr="009D3DED">
              <w:rPr>
                <w:szCs w:val="22"/>
                <w:lang w:val="sk-SK"/>
              </w:rPr>
              <w:t>ibuprofén</w:t>
            </w:r>
            <w:proofErr w:type="spellEnd"/>
            <w:r w:rsidRPr="009D3DED">
              <w:rPr>
                <w:szCs w:val="22"/>
                <w:lang w:val="sk-SK"/>
              </w:rPr>
              <w:t xml:space="preserve"> môže zvýšiť účinok týchto liekov</w:t>
            </w:r>
          </w:p>
        </w:tc>
      </w:tr>
      <w:tr w:rsidR="002D70F1" w:rsidRPr="009D3DED" w14:paraId="11A818F0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771349C9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lastRenderedPageBreak/>
              <w:t>fenytoín</w:t>
            </w:r>
            <w:proofErr w:type="spellEnd"/>
            <w:r w:rsidRPr="009D3DED">
              <w:rPr>
                <w:szCs w:val="22"/>
                <w:lang w:val="sk-SK"/>
              </w:rPr>
              <w:t xml:space="preserve"> (na epilepsiu)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3A029F5A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môže dôjsť k zosilneniu účinku </w:t>
            </w:r>
            <w:proofErr w:type="spellStart"/>
            <w:r w:rsidRPr="009D3DED">
              <w:rPr>
                <w:szCs w:val="22"/>
                <w:lang w:val="sk-SK"/>
              </w:rPr>
              <w:t>fenytoínu</w:t>
            </w:r>
            <w:proofErr w:type="spellEnd"/>
          </w:p>
        </w:tc>
      </w:tr>
      <w:tr w:rsidR="002D70F1" w:rsidRPr="009D3DED" w14:paraId="5FF141BA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78D16F79" w14:textId="1803692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selektívne inhibítory spätného vychytávania </w:t>
            </w:r>
            <w:proofErr w:type="spellStart"/>
            <w:r w:rsidRPr="009D3DED">
              <w:rPr>
                <w:szCs w:val="22"/>
                <w:lang w:val="sk-SK"/>
              </w:rPr>
              <w:t>s</w:t>
            </w:r>
            <w:r w:rsidR="009830AC">
              <w:rPr>
                <w:szCs w:val="22"/>
                <w:lang w:val="sk-SK"/>
              </w:rPr>
              <w:t>é</w:t>
            </w:r>
            <w:r w:rsidRPr="009D3DED">
              <w:rPr>
                <w:szCs w:val="22"/>
                <w:lang w:val="sk-SK"/>
              </w:rPr>
              <w:t>rotonínu</w:t>
            </w:r>
            <w:proofErr w:type="spellEnd"/>
            <w:r w:rsidRPr="009D3DED">
              <w:rPr>
                <w:szCs w:val="22"/>
                <w:lang w:val="sk-SK"/>
              </w:rPr>
              <w:t xml:space="preserve"> (lieky používané na depresiu)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15AE6F51" w14:textId="380527B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môžu zvýšiť riziko </w:t>
            </w:r>
            <w:r w:rsidR="001E3C79">
              <w:rPr>
                <w:szCs w:val="22"/>
                <w:lang w:val="sk-SK"/>
              </w:rPr>
              <w:t xml:space="preserve">žalúdočno-črevného </w:t>
            </w:r>
            <w:r w:rsidRPr="009D3DED">
              <w:rPr>
                <w:szCs w:val="22"/>
                <w:lang w:val="sk-SK"/>
              </w:rPr>
              <w:t>krvácania</w:t>
            </w:r>
          </w:p>
        </w:tc>
      </w:tr>
      <w:tr w:rsidR="002D70F1" w:rsidRPr="009D3DED" w14:paraId="14D02598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45736B77" w14:textId="55E5B789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lítium (liek na </w:t>
            </w:r>
            <w:proofErr w:type="spellStart"/>
            <w:r w:rsidRPr="009D3DED">
              <w:rPr>
                <w:szCs w:val="22"/>
                <w:lang w:val="sk-SK"/>
              </w:rPr>
              <w:t>maniodepresívnu</w:t>
            </w:r>
            <w:proofErr w:type="spellEnd"/>
            <w:r w:rsidRPr="009D3DED">
              <w:rPr>
                <w:szCs w:val="22"/>
                <w:lang w:val="sk-SK"/>
              </w:rPr>
              <w:t xml:space="preserve"> </w:t>
            </w:r>
            <w:r w:rsidR="009830AC">
              <w:rPr>
                <w:szCs w:val="22"/>
                <w:lang w:val="sk-SK"/>
              </w:rPr>
              <w:t>poruchu</w:t>
            </w:r>
            <w:r w:rsidRPr="009D3DED">
              <w:rPr>
                <w:szCs w:val="22"/>
                <w:lang w:val="sk-SK"/>
              </w:rPr>
              <w:t xml:space="preserve"> a depresiu)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77EE8779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pretože môže dôjsť k zosilneniu účinku lítia</w:t>
            </w:r>
          </w:p>
        </w:tc>
      </w:tr>
      <w:tr w:rsidR="002D70F1" w:rsidRPr="009D3DED" w14:paraId="15C254B5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103EFCC8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t>probenecid</w:t>
            </w:r>
            <w:proofErr w:type="spellEnd"/>
            <w:r w:rsidRPr="009D3DED">
              <w:rPr>
                <w:szCs w:val="22"/>
                <w:lang w:val="sk-SK"/>
              </w:rPr>
              <w:t xml:space="preserve"> a </w:t>
            </w:r>
            <w:proofErr w:type="spellStart"/>
            <w:r w:rsidRPr="009D3DED">
              <w:rPr>
                <w:szCs w:val="22"/>
                <w:lang w:val="sk-SK"/>
              </w:rPr>
              <w:t>sulfinpyrazón</w:t>
            </w:r>
            <w:proofErr w:type="spellEnd"/>
            <w:r w:rsidRPr="009D3DED">
              <w:rPr>
                <w:szCs w:val="22"/>
                <w:lang w:val="sk-SK"/>
              </w:rPr>
              <w:t xml:space="preserve"> (lieky na dnu)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5B743FD9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môže dôjsť k predĺženiu doby potrebnej na vylúčenie </w:t>
            </w:r>
            <w:proofErr w:type="spellStart"/>
            <w:r w:rsidRPr="009D3DED">
              <w:rPr>
                <w:szCs w:val="22"/>
                <w:lang w:val="sk-SK"/>
              </w:rPr>
              <w:t>ibuprofénu</w:t>
            </w:r>
            <w:proofErr w:type="spellEnd"/>
          </w:p>
        </w:tc>
      </w:tr>
      <w:tr w:rsidR="002D70F1" w:rsidRPr="009D3DED" w14:paraId="7CC27775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5B38544E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lieky na vysoký krvný tlak a močopudné lieky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1B072927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</w:t>
            </w:r>
            <w:proofErr w:type="spellStart"/>
            <w:r w:rsidRPr="009D3DED">
              <w:rPr>
                <w:szCs w:val="22"/>
                <w:lang w:val="sk-SK"/>
              </w:rPr>
              <w:t>ibuprofén</w:t>
            </w:r>
            <w:proofErr w:type="spellEnd"/>
            <w:r w:rsidRPr="009D3DED">
              <w:rPr>
                <w:szCs w:val="22"/>
                <w:lang w:val="sk-SK"/>
              </w:rPr>
              <w:t xml:space="preserve"> môž</w:t>
            </w:r>
            <w:r>
              <w:rPr>
                <w:szCs w:val="22"/>
                <w:lang w:val="sk-SK"/>
              </w:rPr>
              <w:t>e</w:t>
            </w:r>
            <w:r w:rsidRPr="009D3DED">
              <w:rPr>
                <w:szCs w:val="22"/>
                <w:lang w:val="sk-SK"/>
              </w:rPr>
              <w:t xml:space="preserve"> znižovať účinky týchto liekov a môže dôjsť k zvýšeniu rizika pre obličky</w:t>
            </w:r>
          </w:p>
        </w:tc>
      </w:tr>
      <w:tr w:rsidR="002D70F1" w:rsidRPr="009D3DED" w14:paraId="6E1CB925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4B6DCFD8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draslík šetriace diuretiká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4ECB738D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ich užitie môže viesť k </w:t>
            </w:r>
            <w:proofErr w:type="spellStart"/>
            <w:r w:rsidRPr="009D3DED">
              <w:rPr>
                <w:szCs w:val="22"/>
                <w:lang w:val="sk-SK"/>
              </w:rPr>
              <w:t>hyperkaliémii</w:t>
            </w:r>
            <w:proofErr w:type="spellEnd"/>
            <w:r w:rsidRPr="009D3DED">
              <w:rPr>
                <w:szCs w:val="22"/>
                <w:lang w:val="sk-SK"/>
              </w:rPr>
              <w:t xml:space="preserve"> (vysoká hladina draslíka v krvi)</w:t>
            </w:r>
          </w:p>
        </w:tc>
      </w:tr>
      <w:tr w:rsidR="002D70F1" w:rsidRPr="009D3DED" w14:paraId="1F131DA8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5EF7A0DF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t>metotrexát</w:t>
            </w:r>
            <w:proofErr w:type="spellEnd"/>
            <w:r w:rsidRPr="009D3DED">
              <w:rPr>
                <w:szCs w:val="22"/>
                <w:lang w:val="sk-SK"/>
              </w:rPr>
              <w:t xml:space="preserve"> (liek na rakovinu alebo reumatizmus)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5CE38285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môže dôjsť k zosilneniu účinku </w:t>
            </w:r>
            <w:proofErr w:type="spellStart"/>
            <w:r w:rsidRPr="009D3DED">
              <w:rPr>
                <w:szCs w:val="22"/>
                <w:lang w:val="sk-SK"/>
              </w:rPr>
              <w:t>metotrexátu</w:t>
            </w:r>
            <w:proofErr w:type="spellEnd"/>
          </w:p>
        </w:tc>
      </w:tr>
      <w:tr w:rsidR="002D70F1" w:rsidRPr="009D3DED" w14:paraId="2C9A80CC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3B657ABE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t>takrolimus</w:t>
            </w:r>
            <w:proofErr w:type="spellEnd"/>
            <w:r w:rsidRPr="009D3DED">
              <w:rPr>
                <w:szCs w:val="22"/>
                <w:lang w:val="sk-SK"/>
              </w:rPr>
              <w:t xml:space="preserve"> a </w:t>
            </w:r>
            <w:proofErr w:type="spellStart"/>
            <w:r w:rsidRPr="009D3DED">
              <w:rPr>
                <w:szCs w:val="22"/>
                <w:lang w:val="sk-SK"/>
              </w:rPr>
              <w:t>cyklosporín</w:t>
            </w:r>
            <w:proofErr w:type="spellEnd"/>
            <w:r w:rsidRPr="009D3DED">
              <w:rPr>
                <w:szCs w:val="22"/>
                <w:lang w:val="sk-SK"/>
              </w:rPr>
              <w:t xml:space="preserve"> (</w:t>
            </w:r>
            <w:proofErr w:type="spellStart"/>
            <w:r w:rsidRPr="009D3DED">
              <w:rPr>
                <w:szCs w:val="22"/>
                <w:lang w:val="sk-SK"/>
              </w:rPr>
              <w:t>imunosupresívne</w:t>
            </w:r>
            <w:proofErr w:type="spellEnd"/>
            <w:r w:rsidRPr="009D3DED">
              <w:rPr>
                <w:szCs w:val="22"/>
                <w:lang w:val="sk-SK"/>
              </w:rPr>
              <w:t xml:space="preserve"> lieky)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3F229427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pretože môže dôjsť k poškodeniu obličiek</w:t>
            </w:r>
          </w:p>
        </w:tc>
      </w:tr>
      <w:tr w:rsidR="002D70F1" w:rsidRPr="009D3DED" w14:paraId="17F636D7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3E4BE9C7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t>zidovudín</w:t>
            </w:r>
            <w:proofErr w:type="spellEnd"/>
            <w:r w:rsidRPr="009D3DED">
              <w:rPr>
                <w:szCs w:val="22"/>
                <w:lang w:val="sk-SK"/>
              </w:rPr>
              <w:t xml:space="preserve"> (liek na liečbu HIV/AIDS)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01543EB4" w14:textId="68BEEFB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pretože užitie </w:t>
            </w:r>
            <w:proofErr w:type="spellStart"/>
            <w:r w:rsidRPr="009D3DED">
              <w:rPr>
                <w:szCs w:val="22"/>
                <w:lang w:val="sk-SK"/>
              </w:rPr>
              <w:t>Ibalgin</w:t>
            </w:r>
            <w:r w:rsidR="009830AC">
              <w:rPr>
                <w:szCs w:val="22"/>
                <w:lang w:val="sk-SK"/>
              </w:rPr>
              <w:t>u</w:t>
            </w:r>
            <w:proofErr w:type="spellEnd"/>
            <w:r w:rsidRPr="009D3DED">
              <w:rPr>
                <w:szCs w:val="22"/>
                <w:lang w:val="sk-SK"/>
              </w:rPr>
              <w:t xml:space="preserve"> Plus môže viesť k zvýšenému riziku krvácania do kĺbov alebo ku krvácaniu, ktoré vedie k opuchu u HIV pozitívnych pacientov s hemofíliou.</w:t>
            </w:r>
          </w:p>
        </w:tc>
      </w:tr>
      <w:tr w:rsidR="002D70F1" w:rsidRPr="009D3DED" w14:paraId="2B3980CC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5BA29977" w14:textId="373AF806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deriváty </w:t>
            </w:r>
            <w:proofErr w:type="spellStart"/>
            <w:r w:rsidRPr="009D3DED">
              <w:rPr>
                <w:szCs w:val="22"/>
                <w:lang w:val="sk-SK"/>
              </w:rPr>
              <w:t>su</w:t>
            </w:r>
            <w:r w:rsidR="00CB079A">
              <w:rPr>
                <w:szCs w:val="22"/>
                <w:lang w:val="sk-SK"/>
              </w:rPr>
              <w:t>lfonylmočoviny</w:t>
            </w:r>
            <w:proofErr w:type="spellEnd"/>
            <w:r w:rsidR="00CB079A">
              <w:rPr>
                <w:szCs w:val="22"/>
                <w:lang w:val="sk-SK"/>
              </w:rPr>
              <w:t xml:space="preserve"> (</w:t>
            </w:r>
            <w:proofErr w:type="spellStart"/>
            <w:r w:rsidR="00CB079A" w:rsidRPr="00534E50">
              <w:rPr>
                <w:szCs w:val="22"/>
                <w:lang w:val="sk-SK"/>
              </w:rPr>
              <w:t>antidiabetiká</w:t>
            </w:r>
            <w:proofErr w:type="spellEnd"/>
            <w:r w:rsidR="00534E50" w:rsidRPr="00534E50">
              <w:rPr>
                <w:szCs w:val="22"/>
                <w:lang w:val="sk-SK"/>
              </w:rPr>
              <w:t xml:space="preserve"> </w:t>
            </w:r>
            <w:r w:rsidR="00270F0C" w:rsidRPr="00534E50">
              <w:rPr>
                <w:szCs w:val="22"/>
                <w:lang w:val="sk-SK"/>
              </w:rPr>
              <w:t>-</w:t>
            </w:r>
            <w:r w:rsidR="00534E50">
              <w:rPr>
                <w:szCs w:val="22"/>
                <w:lang w:val="sk-SK"/>
              </w:rPr>
              <w:t xml:space="preserve"> </w:t>
            </w:r>
            <w:r w:rsidR="00270F0C">
              <w:rPr>
                <w:szCs w:val="22"/>
                <w:lang w:val="sk-SK"/>
              </w:rPr>
              <w:t>lieky na liečbu cukrovky</w:t>
            </w:r>
            <w:r w:rsidRPr="009D3DED">
              <w:rPr>
                <w:szCs w:val="22"/>
                <w:lang w:val="sk-SK"/>
              </w:rPr>
              <w:t>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07E65AE4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highlight w:val="magenta"/>
                <w:lang w:val="sk-SK"/>
              </w:rPr>
            </w:pPr>
            <w:r w:rsidRPr="009D3DED">
              <w:rPr>
                <w:szCs w:val="22"/>
                <w:lang w:val="sk-SK"/>
              </w:rPr>
              <w:t>pretože môže dôjsť k ovplyvneniu hladín glukózy v krvi</w:t>
            </w:r>
            <w:r>
              <w:rPr>
                <w:szCs w:val="22"/>
                <w:lang w:val="sk-SK"/>
              </w:rPr>
              <w:t xml:space="preserve"> (glykémie)</w:t>
            </w:r>
          </w:p>
        </w:tc>
      </w:tr>
      <w:tr w:rsidR="002D70F1" w:rsidRPr="009D3DED" w14:paraId="38145AFF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580ECCC7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t>chinolónové</w:t>
            </w:r>
            <w:proofErr w:type="spellEnd"/>
            <w:r w:rsidRPr="009D3DED">
              <w:rPr>
                <w:szCs w:val="22"/>
                <w:lang w:val="sk-SK"/>
              </w:rPr>
              <w:t xml:space="preserve"> antibiotiká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4AD2D0C0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pretože sa môže zvýšiť riziko záchvatov.</w:t>
            </w:r>
          </w:p>
          <w:p w14:paraId="149F2327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Môže tiež dôjsť k zvýšeniu účinkov kofeínu.</w:t>
            </w:r>
          </w:p>
        </w:tc>
      </w:tr>
      <w:tr w:rsidR="002D70F1" w:rsidRPr="009D3DED" w14:paraId="1C8442E0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7FF3BB94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inhibítory CYP2C9 (napr. </w:t>
            </w:r>
            <w:proofErr w:type="spellStart"/>
            <w:r w:rsidRPr="009D3DED">
              <w:rPr>
                <w:szCs w:val="22"/>
                <w:lang w:val="sk-SK"/>
              </w:rPr>
              <w:t>vorikonazol</w:t>
            </w:r>
            <w:proofErr w:type="spellEnd"/>
            <w:r w:rsidRPr="009D3DED">
              <w:rPr>
                <w:szCs w:val="22"/>
                <w:lang w:val="sk-SK"/>
              </w:rPr>
              <w:t xml:space="preserve"> a </w:t>
            </w:r>
            <w:proofErr w:type="spellStart"/>
            <w:r w:rsidRPr="009D3DED">
              <w:rPr>
                <w:szCs w:val="22"/>
                <w:lang w:val="sk-SK"/>
              </w:rPr>
              <w:t>flukonazol</w:t>
            </w:r>
            <w:proofErr w:type="spellEnd"/>
            <w:r w:rsidRPr="009D3DED">
              <w:rPr>
                <w:szCs w:val="22"/>
                <w:lang w:val="sk-SK"/>
              </w:rPr>
              <w:t>):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44701FE4" w14:textId="7FFF1D5D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 xml:space="preserve">súbežné podanie </w:t>
            </w:r>
            <w:proofErr w:type="spellStart"/>
            <w:r w:rsidRPr="009D3DED">
              <w:rPr>
                <w:szCs w:val="22"/>
                <w:lang w:val="sk-SK"/>
              </w:rPr>
              <w:t>ibuprofénu</w:t>
            </w:r>
            <w:proofErr w:type="spellEnd"/>
            <w:r w:rsidRPr="009D3DED">
              <w:rPr>
                <w:szCs w:val="22"/>
                <w:lang w:val="sk-SK"/>
              </w:rPr>
              <w:t xml:space="preserve"> s inhibítormi CYP2C9 môže zvýšiť plazmatické </w:t>
            </w:r>
            <w:r w:rsidR="009830AC">
              <w:rPr>
                <w:szCs w:val="22"/>
                <w:lang w:val="sk-SK"/>
              </w:rPr>
              <w:t>hladiny</w:t>
            </w:r>
            <w:r w:rsidR="009830AC" w:rsidRPr="009D3DED">
              <w:rPr>
                <w:szCs w:val="22"/>
                <w:lang w:val="sk-SK"/>
              </w:rPr>
              <w:t xml:space="preserve"> </w:t>
            </w:r>
            <w:proofErr w:type="spellStart"/>
            <w:r w:rsidRPr="009D3DED">
              <w:rPr>
                <w:szCs w:val="22"/>
                <w:lang w:val="sk-SK"/>
              </w:rPr>
              <w:t>ibuprofénu</w:t>
            </w:r>
            <w:proofErr w:type="spellEnd"/>
            <w:r w:rsidRPr="009D3DED">
              <w:rPr>
                <w:szCs w:val="22"/>
                <w:lang w:val="sk-SK"/>
              </w:rPr>
              <w:t xml:space="preserve"> (substrát CYP2C9). Je potrebné zvážiť zníženie dávky </w:t>
            </w:r>
            <w:proofErr w:type="spellStart"/>
            <w:r w:rsidRPr="009D3DED">
              <w:rPr>
                <w:szCs w:val="22"/>
                <w:lang w:val="sk-SK"/>
              </w:rPr>
              <w:t>ibuprofénu</w:t>
            </w:r>
            <w:proofErr w:type="spellEnd"/>
            <w:r w:rsidRPr="009D3DED">
              <w:rPr>
                <w:szCs w:val="22"/>
                <w:lang w:val="sk-SK"/>
              </w:rPr>
              <w:t xml:space="preserve">, najmä ak sú vysoké dávky </w:t>
            </w:r>
            <w:proofErr w:type="spellStart"/>
            <w:r w:rsidRPr="009D3DED">
              <w:rPr>
                <w:szCs w:val="22"/>
                <w:lang w:val="sk-SK"/>
              </w:rPr>
              <w:t>ibuprofénu</w:t>
            </w:r>
            <w:proofErr w:type="spellEnd"/>
            <w:r w:rsidRPr="009D3DED">
              <w:rPr>
                <w:szCs w:val="22"/>
                <w:lang w:val="sk-SK"/>
              </w:rPr>
              <w:t xml:space="preserve"> (2</w:t>
            </w:r>
            <w:r>
              <w:rPr>
                <w:szCs w:val="22"/>
                <w:lang w:val="sk-SK"/>
              </w:rPr>
              <w:t xml:space="preserve"> </w:t>
            </w:r>
            <w:r w:rsidRPr="009D3DED">
              <w:rPr>
                <w:szCs w:val="22"/>
                <w:lang w:val="sk-SK"/>
              </w:rPr>
              <w:t xml:space="preserve">400 mg/deň) podávané spoločne s </w:t>
            </w:r>
            <w:proofErr w:type="spellStart"/>
            <w:r w:rsidRPr="009D3DED">
              <w:rPr>
                <w:szCs w:val="22"/>
                <w:lang w:val="sk-SK"/>
              </w:rPr>
              <w:t>vorikonazolom</w:t>
            </w:r>
            <w:proofErr w:type="spellEnd"/>
            <w:r w:rsidRPr="009D3DED">
              <w:rPr>
                <w:szCs w:val="22"/>
                <w:lang w:val="sk-SK"/>
              </w:rPr>
              <w:t xml:space="preserve"> alebo </w:t>
            </w:r>
            <w:proofErr w:type="spellStart"/>
            <w:r w:rsidRPr="009D3DED">
              <w:rPr>
                <w:szCs w:val="22"/>
                <w:lang w:val="sk-SK"/>
              </w:rPr>
              <w:t>flukonazolom</w:t>
            </w:r>
            <w:proofErr w:type="spellEnd"/>
            <w:r w:rsidRPr="009D3DED">
              <w:rPr>
                <w:szCs w:val="22"/>
                <w:lang w:val="sk-SK"/>
              </w:rPr>
              <w:t>.</w:t>
            </w:r>
          </w:p>
        </w:tc>
      </w:tr>
      <w:tr w:rsidR="002D70F1" w:rsidRPr="009D3DED" w14:paraId="7F9D2CF6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19064513" w14:textId="6BD94E5A" w:rsidR="002D70F1" w:rsidRPr="009D3DED" w:rsidRDefault="009830AC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m</w:t>
            </w:r>
            <w:r w:rsidR="002D70F1" w:rsidRPr="009D3DED">
              <w:rPr>
                <w:szCs w:val="22"/>
                <w:lang w:val="sk-SK"/>
              </w:rPr>
              <w:t>ifeprist</w:t>
            </w:r>
            <w:r>
              <w:rPr>
                <w:szCs w:val="22"/>
                <w:lang w:val="sk-SK"/>
              </w:rPr>
              <w:t>ó</w:t>
            </w:r>
            <w:r w:rsidR="002D70F1" w:rsidRPr="009D3DED">
              <w:rPr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20949823" w14:textId="0A9FB53B" w:rsidR="002D70F1" w:rsidRPr="009D3DED" w:rsidRDefault="002D70F1" w:rsidP="00A65E8F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 w:rsidRPr="009D3DED">
              <w:rPr>
                <w:bCs/>
                <w:szCs w:val="22"/>
                <w:lang w:val="sk-SK"/>
              </w:rPr>
              <w:t xml:space="preserve">pretože NSAID (ako napr. </w:t>
            </w:r>
            <w:proofErr w:type="spellStart"/>
            <w:r w:rsidRPr="009D3DED">
              <w:rPr>
                <w:bCs/>
                <w:szCs w:val="22"/>
                <w:lang w:val="sk-SK"/>
              </w:rPr>
              <w:t>ibuprofén</w:t>
            </w:r>
            <w:proofErr w:type="spellEnd"/>
            <w:r w:rsidRPr="009D3DED">
              <w:rPr>
                <w:bCs/>
                <w:szCs w:val="22"/>
                <w:lang w:val="sk-SK"/>
              </w:rPr>
              <w:t xml:space="preserve">) môžu znižovať účinok </w:t>
            </w:r>
            <w:proofErr w:type="spellStart"/>
            <w:r w:rsidRPr="009D3DED">
              <w:rPr>
                <w:bCs/>
                <w:szCs w:val="22"/>
                <w:lang w:val="sk-SK"/>
              </w:rPr>
              <w:t>mifeprist</w:t>
            </w:r>
            <w:r w:rsidR="009830AC">
              <w:rPr>
                <w:bCs/>
                <w:szCs w:val="22"/>
                <w:lang w:val="sk-SK"/>
              </w:rPr>
              <w:t>ó</w:t>
            </w:r>
            <w:r w:rsidRPr="009D3DED">
              <w:rPr>
                <w:bCs/>
                <w:szCs w:val="22"/>
                <w:lang w:val="sk-SK"/>
              </w:rPr>
              <w:t>nu</w:t>
            </w:r>
            <w:proofErr w:type="spellEnd"/>
            <w:r w:rsidRPr="009D3DED">
              <w:rPr>
                <w:bCs/>
                <w:szCs w:val="22"/>
                <w:lang w:val="sk-SK"/>
              </w:rPr>
              <w:t>.</w:t>
            </w:r>
          </w:p>
        </w:tc>
      </w:tr>
      <w:tr w:rsidR="002D70F1" w:rsidRPr="009D3DED" w14:paraId="29A2CDEF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4BD2C6B0" w14:textId="2BF84684" w:rsidR="002D70F1" w:rsidRPr="009D3DED" w:rsidRDefault="002D70F1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 w:rsidRPr="009D3DED">
              <w:rPr>
                <w:szCs w:val="22"/>
                <w:lang w:val="sk-SK"/>
              </w:rPr>
              <w:t>Gink</w:t>
            </w:r>
            <w:r>
              <w:rPr>
                <w:szCs w:val="22"/>
                <w:lang w:val="sk-SK"/>
              </w:rPr>
              <w:t>g</w:t>
            </w:r>
            <w:r w:rsidRPr="009D3DED">
              <w:rPr>
                <w:szCs w:val="22"/>
                <w:lang w:val="sk-SK"/>
              </w:rPr>
              <w:t>o</w:t>
            </w:r>
            <w:proofErr w:type="spellEnd"/>
            <w:r w:rsidRPr="009D3DED">
              <w:rPr>
                <w:szCs w:val="22"/>
                <w:lang w:val="sk-SK"/>
              </w:rPr>
              <w:t xml:space="preserve"> </w:t>
            </w:r>
            <w:proofErr w:type="spellStart"/>
            <w:r w:rsidRPr="009D3DED">
              <w:rPr>
                <w:szCs w:val="22"/>
                <w:lang w:val="sk-SK"/>
              </w:rPr>
              <w:t>biloba</w:t>
            </w:r>
            <w:proofErr w:type="spellEnd"/>
            <w:r w:rsidRPr="009D3DED">
              <w:rPr>
                <w:szCs w:val="22"/>
                <w:lang w:val="sk-SK"/>
              </w:rPr>
              <w:t xml:space="preserve"> (</w:t>
            </w:r>
            <w:r w:rsidR="009830AC">
              <w:rPr>
                <w:szCs w:val="22"/>
                <w:lang w:val="sk-SK"/>
              </w:rPr>
              <w:t>rastlinný liek</w:t>
            </w:r>
            <w:r w:rsidRPr="009D3DED">
              <w:rPr>
                <w:szCs w:val="22"/>
                <w:lang w:val="sk-SK"/>
              </w:rPr>
              <w:t>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701D2860" w14:textId="77777777" w:rsidR="002D70F1" w:rsidRPr="009D3DED" w:rsidRDefault="002D70F1" w:rsidP="00A65E8F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 w:rsidRPr="009D3DED">
              <w:rPr>
                <w:bCs/>
                <w:szCs w:val="22"/>
                <w:lang w:val="sk-SK"/>
              </w:rPr>
              <w:t>pretože môže dôjsť k zvýšeniu rizika krvácania</w:t>
            </w:r>
          </w:p>
        </w:tc>
      </w:tr>
      <w:tr w:rsidR="002D70F1" w:rsidRPr="009D3DED" w14:paraId="791667E5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65C30265" w14:textId="6EB604A0" w:rsidR="002D70F1" w:rsidRPr="009D3DED" w:rsidRDefault="009830AC" w:rsidP="00A65E8F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b</w:t>
            </w:r>
            <w:r w:rsidR="002D70F1" w:rsidRPr="009D3DED">
              <w:rPr>
                <w:szCs w:val="22"/>
                <w:lang w:val="sk-SK"/>
              </w:rPr>
              <w:t xml:space="preserve">arbituráty, </w:t>
            </w:r>
            <w:proofErr w:type="spellStart"/>
            <w:r w:rsidR="002D70F1" w:rsidRPr="009D3DED">
              <w:rPr>
                <w:szCs w:val="22"/>
                <w:lang w:val="sk-SK"/>
              </w:rPr>
              <w:t>antihistaminiká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 a ďalšie sedatívne lieky (na upokojenie alebo zmiernenie úzkosti)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053FBBDB" w14:textId="77777777" w:rsidR="002D70F1" w:rsidRPr="009D3DED" w:rsidRDefault="002D70F1" w:rsidP="00A65E8F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pretože kofeín môže znižovať sedatívny účinok</w:t>
            </w:r>
          </w:p>
        </w:tc>
      </w:tr>
      <w:tr w:rsidR="002D70F1" w:rsidRPr="009D3DED" w14:paraId="3764C701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6B9CA3E4" w14:textId="57DC63B0" w:rsidR="002D70F1" w:rsidRPr="009D3DED" w:rsidRDefault="009830AC" w:rsidP="00A65E8F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b</w:t>
            </w:r>
            <w:r w:rsidR="002D70F1" w:rsidRPr="009D3DED">
              <w:rPr>
                <w:szCs w:val="22"/>
                <w:lang w:val="sk-SK"/>
              </w:rPr>
              <w:t>arbituráty a fajčenie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73484AA6" w14:textId="77777777" w:rsidR="002D70F1" w:rsidRPr="009D3DED" w:rsidRDefault="002D70F1" w:rsidP="00A65E8F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pretože by mohli znížiť účinky kofeínu</w:t>
            </w:r>
          </w:p>
        </w:tc>
      </w:tr>
      <w:tr w:rsidR="002D70F1" w:rsidRPr="009D3DED" w14:paraId="4069CE32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30333F37" w14:textId="3CE930A1" w:rsidR="002D70F1" w:rsidRPr="009D3DED" w:rsidRDefault="009830AC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s</w:t>
            </w:r>
            <w:r w:rsidR="002D70F1" w:rsidRPr="009D3DED">
              <w:rPr>
                <w:szCs w:val="22"/>
                <w:lang w:val="sk-SK"/>
              </w:rPr>
              <w:t>ympatomimetiká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, </w:t>
            </w:r>
            <w:proofErr w:type="spellStart"/>
            <w:r w:rsidR="002D70F1" w:rsidRPr="009D3DED">
              <w:rPr>
                <w:szCs w:val="22"/>
                <w:lang w:val="sk-SK"/>
              </w:rPr>
              <w:t>tyroxín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 a ďalšie lieky s </w:t>
            </w:r>
            <w:proofErr w:type="spellStart"/>
            <w:r w:rsidR="002D70F1" w:rsidRPr="009D3DED">
              <w:rPr>
                <w:szCs w:val="22"/>
                <w:lang w:val="sk-SK"/>
              </w:rPr>
              <w:t>tachykardickým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 účinkom (lieky používané napríklad na nízky krvný tlak a poruchy štítnej žľazy)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390CF041" w14:textId="77777777" w:rsidR="002D70F1" w:rsidRPr="009D3DED" w:rsidRDefault="002D70F1" w:rsidP="00A65E8F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t>pretože súbežné podanie môže zvýšiť účinok týchto liekov na zrýchlenie pulzu</w:t>
            </w:r>
          </w:p>
        </w:tc>
      </w:tr>
      <w:tr w:rsidR="002D70F1" w:rsidRPr="009D3DED" w14:paraId="3980F31E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3618332D" w14:textId="7B7F3CE1" w:rsidR="002D70F1" w:rsidRPr="009D3DED" w:rsidRDefault="009830AC" w:rsidP="00A65E8F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ústami užívaná antikoncepcia</w:t>
            </w:r>
            <w:r w:rsidR="002D70F1" w:rsidRPr="009D3DED">
              <w:rPr>
                <w:szCs w:val="22"/>
                <w:lang w:val="sk-SK"/>
              </w:rPr>
              <w:t xml:space="preserve">, </w:t>
            </w:r>
            <w:proofErr w:type="spellStart"/>
            <w:r w:rsidR="002D70F1" w:rsidRPr="009D3DED">
              <w:rPr>
                <w:szCs w:val="22"/>
                <w:lang w:val="sk-SK"/>
              </w:rPr>
              <w:t>cimetidín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, </w:t>
            </w:r>
            <w:proofErr w:type="spellStart"/>
            <w:r w:rsidR="002D70F1" w:rsidRPr="009D3DED">
              <w:rPr>
                <w:szCs w:val="22"/>
                <w:lang w:val="sk-SK"/>
              </w:rPr>
              <w:t>fluvoxamín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 a </w:t>
            </w:r>
            <w:proofErr w:type="spellStart"/>
            <w:r w:rsidR="002D70F1" w:rsidRPr="009D3DED">
              <w:rPr>
                <w:szCs w:val="22"/>
                <w:lang w:val="sk-SK"/>
              </w:rPr>
              <w:t>disulfiram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 (lieky </w:t>
            </w:r>
            <w:r>
              <w:rPr>
                <w:szCs w:val="22"/>
                <w:lang w:val="sk-SK"/>
              </w:rPr>
              <w:t>na</w:t>
            </w:r>
            <w:r w:rsidR="002D70F1" w:rsidRPr="009D3DED">
              <w:rPr>
                <w:szCs w:val="22"/>
                <w:lang w:val="sk-SK"/>
              </w:rPr>
              <w:t> zabráneni</w:t>
            </w:r>
            <w:r>
              <w:rPr>
                <w:szCs w:val="22"/>
                <w:lang w:val="sk-SK"/>
              </w:rPr>
              <w:t>e</w:t>
            </w:r>
            <w:r w:rsidR="002D70F1" w:rsidRPr="009D3DED">
              <w:rPr>
                <w:szCs w:val="22"/>
                <w:lang w:val="sk-SK"/>
              </w:rPr>
              <w:t xml:space="preserve"> </w:t>
            </w:r>
            <w:r w:rsidR="002D70F1" w:rsidRPr="009D3DED">
              <w:rPr>
                <w:szCs w:val="22"/>
                <w:lang w:val="sk-SK"/>
              </w:rPr>
              <w:lastRenderedPageBreak/>
              <w:t xml:space="preserve">otehotnenia, </w:t>
            </w:r>
            <w:r>
              <w:rPr>
                <w:szCs w:val="22"/>
                <w:lang w:val="sk-SK"/>
              </w:rPr>
              <w:t>na</w:t>
            </w:r>
            <w:r w:rsidR="002D70F1" w:rsidRPr="009D3DED">
              <w:rPr>
                <w:szCs w:val="22"/>
                <w:lang w:val="sk-SK"/>
              </w:rPr>
              <w:t> potlačeni</w:t>
            </w:r>
            <w:r>
              <w:rPr>
                <w:szCs w:val="22"/>
                <w:lang w:val="sk-SK"/>
              </w:rPr>
              <w:t>e</w:t>
            </w:r>
            <w:r w:rsidR="002D70F1" w:rsidRPr="009D3DED">
              <w:rPr>
                <w:szCs w:val="22"/>
                <w:lang w:val="sk-SK"/>
              </w:rPr>
              <w:t xml:space="preserve"> tvorby žalúdočn</w:t>
            </w:r>
            <w:r w:rsidR="002D70F1">
              <w:rPr>
                <w:szCs w:val="22"/>
                <w:lang w:val="sk-SK"/>
              </w:rPr>
              <w:t>ej</w:t>
            </w:r>
            <w:r w:rsidR="002D70F1" w:rsidRPr="009D3DED">
              <w:rPr>
                <w:szCs w:val="22"/>
                <w:lang w:val="sk-SK"/>
              </w:rPr>
              <w:t xml:space="preserve"> kysel</w:t>
            </w:r>
            <w:r w:rsidR="002D70F1">
              <w:rPr>
                <w:szCs w:val="22"/>
                <w:lang w:val="sk-SK"/>
              </w:rPr>
              <w:t>i</w:t>
            </w:r>
            <w:r w:rsidR="002D70F1" w:rsidRPr="009D3DED">
              <w:rPr>
                <w:szCs w:val="22"/>
                <w:lang w:val="sk-SK"/>
              </w:rPr>
              <w:t>n</w:t>
            </w:r>
            <w:r w:rsidR="002D70F1">
              <w:rPr>
                <w:szCs w:val="22"/>
                <w:lang w:val="sk-SK"/>
              </w:rPr>
              <w:t>y</w:t>
            </w:r>
            <w:r w:rsidR="002D70F1" w:rsidRPr="009D3DED">
              <w:rPr>
                <w:szCs w:val="22"/>
                <w:lang w:val="sk-SK"/>
              </w:rPr>
              <w:t>, na depresiu a na liečbu chronického alkoholizmu)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5970051C" w14:textId="77777777" w:rsidR="002D70F1" w:rsidRPr="009D3DED" w:rsidRDefault="002D70F1" w:rsidP="00A65E8F">
            <w:pPr>
              <w:rPr>
                <w:szCs w:val="22"/>
                <w:lang w:val="sk-SK"/>
              </w:rPr>
            </w:pPr>
            <w:r w:rsidRPr="009D3DED">
              <w:rPr>
                <w:szCs w:val="22"/>
                <w:lang w:val="sk-SK"/>
              </w:rPr>
              <w:lastRenderedPageBreak/>
              <w:t>pretože by mohli zvýšiť účinky kofeínu</w:t>
            </w:r>
          </w:p>
        </w:tc>
      </w:tr>
      <w:tr w:rsidR="002D70F1" w:rsidRPr="009D3DED" w14:paraId="3CC5507A" w14:textId="77777777" w:rsidTr="00B4672A">
        <w:tc>
          <w:tcPr>
            <w:tcW w:w="4702" w:type="dxa"/>
            <w:shd w:val="clear" w:color="auto" w:fill="auto"/>
            <w:tcMar>
              <w:top w:w="85" w:type="dxa"/>
              <w:bottom w:w="85" w:type="dxa"/>
            </w:tcMar>
          </w:tcPr>
          <w:p w14:paraId="22FB879D" w14:textId="5B4F8DFB" w:rsidR="002D70F1" w:rsidRPr="009D3DED" w:rsidRDefault="009830AC" w:rsidP="00A65E8F">
            <w:pPr>
              <w:rPr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t</w:t>
            </w:r>
            <w:r w:rsidR="002D70F1" w:rsidRPr="009D3DED">
              <w:rPr>
                <w:szCs w:val="22"/>
                <w:lang w:val="sk-SK"/>
              </w:rPr>
              <w:t>eofylín</w:t>
            </w:r>
            <w:proofErr w:type="spellEnd"/>
            <w:r w:rsidR="002D70F1" w:rsidRPr="009D3DED">
              <w:rPr>
                <w:szCs w:val="22"/>
                <w:lang w:val="sk-SK"/>
              </w:rPr>
              <w:t xml:space="preserve"> (liek na liečbu ochorení dýchacích ciest)</w:t>
            </w:r>
          </w:p>
        </w:tc>
        <w:tc>
          <w:tcPr>
            <w:tcW w:w="4586" w:type="dxa"/>
            <w:shd w:val="clear" w:color="auto" w:fill="auto"/>
            <w:tcMar>
              <w:top w:w="85" w:type="dxa"/>
              <w:bottom w:w="85" w:type="dxa"/>
            </w:tcMar>
          </w:tcPr>
          <w:p w14:paraId="268E50FA" w14:textId="77777777" w:rsidR="002D70F1" w:rsidRPr="009D3DED" w:rsidRDefault="002D70F1" w:rsidP="00A65E8F">
            <w:pPr>
              <w:rPr>
                <w:szCs w:val="22"/>
                <w:lang w:val="sk-SK"/>
              </w:rPr>
            </w:pPr>
            <w:r w:rsidRPr="009D3DED">
              <w:rPr>
                <w:bCs/>
                <w:szCs w:val="22"/>
                <w:lang w:val="sk-SK"/>
              </w:rPr>
              <w:t xml:space="preserve">pretože môže dôjsť k zvýšeniu účinku </w:t>
            </w:r>
            <w:proofErr w:type="spellStart"/>
            <w:r w:rsidRPr="009D3DED">
              <w:rPr>
                <w:bCs/>
                <w:szCs w:val="22"/>
                <w:lang w:val="sk-SK"/>
              </w:rPr>
              <w:t>teofylínu</w:t>
            </w:r>
            <w:proofErr w:type="spellEnd"/>
          </w:p>
        </w:tc>
      </w:tr>
    </w:tbl>
    <w:p w14:paraId="78AD20FF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24D7DE2F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 a jedlo, nápoje a alkohol</w:t>
      </w:r>
    </w:p>
    <w:p w14:paraId="08737B2F" w14:textId="38D167CE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>Výskyt niektorých</w:t>
      </w:r>
      <w:r w:rsidR="008C362F">
        <w:rPr>
          <w:szCs w:val="22"/>
          <w:lang w:val="sk-SK"/>
        </w:rPr>
        <w:t xml:space="preserve"> </w:t>
      </w:r>
      <w:r w:rsidR="00717E13">
        <w:rPr>
          <w:szCs w:val="22"/>
          <w:lang w:val="sk-SK"/>
        </w:rPr>
        <w:t>vedľajších</w:t>
      </w:r>
      <w:r w:rsidRPr="009D3DED">
        <w:rPr>
          <w:szCs w:val="22"/>
          <w:lang w:val="sk-SK"/>
        </w:rPr>
        <w:t xml:space="preserve"> účinkov, ktoré majú vplyv na </w:t>
      </w:r>
      <w:r w:rsidR="00717E13">
        <w:rPr>
          <w:szCs w:val="22"/>
          <w:lang w:val="sk-SK"/>
        </w:rPr>
        <w:t>tráviacu</w:t>
      </w:r>
      <w:r w:rsidR="00717E13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sústavu a centrálny nervový systém, môže byť pravdepodobnejší, ak sa v rovnakom čase ako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Plus požije alkohol. Vyvarujte sa konzumáci</w:t>
      </w:r>
      <w:r>
        <w:rPr>
          <w:szCs w:val="22"/>
          <w:lang w:val="sk-SK"/>
        </w:rPr>
        <w:t>i</w:t>
      </w:r>
      <w:r w:rsidRPr="009D3DED">
        <w:rPr>
          <w:szCs w:val="22"/>
          <w:lang w:val="sk-SK"/>
        </w:rPr>
        <w:t xml:space="preserve"> veľkého množstva produktov obsahujúcich kofeín (napr. káva, čaj, potraviny, ďalšie lieky a nápoje) spoločne s </w:t>
      </w:r>
      <w:proofErr w:type="spellStart"/>
      <w:r w:rsidRPr="009D3DED">
        <w:rPr>
          <w:szCs w:val="22"/>
          <w:lang w:val="sk-SK"/>
        </w:rPr>
        <w:t>Ibalgin</w:t>
      </w:r>
      <w:r w:rsidR="00717E13">
        <w:rPr>
          <w:szCs w:val="22"/>
          <w:lang w:val="sk-SK"/>
        </w:rPr>
        <w:t>om</w:t>
      </w:r>
      <w:proofErr w:type="spellEnd"/>
      <w:r w:rsidRPr="009D3DED">
        <w:rPr>
          <w:szCs w:val="22"/>
          <w:lang w:val="sk-SK"/>
        </w:rPr>
        <w:t xml:space="preserve"> Plus.</w:t>
      </w:r>
    </w:p>
    <w:p w14:paraId="51495FD6" w14:textId="77777777" w:rsidR="002D70F1" w:rsidRPr="009D3DED" w:rsidRDefault="002D70F1" w:rsidP="00A65E8F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  <w:lang w:val="sk-SK"/>
        </w:rPr>
      </w:pPr>
    </w:p>
    <w:p w14:paraId="2B19E779" w14:textId="77777777" w:rsidR="00C507B7" w:rsidRDefault="002D70F1" w:rsidP="00A65E8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Tehotenstvo, dojčenie a plodnosť </w:t>
      </w:r>
    </w:p>
    <w:p w14:paraId="0CD75E53" w14:textId="0022C3D0" w:rsidR="008C362F" w:rsidRPr="00CB079A" w:rsidRDefault="002D70F1" w:rsidP="00A65E8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fldChar w:fldCharType="begin"/>
      </w:r>
      <w:r w:rsidRPr="009D3DED">
        <w:rPr>
          <w:b/>
          <w:szCs w:val="22"/>
          <w:lang w:val="sk-SK"/>
        </w:rPr>
        <w:instrText xml:space="preserve"> DOCVARIABLE vault_nd_b10dc036-4627-445e-8ee7-6a2df05a988e \* MERGEFORMAT </w:instrText>
      </w:r>
      <w:r w:rsidRPr="009D3DED">
        <w:rPr>
          <w:b/>
          <w:szCs w:val="22"/>
          <w:lang w:val="sk-SK"/>
        </w:rPr>
        <w:fldChar w:fldCharType="end"/>
      </w:r>
      <w:r w:rsidR="008C362F" w:rsidRPr="008C362F">
        <w:rPr>
          <w:noProof/>
          <w:szCs w:val="22"/>
          <w:lang w:val="sk-SK" w:eastAsia="sk-SK"/>
        </w:rPr>
        <w:t>Ak ste tehotná alebo dojčíte, ak si myslíte, že ste tehotná alebo ak plánujete otehotnieť, poraďte sa so svojím lekárom</w:t>
      </w:r>
      <w:r w:rsidR="00C507B7">
        <w:rPr>
          <w:noProof/>
          <w:szCs w:val="22"/>
          <w:lang w:val="sk-SK" w:eastAsia="sk-SK"/>
        </w:rPr>
        <w:t xml:space="preserve"> </w:t>
      </w:r>
      <w:r w:rsidR="008C362F" w:rsidRPr="008C362F">
        <w:rPr>
          <w:noProof/>
          <w:szCs w:val="22"/>
          <w:lang w:val="sk-SK" w:eastAsia="sk-SK"/>
        </w:rPr>
        <w:t>alebo</w:t>
      </w:r>
      <w:r w:rsidR="00C507B7">
        <w:rPr>
          <w:noProof/>
          <w:szCs w:val="22"/>
          <w:lang w:val="sk-SK" w:eastAsia="sk-SK"/>
        </w:rPr>
        <w:t xml:space="preserve"> </w:t>
      </w:r>
      <w:r w:rsidR="008C362F" w:rsidRPr="008C362F">
        <w:rPr>
          <w:noProof/>
          <w:szCs w:val="22"/>
          <w:lang w:val="sk-SK" w:eastAsia="sk-SK"/>
        </w:rPr>
        <w:t>lekárnikom predtým, ako začnete užívať tento liek.</w:t>
      </w:r>
    </w:p>
    <w:p w14:paraId="55DC323F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7B808548" w14:textId="2E86B874" w:rsidR="002D70F1" w:rsidRPr="009D3DED" w:rsidRDefault="002D70F1" w:rsidP="00A65E8F">
      <w:pPr>
        <w:rPr>
          <w:rFonts w:cs="Arial"/>
          <w:color w:val="000000"/>
          <w:lang w:val="sk-SK"/>
        </w:rPr>
      </w:pPr>
      <w:r w:rsidRPr="009D3DED">
        <w:rPr>
          <w:rFonts w:cs="Arial"/>
          <w:color w:val="000000"/>
          <w:lang w:val="sk-SK"/>
        </w:rPr>
        <w:t xml:space="preserve">Informujte svojho lekára, ak otehotniete počas užívania </w:t>
      </w:r>
      <w:proofErr w:type="spellStart"/>
      <w:r w:rsidRPr="009D3DED">
        <w:rPr>
          <w:rFonts w:cs="Arial"/>
          <w:color w:val="000000"/>
          <w:lang w:val="sk-SK"/>
        </w:rPr>
        <w:t>Ibalgin</w:t>
      </w:r>
      <w:r w:rsidR="00880E9E">
        <w:rPr>
          <w:rFonts w:cs="Arial"/>
          <w:color w:val="000000"/>
          <w:lang w:val="sk-SK"/>
        </w:rPr>
        <w:t>u</w:t>
      </w:r>
      <w:proofErr w:type="spellEnd"/>
      <w:r w:rsidRPr="009D3DED">
        <w:rPr>
          <w:rFonts w:cs="Arial"/>
          <w:color w:val="000000"/>
          <w:lang w:val="sk-SK"/>
        </w:rPr>
        <w:t xml:space="preserve"> Plus. Neužívajte tento liek počas posledných 3 mesiacov tehotenstva. Nepoužívajte tento liek počas prvých 6 mesiacov tehotenstva, ak vám </w:t>
      </w:r>
      <w:r w:rsidR="00880E9E">
        <w:rPr>
          <w:rFonts w:cs="Arial"/>
          <w:color w:val="000000"/>
          <w:lang w:val="sk-SK"/>
        </w:rPr>
        <w:t xml:space="preserve">to </w:t>
      </w:r>
      <w:r w:rsidRPr="009D3DED">
        <w:rPr>
          <w:rFonts w:cs="Arial"/>
          <w:color w:val="000000"/>
          <w:lang w:val="sk-SK"/>
        </w:rPr>
        <w:t>lekár neodporučí.</w:t>
      </w:r>
    </w:p>
    <w:p w14:paraId="0C8618AA" w14:textId="77777777" w:rsidR="002D70F1" w:rsidRPr="009D3DED" w:rsidRDefault="002D70F1" w:rsidP="00A65E8F">
      <w:pPr>
        <w:rPr>
          <w:rFonts w:cs="Arial"/>
          <w:color w:val="000000"/>
          <w:lang w:val="sk-SK"/>
        </w:rPr>
      </w:pPr>
    </w:p>
    <w:p w14:paraId="0F6CEED4" w14:textId="337AE4CD" w:rsidR="002D70F1" w:rsidRPr="009D3DED" w:rsidRDefault="00CD5899" w:rsidP="00A65E8F">
      <w:pPr>
        <w:rPr>
          <w:rFonts w:cs="Arial"/>
          <w:color w:val="000000"/>
          <w:lang w:val="sk-SK"/>
        </w:rPr>
      </w:pPr>
      <w:r>
        <w:rPr>
          <w:rFonts w:cs="Arial"/>
          <w:color w:val="000000"/>
          <w:lang w:val="sk-SK"/>
        </w:rPr>
        <w:t>Liečivá</w:t>
      </w:r>
      <w:r w:rsidR="002D70F1" w:rsidRPr="009D3DED">
        <w:rPr>
          <w:rFonts w:cs="Arial"/>
          <w:color w:val="000000"/>
          <w:lang w:val="sk-SK"/>
        </w:rPr>
        <w:t xml:space="preserve">, </w:t>
      </w:r>
      <w:proofErr w:type="spellStart"/>
      <w:r w:rsidR="002D70F1" w:rsidRPr="009D3DED">
        <w:rPr>
          <w:rFonts w:cs="Arial"/>
          <w:color w:val="000000"/>
          <w:lang w:val="sk-SK"/>
        </w:rPr>
        <w:t>ibuprofén</w:t>
      </w:r>
      <w:proofErr w:type="spellEnd"/>
      <w:r w:rsidR="002D70F1" w:rsidRPr="009D3DED">
        <w:rPr>
          <w:rFonts w:cs="Arial"/>
          <w:color w:val="000000"/>
          <w:lang w:val="sk-SK"/>
        </w:rPr>
        <w:t xml:space="preserve"> a kofeín, prechádzajú do materského mlieka. U dojčiat bola hlásená podráždenosť a zlý spánok. Dojčiace ženy by mali užívať </w:t>
      </w:r>
      <w:proofErr w:type="spellStart"/>
      <w:r w:rsidR="002D70F1" w:rsidRPr="009D3DED">
        <w:rPr>
          <w:rFonts w:cs="Arial"/>
          <w:color w:val="000000"/>
          <w:lang w:val="sk-SK"/>
        </w:rPr>
        <w:t>Ibalgin</w:t>
      </w:r>
      <w:proofErr w:type="spellEnd"/>
      <w:r w:rsidR="002D70F1" w:rsidRPr="009D3DED">
        <w:rPr>
          <w:rFonts w:cs="Arial"/>
          <w:color w:val="000000"/>
          <w:lang w:val="sk-SK"/>
        </w:rPr>
        <w:t xml:space="preserve"> Plus iba v nevyhnutných prípadoch.</w:t>
      </w:r>
    </w:p>
    <w:p w14:paraId="6112EFEA" w14:textId="77777777" w:rsidR="002D70F1" w:rsidRPr="009D3DED" w:rsidRDefault="002D70F1" w:rsidP="00A65E8F">
      <w:pPr>
        <w:rPr>
          <w:rFonts w:cs="Arial"/>
          <w:color w:val="000000"/>
          <w:lang w:val="sk-SK"/>
        </w:rPr>
      </w:pPr>
    </w:p>
    <w:p w14:paraId="2E8AC6FD" w14:textId="77777777" w:rsidR="002D70F1" w:rsidRPr="009D3DED" w:rsidRDefault="002D70F1" w:rsidP="00A65E8F">
      <w:pPr>
        <w:autoSpaceDE w:val="0"/>
        <w:autoSpaceDN w:val="0"/>
        <w:adjustRightInd w:val="0"/>
        <w:rPr>
          <w:rFonts w:cs="Arial"/>
          <w:color w:val="000000"/>
          <w:lang w:val="sk-SK"/>
        </w:rPr>
      </w:pPr>
      <w:r w:rsidRPr="009D3DED">
        <w:rPr>
          <w:rFonts w:cs="Arial"/>
          <w:color w:val="000000"/>
          <w:lang w:val="sk-SK"/>
        </w:rPr>
        <w:t>Tento liek patrí do skupiny liekov (NSAID), ktoré môžu narušiť plodnosť u žien. Tento účinok je</w:t>
      </w:r>
      <w:r>
        <w:rPr>
          <w:rFonts w:cs="Arial"/>
          <w:color w:val="000000"/>
          <w:lang w:val="sk-SK"/>
        </w:rPr>
        <w:t xml:space="preserve"> však</w:t>
      </w:r>
      <w:r w:rsidRPr="009D3DED">
        <w:rPr>
          <w:rFonts w:cs="Arial"/>
          <w:color w:val="000000"/>
          <w:lang w:val="sk-SK"/>
        </w:rPr>
        <w:t xml:space="preserve"> po ukončení </w:t>
      </w:r>
      <w:r w:rsidRPr="00F3089D">
        <w:rPr>
          <w:rFonts w:cs="Arial"/>
          <w:color w:val="000000"/>
          <w:lang w:val="sk-SK"/>
        </w:rPr>
        <w:t>užívania tohto lieku vratný</w:t>
      </w:r>
      <w:r w:rsidRPr="009D3DED">
        <w:rPr>
          <w:szCs w:val="22"/>
          <w:lang w:val="sk-SK"/>
        </w:rPr>
        <w:t>.</w:t>
      </w:r>
    </w:p>
    <w:p w14:paraId="1D00AFBB" w14:textId="77777777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</w:p>
    <w:p w14:paraId="3E6247EA" w14:textId="77777777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Vedenie vozidiel a obsluha strojov </w:t>
      </w:r>
      <w:r w:rsidRPr="009D3DED">
        <w:rPr>
          <w:b/>
          <w:szCs w:val="22"/>
          <w:lang w:val="sk-SK"/>
        </w:rPr>
        <w:fldChar w:fldCharType="begin"/>
      </w:r>
      <w:r w:rsidRPr="009D3DED">
        <w:rPr>
          <w:b/>
          <w:szCs w:val="22"/>
          <w:lang w:val="sk-SK"/>
        </w:rPr>
        <w:instrText xml:space="preserve"> DOCVARIABLE vault_nd_992368d4-fa03-4810-bb62-90348c04a8ce \* MERGEFORMAT </w:instrText>
      </w:r>
      <w:r w:rsidRPr="009D3DED">
        <w:rPr>
          <w:b/>
          <w:szCs w:val="22"/>
          <w:lang w:val="sk-SK"/>
        </w:rPr>
        <w:fldChar w:fldCharType="end"/>
      </w:r>
    </w:p>
    <w:p w14:paraId="5B6DB193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>Pri krátkodobom užívaní a normálnom dávkovaní nemá tento liek žiadny alebo má len zanedbateľný vplyv na schopnosť viesť a obsluhovať stroje. Osoby, u ktorých sa prejavili vedľajšie účinky, ako sú závraty, únava alebo poruchy videnia, by však nemali riadiť ani obsluhovať stroje. To platí vo väčšej miere v kombinácii s alkoholom.</w:t>
      </w:r>
    </w:p>
    <w:p w14:paraId="1A423EE1" w14:textId="77777777" w:rsidR="002D70F1" w:rsidRPr="009D3DED" w:rsidRDefault="002D70F1" w:rsidP="00A65E8F">
      <w:pPr>
        <w:numPr>
          <w:ilvl w:val="12"/>
          <w:numId w:val="0"/>
        </w:numPr>
        <w:rPr>
          <w:szCs w:val="22"/>
          <w:lang w:val="sk-SK"/>
        </w:rPr>
      </w:pPr>
    </w:p>
    <w:p w14:paraId="7A72F57B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27407548" w14:textId="77777777" w:rsidR="002D70F1" w:rsidRPr="009D3DED" w:rsidRDefault="002D70F1" w:rsidP="00A65E8F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Ako užívať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</w:t>
      </w:r>
    </w:p>
    <w:p w14:paraId="6EE01FE6" w14:textId="77777777" w:rsidR="002D70F1" w:rsidRPr="009D3DED" w:rsidRDefault="002D70F1" w:rsidP="00A65E8F">
      <w:pPr>
        <w:ind w:right="-2"/>
        <w:rPr>
          <w:szCs w:val="22"/>
          <w:lang w:val="sk-SK"/>
        </w:rPr>
      </w:pPr>
    </w:p>
    <w:p w14:paraId="21A44718" w14:textId="4BDD09A7" w:rsidR="008C362F" w:rsidRPr="008C362F" w:rsidRDefault="008C362F" w:rsidP="00A65E8F">
      <w:pPr>
        <w:tabs>
          <w:tab w:val="clear" w:pos="567"/>
        </w:tabs>
        <w:spacing w:line="240" w:lineRule="auto"/>
        <w:rPr>
          <w:bCs/>
          <w:noProof/>
          <w:szCs w:val="22"/>
          <w:lang w:val="sk-SK" w:eastAsia="sk-SK"/>
        </w:rPr>
      </w:pPr>
      <w:r w:rsidRPr="008C362F">
        <w:rPr>
          <w:bCs/>
          <w:noProof/>
          <w:szCs w:val="22"/>
          <w:lang w:val="sk-SK" w:eastAsia="sk-SK"/>
        </w:rPr>
        <w:t>Vždy užívajte</w:t>
      </w:r>
      <w:r w:rsidR="00C507B7">
        <w:rPr>
          <w:bCs/>
          <w:noProof/>
          <w:szCs w:val="22"/>
          <w:lang w:val="sk-SK" w:eastAsia="sk-SK"/>
        </w:rPr>
        <w:t xml:space="preserve"> </w:t>
      </w:r>
      <w:r w:rsidRPr="008C362F">
        <w:rPr>
          <w:noProof/>
          <w:szCs w:val="22"/>
          <w:lang w:val="sk-SK" w:eastAsia="sk-SK"/>
        </w:rPr>
        <w:t>tento liek</w:t>
      </w:r>
      <w:r w:rsidRPr="008C362F">
        <w:rPr>
          <w:bCs/>
          <w:noProof/>
          <w:szCs w:val="22"/>
          <w:lang w:val="sk-SK" w:eastAsia="sk-SK"/>
        </w:rPr>
        <w:t xml:space="preserve"> presne tak, ako vám povedal váš </w:t>
      </w:r>
      <w:r w:rsidR="00C507B7">
        <w:rPr>
          <w:bCs/>
          <w:noProof/>
          <w:szCs w:val="22"/>
          <w:lang w:val="sk-SK" w:eastAsia="sk-SK"/>
        </w:rPr>
        <w:t xml:space="preserve"> </w:t>
      </w:r>
      <w:r w:rsidRPr="008C362F">
        <w:rPr>
          <w:bCs/>
          <w:noProof/>
          <w:szCs w:val="22"/>
          <w:lang w:val="sk-SK" w:eastAsia="sk-SK"/>
        </w:rPr>
        <w:t>lekár</w:t>
      </w:r>
      <w:r w:rsidR="00C507B7">
        <w:rPr>
          <w:bCs/>
          <w:noProof/>
          <w:szCs w:val="22"/>
          <w:lang w:val="sk-SK" w:eastAsia="sk-SK"/>
        </w:rPr>
        <w:t xml:space="preserve"> </w:t>
      </w:r>
      <w:r w:rsidRPr="008C362F">
        <w:rPr>
          <w:noProof/>
          <w:szCs w:val="22"/>
          <w:lang w:val="sk-SK" w:eastAsia="sk-SK"/>
        </w:rPr>
        <w:t>alebo</w:t>
      </w:r>
      <w:r w:rsidR="00C507B7">
        <w:rPr>
          <w:noProof/>
          <w:szCs w:val="22"/>
          <w:lang w:val="sk-SK" w:eastAsia="sk-SK"/>
        </w:rPr>
        <w:t xml:space="preserve"> </w:t>
      </w:r>
      <w:r w:rsidRPr="008C362F">
        <w:rPr>
          <w:noProof/>
          <w:szCs w:val="22"/>
          <w:lang w:val="sk-SK" w:eastAsia="sk-SK"/>
        </w:rPr>
        <w:t>lekárnik</w:t>
      </w:r>
      <w:r w:rsidRPr="008C362F">
        <w:rPr>
          <w:bCs/>
          <w:noProof/>
          <w:szCs w:val="22"/>
          <w:lang w:val="sk-SK" w:eastAsia="sk-SK"/>
        </w:rPr>
        <w:t xml:space="preserve">. Ak si nie ste niečím istý, overte si to u svojho </w:t>
      </w:r>
      <w:r w:rsidR="00C507B7">
        <w:rPr>
          <w:bCs/>
          <w:noProof/>
          <w:szCs w:val="22"/>
          <w:lang w:val="sk-SK" w:eastAsia="sk-SK"/>
        </w:rPr>
        <w:t>le</w:t>
      </w:r>
      <w:r w:rsidRPr="008C362F">
        <w:rPr>
          <w:bCs/>
          <w:noProof/>
          <w:szCs w:val="22"/>
          <w:lang w:val="sk-SK" w:eastAsia="sk-SK"/>
        </w:rPr>
        <w:t>kára</w:t>
      </w:r>
      <w:r w:rsidR="00C507B7">
        <w:rPr>
          <w:noProof/>
          <w:szCs w:val="22"/>
          <w:lang w:val="sk-SK" w:eastAsia="sk-SK"/>
        </w:rPr>
        <w:t xml:space="preserve"> </w:t>
      </w:r>
      <w:r w:rsidRPr="008C362F">
        <w:rPr>
          <w:bCs/>
          <w:noProof/>
          <w:szCs w:val="22"/>
          <w:lang w:val="sk-SK" w:eastAsia="sk-SK"/>
        </w:rPr>
        <w:t>lekárnika.</w:t>
      </w:r>
    </w:p>
    <w:p w14:paraId="29AEBBAD" w14:textId="77777777" w:rsidR="002D70F1" w:rsidRPr="009D3DED" w:rsidRDefault="002D70F1" w:rsidP="00A65E8F">
      <w:pPr>
        <w:autoSpaceDE w:val="0"/>
        <w:autoSpaceDN w:val="0"/>
        <w:adjustRightInd w:val="0"/>
        <w:rPr>
          <w:i/>
          <w:szCs w:val="22"/>
          <w:u w:val="single"/>
          <w:lang w:val="sk-SK"/>
        </w:rPr>
      </w:pPr>
    </w:p>
    <w:p w14:paraId="2F629E89" w14:textId="208574D2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>Odporúčaná dávka je:</w:t>
      </w:r>
    </w:p>
    <w:p w14:paraId="7568BA91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</w:p>
    <w:p w14:paraId="4DCA53D9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u w:val="single"/>
          <w:lang w:val="sk-SK"/>
        </w:rPr>
        <w:t>Dospelí</w:t>
      </w:r>
      <w:r w:rsidRPr="009D3DED">
        <w:rPr>
          <w:bCs/>
          <w:szCs w:val="22"/>
          <w:lang w:val="sk-SK"/>
        </w:rPr>
        <w:t xml:space="preserve">: </w:t>
      </w:r>
    </w:p>
    <w:p w14:paraId="65FF7961" w14:textId="6E85D6B9" w:rsidR="002D70F1" w:rsidRPr="009D3DED" w:rsidRDefault="00B03EFE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>
        <w:rPr>
          <w:bCs/>
          <w:szCs w:val="22"/>
          <w:lang w:val="sk-SK"/>
        </w:rPr>
        <w:t>Za</w:t>
      </w:r>
      <w:r w:rsidR="002D70F1" w:rsidRPr="009D3DED">
        <w:rPr>
          <w:bCs/>
          <w:szCs w:val="22"/>
          <w:lang w:val="sk-SK"/>
        </w:rPr>
        <w:t xml:space="preserve">čiatočná dávka: užite 1 filmom obalenú tabletu (400 mg </w:t>
      </w:r>
      <w:proofErr w:type="spellStart"/>
      <w:r w:rsidR="002D70F1" w:rsidRPr="009D3DED">
        <w:rPr>
          <w:bCs/>
          <w:szCs w:val="22"/>
          <w:lang w:val="sk-SK"/>
        </w:rPr>
        <w:t>ibuprofénu</w:t>
      </w:r>
      <w:proofErr w:type="spellEnd"/>
      <w:r w:rsidR="002D70F1" w:rsidRPr="009D3DED">
        <w:rPr>
          <w:bCs/>
          <w:szCs w:val="22"/>
          <w:lang w:val="sk-SK"/>
        </w:rPr>
        <w:t xml:space="preserve"> a 100 mg kofeínu). V prípade potreby užite ďalšiu dávku (1 filmom obalenú tabletu), ale neprekračujte celkovú dávku 3 filmom obalen</w:t>
      </w:r>
      <w:r>
        <w:rPr>
          <w:bCs/>
          <w:szCs w:val="22"/>
          <w:lang w:val="sk-SK"/>
        </w:rPr>
        <w:t>é</w:t>
      </w:r>
      <w:r w:rsidR="002D70F1" w:rsidRPr="009D3DED">
        <w:rPr>
          <w:bCs/>
          <w:szCs w:val="22"/>
          <w:lang w:val="sk-SK"/>
        </w:rPr>
        <w:t xml:space="preserve"> tabl</w:t>
      </w:r>
      <w:r>
        <w:rPr>
          <w:bCs/>
          <w:szCs w:val="22"/>
          <w:lang w:val="sk-SK"/>
        </w:rPr>
        <w:t>ety</w:t>
      </w:r>
      <w:r w:rsidR="002D70F1" w:rsidRPr="009D3DED">
        <w:rPr>
          <w:bCs/>
          <w:szCs w:val="22"/>
          <w:lang w:val="sk-SK"/>
        </w:rPr>
        <w:t xml:space="preserve"> (1</w:t>
      </w:r>
      <w:r w:rsidR="002D70F1">
        <w:rPr>
          <w:bCs/>
          <w:szCs w:val="22"/>
          <w:lang w:val="sk-SK"/>
        </w:rPr>
        <w:t xml:space="preserve"> </w:t>
      </w:r>
      <w:r w:rsidR="002D70F1" w:rsidRPr="009D3DED">
        <w:rPr>
          <w:bCs/>
          <w:szCs w:val="22"/>
          <w:lang w:val="sk-SK"/>
        </w:rPr>
        <w:t xml:space="preserve">200 mg </w:t>
      </w:r>
      <w:proofErr w:type="spellStart"/>
      <w:r w:rsidR="002D70F1" w:rsidRPr="009D3DED">
        <w:rPr>
          <w:bCs/>
          <w:szCs w:val="22"/>
          <w:lang w:val="sk-SK"/>
        </w:rPr>
        <w:t>ibuprofénu</w:t>
      </w:r>
      <w:proofErr w:type="spellEnd"/>
      <w:r w:rsidR="002D70F1" w:rsidRPr="009D3DED">
        <w:rPr>
          <w:bCs/>
          <w:szCs w:val="22"/>
          <w:lang w:val="sk-SK"/>
        </w:rPr>
        <w:t xml:space="preserve"> a 300 mg kofeínu) za 24 hodín. Interval dávkovania by nemal byť kratší ako 6 hodín.</w:t>
      </w:r>
    </w:p>
    <w:p w14:paraId="14E07E5E" w14:textId="41CA676A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 xml:space="preserve">Ak máte pocit, že je účinok tohto lieku </w:t>
      </w:r>
      <w:r w:rsidR="00B03EFE">
        <w:rPr>
          <w:bCs/>
          <w:szCs w:val="22"/>
          <w:lang w:val="sk-SK"/>
        </w:rPr>
        <w:t>silnejší</w:t>
      </w:r>
      <w:r w:rsidRPr="009D3DED">
        <w:rPr>
          <w:bCs/>
          <w:szCs w:val="22"/>
          <w:lang w:val="sk-SK"/>
        </w:rPr>
        <w:t xml:space="preserve"> alebo </w:t>
      </w:r>
      <w:r w:rsidR="00B03EFE">
        <w:rPr>
          <w:bCs/>
          <w:szCs w:val="22"/>
          <w:lang w:val="sk-SK"/>
        </w:rPr>
        <w:t>slabší</w:t>
      </w:r>
      <w:r w:rsidRPr="009D3DED">
        <w:rPr>
          <w:bCs/>
          <w:szCs w:val="22"/>
          <w:lang w:val="sk-SK"/>
        </w:rPr>
        <w:t>, než ste očakávali, poraďte sa s lekárom alebo lekárnikom.</w:t>
      </w:r>
    </w:p>
    <w:p w14:paraId="035CA6DB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</w:p>
    <w:p w14:paraId="1479D6B5" w14:textId="3ADF678E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 xml:space="preserve">Pri stavoch s miernou bolesťou alebo ak liečba trvá dlhšie ako 3 dni sa </w:t>
      </w:r>
      <w:proofErr w:type="spellStart"/>
      <w:r>
        <w:rPr>
          <w:bCs/>
          <w:szCs w:val="22"/>
          <w:lang w:val="sk-SK"/>
        </w:rPr>
        <w:t>Ibalgin</w:t>
      </w:r>
      <w:proofErr w:type="spellEnd"/>
      <w:r>
        <w:rPr>
          <w:bCs/>
          <w:szCs w:val="22"/>
          <w:lang w:val="sk-SK"/>
        </w:rPr>
        <w:t xml:space="preserve"> Plus</w:t>
      </w:r>
      <w:r w:rsidRPr="009D3DED">
        <w:rPr>
          <w:bCs/>
          <w:szCs w:val="22"/>
          <w:lang w:val="sk-SK"/>
        </w:rPr>
        <w:t xml:space="preserve"> neodporúča.</w:t>
      </w:r>
    </w:p>
    <w:p w14:paraId="212EAB9B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</w:p>
    <w:p w14:paraId="167A2896" w14:textId="17E3C6AA" w:rsidR="002D70F1" w:rsidRPr="009D3DED" w:rsidRDefault="00F934C6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>
        <w:rPr>
          <w:bCs/>
          <w:szCs w:val="22"/>
          <w:lang w:val="sk-SK"/>
        </w:rPr>
        <w:t>Liek n</w:t>
      </w:r>
      <w:r w:rsidR="002D70F1" w:rsidRPr="009D3DED">
        <w:rPr>
          <w:bCs/>
          <w:szCs w:val="22"/>
          <w:lang w:val="sk-SK"/>
        </w:rPr>
        <w:t>ie je určen</w:t>
      </w:r>
      <w:r>
        <w:rPr>
          <w:bCs/>
          <w:szCs w:val="22"/>
          <w:lang w:val="sk-SK"/>
        </w:rPr>
        <w:t>ý</w:t>
      </w:r>
      <w:r w:rsidR="002D70F1" w:rsidRPr="009D3DED">
        <w:rPr>
          <w:bCs/>
          <w:szCs w:val="22"/>
          <w:lang w:val="sk-SK"/>
        </w:rPr>
        <w:t xml:space="preserve"> </w:t>
      </w:r>
      <w:r w:rsidR="00B03EFE">
        <w:rPr>
          <w:bCs/>
          <w:szCs w:val="22"/>
          <w:lang w:val="sk-SK"/>
        </w:rPr>
        <w:t>na</w:t>
      </w:r>
      <w:r w:rsidR="002D70F1" w:rsidRPr="009D3DED">
        <w:rPr>
          <w:bCs/>
          <w:szCs w:val="22"/>
          <w:lang w:val="sk-SK"/>
        </w:rPr>
        <w:t xml:space="preserve"> použitie u detí a dospievajúcich do 18 rokov, pretože nie sú k dispozícii žiadne údaje.</w:t>
      </w:r>
    </w:p>
    <w:p w14:paraId="6773BCB6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</w:p>
    <w:p w14:paraId="5E1B7120" w14:textId="51A8361B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>Na perorálne použitie</w:t>
      </w:r>
      <w:r w:rsidR="00B03EFE">
        <w:rPr>
          <w:bCs/>
          <w:szCs w:val="22"/>
          <w:lang w:val="sk-SK"/>
        </w:rPr>
        <w:t xml:space="preserve"> (cez ústa)</w:t>
      </w:r>
      <w:r w:rsidRPr="009D3DED">
        <w:rPr>
          <w:bCs/>
          <w:szCs w:val="22"/>
          <w:lang w:val="sk-SK"/>
        </w:rPr>
        <w:t>.</w:t>
      </w:r>
    </w:p>
    <w:p w14:paraId="5DCFBEC0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</w:p>
    <w:p w14:paraId="05D5BBB2" w14:textId="18491FF5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>Filmom obalené tablety sa prehĺtajú celé a zapijú sa pohárom vody.</w:t>
      </w:r>
    </w:p>
    <w:p w14:paraId="738E5D60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</w:p>
    <w:p w14:paraId="37A1112E" w14:textId="27948AD1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bCs/>
          <w:szCs w:val="22"/>
          <w:lang w:val="sk-SK"/>
        </w:rPr>
        <w:t xml:space="preserve">Pacientom s citlivým žalúdkom sa odporúča, aby užívali </w:t>
      </w: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 s jedlom</w:t>
      </w:r>
      <w:r w:rsidRPr="009D3DED">
        <w:rPr>
          <w:szCs w:val="22"/>
          <w:lang w:val="sk-SK"/>
        </w:rPr>
        <w:t>.</w:t>
      </w:r>
    </w:p>
    <w:p w14:paraId="391CDB5E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</w:p>
    <w:p w14:paraId="23186DD5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>Len na krátkodobé použitie.</w:t>
      </w:r>
    </w:p>
    <w:p w14:paraId="7B3A3F32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>Dĺžka liečby by nemala presiahnuť 3 dni.</w:t>
      </w:r>
    </w:p>
    <w:p w14:paraId="0497518F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bCs/>
          <w:szCs w:val="22"/>
          <w:lang w:val="sk-SK"/>
        </w:rPr>
        <w:t>Ak sa príznaky zhoršia alebo bude bolesť pretrvávať aj po 3 dňoch, poraďte sa so svojím lekárom.</w:t>
      </w:r>
    </w:p>
    <w:p w14:paraId="3C20A01C" w14:textId="77777777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</w:p>
    <w:p w14:paraId="4AAB1EC0" w14:textId="77777777" w:rsidR="002D70F1" w:rsidRPr="009D3DED" w:rsidRDefault="002D70F1" w:rsidP="00A65E8F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9D3DED">
        <w:rPr>
          <w:szCs w:val="22"/>
          <w:lang w:val="sk-SK" w:eastAsia="de-DE"/>
        </w:rPr>
        <w:t>Vedľajšie účinky možno minimalizovať užívaním najnižšej účinnej dávky počas čo najkratšej doby nevyhnutnej na kontrolu príznakov</w:t>
      </w:r>
      <w:r w:rsidRPr="009D3DED">
        <w:rPr>
          <w:bCs/>
          <w:szCs w:val="22"/>
          <w:lang w:val="sk-SK"/>
        </w:rPr>
        <w:t>.</w:t>
      </w:r>
    </w:p>
    <w:p w14:paraId="21C777A8" w14:textId="77777777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</w:p>
    <w:p w14:paraId="7C461B94" w14:textId="089E3604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Ak užijete viac </w:t>
      </w:r>
      <w:proofErr w:type="spellStart"/>
      <w:r w:rsidRPr="009D3DED">
        <w:rPr>
          <w:b/>
          <w:szCs w:val="22"/>
          <w:lang w:val="sk-SK"/>
        </w:rPr>
        <w:t>Ibalgin</w:t>
      </w:r>
      <w:r w:rsidR="0092477E">
        <w:rPr>
          <w:b/>
          <w:szCs w:val="22"/>
          <w:lang w:val="sk-SK"/>
        </w:rPr>
        <w:t>u</w:t>
      </w:r>
      <w:proofErr w:type="spellEnd"/>
      <w:r w:rsidRPr="009D3DED">
        <w:rPr>
          <w:b/>
          <w:szCs w:val="22"/>
          <w:lang w:val="sk-SK"/>
        </w:rPr>
        <w:t xml:space="preserve"> Plus, ako máte</w:t>
      </w:r>
    </w:p>
    <w:p w14:paraId="289CFBC5" w14:textId="388AF2DF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Ak užijete viac </w:t>
      </w:r>
      <w:proofErr w:type="spellStart"/>
      <w:r w:rsidRPr="009D3DED">
        <w:rPr>
          <w:szCs w:val="22"/>
          <w:lang w:val="sk-SK"/>
        </w:rPr>
        <w:t>Ibalgin</w:t>
      </w:r>
      <w:r w:rsidR="0092477E">
        <w:rPr>
          <w:szCs w:val="22"/>
          <w:lang w:val="sk-SK"/>
        </w:rPr>
        <w:t>u</w:t>
      </w:r>
      <w:proofErr w:type="spellEnd"/>
      <w:r w:rsidRPr="009D3DED">
        <w:rPr>
          <w:szCs w:val="22"/>
          <w:lang w:val="sk-SK"/>
        </w:rPr>
        <w:t xml:space="preserve"> Plus</w:t>
      </w:r>
      <w:r>
        <w:rPr>
          <w:szCs w:val="22"/>
          <w:lang w:val="sk-SK"/>
        </w:rPr>
        <w:t xml:space="preserve">, </w:t>
      </w:r>
      <w:r w:rsidRPr="009D3DED">
        <w:rPr>
          <w:szCs w:val="22"/>
          <w:lang w:val="sk-SK"/>
        </w:rPr>
        <w:t xml:space="preserve">ako ste mali, alebo ak liek </w:t>
      </w:r>
      <w:r w:rsidR="0092477E">
        <w:rPr>
          <w:szCs w:val="22"/>
          <w:lang w:val="sk-SK"/>
        </w:rPr>
        <w:t>náhodne</w:t>
      </w:r>
      <w:r w:rsidR="0092477E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užije dieťa, kontaktujte vždy lekára alebo najbližšiu nemocnicu, kde vám poskytnú informácie o rizikách a poradia vám potrebné opatrenia.</w:t>
      </w:r>
    </w:p>
    <w:p w14:paraId="297389E9" w14:textId="77777777" w:rsidR="002D70F1" w:rsidRPr="009D3DED" w:rsidRDefault="002D70F1" w:rsidP="00A65E8F">
      <w:pPr>
        <w:rPr>
          <w:szCs w:val="22"/>
          <w:lang w:val="sk-SK"/>
        </w:rPr>
      </w:pPr>
    </w:p>
    <w:p w14:paraId="507E8536" w14:textId="4594306D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Príznaky môžu zahŕňať nevoľnosť, bolesť žalúdka, vracanie (môže byť s prímesou krvi), krvácanie do </w:t>
      </w:r>
      <w:r w:rsidR="0092477E">
        <w:rPr>
          <w:szCs w:val="22"/>
          <w:lang w:val="sk-SK"/>
        </w:rPr>
        <w:t>tráviaceho</w:t>
      </w:r>
      <w:r w:rsidR="0092477E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traktu, </w:t>
      </w:r>
      <w:r w:rsidR="0092477E">
        <w:rPr>
          <w:szCs w:val="22"/>
          <w:lang w:val="sk-SK"/>
        </w:rPr>
        <w:t xml:space="preserve">zrýchlený </w:t>
      </w:r>
      <w:r w:rsidRPr="009D3DED">
        <w:rPr>
          <w:szCs w:val="22"/>
          <w:lang w:val="sk-SK"/>
        </w:rPr>
        <w:t>tlkot srdca, bolesť hlavy, zvonenie v ušiach, tras, nepokoj, zmät</w:t>
      </w:r>
      <w:r w:rsidR="0092477E">
        <w:rPr>
          <w:szCs w:val="22"/>
          <w:lang w:val="sk-SK"/>
        </w:rPr>
        <w:t>en</w:t>
      </w:r>
      <w:r w:rsidR="001F6688">
        <w:rPr>
          <w:szCs w:val="22"/>
          <w:lang w:val="sk-SK"/>
        </w:rPr>
        <w:t>osť</w:t>
      </w:r>
      <w:r w:rsidRPr="009D3DED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kmitavé pohyby</w:t>
      </w:r>
      <w:r w:rsidRPr="009D3DED">
        <w:rPr>
          <w:szCs w:val="22"/>
          <w:lang w:val="sk-SK"/>
        </w:rPr>
        <w:t xml:space="preserve"> očí alebo zriedkavo hnačku. Okrem toho boli pri vysokých dávkach hlásené </w:t>
      </w:r>
      <w:r w:rsidR="0092477E">
        <w:rPr>
          <w:szCs w:val="22"/>
          <w:lang w:val="sk-SK"/>
        </w:rPr>
        <w:t>točenie hlavy</w:t>
      </w:r>
      <w:r w:rsidRPr="009D3DED">
        <w:rPr>
          <w:szCs w:val="22"/>
          <w:lang w:val="sk-SK"/>
        </w:rPr>
        <w:t xml:space="preserve">, rozmazané videnie, nízky krvný tlak, nepokoj, kóma, zvýšené hladiny draslíka v krvi, akútne zlyhanie obličiek, poškodenie pečene, útlm dýchania, </w:t>
      </w:r>
      <w:proofErr w:type="spellStart"/>
      <w:r w:rsidRPr="009D3DED">
        <w:rPr>
          <w:szCs w:val="22"/>
          <w:lang w:val="sk-SK"/>
        </w:rPr>
        <w:t>cyanóza</w:t>
      </w:r>
      <w:proofErr w:type="spellEnd"/>
      <w:r w:rsidR="00C507B7">
        <w:rPr>
          <w:szCs w:val="22"/>
          <w:lang w:val="sk-SK"/>
        </w:rPr>
        <w:t xml:space="preserve"> (modrofialové sfarbenie kože a slizníc spôsobené nedostatočným zásobovaním kyslíkom) </w:t>
      </w:r>
      <w:r w:rsidRPr="009D3DED">
        <w:rPr>
          <w:szCs w:val="22"/>
          <w:lang w:val="sk-SK"/>
        </w:rPr>
        <w:t>a zhoršenie astmy u astmatikov, ospalosť, bolesť na hrudníku, palpitácie</w:t>
      </w:r>
      <w:r w:rsidR="00C507B7">
        <w:rPr>
          <w:szCs w:val="22"/>
          <w:lang w:val="sk-SK"/>
        </w:rPr>
        <w:t xml:space="preserve"> (búšenie srdca)</w:t>
      </w:r>
      <w:r w:rsidRPr="009D3DED">
        <w:rPr>
          <w:szCs w:val="22"/>
          <w:lang w:val="sk-SK"/>
        </w:rPr>
        <w:t>, strata vedomia, kŕče (najmä u detí), slabosť a závraty, krv v moči, pocit chladu v celom tele a dýchacie ťažkosti.</w:t>
      </w:r>
    </w:p>
    <w:p w14:paraId="20C95318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6857777" w14:textId="77777777" w:rsidR="002D70F1" w:rsidRPr="009D3DED" w:rsidRDefault="002D70F1" w:rsidP="00A65E8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Ak zabudnete užiť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 </w:t>
      </w:r>
      <w:r w:rsidRPr="009D3DED">
        <w:rPr>
          <w:b/>
          <w:szCs w:val="22"/>
          <w:lang w:val="sk-SK"/>
        </w:rPr>
        <w:fldChar w:fldCharType="begin"/>
      </w:r>
      <w:r w:rsidRPr="009D3DED">
        <w:rPr>
          <w:b/>
          <w:szCs w:val="22"/>
          <w:lang w:val="sk-SK"/>
        </w:rPr>
        <w:instrText xml:space="preserve"> DOCVARIABLE vault_nd_0ba99a0a-f7dc-4187-8628-0acd4c569eb4 \* MERGEFORMAT </w:instrText>
      </w:r>
      <w:r w:rsidRPr="009D3DED">
        <w:rPr>
          <w:b/>
          <w:szCs w:val="22"/>
          <w:lang w:val="sk-SK"/>
        </w:rPr>
        <w:fldChar w:fldCharType="end"/>
      </w:r>
    </w:p>
    <w:p w14:paraId="2944EF77" w14:textId="77777777" w:rsidR="002D70F1" w:rsidRPr="009D3DED" w:rsidRDefault="002D70F1" w:rsidP="00A65E8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sk-SK"/>
        </w:rPr>
      </w:pPr>
      <w:r w:rsidRPr="009D3DED">
        <w:rPr>
          <w:szCs w:val="22"/>
          <w:lang w:val="sk-SK"/>
        </w:rPr>
        <w:t>Neužívajte dvojnásobnú dávku, aby ste nahradili vynechanú dávku.</w:t>
      </w:r>
      <w:r w:rsidRPr="009D3DED">
        <w:rPr>
          <w:szCs w:val="22"/>
          <w:lang w:val="sk-SK"/>
        </w:rPr>
        <w:fldChar w:fldCharType="begin"/>
      </w:r>
      <w:r w:rsidRPr="009D3DED">
        <w:rPr>
          <w:szCs w:val="22"/>
          <w:lang w:val="sk-SK"/>
        </w:rPr>
        <w:instrText xml:space="preserve"> DOCVARIABLE vault_nd_4fefca1e-7c66-4618-ace8-11dd1fa89fd4 \* MERGEFORMAT </w:instrText>
      </w:r>
      <w:r w:rsidRPr="009D3DED">
        <w:rPr>
          <w:szCs w:val="22"/>
          <w:lang w:val="sk-SK"/>
        </w:rPr>
        <w:fldChar w:fldCharType="end"/>
      </w:r>
    </w:p>
    <w:p w14:paraId="54A37CE6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1EFB6723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2DB06C8D" w14:textId="77777777" w:rsidR="002D70F1" w:rsidRPr="009D3DED" w:rsidRDefault="002D70F1" w:rsidP="00A65E8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sk-SK"/>
        </w:rPr>
      </w:pPr>
    </w:p>
    <w:p w14:paraId="644137F5" w14:textId="77777777" w:rsidR="002D70F1" w:rsidRPr="009D3DED" w:rsidRDefault="002D70F1" w:rsidP="00A65E8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sk-SK"/>
        </w:rPr>
      </w:pPr>
    </w:p>
    <w:p w14:paraId="350CB0EF" w14:textId="77777777" w:rsidR="002D70F1" w:rsidRPr="009D3DED" w:rsidRDefault="002D70F1" w:rsidP="00A65E8F">
      <w:pPr>
        <w:numPr>
          <w:ilvl w:val="12"/>
          <w:numId w:val="0"/>
        </w:numPr>
        <w:ind w:left="567" w:right="-2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4.</w:t>
      </w:r>
      <w:r w:rsidRPr="009D3DED">
        <w:rPr>
          <w:b/>
          <w:szCs w:val="22"/>
          <w:lang w:val="sk-SK"/>
        </w:rPr>
        <w:tab/>
        <w:t>Možné vedľajšie účinky</w:t>
      </w:r>
    </w:p>
    <w:p w14:paraId="128BE99B" w14:textId="77777777" w:rsidR="00265336" w:rsidRDefault="00265336" w:rsidP="00A65E8F">
      <w:pPr>
        <w:numPr>
          <w:ilvl w:val="12"/>
          <w:numId w:val="0"/>
        </w:numPr>
        <w:ind w:right="-29"/>
        <w:rPr>
          <w:szCs w:val="22"/>
          <w:lang w:val="sk-SK"/>
        </w:rPr>
      </w:pPr>
    </w:p>
    <w:p w14:paraId="11C6D8BB" w14:textId="77777777" w:rsidR="008C362F" w:rsidRPr="008C362F" w:rsidRDefault="008C362F" w:rsidP="00A65E8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outlineLvl w:val="0"/>
        <w:rPr>
          <w:noProof/>
          <w:szCs w:val="22"/>
          <w:lang w:val="sk-SK" w:eastAsia="sk-SK"/>
        </w:rPr>
      </w:pPr>
      <w:r w:rsidRPr="008C362F">
        <w:rPr>
          <w:noProof/>
          <w:szCs w:val="22"/>
          <w:lang w:val="sk-SK" w:eastAsia="sk-SK"/>
        </w:rPr>
        <w:t>Tak ako všetky lieky, aj tento liek môže spôsobovať vedľajšie účinky, hoci sa neprejavia u každého.</w:t>
      </w:r>
    </w:p>
    <w:p w14:paraId="14753815" w14:textId="77777777" w:rsidR="008C362F" w:rsidRPr="008C362F" w:rsidRDefault="008C362F" w:rsidP="00A65E8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 w:eastAsia="sk-SK"/>
        </w:rPr>
      </w:pPr>
    </w:p>
    <w:p w14:paraId="7043CB30" w14:textId="1A17D1CD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Je možné, že sa u vás vyskytne niektorý zo známych vedľajších  účinkov NSAID (pozri nižšie). Pokiaľ dôjde k takejto situácii, alebo ak budete mať obavy, prestaňte užívať tento liek a čo najskôr sa poraďte so svojím lekárom. U starších ľudí užívajúcich tento liek je prítomné zvýšené riziko problémov spojených s vedľajšími účinkami.</w:t>
      </w:r>
    </w:p>
    <w:p w14:paraId="73D6D1B1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3376AD1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Pokiaľ ide o nasledujúce vedľajšie účinky, je potrebné vziať do úvahy, že sú do značnej miery závislé od dávky a že sa u jednotlivých pacientov líšia.</w:t>
      </w:r>
    </w:p>
    <w:p w14:paraId="50097C9C" w14:textId="77777777" w:rsidR="002D70F1" w:rsidRPr="009D3DED" w:rsidRDefault="002D70F1" w:rsidP="00A65E8F">
      <w:pPr>
        <w:autoSpaceDE w:val="0"/>
        <w:autoSpaceDN w:val="0"/>
        <w:adjustRightInd w:val="0"/>
        <w:rPr>
          <w:color w:val="000000"/>
          <w:szCs w:val="22"/>
          <w:lang w:val="sk-SK" w:eastAsia="zh-CN" w:bidi="th-TH"/>
        </w:rPr>
      </w:pPr>
    </w:p>
    <w:p w14:paraId="16FE5EB7" w14:textId="6CD37435" w:rsidR="002D70F1" w:rsidRPr="009D3DED" w:rsidRDefault="002D70F1" w:rsidP="00A65E8F">
      <w:pPr>
        <w:numPr>
          <w:ilvl w:val="12"/>
          <w:numId w:val="0"/>
        </w:numPr>
        <w:ind w:right="-2"/>
        <w:rPr>
          <w:b/>
          <w:bCs/>
          <w:szCs w:val="22"/>
          <w:lang w:val="sk-SK"/>
        </w:rPr>
      </w:pPr>
      <w:r w:rsidRPr="009D3DED">
        <w:rPr>
          <w:b/>
          <w:bCs/>
          <w:szCs w:val="22"/>
          <w:lang w:val="sk-SK"/>
        </w:rPr>
        <w:t xml:space="preserve">PRESTAŇTE OKAMŽITE UŽÍVAŤ </w:t>
      </w:r>
      <w:proofErr w:type="spellStart"/>
      <w:r w:rsidRPr="009D3DED">
        <w:rPr>
          <w:b/>
          <w:bCs/>
          <w:szCs w:val="22"/>
          <w:lang w:val="sk-SK"/>
        </w:rPr>
        <w:t>Ibalgin</w:t>
      </w:r>
      <w:proofErr w:type="spellEnd"/>
      <w:r w:rsidRPr="009D3DED">
        <w:rPr>
          <w:b/>
          <w:bCs/>
          <w:szCs w:val="22"/>
          <w:lang w:val="sk-SK"/>
        </w:rPr>
        <w:t xml:space="preserve"> Plus a vyhľadajte lekára, pokiaľ sa u Vás vyskytne niektorý z na</w:t>
      </w:r>
      <w:r>
        <w:rPr>
          <w:b/>
          <w:bCs/>
          <w:szCs w:val="22"/>
          <w:lang w:val="sk-SK"/>
        </w:rPr>
        <w:t>s</w:t>
      </w:r>
      <w:r w:rsidRPr="009D3DED">
        <w:rPr>
          <w:b/>
          <w:bCs/>
          <w:szCs w:val="22"/>
          <w:lang w:val="sk-SK"/>
        </w:rPr>
        <w:t>ledujúcich stavov, ktoré môžu byť pr</w:t>
      </w:r>
      <w:r w:rsidR="002C1DFF">
        <w:rPr>
          <w:b/>
          <w:bCs/>
          <w:szCs w:val="22"/>
          <w:lang w:val="sk-SK"/>
        </w:rPr>
        <w:t>ejavmi</w:t>
      </w:r>
      <w:r w:rsidRPr="009D3DED">
        <w:rPr>
          <w:b/>
          <w:bCs/>
          <w:szCs w:val="22"/>
          <w:lang w:val="sk-SK"/>
        </w:rPr>
        <w:t xml:space="preserve"> závažných </w:t>
      </w:r>
      <w:r w:rsidR="002C1DFF">
        <w:rPr>
          <w:b/>
          <w:bCs/>
          <w:szCs w:val="22"/>
          <w:lang w:val="sk-SK"/>
        </w:rPr>
        <w:t>vedľajších</w:t>
      </w:r>
      <w:r w:rsidR="002C1DFF" w:rsidRPr="009D3DED">
        <w:rPr>
          <w:b/>
          <w:bCs/>
          <w:szCs w:val="22"/>
          <w:lang w:val="sk-SK"/>
        </w:rPr>
        <w:t xml:space="preserve"> </w:t>
      </w:r>
      <w:r w:rsidRPr="009D3DED">
        <w:rPr>
          <w:b/>
          <w:bCs/>
          <w:szCs w:val="22"/>
          <w:lang w:val="sk-SK"/>
        </w:rPr>
        <w:t>účinkov:</w:t>
      </w:r>
    </w:p>
    <w:p w14:paraId="3784577E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b/>
          <w:bCs/>
          <w:szCs w:val="22"/>
          <w:lang w:val="sk-SK"/>
        </w:rPr>
      </w:pPr>
    </w:p>
    <w:p w14:paraId="6B1D3B69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závažné problémy so žalúdkom</w:t>
      </w:r>
    </w:p>
    <w:p w14:paraId="5B7D25A7" w14:textId="071DF6E4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vracanie krvi alebo zvratky podobné kávovej usadenine</w:t>
      </w:r>
    </w:p>
    <w:p w14:paraId="6B1A50E8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čierna dechtová stolica alebo krv v moči</w:t>
      </w:r>
    </w:p>
    <w:p w14:paraId="6B9EBAEE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alergické reakcie, ako je vyrážka, svrbenie</w:t>
      </w:r>
    </w:p>
    <w:p w14:paraId="437636F8" w14:textId="2D5FE338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namáhavé dýchanie a/alebo opuch tváre alebo hrdla</w:t>
      </w:r>
    </w:p>
    <w:p w14:paraId="2927A156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slabosť v kombinácii so stratou chuti do jedla</w:t>
      </w:r>
    </w:p>
    <w:p w14:paraId="70652087" w14:textId="529CA60C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• </w:t>
      </w:r>
      <w:r w:rsidR="00C55555">
        <w:rPr>
          <w:szCs w:val="22"/>
          <w:lang w:val="sk-SK"/>
        </w:rPr>
        <w:t>nadmerná</w:t>
      </w:r>
      <w:r w:rsidR="00C55555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únava v kombinácii so zníženým vylučovan</w:t>
      </w:r>
      <w:r>
        <w:rPr>
          <w:szCs w:val="22"/>
          <w:lang w:val="sk-SK"/>
        </w:rPr>
        <w:t>í</w:t>
      </w:r>
      <w:r w:rsidRPr="009D3DED">
        <w:rPr>
          <w:szCs w:val="22"/>
          <w:lang w:val="sk-SK"/>
        </w:rPr>
        <w:t>m moču</w:t>
      </w:r>
    </w:p>
    <w:p w14:paraId="729DD566" w14:textId="076DCF6A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• opuch tváre, </w:t>
      </w:r>
      <w:r w:rsidR="00C55555">
        <w:rPr>
          <w:szCs w:val="22"/>
          <w:lang w:val="sk-SK"/>
        </w:rPr>
        <w:t>chodidiel</w:t>
      </w:r>
      <w:r w:rsidR="00C55555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alebo</w:t>
      </w:r>
      <w:r w:rsidR="00FC4D0B">
        <w:rPr>
          <w:szCs w:val="22"/>
          <w:lang w:val="sk-SK"/>
        </w:rPr>
        <w:t xml:space="preserve"> </w:t>
      </w:r>
      <w:r w:rsidR="00C55555">
        <w:rPr>
          <w:szCs w:val="22"/>
          <w:lang w:val="sk-SK"/>
        </w:rPr>
        <w:t>nôh</w:t>
      </w:r>
    </w:p>
    <w:p w14:paraId="2C109BB9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bolesť na hrudi</w:t>
      </w:r>
    </w:p>
    <w:p w14:paraId="17315DA0" w14:textId="77777777" w:rsidR="000176EC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D3DED">
        <w:rPr>
          <w:szCs w:val="22"/>
          <w:lang w:val="sk-SK"/>
        </w:rPr>
        <w:t>• poruchy zraku</w:t>
      </w:r>
    </w:p>
    <w:p w14:paraId="72C3ACCC" w14:textId="77777777" w:rsidR="000176EC" w:rsidRDefault="000176EC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432D0D1" w14:textId="13C81CF8" w:rsidR="002D70F1" w:rsidRPr="00A740E8" w:rsidRDefault="000176EC" w:rsidP="00A65E8F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A740E8">
        <w:rPr>
          <w:b/>
          <w:szCs w:val="22"/>
          <w:lang w:val="sk-SK"/>
        </w:rPr>
        <w:t>Ďalšie vedľajšie účinky</w:t>
      </w:r>
    </w:p>
    <w:p w14:paraId="7C8195C6" w14:textId="77777777" w:rsidR="002D70F1" w:rsidRPr="009D3DED" w:rsidRDefault="002D70F1" w:rsidP="00A65E8F">
      <w:pPr>
        <w:pStyle w:val="Default"/>
        <w:rPr>
          <w:color w:val="000000"/>
          <w:szCs w:val="22"/>
          <w:lang w:val="sk-SK" w:eastAsia="zh-CN" w:bidi="th-TH"/>
        </w:rPr>
      </w:pPr>
    </w:p>
    <w:p w14:paraId="125BC172" w14:textId="61C52A28" w:rsidR="002D70F1" w:rsidRPr="009D3DED" w:rsidRDefault="002D70F1" w:rsidP="00A65E8F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Časté (môžu postih</w:t>
      </w:r>
      <w:r w:rsidR="00C55555">
        <w:rPr>
          <w:szCs w:val="22"/>
          <w:u w:val="single"/>
          <w:lang w:val="sk-SK"/>
        </w:rPr>
        <w:t>ovať</w:t>
      </w:r>
      <w:r w:rsidRPr="009D3DED">
        <w:rPr>
          <w:szCs w:val="22"/>
          <w:u w:val="single"/>
          <w:lang w:val="sk-SK"/>
        </w:rPr>
        <w:t xml:space="preserve"> </w:t>
      </w:r>
      <w:r w:rsidR="00C55555">
        <w:rPr>
          <w:szCs w:val="22"/>
          <w:u w:val="single"/>
          <w:lang w:val="sk-SK"/>
        </w:rPr>
        <w:t>menej ako</w:t>
      </w:r>
      <w:r w:rsidRPr="009D3DED">
        <w:rPr>
          <w:szCs w:val="22"/>
          <w:u w:val="single"/>
          <w:lang w:val="sk-SK"/>
        </w:rPr>
        <w:t xml:space="preserve"> 1 z 10 osôb)</w:t>
      </w:r>
    </w:p>
    <w:p w14:paraId="6518F745" w14:textId="78D8E267" w:rsidR="002D70F1" w:rsidRPr="009D3DED" w:rsidRDefault="002D70F1" w:rsidP="00A65E8F">
      <w:pPr>
        <w:numPr>
          <w:ilvl w:val="0"/>
          <w:numId w:val="17"/>
        </w:numPr>
        <w:tabs>
          <w:tab w:val="clear" w:pos="567"/>
          <w:tab w:val="clear" w:pos="720"/>
          <w:tab w:val="num" w:pos="360"/>
        </w:tabs>
        <w:spacing w:line="240" w:lineRule="auto"/>
        <w:ind w:left="360"/>
        <w:rPr>
          <w:szCs w:val="22"/>
          <w:lang w:val="sk-SK"/>
        </w:rPr>
      </w:pPr>
      <w:r w:rsidRPr="009D3DED">
        <w:rPr>
          <w:szCs w:val="22"/>
          <w:lang w:val="sk-SK"/>
        </w:rPr>
        <w:t>pálenie záhy, bolesť brucha, nevoľnos</w:t>
      </w:r>
      <w:r w:rsidR="00C55555">
        <w:rPr>
          <w:szCs w:val="22"/>
          <w:lang w:val="sk-SK"/>
        </w:rPr>
        <w:t>ť</w:t>
      </w:r>
      <w:r w:rsidRPr="009D3DED">
        <w:rPr>
          <w:szCs w:val="22"/>
          <w:lang w:val="sk-SK"/>
        </w:rPr>
        <w:t xml:space="preserve"> a </w:t>
      </w:r>
      <w:r w:rsidR="00C55555">
        <w:rPr>
          <w:szCs w:val="22"/>
          <w:lang w:val="sk-SK"/>
        </w:rPr>
        <w:t>tráviace</w:t>
      </w:r>
      <w:r w:rsidR="00C55555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 xml:space="preserve">ťažkosti, </w:t>
      </w:r>
      <w:r>
        <w:rPr>
          <w:szCs w:val="22"/>
          <w:lang w:val="sk-SK"/>
        </w:rPr>
        <w:t>pocit na vracanie</w:t>
      </w:r>
      <w:r w:rsidRPr="009D3DED">
        <w:rPr>
          <w:szCs w:val="22"/>
          <w:lang w:val="sk-SK"/>
        </w:rPr>
        <w:t>, vracanie, plynatosť, hnačka, zápcha a mierna strata krvi v žalúdku a/alebo črevách, ktorá môže vo výnimočných prípadoch spôsobiť</w:t>
      </w:r>
      <w:r w:rsidR="00C55555">
        <w:rPr>
          <w:szCs w:val="22"/>
          <w:lang w:val="sk-SK"/>
        </w:rPr>
        <w:t xml:space="preserve"> málokrvnosť</w:t>
      </w:r>
    </w:p>
    <w:p w14:paraId="09D30F80" w14:textId="77777777" w:rsidR="002D70F1" w:rsidRPr="009D3DED" w:rsidRDefault="002D70F1" w:rsidP="00A65E8F">
      <w:pPr>
        <w:numPr>
          <w:ilvl w:val="0"/>
          <w:numId w:val="17"/>
        </w:numPr>
        <w:tabs>
          <w:tab w:val="clear" w:pos="567"/>
          <w:tab w:val="clear" w:pos="720"/>
          <w:tab w:val="num" w:pos="360"/>
        </w:tabs>
        <w:spacing w:line="240" w:lineRule="auto"/>
        <w:ind w:left="360"/>
        <w:rPr>
          <w:szCs w:val="22"/>
          <w:lang w:val="sk-SK"/>
        </w:rPr>
      </w:pPr>
      <w:r w:rsidRPr="009D3DED">
        <w:rPr>
          <w:szCs w:val="22"/>
          <w:lang w:val="sk-SK"/>
        </w:rPr>
        <w:t>závraty, nespavosť, bolesť hlavy</w:t>
      </w:r>
    </w:p>
    <w:p w14:paraId="01065787" w14:textId="77777777" w:rsidR="002D70F1" w:rsidRPr="009D3DED" w:rsidRDefault="002D70F1" w:rsidP="00A65E8F">
      <w:pPr>
        <w:rPr>
          <w:szCs w:val="22"/>
          <w:lang w:val="sk-SK"/>
        </w:rPr>
      </w:pPr>
    </w:p>
    <w:p w14:paraId="6B588818" w14:textId="33727D2F" w:rsidR="002D70F1" w:rsidRPr="009D3DED" w:rsidRDefault="002D70F1" w:rsidP="00A65E8F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Menej časté (môžu postih</w:t>
      </w:r>
      <w:r w:rsidR="00C55555">
        <w:rPr>
          <w:szCs w:val="22"/>
          <w:u w:val="single"/>
          <w:lang w:val="sk-SK"/>
        </w:rPr>
        <w:t>ovať menej ako</w:t>
      </w:r>
      <w:r w:rsidRPr="009D3DED">
        <w:rPr>
          <w:szCs w:val="22"/>
          <w:u w:val="single"/>
          <w:lang w:val="sk-SK"/>
        </w:rPr>
        <w:t xml:space="preserve"> 1 zo 100 osôb)</w:t>
      </w:r>
    </w:p>
    <w:p w14:paraId="3E69E772" w14:textId="6C49D252" w:rsidR="002D70F1" w:rsidRPr="009D3DED" w:rsidRDefault="002D70F1" w:rsidP="00A65E8F">
      <w:pPr>
        <w:numPr>
          <w:ilvl w:val="0"/>
          <w:numId w:val="17"/>
        </w:numPr>
        <w:tabs>
          <w:tab w:val="clear" w:pos="567"/>
          <w:tab w:val="clear" w:pos="720"/>
          <w:tab w:val="num" w:pos="360"/>
        </w:tabs>
        <w:spacing w:line="240" w:lineRule="auto"/>
        <w:ind w:left="360"/>
        <w:rPr>
          <w:szCs w:val="22"/>
          <w:lang w:val="sk-SK"/>
        </w:rPr>
      </w:pPr>
      <w:r w:rsidRPr="009D3DED">
        <w:rPr>
          <w:szCs w:val="22"/>
          <w:lang w:val="sk-SK"/>
        </w:rPr>
        <w:t>žalúdočné alebo črevné vredy, niekedy s krvácaním a p</w:t>
      </w:r>
      <w:r w:rsidR="00C55555">
        <w:rPr>
          <w:szCs w:val="22"/>
          <w:lang w:val="sk-SK"/>
        </w:rPr>
        <w:t>rederavením</w:t>
      </w:r>
      <w:r w:rsidRPr="009D3DED">
        <w:rPr>
          <w:szCs w:val="22"/>
          <w:lang w:val="sk-SK"/>
        </w:rPr>
        <w:t>, najmä u starších pacientov, zápal ústnej slizni</w:t>
      </w:r>
      <w:r w:rsidR="00DE4F05">
        <w:rPr>
          <w:szCs w:val="22"/>
          <w:lang w:val="sk-SK"/>
        </w:rPr>
        <w:t>ce s tvorbou vredov (</w:t>
      </w:r>
      <w:proofErr w:type="spellStart"/>
      <w:r w:rsidR="00DE4F05" w:rsidRPr="00534E50">
        <w:rPr>
          <w:szCs w:val="22"/>
          <w:lang w:val="sk-SK"/>
        </w:rPr>
        <w:t>ulcerózna</w:t>
      </w:r>
      <w:proofErr w:type="spellEnd"/>
      <w:r w:rsidRPr="00534E50">
        <w:rPr>
          <w:szCs w:val="22"/>
          <w:lang w:val="sk-SK"/>
        </w:rPr>
        <w:t xml:space="preserve"> </w:t>
      </w:r>
      <w:proofErr w:type="spellStart"/>
      <w:r w:rsidRPr="00534E50">
        <w:rPr>
          <w:szCs w:val="22"/>
          <w:lang w:val="sk-SK"/>
        </w:rPr>
        <w:t>stomatitída</w:t>
      </w:r>
      <w:proofErr w:type="spellEnd"/>
      <w:r w:rsidRPr="009D3DED">
        <w:rPr>
          <w:szCs w:val="22"/>
          <w:lang w:val="sk-SK"/>
        </w:rPr>
        <w:t xml:space="preserve">), zápal žalúdka (gastritída), čierna dechtová stolica, zvratky podobajúce sa kávovej usadenine, zhoršenie </w:t>
      </w:r>
      <w:proofErr w:type="spellStart"/>
      <w:r w:rsidRPr="009D3DED">
        <w:rPr>
          <w:szCs w:val="22"/>
          <w:lang w:val="sk-SK"/>
        </w:rPr>
        <w:t>kolitídy</w:t>
      </w:r>
      <w:proofErr w:type="spellEnd"/>
      <w:r w:rsidRPr="009D3DED">
        <w:rPr>
          <w:szCs w:val="22"/>
          <w:lang w:val="sk-SK"/>
        </w:rPr>
        <w:t xml:space="preserve"> a </w:t>
      </w:r>
      <w:proofErr w:type="spellStart"/>
      <w:r w:rsidRPr="009D3DED">
        <w:rPr>
          <w:szCs w:val="22"/>
          <w:lang w:val="sk-SK"/>
        </w:rPr>
        <w:t>Crohnov</w:t>
      </w:r>
      <w:r>
        <w:rPr>
          <w:szCs w:val="22"/>
          <w:lang w:val="sk-SK"/>
        </w:rPr>
        <w:t>ej</w:t>
      </w:r>
      <w:proofErr w:type="spellEnd"/>
      <w:r w:rsidRPr="009D3DED">
        <w:rPr>
          <w:szCs w:val="22"/>
          <w:lang w:val="sk-SK"/>
        </w:rPr>
        <w:t xml:space="preserve"> chorob</w:t>
      </w:r>
      <w:r w:rsidR="00C55555">
        <w:rPr>
          <w:szCs w:val="22"/>
          <w:lang w:val="sk-SK"/>
        </w:rPr>
        <w:t>y</w:t>
      </w:r>
      <w:r w:rsidRPr="009D3DED">
        <w:rPr>
          <w:szCs w:val="22"/>
          <w:lang w:val="sk-SK"/>
        </w:rPr>
        <w:t xml:space="preserve">. Riziko </w:t>
      </w:r>
      <w:r w:rsidR="00C55555">
        <w:rPr>
          <w:szCs w:val="22"/>
          <w:lang w:val="sk-SK"/>
        </w:rPr>
        <w:t>vzniku</w:t>
      </w:r>
      <w:r w:rsidRPr="009D3DED">
        <w:rPr>
          <w:szCs w:val="22"/>
          <w:lang w:val="sk-SK"/>
        </w:rPr>
        <w:t xml:space="preserve"> krvácania</w:t>
      </w:r>
      <w:r w:rsidR="00C55555">
        <w:rPr>
          <w:szCs w:val="22"/>
          <w:lang w:val="sk-SK"/>
        </w:rPr>
        <w:t xml:space="preserve"> v tráviacom trakte</w:t>
      </w:r>
      <w:r w:rsidRPr="009D3DED">
        <w:rPr>
          <w:szCs w:val="22"/>
          <w:lang w:val="sk-SK"/>
        </w:rPr>
        <w:t xml:space="preserve"> závisí najmä od veľkosti dávky a doby trvania liečby.</w:t>
      </w:r>
    </w:p>
    <w:p w14:paraId="7FE0E6FD" w14:textId="18D99642" w:rsidR="002D70F1" w:rsidRPr="009D3DED" w:rsidRDefault="00C55555" w:rsidP="00A65E8F">
      <w:pPr>
        <w:numPr>
          <w:ilvl w:val="0"/>
          <w:numId w:val="17"/>
        </w:numPr>
        <w:tabs>
          <w:tab w:val="clear" w:pos="567"/>
          <w:tab w:val="clear" w:pos="720"/>
          <w:tab w:val="num" w:pos="360"/>
        </w:tabs>
        <w:spacing w:line="240" w:lineRule="auto"/>
        <w:ind w:left="360"/>
        <w:rPr>
          <w:szCs w:val="22"/>
          <w:lang w:val="sk-SK"/>
        </w:rPr>
      </w:pPr>
      <w:r>
        <w:rPr>
          <w:szCs w:val="22"/>
          <w:lang w:val="sk-SK"/>
        </w:rPr>
        <w:t>telesný nepokoj</w:t>
      </w:r>
      <w:r w:rsidR="002D70F1" w:rsidRPr="00C55555">
        <w:rPr>
          <w:szCs w:val="22"/>
          <w:lang w:val="sk-SK"/>
        </w:rPr>
        <w:t>,</w:t>
      </w:r>
      <w:r w:rsidR="002D70F1" w:rsidRPr="009D3DED">
        <w:rPr>
          <w:szCs w:val="22"/>
          <w:lang w:val="sk-SK"/>
        </w:rPr>
        <w:t xml:space="preserve"> vnímanie srdcového tepu, podráždenosť alebo únava</w:t>
      </w:r>
    </w:p>
    <w:p w14:paraId="720A6B4C" w14:textId="77777777" w:rsidR="002D70F1" w:rsidRPr="009D3DED" w:rsidRDefault="002D70F1" w:rsidP="00A65E8F">
      <w:pPr>
        <w:numPr>
          <w:ilvl w:val="0"/>
          <w:numId w:val="17"/>
        </w:numPr>
        <w:tabs>
          <w:tab w:val="clear" w:pos="567"/>
          <w:tab w:val="clear" w:pos="720"/>
          <w:tab w:val="num" w:pos="360"/>
        </w:tabs>
        <w:spacing w:line="240" w:lineRule="auto"/>
        <w:ind w:left="360"/>
        <w:rPr>
          <w:szCs w:val="22"/>
          <w:lang w:val="sk-SK"/>
        </w:rPr>
      </w:pPr>
      <w:r w:rsidRPr="009D3DED">
        <w:rPr>
          <w:szCs w:val="22"/>
          <w:lang w:val="sk-SK"/>
        </w:rPr>
        <w:t>poruchy videnia, psychotické reakcie</w:t>
      </w:r>
    </w:p>
    <w:p w14:paraId="14C33853" w14:textId="77777777" w:rsidR="002D70F1" w:rsidRPr="009D3DED" w:rsidRDefault="002D70F1" w:rsidP="00A65E8F">
      <w:pPr>
        <w:numPr>
          <w:ilvl w:val="0"/>
          <w:numId w:val="17"/>
        </w:numPr>
        <w:tabs>
          <w:tab w:val="clear" w:pos="567"/>
          <w:tab w:val="clear" w:pos="720"/>
          <w:tab w:val="num" w:pos="360"/>
          <w:tab w:val="left" w:pos="4962"/>
        </w:tabs>
        <w:spacing w:line="240" w:lineRule="auto"/>
        <w:ind w:left="36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alergické reakcie, ako sú kožné vyrážky, svrbenie a astmatické záchvaty. Musíte prestať užívať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Plus a okamžite informovať svojho lekára.</w:t>
      </w:r>
    </w:p>
    <w:p w14:paraId="2054896B" w14:textId="77777777" w:rsidR="002D70F1" w:rsidRPr="009D3DED" w:rsidRDefault="002D70F1" w:rsidP="00A65E8F">
      <w:pPr>
        <w:rPr>
          <w:b/>
          <w:szCs w:val="22"/>
          <w:u w:val="single"/>
          <w:lang w:val="sk-SK"/>
        </w:rPr>
      </w:pPr>
    </w:p>
    <w:p w14:paraId="6628895D" w14:textId="6E6611C7" w:rsidR="002D70F1" w:rsidRPr="009D3DED" w:rsidRDefault="002D70F1" w:rsidP="00A65E8F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Zriedkavé (môžu postih</w:t>
      </w:r>
      <w:r w:rsidR="00C55555">
        <w:rPr>
          <w:szCs w:val="22"/>
          <w:u w:val="single"/>
          <w:lang w:val="sk-SK"/>
        </w:rPr>
        <w:t>ovať menej ako</w:t>
      </w:r>
      <w:r w:rsidRPr="009D3DED">
        <w:rPr>
          <w:szCs w:val="22"/>
          <w:u w:val="single"/>
          <w:lang w:val="sk-SK"/>
        </w:rPr>
        <w:t xml:space="preserve"> 1 z 1 000 osôb)</w:t>
      </w:r>
    </w:p>
    <w:p w14:paraId="3C2A972B" w14:textId="5CC4FB26" w:rsidR="002D70F1" w:rsidRPr="009D3DED" w:rsidRDefault="002D70F1" w:rsidP="00A65E8F">
      <w:pPr>
        <w:numPr>
          <w:ilvl w:val="0"/>
          <w:numId w:val="15"/>
        </w:numPr>
        <w:tabs>
          <w:tab w:val="clear" w:pos="567"/>
          <w:tab w:val="clear" w:pos="720"/>
          <w:tab w:val="num" w:pos="360"/>
        </w:tabs>
        <w:spacing w:line="240" w:lineRule="auto"/>
        <w:ind w:hanging="720"/>
        <w:rPr>
          <w:szCs w:val="22"/>
          <w:lang w:val="sk-SK"/>
        </w:rPr>
      </w:pPr>
      <w:proofErr w:type="spellStart"/>
      <w:r w:rsidRPr="009D3DED">
        <w:rPr>
          <w:szCs w:val="22"/>
          <w:lang w:val="sk-SK"/>
        </w:rPr>
        <w:t>tinitus</w:t>
      </w:r>
      <w:proofErr w:type="spellEnd"/>
      <w:r w:rsidRPr="009D3DED">
        <w:rPr>
          <w:szCs w:val="22"/>
          <w:lang w:val="sk-SK"/>
        </w:rPr>
        <w:t xml:space="preserve"> (hučanie v ušiach), strata sluchu</w:t>
      </w:r>
    </w:p>
    <w:p w14:paraId="0B734000" w14:textId="77777777" w:rsidR="00C507B7" w:rsidRDefault="002D70F1" w:rsidP="00A65E8F">
      <w:pPr>
        <w:numPr>
          <w:ilvl w:val="0"/>
          <w:numId w:val="15"/>
        </w:numPr>
        <w:tabs>
          <w:tab w:val="clear" w:pos="567"/>
          <w:tab w:val="clear" w:pos="720"/>
          <w:tab w:val="num" w:pos="360"/>
        </w:tabs>
        <w:spacing w:line="240" w:lineRule="auto"/>
        <w:ind w:hanging="720"/>
        <w:rPr>
          <w:szCs w:val="22"/>
          <w:lang w:val="sk-SK"/>
        </w:rPr>
      </w:pPr>
      <w:r w:rsidRPr="009D3DED">
        <w:rPr>
          <w:szCs w:val="22"/>
          <w:lang w:val="sk-SK"/>
        </w:rPr>
        <w:t>poškodenie obličiek (</w:t>
      </w:r>
      <w:proofErr w:type="spellStart"/>
      <w:r w:rsidRPr="009D3DED">
        <w:rPr>
          <w:szCs w:val="22"/>
          <w:lang w:val="sk-SK"/>
        </w:rPr>
        <w:t>papilárna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nekróza</w:t>
      </w:r>
      <w:proofErr w:type="spellEnd"/>
      <w:r w:rsidRPr="009D3DED">
        <w:rPr>
          <w:szCs w:val="22"/>
          <w:lang w:val="sk-SK"/>
        </w:rPr>
        <w:t xml:space="preserve">), zvýšené </w:t>
      </w:r>
      <w:r w:rsidR="00C55555">
        <w:rPr>
          <w:szCs w:val="22"/>
          <w:lang w:val="sk-SK"/>
        </w:rPr>
        <w:t>hladiny</w:t>
      </w:r>
      <w:r w:rsidR="00C55555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kyseliny močovej v krvi,</w:t>
      </w:r>
    </w:p>
    <w:p w14:paraId="48F6130E" w14:textId="2030F7BE" w:rsidR="002D70F1" w:rsidRPr="009D3DED" w:rsidRDefault="00C507B7" w:rsidP="00A65E8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       </w:t>
      </w:r>
      <w:r w:rsidR="002D70F1" w:rsidRPr="009D3DED">
        <w:rPr>
          <w:szCs w:val="22"/>
          <w:lang w:val="sk-SK"/>
        </w:rPr>
        <w:t xml:space="preserve"> zvýšené </w:t>
      </w:r>
      <w:r w:rsidR="00C55555">
        <w:rPr>
          <w:szCs w:val="22"/>
          <w:lang w:val="sk-SK"/>
        </w:rPr>
        <w:t>hladiny</w:t>
      </w:r>
      <w:r>
        <w:rPr>
          <w:szCs w:val="22"/>
          <w:lang w:val="sk-SK"/>
        </w:rPr>
        <w:t xml:space="preserve"> </w:t>
      </w:r>
      <w:r w:rsidR="002D70F1" w:rsidRPr="009D3DED">
        <w:rPr>
          <w:szCs w:val="22"/>
          <w:lang w:val="sk-SK"/>
        </w:rPr>
        <w:t>močoviny v krvi</w:t>
      </w:r>
    </w:p>
    <w:p w14:paraId="2345D009" w14:textId="77777777" w:rsidR="002D70F1" w:rsidRPr="009D3DED" w:rsidRDefault="002D70F1" w:rsidP="00A65E8F">
      <w:pPr>
        <w:rPr>
          <w:szCs w:val="22"/>
          <w:lang w:val="sk-SK"/>
        </w:rPr>
      </w:pPr>
    </w:p>
    <w:p w14:paraId="484ABBD7" w14:textId="3A30832F" w:rsidR="002D70F1" w:rsidRPr="009D3DED" w:rsidRDefault="002D70F1" w:rsidP="00A65E8F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Veľmi zriedkavé (môžu postih</w:t>
      </w:r>
      <w:r w:rsidR="000176C1">
        <w:rPr>
          <w:szCs w:val="22"/>
          <w:u w:val="single"/>
          <w:lang w:val="sk-SK"/>
        </w:rPr>
        <w:t>ovať menej ako</w:t>
      </w:r>
      <w:r w:rsidRPr="009D3DED">
        <w:rPr>
          <w:szCs w:val="22"/>
          <w:u w:val="single"/>
          <w:lang w:val="sk-SK"/>
        </w:rPr>
        <w:t xml:space="preserve"> 1 z 10 000 osôb)</w:t>
      </w:r>
    </w:p>
    <w:p w14:paraId="76150763" w14:textId="77777777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v súvislosti s liečbou NSAID boli hlásené opuchy (edém), vysoký krvný tlak (hypertenzia) a zlyhanie srdca</w:t>
      </w:r>
    </w:p>
    <w:p w14:paraId="1FC94A77" w14:textId="7225705F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zápal pažeráka alebo p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odžalúdkovej žľazy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k-SK" w:eastAsia="en-US"/>
        </w:rPr>
        <w:t>tvorba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membranózneho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zúženia v tenkom alebo hrubom čreve (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membranózne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črevné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striktúry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)</w:t>
      </w:r>
    </w:p>
    <w:p w14:paraId="083A877B" w14:textId="2697451F" w:rsidR="002D70F1" w:rsidRPr="009D3DED" w:rsidRDefault="004B642A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4B642A">
        <w:rPr>
          <w:rFonts w:ascii="Times New Roman" w:hAnsi="Times New Roman" w:cs="Times New Roman"/>
          <w:sz w:val="22"/>
          <w:szCs w:val="22"/>
          <w:lang w:val="sk-SK" w:eastAsia="en-US"/>
        </w:rPr>
        <w:t>znížené</w:t>
      </w:r>
      <w:r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="002D70F1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vylučovanie moču ako obvykle </w:t>
      </w:r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>a opuch (najmä u pacientov s vysokým krvným tlakom alebo zníženou funkciou obličiek); opuch (edém) a zakalený moč (</w:t>
      </w:r>
      <w:proofErr w:type="spellStart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>nefrotický</w:t>
      </w:r>
      <w:proofErr w:type="spellEnd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syndróm); zápalové ochorenie obličiek (</w:t>
      </w:r>
      <w:proofErr w:type="spellStart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>intersticiálna</w:t>
      </w:r>
      <w:proofErr w:type="spellEnd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>nefritída</w:t>
      </w:r>
      <w:proofErr w:type="spellEnd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), ktoré </w:t>
      </w:r>
      <w:r w:rsidR="002D70F1" w:rsidRPr="007177F7">
        <w:rPr>
          <w:rFonts w:ascii="Times New Roman" w:hAnsi="Times New Roman" w:cs="Times New Roman"/>
          <w:sz w:val="22"/>
          <w:szCs w:val="22"/>
          <w:lang w:val="sk-SK" w:eastAsia="en-US"/>
        </w:rPr>
        <w:t>môže viesť</w:t>
      </w:r>
      <w:r w:rsidR="002D70F1" w:rsidRPr="007177F7" w:rsidDel="007177F7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k akútnemu zlyhaniu obličiek. Pokiaľ sa objaví niektorý z vyššie uvedených príznakov, alebo ak sa nebudete celkovo cítiť dobre, prestaňte užívať </w:t>
      </w:r>
      <w:proofErr w:type="spellStart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>Ibalgin</w:t>
      </w:r>
      <w:proofErr w:type="spellEnd"/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Plus</w:t>
      </w:r>
      <w:r w:rsidR="002D70F1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a okamžite sa poraďte so svojím lekárom, pretože by  mohlo 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ísť</w:t>
      </w:r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o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 </w:t>
      </w:r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>prvé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prejavy</w:t>
      </w:r>
      <w:r w:rsidR="002D70F1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poškodenia obličiek alebo zlyhanie obličiek</w:t>
      </w:r>
    </w:p>
    <w:p w14:paraId="486C41C4" w14:textId="475A1E52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problémy s krvotvorbou - prvé pr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ejavy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sú: horúčka, bolesť hrdla, povrchové vredy v ústach, príznaky podobné chrípke, silné vyčerpanie, krvácanie z nosa a kože. V týchto prípadoch musíte liečbu okamžite prerušiť a vyhľadať lekára. Nesmie sa vykonávať žiadna samoliečba liek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mi</w:t>
      </w:r>
      <w:r w:rsidR="008234A8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proti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boles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ti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alebo liek</w:t>
      </w:r>
      <w:r w:rsidR="000176C1">
        <w:rPr>
          <w:rFonts w:ascii="Times New Roman" w:hAnsi="Times New Roman" w:cs="Times New Roman"/>
          <w:sz w:val="22"/>
          <w:szCs w:val="22"/>
          <w:lang w:val="sk-SK" w:eastAsia="en-US"/>
        </w:rPr>
        <w:t>mi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, ktoré znižujú horúčku (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antipyretiká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)</w:t>
      </w:r>
    </w:p>
    <w:p w14:paraId="7C23CC00" w14:textId="77777777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depresia</w:t>
      </w:r>
    </w:p>
    <w:p w14:paraId="04560700" w14:textId="21291717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bolo popísané zhoršenie (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exacerbácia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) zápalov súvisiacich s infekciou (napr.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nekrotizujúca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fasciitída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) 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po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užití určitých liekov proti bolesti</w:t>
      </w:r>
      <w:r w:rsidR="008234A8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(NSAID). Ak sa počas užívania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Ibalgin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u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Plus objavia alebo zhoršia pr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ejavy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infekcie, musíte okamžite vyhľadať lekára. Je potrebné 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zistiť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, či existujú dôvody 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na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protiinfekčnú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/antibiotickú liečbu</w:t>
      </w:r>
    </w:p>
    <w:p w14:paraId="73574D29" w14:textId="61BB727C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vysoký krvný tlak, zlyhanie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srdca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, srdcový infarkt,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vaskulitída</w:t>
      </w:r>
      <w:proofErr w:type="spellEnd"/>
    </w:p>
    <w:p w14:paraId="773806A4" w14:textId="507A6926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porucha</w:t>
      </w:r>
      <w:r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pečeňových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funkci</w:t>
      </w:r>
      <w:r>
        <w:rPr>
          <w:rFonts w:ascii="Times New Roman" w:hAnsi="Times New Roman" w:cs="Times New Roman"/>
          <w:sz w:val="22"/>
          <w:szCs w:val="22"/>
          <w:lang w:val="sk-SK" w:eastAsia="en-US"/>
        </w:rPr>
        <w:t>í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(prvé pr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ejavy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môžu mať za následok zmenu farby kože), poškodenie pečene najmä pri dlhodobej liečbe, zlyhanie pečene, akútny zápal pečene (akútna hepatitída)</w:t>
      </w:r>
    </w:p>
    <w:p w14:paraId="3B63BF62" w14:textId="5FC5E607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pri používaní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ibuprofénu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sa pozorovali pr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ejavy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aseptickej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meningitídy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so stuhnut</w:t>
      </w:r>
      <w:r>
        <w:rPr>
          <w:rFonts w:ascii="Times New Roman" w:hAnsi="Times New Roman" w:cs="Times New Roman"/>
          <w:sz w:val="22"/>
          <w:szCs w:val="22"/>
          <w:lang w:val="sk-SK" w:eastAsia="en-US"/>
        </w:rPr>
        <w:t>í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m krku, bolesťami hlavy, pocitom nevoľnosti, nevoľnosťou, horúčkou alebo poruchou vedomia. U pacientov s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autoimunitnými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poruchami (</w:t>
      </w:r>
      <w:r w:rsidR="008234A8">
        <w:rPr>
          <w:rFonts w:ascii="Times New Roman" w:hAnsi="Times New Roman" w:cs="Times New Roman"/>
          <w:sz w:val="22"/>
          <w:szCs w:val="22"/>
          <w:lang w:val="sk-SK" w:eastAsia="en-US"/>
        </w:rPr>
        <w:t>s</w:t>
      </w:r>
      <w:r w:rsidR="008C362F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ystémový </w:t>
      </w:r>
      <w:proofErr w:type="spellStart"/>
      <w:r w:rsidR="008C362F" w:rsidRPr="008234A8">
        <w:rPr>
          <w:rFonts w:ascii="Times New Roman" w:hAnsi="Times New Roman" w:cs="Times New Roman"/>
          <w:i/>
          <w:sz w:val="22"/>
          <w:szCs w:val="22"/>
          <w:lang w:val="sk-SK" w:eastAsia="en-US"/>
        </w:rPr>
        <w:t>lupus</w:t>
      </w:r>
      <w:proofErr w:type="spellEnd"/>
      <w:r w:rsidR="008C362F" w:rsidRPr="008234A8">
        <w:rPr>
          <w:rFonts w:ascii="Times New Roman" w:hAnsi="Times New Roman" w:cs="Times New Roman"/>
          <w:i/>
          <w:sz w:val="22"/>
          <w:szCs w:val="22"/>
          <w:lang w:val="sk-SK" w:eastAsia="en-US"/>
        </w:rPr>
        <w:t xml:space="preserve"> </w:t>
      </w:r>
      <w:proofErr w:type="spellStart"/>
      <w:r w:rsidR="008C362F" w:rsidRPr="008234A8">
        <w:rPr>
          <w:rFonts w:ascii="Times New Roman" w:hAnsi="Times New Roman" w:cs="Times New Roman"/>
          <w:i/>
          <w:sz w:val="22"/>
          <w:szCs w:val="22"/>
          <w:lang w:val="sk-SK" w:eastAsia="en-US"/>
        </w:rPr>
        <w:t>erythematosus</w:t>
      </w:r>
      <w:proofErr w:type="spellEnd"/>
      <w:r w:rsidR="008234A8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="00571F27">
        <w:rPr>
          <w:rFonts w:ascii="Times New Roman" w:hAnsi="Times New Roman" w:cs="Times New Roman"/>
          <w:sz w:val="22"/>
          <w:szCs w:val="22"/>
          <w:lang w:val="sk-SK" w:eastAsia="en-US"/>
        </w:rPr>
        <w:t>(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SLE</w:t>
      </w:r>
      <w:r w:rsidR="00571F27">
        <w:rPr>
          <w:rFonts w:ascii="Times New Roman" w:hAnsi="Times New Roman" w:cs="Times New Roman"/>
          <w:sz w:val="22"/>
          <w:szCs w:val="22"/>
          <w:lang w:val="sk-SK" w:eastAsia="en-US"/>
        </w:rPr>
        <w:t>)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, zmiešané ochorenie spojivového tkaniva) môže byť vyššia pravdepodobnosť tohto 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stavu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. V prípade výskytu uvedených príznakov kontaktujte ihneď lekára</w:t>
      </w:r>
    </w:p>
    <w:p w14:paraId="7CB1EB8A" w14:textId="729FEF45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počas 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infekcie</w:t>
      </w:r>
      <w:r w:rsidR="006F6EC2"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ovčími kiahňami sa vyskytli závažné formy kožných reakcií, ako sú vyrážka so začervenaním a tvorbou pľuzgierov napr.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Stevens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ov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-Johnsonov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syndróm, toxická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epidermálna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lastRenderedPageBreak/>
        <w:t>nekrolýza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/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Lyellov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syndróm), strata vlasov (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alopécia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), závažné infekcie kože a</w:t>
      </w:r>
      <w:r w:rsidR="008234A8">
        <w:rPr>
          <w:rFonts w:ascii="Times New Roman" w:hAnsi="Times New Roman" w:cs="Times New Roman"/>
          <w:sz w:val="22"/>
          <w:szCs w:val="22"/>
          <w:lang w:val="sk-SK" w:eastAsia="en-US"/>
        </w:rPr>
        <w:t> 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komplikácie</w:t>
      </w:r>
      <w:r w:rsidR="008234A8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ovčích kiahní s poškodením mäkkých tkanív.</w:t>
      </w:r>
    </w:p>
    <w:p w14:paraId="50A5FE46" w14:textId="44D7B9C4" w:rsidR="002D70F1" w:rsidRPr="009D3DED" w:rsidRDefault="002D70F1" w:rsidP="00A65E8F">
      <w:pPr>
        <w:pStyle w:val="knZulassung02"/>
        <w:numPr>
          <w:ilvl w:val="0"/>
          <w:numId w:val="18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závažné celkové reakcie z precitlivenosti (pr</w:t>
      </w:r>
      <w:r w:rsidR="006F6EC2">
        <w:rPr>
          <w:rFonts w:ascii="Times New Roman" w:hAnsi="Times New Roman" w:cs="Times New Roman"/>
          <w:sz w:val="22"/>
          <w:szCs w:val="22"/>
          <w:lang w:val="sk-SK" w:eastAsia="en-US"/>
        </w:rPr>
        <w:t>ejavy</w:t>
      </w:r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môžu zahŕňať závažné alergické reakcie, ktoré spôsobujú opuch tváre alebo hrdla, dýchacie ťažkosti, zrýchlený srdcový rytmus, pokles krvného tlaku, </w:t>
      </w:r>
      <w:proofErr w:type="spellStart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>anafylaktický</w:t>
      </w:r>
      <w:proofErr w:type="spellEnd"/>
      <w:r w:rsidRPr="009D3DE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šok (závažná alergická reakcia, ktorá spôsobuje dýchacie ťažkosti alebo závrat</w:t>
      </w:r>
      <w:r w:rsidRPr="009D3DED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0B18A810" w14:textId="77777777" w:rsidR="002D70F1" w:rsidRPr="009D3DED" w:rsidRDefault="002D70F1" w:rsidP="00A65E8F">
      <w:pPr>
        <w:rPr>
          <w:szCs w:val="22"/>
          <w:lang w:val="sk-SK"/>
        </w:rPr>
      </w:pPr>
    </w:p>
    <w:p w14:paraId="4BF41F1D" w14:textId="22FE64FA" w:rsidR="002D70F1" w:rsidRPr="009D3DED" w:rsidRDefault="002D70F1" w:rsidP="00A65E8F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 xml:space="preserve">Neznáme (z dostupných údajov nie je možné určiť </w:t>
      </w:r>
      <w:r w:rsidR="00873643">
        <w:rPr>
          <w:szCs w:val="22"/>
          <w:u w:val="single"/>
          <w:lang w:val="sk-SK"/>
        </w:rPr>
        <w:t>častosť</w:t>
      </w:r>
      <w:r w:rsidR="00873643" w:rsidRPr="009D3DED">
        <w:rPr>
          <w:szCs w:val="22"/>
          <w:u w:val="single"/>
          <w:lang w:val="sk-SK"/>
        </w:rPr>
        <w:t xml:space="preserve"> </w:t>
      </w:r>
      <w:r w:rsidRPr="009D3DED">
        <w:rPr>
          <w:szCs w:val="22"/>
          <w:u w:val="single"/>
          <w:lang w:val="sk-SK"/>
        </w:rPr>
        <w:t>výskytu)</w:t>
      </w:r>
    </w:p>
    <w:p w14:paraId="6F5A894D" w14:textId="77777777" w:rsidR="002D70F1" w:rsidRPr="009D3DED" w:rsidRDefault="002D70F1" w:rsidP="00A65E8F">
      <w:pPr>
        <w:numPr>
          <w:ilvl w:val="0"/>
          <w:numId w:val="18"/>
        </w:numPr>
        <w:tabs>
          <w:tab w:val="clear" w:pos="567"/>
        </w:tabs>
        <w:autoSpaceDE w:val="0"/>
        <w:autoSpaceDN w:val="0"/>
        <w:spacing w:line="240" w:lineRule="auto"/>
        <w:ind w:right="249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>tras</w:t>
      </w:r>
    </w:p>
    <w:p w14:paraId="7F525325" w14:textId="77777777" w:rsidR="002D70F1" w:rsidRPr="009D3DED" w:rsidRDefault="002D70F1" w:rsidP="00A65E8F">
      <w:pPr>
        <w:numPr>
          <w:ilvl w:val="0"/>
          <w:numId w:val="18"/>
        </w:numPr>
        <w:tabs>
          <w:tab w:val="clear" w:pos="567"/>
        </w:tabs>
        <w:autoSpaceDE w:val="0"/>
        <w:autoSpaceDN w:val="0"/>
        <w:spacing w:line="240" w:lineRule="auto"/>
        <w:ind w:right="249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>zrýchlená srdcová činnosť</w:t>
      </w:r>
    </w:p>
    <w:p w14:paraId="144C9C2B" w14:textId="35FE20DA" w:rsidR="002D70F1" w:rsidRPr="009D3DED" w:rsidRDefault="002D70F1" w:rsidP="00A65E8F">
      <w:pPr>
        <w:numPr>
          <w:ilvl w:val="0"/>
          <w:numId w:val="18"/>
        </w:numPr>
        <w:tabs>
          <w:tab w:val="clear" w:pos="567"/>
        </w:tabs>
        <w:autoSpaceDE w:val="0"/>
        <w:autoSpaceDN w:val="0"/>
        <w:spacing w:line="240" w:lineRule="auto"/>
        <w:ind w:right="249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 xml:space="preserve">môže dôjsť k závažnej kožnej reakcii označovanej ako DRESS syndróm. Medzi príznaky DRESS syndrómu patria: </w:t>
      </w:r>
      <w:r w:rsidR="00873643">
        <w:rPr>
          <w:szCs w:val="22"/>
          <w:lang w:val="sk-SK" w:eastAsia="de-DE"/>
        </w:rPr>
        <w:t xml:space="preserve">kožná </w:t>
      </w:r>
      <w:r w:rsidRPr="009D3DED">
        <w:rPr>
          <w:szCs w:val="22"/>
          <w:lang w:val="sk-SK" w:eastAsia="de-DE"/>
        </w:rPr>
        <w:t xml:space="preserve">vyrážka, horúčka, opuch lymfatických uzlín a zvýšenie počtu </w:t>
      </w:r>
      <w:proofErr w:type="spellStart"/>
      <w:r w:rsidRPr="009D3DED">
        <w:rPr>
          <w:szCs w:val="22"/>
          <w:lang w:val="sk-SK" w:eastAsia="de-DE"/>
        </w:rPr>
        <w:t>eozinofilov</w:t>
      </w:r>
      <w:proofErr w:type="spellEnd"/>
      <w:r w:rsidRPr="009D3DED">
        <w:rPr>
          <w:szCs w:val="22"/>
          <w:lang w:val="sk-SK" w:eastAsia="de-DE"/>
        </w:rPr>
        <w:t xml:space="preserve"> (druh bielych krviniek).</w:t>
      </w:r>
    </w:p>
    <w:p w14:paraId="5A0FDC7C" w14:textId="731D1147" w:rsidR="002D70F1" w:rsidRPr="009D3DED" w:rsidRDefault="002D70F1" w:rsidP="00A65E8F">
      <w:pPr>
        <w:numPr>
          <w:ilvl w:val="0"/>
          <w:numId w:val="18"/>
        </w:numPr>
        <w:tabs>
          <w:tab w:val="clear" w:pos="567"/>
        </w:tabs>
        <w:autoSpaceDE w:val="0"/>
        <w:autoSpaceDN w:val="0"/>
        <w:spacing w:line="240" w:lineRule="auto"/>
        <w:ind w:right="249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>červená, šupinatá</w:t>
      </w:r>
      <w:r w:rsidR="00873643">
        <w:rPr>
          <w:szCs w:val="22"/>
          <w:lang w:val="sk-SK" w:eastAsia="de-DE"/>
        </w:rPr>
        <w:t>,</w:t>
      </w:r>
      <w:r w:rsidRPr="009D3DED">
        <w:rPr>
          <w:szCs w:val="22"/>
          <w:lang w:val="sk-SK" w:eastAsia="de-DE"/>
        </w:rPr>
        <w:t xml:space="preserve"> plo</w:t>
      </w:r>
      <w:r w:rsidR="00873643">
        <w:rPr>
          <w:szCs w:val="22"/>
          <w:lang w:val="sk-SK" w:eastAsia="de-DE"/>
        </w:rPr>
        <w:t>chá</w:t>
      </w:r>
      <w:r w:rsidRPr="009D3DED">
        <w:rPr>
          <w:szCs w:val="22"/>
          <w:lang w:val="sk-SK" w:eastAsia="de-DE"/>
        </w:rPr>
        <w:t xml:space="preserve"> vyrážka s tvorbou </w:t>
      </w:r>
      <w:r w:rsidR="00873643">
        <w:rPr>
          <w:szCs w:val="22"/>
          <w:lang w:val="sk-SK" w:eastAsia="de-DE"/>
        </w:rPr>
        <w:t>hrčiek</w:t>
      </w:r>
      <w:r w:rsidR="00873643" w:rsidRPr="009D3DED">
        <w:rPr>
          <w:szCs w:val="22"/>
          <w:lang w:val="sk-SK" w:eastAsia="de-DE"/>
        </w:rPr>
        <w:t xml:space="preserve"> </w:t>
      </w:r>
      <w:r>
        <w:rPr>
          <w:szCs w:val="22"/>
          <w:lang w:val="sk-SK" w:eastAsia="de-DE"/>
        </w:rPr>
        <w:t xml:space="preserve">pod kožou </w:t>
      </w:r>
      <w:r w:rsidRPr="009D3DED">
        <w:rPr>
          <w:szCs w:val="22"/>
          <w:lang w:val="sk-SK" w:eastAsia="de-DE"/>
        </w:rPr>
        <w:t xml:space="preserve">a pľuzgierov, lokalizovaných najmä v oblasti kožných záhybov, na trupe a horných končatinách, sprevádzaná horúčkou na začiatku liečby (akútna generalizovaná </w:t>
      </w:r>
      <w:proofErr w:type="spellStart"/>
      <w:r w:rsidRPr="009D3DED">
        <w:rPr>
          <w:szCs w:val="22"/>
          <w:lang w:val="sk-SK" w:eastAsia="de-DE"/>
        </w:rPr>
        <w:t>exantematózna</w:t>
      </w:r>
      <w:proofErr w:type="spellEnd"/>
      <w:r w:rsidRPr="009D3DED">
        <w:rPr>
          <w:szCs w:val="22"/>
          <w:lang w:val="sk-SK" w:eastAsia="de-DE"/>
        </w:rPr>
        <w:t xml:space="preserve"> </w:t>
      </w:r>
      <w:proofErr w:type="spellStart"/>
      <w:r w:rsidRPr="009D3DED">
        <w:rPr>
          <w:szCs w:val="22"/>
          <w:lang w:val="sk-SK" w:eastAsia="de-DE"/>
        </w:rPr>
        <w:t>pustulóza</w:t>
      </w:r>
      <w:proofErr w:type="spellEnd"/>
      <w:r w:rsidRPr="009D3DED">
        <w:rPr>
          <w:szCs w:val="22"/>
          <w:lang w:val="sk-SK" w:eastAsia="de-DE"/>
        </w:rPr>
        <w:t xml:space="preserve">). Ak sa u vás objavia tieto príznaky, ihneď vyhľadajte lekársku pomoc, a prestaňte užívať </w:t>
      </w:r>
      <w:proofErr w:type="spellStart"/>
      <w:r w:rsidRPr="009D3DED">
        <w:rPr>
          <w:szCs w:val="22"/>
          <w:lang w:val="sk-SK" w:eastAsia="de-DE"/>
        </w:rPr>
        <w:t>Ibalgin</w:t>
      </w:r>
      <w:proofErr w:type="spellEnd"/>
      <w:r w:rsidRPr="009D3DED">
        <w:rPr>
          <w:szCs w:val="22"/>
          <w:lang w:val="sk-SK" w:eastAsia="de-DE"/>
        </w:rPr>
        <w:t xml:space="preserve"> Plus. Pozri tiež časť 2.</w:t>
      </w:r>
    </w:p>
    <w:p w14:paraId="2D8A6A19" w14:textId="77777777" w:rsidR="002D70F1" w:rsidRPr="009D3DED" w:rsidRDefault="002D70F1" w:rsidP="00A65E8F">
      <w:pPr>
        <w:numPr>
          <w:ilvl w:val="0"/>
          <w:numId w:val="18"/>
        </w:numPr>
        <w:tabs>
          <w:tab w:val="clear" w:pos="567"/>
        </w:tabs>
        <w:autoSpaceDE w:val="0"/>
        <w:autoSpaceDN w:val="0"/>
        <w:spacing w:line="240" w:lineRule="auto"/>
        <w:ind w:right="249"/>
        <w:rPr>
          <w:szCs w:val="22"/>
          <w:lang w:val="sk-SK" w:eastAsia="de-DE"/>
        </w:rPr>
      </w:pPr>
      <w:r w:rsidRPr="009D3DED">
        <w:rPr>
          <w:szCs w:val="22"/>
          <w:lang w:val="sk-SK" w:eastAsia="de-DE"/>
        </w:rPr>
        <w:t>zvýšená citlivosť na slnečné žiarenie</w:t>
      </w:r>
    </w:p>
    <w:p w14:paraId="32150DE2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6CC277E8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Lieky, ako je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Plus, môžu byť spojené s mierne zvýšeným rizikom srdcového infarktu (infarktu myokardu) alebo cievnej mozgovej príhody.</w:t>
      </w:r>
    </w:p>
    <w:p w14:paraId="7B7EF331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50449F01" w14:textId="3D2CC708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V štúdii zahŕňajúcej pacientov po </w:t>
      </w:r>
      <w:r w:rsidR="00873643">
        <w:rPr>
          <w:szCs w:val="22"/>
          <w:lang w:val="sk-SK"/>
        </w:rPr>
        <w:t>vytrhnutí</w:t>
      </w:r>
      <w:r w:rsidR="00873643" w:rsidRPr="009D3DED">
        <w:rPr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zuba sa u niektorých pacientov (2,8%) vyvinul zápal dutiny vzniknutej po extrakcii a u niektorých pacientov (1,4%) sa vyvinul zápal ďasna po chirurgickom výkone.</w:t>
      </w:r>
    </w:p>
    <w:p w14:paraId="7394BB1B" w14:textId="77777777" w:rsidR="002D70F1" w:rsidRPr="009D3DED" w:rsidRDefault="002D70F1" w:rsidP="00A65E8F">
      <w:pPr>
        <w:autoSpaceDE w:val="0"/>
        <w:autoSpaceDN w:val="0"/>
        <w:adjustRightInd w:val="0"/>
        <w:rPr>
          <w:szCs w:val="22"/>
          <w:lang w:val="sk-SK"/>
        </w:rPr>
      </w:pPr>
    </w:p>
    <w:p w14:paraId="2BDB0188" w14:textId="77777777" w:rsidR="002D70F1" w:rsidRPr="009D3DED" w:rsidRDefault="002D70F1" w:rsidP="00A65E8F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Hlásenie vedľajších účinkov</w:t>
      </w:r>
    </w:p>
    <w:p w14:paraId="0BD688AA" w14:textId="1302A460" w:rsidR="00A760BE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="00BD6CA6">
        <w:rPr>
          <w:szCs w:val="22"/>
          <w:lang w:val="sk-SK"/>
        </w:rPr>
        <w:t xml:space="preserve"> </w:t>
      </w:r>
      <w:proofErr w:type="spellStart"/>
      <w:r w:rsidR="00A760BE">
        <w:rPr>
          <w:szCs w:val="22"/>
          <w:highlight w:val="lightGray"/>
        </w:rPr>
        <w:t>národn</w:t>
      </w:r>
      <w:r w:rsidR="006C0E14">
        <w:rPr>
          <w:szCs w:val="22"/>
          <w:highlight w:val="lightGray"/>
        </w:rPr>
        <w:t>é</w:t>
      </w:r>
      <w:proofErr w:type="spellEnd"/>
      <w:r w:rsidR="00A760BE">
        <w:rPr>
          <w:szCs w:val="22"/>
          <w:highlight w:val="lightGray"/>
        </w:rPr>
        <w:t xml:space="preserve"> </w:t>
      </w:r>
      <w:r w:rsidR="006C0E14">
        <w:rPr>
          <w:szCs w:val="22"/>
          <w:highlight w:val="lightGray"/>
        </w:rPr>
        <w:t>centrum</w:t>
      </w:r>
      <w:r w:rsidR="00A760BE">
        <w:rPr>
          <w:szCs w:val="22"/>
          <w:highlight w:val="lightGray"/>
        </w:rPr>
        <w:t xml:space="preserve"> </w:t>
      </w:r>
      <w:proofErr w:type="spellStart"/>
      <w:r w:rsidR="00A760BE">
        <w:rPr>
          <w:szCs w:val="22"/>
          <w:highlight w:val="lightGray"/>
        </w:rPr>
        <w:t>hlásenia</w:t>
      </w:r>
      <w:proofErr w:type="spellEnd"/>
      <w:r w:rsidR="00A760BE">
        <w:rPr>
          <w:szCs w:val="22"/>
          <w:highlight w:val="lightGray"/>
        </w:rPr>
        <w:t xml:space="preserve"> </w:t>
      </w:r>
      <w:proofErr w:type="spellStart"/>
      <w:r w:rsidR="00A760BE">
        <w:rPr>
          <w:szCs w:val="22"/>
          <w:highlight w:val="lightGray"/>
        </w:rPr>
        <w:t>uvedené</w:t>
      </w:r>
      <w:proofErr w:type="spellEnd"/>
      <w:r w:rsidR="00A760BE">
        <w:rPr>
          <w:szCs w:val="22"/>
          <w:highlight w:val="lightGray"/>
        </w:rPr>
        <w:t xml:space="preserve"> v </w:t>
      </w:r>
      <w:proofErr w:type="spellStart"/>
      <w:r w:rsidR="00FE7840">
        <w:rPr>
          <w:rStyle w:val="Hypertextovprepojenie"/>
          <w:szCs w:val="22"/>
          <w:highlight w:val="lightGray"/>
        </w:rPr>
        <w:fldChar w:fldCharType="begin"/>
      </w:r>
      <w:r w:rsidR="00FE7840">
        <w:rPr>
          <w:rStyle w:val="Hypertextovprepojenie"/>
          <w:szCs w:val="22"/>
          <w:highlight w:val="lightGray"/>
        </w:rPr>
        <w:instrText xml:space="preserve"> HYPERLINK "http://www.ema.europa.eu/docs/en_GB/document_library/Template_or_form/2013/03/WC500139752.doc" </w:instrText>
      </w:r>
      <w:r w:rsidR="00FE7840">
        <w:rPr>
          <w:rStyle w:val="Hypertextovprepojenie"/>
          <w:szCs w:val="22"/>
          <w:highlight w:val="lightGray"/>
        </w:rPr>
        <w:fldChar w:fldCharType="separate"/>
      </w:r>
      <w:r w:rsidR="00A760BE">
        <w:rPr>
          <w:rStyle w:val="Hypertextovprepojenie"/>
          <w:szCs w:val="22"/>
          <w:highlight w:val="lightGray"/>
        </w:rPr>
        <w:t>Prílohe</w:t>
      </w:r>
      <w:proofErr w:type="spellEnd"/>
      <w:r w:rsidR="00A760BE">
        <w:rPr>
          <w:rStyle w:val="Hypertextovprepojenie"/>
          <w:szCs w:val="22"/>
          <w:highlight w:val="lightGray"/>
        </w:rPr>
        <w:t xml:space="preserve"> V</w:t>
      </w:r>
      <w:r w:rsidR="00FE7840">
        <w:rPr>
          <w:rStyle w:val="Hypertextovprepojenie"/>
          <w:szCs w:val="22"/>
          <w:highlight w:val="lightGray"/>
        </w:rPr>
        <w:fldChar w:fldCharType="end"/>
      </w:r>
      <w:r w:rsidR="00A760BE">
        <w:rPr>
          <w:szCs w:val="22"/>
          <w:highlight w:val="lightGray"/>
        </w:rPr>
        <w:t>.</w:t>
      </w:r>
    </w:p>
    <w:p w14:paraId="40459575" w14:textId="77777777" w:rsidR="002D70F1" w:rsidRPr="009D3DED" w:rsidRDefault="002D70F1" w:rsidP="00A65E8F">
      <w:pPr>
        <w:pStyle w:val="PHZMngelpunkt"/>
        <w:numPr>
          <w:ilvl w:val="0"/>
          <w:numId w:val="0"/>
        </w:numPr>
        <w:spacing w:before="0"/>
        <w:rPr>
          <w:rFonts w:ascii="Times New Roman" w:hAnsi="Times New Roman"/>
          <w:b/>
          <w:szCs w:val="22"/>
          <w:u w:val="single"/>
          <w:lang w:val="sk-SK"/>
        </w:rPr>
      </w:pPr>
      <w:r w:rsidRPr="009D3DED">
        <w:rPr>
          <w:rFonts w:ascii="Times New Roman" w:hAnsi="Times New Roman"/>
          <w:szCs w:val="22"/>
          <w:lang w:val="sk-SK"/>
        </w:rPr>
        <w:t>Hlásením vedľajších účinkov môžete prispieť k získaniu ďalších informácií o bezpečnosti tohto lieku.</w:t>
      </w:r>
    </w:p>
    <w:p w14:paraId="48839015" w14:textId="77777777" w:rsidR="002D70F1" w:rsidRPr="009D3DED" w:rsidRDefault="002D70F1" w:rsidP="00A65E8F">
      <w:pPr>
        <w:autoSpaceDE w:val="0"/>
        <w:autoSpaceDN w:val="0"/>
        <w:adjustRightInd w:val="0"/>
        <w:rPr>
          <w:color w:val="000000"/>
          <w:szCs w:val="22"/>
          <w:lang w:val="sk-SK" w:eastAsia="zh-CN" w:bidi="th-TH"/>
        </w:rPr>
      </w:pPr>
    </w:p>
    <w:p w14:paraId="7A3B42A7" w14:textId="77777777" w:rsidR="002D70F1" w:rsidRPr="009D3DED" w:rsidRDefault="002D70F1" w:rsidP="00A65E8F">
      <w:pPr>
        <w:autoSpaceDE w:val="0"/>
        <w:autoSpaceDN w:val="0"/>
        <w:adjustRightInd w:val="0"/>
        <w:rPr>
          <w:color w:val="000000"/>
          <w:szCs w:val="22"/>
          <w:lang w:val="sk-SK" w:eastAsia="zh-CN" w:bidi="th-TH"/>
        </w:rPr>
      </w:pPr>
    </w:p>
    <w:p w14:paraId="4E78F661" w14:textId="77777777" w:rsidR="002D70F1" w:rsidRPr="009D3DED" w:rsidRDefault="002D70F1" w:rsidP="00A65E8F">
      <w:pPr>
        <w:numPr>
          <w:ilvl w:val="12"/>
          <w:numId w:val="0"/>
        </w:numPr>
        <w:ind w:left="567" w:right="-2" w:hanging="567"/>
        <w:rPr>
          <w:szCs w:val="22"/>
          <w:lang w:val="sk-SK"/>
        </w:rPr>
      </w:pPr>
      <w:r w:rsidRPr="009D3DED">
        <w:rPr>
          <w:b/>
          <w:szCs w:val="22"/>
          <w:lang w:val="sk-SK"/>
        </w:rPr>
        <w:t>5.</w:t>
      </w:r>
      <w:r w:rsidRPr="009D3DED">
        <w:rPr>
          <w:b/>
          <w:szCs w:val="22"/>
          <w:lang w:val="sk-SK"/>
        </w:rPr>
        <w:tab/>
        <w:t xml:space="preserve">Ako uchovávať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</w:t>
      </w:r>
    </w:p>
    <w:p w14:paraId="1190CEDE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7B5CD623" w14:textId="77777777" w:rsidR="002D70F1" w:rsidRPr="009D3DED" w:rsidRDefault="002D70F1" w:rsidP="00A65E8F">
      <w:pPr>
        <w:pStyle w:val="Default"/>
        <w:rPr>
          <w:sz w:val="22"/>
          <w:szCs w:val="22"/>
          <w:lang w:val="sk-SK" w:eastAsia="en-GB"/>
        </w:rPr>
      </w:pPr>
      <w:r w:rsidRPr="009D3DED">
        <w:rPr>
          <w:sz w:val="22"/>
          <w:szCs w:val="22"/>
          <w:lang w:val="sk-SK" w:eastAsia="en-GB"/>
        </w:rPr>
        <w:t>Tento liek uchovávajte mimo dohľadu a dosahu detí.</w:t>
      </w:r>
    </w:p>
    <w:p w14:paraId="33900576" w14:textId="77777777" w:rsidR="002D70F1" w:rsidRPr="009D3DED" w:rsidRDefault="002D70F1" w:rsidP="00A65E8F">
      <w:pPr>
        <w:pStyle w:val="Default"/>
        <w:rPr>
          <w:sz w:val="22"/>
          <w:szCs w:val="22"/>
          <w:lang w:val="sk-SK" w:eastAsia="en-GB"/>
        </w:rPr>
      </w:pPr>
    </w:p>
    <w:p w14:paraId="6E6401E5" w14:textId="77777777" w:rsidR="005A3B20" w:rsidRDefault="002D70F1" w:rsidP="00A65E8F">
      <w:pPr>
        <w:pStyle w:val="Default"/>
        <w:rPr>
          <w:sz w:val="22"/>
          <w:szCs w:val="22"/>
          <w:lang w:val="sk-SK" w:eastAsia="en-GB"/>
        </w:rPr>
      </w:pPr>
      <w:r w:rsidRPr="009D3DED">
        <w:rPr>
          <w:sz w:val="22"/>
          <w:szCs w:val="22"/>
          <w:lang w:val="sk-SK" w:eastAsia="en-GB"/>
        </w:rPr>
        <w:t xml:space="preserve">Neužívajte tento liek po dátume exspirácie, ktorý je uvedený na škatuľke a na </w:t>
      </w:r>
      <w:proofErr w:type="spellStart"/>
      <w:r w:rsidRPr="009D3DED">
        <w:rPr>
          <w:sz w:val="22"/>
          <w:szCs w:val="22"/>
          <w:lang w:val="sk-SK" w:eastAsia="en-GB"/>
        </w:rPr>
        <w:t>blistri</w:t>
      </w:r>
      <w:proofErr w:type="spellEnd"/>
      <w:r w:rsidRPr="009D3DED">
        <w:rPr>
          <w:sz w:val="22"/>
          <w:szCs w:val="22"/>
          <w:lang w:val="sk-SK" w:eastAsia="en-GB"/>
        </w:rPr>
        <w:t xml:space="preserve">. </w:t>
      </w:r>
    </w:p>
    <w:p w14:paraId="372E4660" w14:textId="7D50C6FA" w:rsidR="002D70F1" w:rsidRDefault="002D70F1" w:rsidP="00A65E8F">
      <w:pPr>
        <w:pStyle w:val="Default"/>
        <w:rPr>
          <w:sz w:val="22"/>
          <w:szCs w:val="22"/>
          <w:lang w:val="sk-SK" w:eastAsia="en-GB"/>
        </w:rPr>
      </w:pPr>
      <w:r w:rsidRPr="009D3DED">
        <w:rPr>
          <w:sz w:val="22"/>
          <w:szCs w:val="22"/>
          <w:lang w:val="sk-SK" w:eastAsia="en-GB"/>
        </w:rPr>
        <w:t>Dátum exspirácie sa vzťahuje na posledný deň v danom mesiaci.</w:t>
      </w:r>
    </w:p>
    <w:p w14:paraId="1EEE51EB" w14:textId="77777777" w:rsidR="00FC4D0B" w:rsidRPr="009D3DED" w:rsidRDefault="00FC4D0B" w:rsidP="00A65E8F">
      <w:pPr>
        <w:pStyle w:val="Default"/>
        <w:rPr>
          <w:sz w:val="22"/>
          <w:szCs w:val="22"/>
          <w:lang w:val="sk-SK" w:eastAsia="en-GB"/>
        </w:rPr>
      </w:pPr>
    </w:p>
    <w:p w14:paraId="468350C2" w14:textId="05527EC8" w:rsidR="00FC4D0B" w:rsidRPr="0074473E" w:rsidRDefault="00FC4D0B" w:rsidP="00A65E8F">
      <w:pPr>
        <w:numPr>
          <w:ilvl w:val="12"/>
          <w:numId w:val="0"/>
        </w:numPr>
        <w:ind w:left="567" w:right="-2" w:hanging="567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Uchováv</w:t>
      </w:r>
      <w:r w:rsidR="009522C8">
        <w:rPr>
          <w:szCs w:val="22"/>
          <w:lang w:val="cs-CZ"/>
        </w:rPr>
        <w:t>a</w:t>
      </w:r>
      <w:r>
        <w:rPr>
          <w:szCs w:val="22"/>
          <w:lang w:val="cs-CZ"/>
        </w:rPr>
        <w:t>jte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pri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teplote</w:t>
      </w:r>
      <w:proofErr w:type="spellEnd"/>
      <w:r>
        <w:rPr>
          <w:szCs w:val="22"/>
          <w:lang w:val="cs-CZ"/>
        </w:rPr>
        <w:t xml:space="preserve"> do 25 °C.</w:t>
      </w:r>
    </w:p>
    <w:p w14:paraId="054EA7CC" w14:textId="77777777" w:rsidR="002D70F1" w:rsidRPr="009D3DED" w:rsidRDefault="002D70F1" w:rsidP="00A65E8F">
      <w:pPr>
        <w:numPr>
          <w:ilvl w:val="12"/>
          <w:numId w:val="0"/>
        </w:numPr>
        <w:ind w:left="567" w:right="-2" w:hanging="567"/>
        <w:rPr>
          <w:szCs w:val="22"/>
          <w:lang w:val="sk-SK" w:eastAsia="en-GB"/>
        </w:rPr>
      </w:pPr>
    </w:p>
    <w:p w14:paraId="741C7FB5" w14:textId="0EF4F155" w:rsidR="002D70F1" w:rsidRPr="009D3DED" w:rsidRDefault="008C362F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3021D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045C3313" w14:textId="77777777" w:rsidR="002D70F1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7AB628D7" w14:textId="77777777" w:rsidR="00970347" w:rsidRPr="009D3DED" w:rsidRDefault="00970347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  <w:bookmarkStart w:id="1" w:name="_GoBack"/>
      <w:bookmarkEnd w:id="1"/>
    </w:p>
    <w:p w14:paraId="60201E2B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9D3DED">
        <w:rPr>
          <w:b/>
          <w:szCs w:val="22"/>
          <w:lang w:val="sk-SK"/>
        </w:rPr>
        <w:t>6.</w:t>
      </w:r>
      <w:r w:rsidRPr="009D3DED">
        <w:rPr>
          <w:b/>
          <w:szCs w:val="22"/>
          <w:lang w:val="sk-SK"/>
        </w:rPr>
        <w:tab/>
        <w:t>Obsah balenia a ďalšie informácie</w:t>
      </w:r>
    </w:p>
    <w:p w14:paraId="4B322F49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5F4CF14A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b/>
          <w:bCs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Čo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 </w:t>
      </w:r>
      <w:r w:rsidRPr="009D3DED">
        <w:rPr>
          <w:b/>
          <w:bCs/>
          <w:szCs w:val="22"/>
          <w:lang w:val="sk-SK"/>
        </w:rPr>
        <w:t>obsahuje</w:t>
      </w:r>
    </w:p>
    <w:p w14:paraId="25D181B2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u w:val="single"/>
          <w:lang w:val="sk-SK"/>
        </w:rPr>
      </w:pPr>
    </w:p>
    <w:p w14:paraId="71694D06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Liečivá sú </w:t>
      </w:r>
      <w:proofErr w:type="spellStart"/>
      <w:r w:rsidRPr="009D3DED">
        <w:rPr>
          <w:szCs w:val="22"/>
          <w:lang w:val="sk-SK"/>
        </w:rPr>
        <w:t>ibuprofén</w:t>
      </w:r>
      <w:proofErr w:type="spellEnd"/>
      <w:r w:rsidRPr="009D3DED">
        <w:rPr>
          <w:szCs w:val="22"/>
          <w:lang w:val="sk-SK"/>
        </w:rPr>
        <w:t xml:space="preserve"> a kofeín.</w:t>
      </w:r>
    </w:p>
    <w:p w14:paraId="6FBCC455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Jedna filmom obalená tableta obsahuje 400 mg </w:t>
      </w:r>
      <w:proofErr w:type="spellStart"/>
      <w:r w:rsidRPr="009D3DED">
        <w:rPr>
          <w:szCs w:val="22"/>
          <w:lang w:val="sk-SK"/>
        </w:rPr>
        <w:t>ibuprofénu</w:t>
      </w:r>
      <w:proofErr w:type="spellEnd"/>
      <w:r w:rsidRPr="009D3DED">
        <w:rPr>
          <w:szCs w:val="22"/>
          <w:lang w:val="sk-SK"/>
        </w:rPr>
        <w:t xml:space="preserve"> a 100 mg kofeínu.</w:t>
      </w:r>
    </w:p>
    <w:p w14:paraId="37C4D31C" w14:textId="77777777" w:rsidR="002D70F1" w:rsidRPr="009D3DED" w:rsidDel="00BF70A8" w:rsidRDefault="002D70F1" w:rsidP="00A65E8F">
      <w:pPr>
        <w:ind w:right="-2"/>
        <w:rPr>
          <w:szCs w:val="22"/>
          <w:lang w:val="sk-SK"/>
        </w:rPr>
      </w:pPr>
    </w:p>
    <w:p w14:paraId="14E3B81C" w14:textId="6768B18B" w:rsidR="002D70F1" w:rsidRPr="009D3DED" w:rsidRDefault="0050695A" w:rsidP="00A65E8F">
      <w:pPr>
        <w:ind w:right="-2"/>
        <w:rPr>
          <w:szCs w:val="22"/>
          <w:lang w:val="sk-SK"/>
        </w:rPr>
      </w:pPr>
      <w:r>
        <w:rPr>
          <w:szCs w:val="22"/>
          <w:lang w:val="sk-SK"/>
        </w:rPr>
        <w:t>Ďalšie zložky</w:t>
      </w:r>
      <w:r w:rsidR="002D70F1" w:rsidRPr="009D3DED">
        <w:rPr>
          <w:szCs w:val="22"/>
          <w:lang w:val="sk-SK"/>
        </w:rPr>
        <w:t xml:space="preserve"> sú:</w:t>
      </w:r>
    </w:p>
    <w:p w14:paraId="7F1AC2F7" w14:textId="77777777" w:rsidR="002D70F1" w:rsidRPr="009D3DED" w:rsidRDefault="002D70F1" w:rsidP="00A65E8F">
      <w:pPr>
        <w:ind w:right="-2"/>
        <w:rPr>
          <w:szCs w:val="22"/>
          <w:lang w:val="sk-SK"/>
        </w:rPr>
      </w:pPr>
    </w:p>
    <w:p w14:paraId="40B671CB" w14:textId="77777777" w:rsidR="002D70F1" w:rsidRPr="009D3DED" w:rsidRDefault="002D70F1" w:rsidP="00A65E8F">
      <w:pPr>
        <w:ind w:right="-2"/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Jadro tablety:</w:t>
      </w:r>
    </w:p>
    <w:p w14:paraId="32386086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lastRenderedPageBreak/>
        <w:t>Mikrokryštalická celulóza</w:t>
      </w:r>
    </w:p>
    <w:p w14:paraId="37DBBE1C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Sodná soľ kroskarmelózy</w:t>
      </w:r>
    </w:p>
    <w:p w14:paraId="04191251" w14:textId="367003F4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Koloidn</w:t>
      </w:r>
      <w:r w:rsidR="0050695A">
        <w:rPr>
          <w:szCs w:val="22"/>
          <w:lang w:val="sk-SK"/>
        </w:rPr>
        <w:t>ý</w:t>
      </w:r>
      <w:r w:rsidRPr="009D3DED">
        <w:rPr>
          <w:szCs w:val="22"/>
          <w:lang w:val="sk-SK"/>
        </w:rPr>
        <w:t xml:space="preserve"> bezvodý oxid kremičitý</w:t>
      </w:r>
    </w:p>
    <w:p w14:paraId="50E04E3E" w14:textId="0254750C" w:rsidR="002D70F1" w:rsidRPr="009D3DED" w:rsidRDefault="002D70F1" w:rsidP="00A65E8F">
      <w:pPr>
        <w:rPr>
          <w:szCs w:val="22"/>
          <w:lang w:val="sk-SK"/>
        </w:rPr>
      </w:pPr>
      <w:proofErr w:type="spellStart"/>
      <w:r w:rsidRPr="009D3DED">
        <w:rPr>
          <w:szCs w:val="22"/>
          <w:lang w:val="sk-SK"/>
        </w:rPr>
        <w:t>Stear</w:t>
      </w:r>
      <w:r w:rsidR="0050695A">
        <w:rPr>
          <w:szCs w:val="22"/>
          <w:lang w:val="sk-SK"/>
        </w:rPr>
        <w:t>át</w:t>
      </w:r>
      <w:proofErr w:type="spellEnd"/>
      <w:r w:rsidRPr="009D3DED">
        <w:rPr>
          <w:szCs w:val="22"/>
          <w:lang w:val="sk-SK"/>
        </w:rPr>
        <w:t xml:space="preserve"> horečnatý </w:t>
      </w:r>
    </w:p>
    <w:p w14:paraId="48268FCB" w14:textId="77777777" w:rsidR="002D70F1" w:rsidRPr="009D3DED" w:rsidRDefault="002D70F1" w:rsidP="00A65E8F">
      <w:pPr>
        <w:rPr>
          <w:szCs w:val="22"/>
          <w:lang w:val="sk-SK"/>
        </w:rPr>
      </w:pPr>
    </w:p>
    <w:p w14:paraId="0A672E79" w14:textId="77777777" w:rsidR="002D70F1" w:rsidRPr="009D3DED" w:rsidRDefault="002D70F1" w:rsidP="00A65E8F">
      <w:pPr>
        <w:rPr>
          <w:szCs w:val="22"/>
          <w:u w:val="single"/>
          <w:lang w:val="sk-SK"/>
        </w:rPr>
      </w:pPr>
      <w:r w:rsidRPr="009D3DED">
        <w:rPr>
          <w:szCs w:val="22"/>
          <w:u w:val="single"/>
          <w:lang w:val="sk-SK"/>
        </w:rPr>
        <w:t>Obal tablety:</w:t>
      </w:r>
    </w:p>
    <w:p w14:paraId="336E95A0" w14:textId="77777777" w:rsidR="002D70F1" w:rsidRPr="009D3DED" w:rsidRDefault="002D70F1" w:rsidP="00A65E8F">
      <w:pPr>
        <w:rPr>
          <w:szCs w:val="22"/>
          <w:lang w:val="sk-SK"/>
        </w:rPr>
      </w:pPr>
      <w:proofErr w:type="spellStart"/>
      <w:r w:rsidRPr="009D3DED">
        <w:rPr>
          <w:szCs w:val="22"/>
          <w:lang w:val="sk-SK"/>
        </w:rPr>
        <w:t>Hydroxypropylmetylcelulóza</w:t>
      </w:r>
      <w:proofErr w:type="spellEnd"/>
    </w:p>
    <w:p w14:paraId="346EE169" w14:textId="77777777" w:rsidR="002D70F1" w:rsidRPr="009D3DED" w:rsidRDefault="002D70F1" w:rsidP="00A65E8F">
      <w:pPr>
        <w:rPr>
          <w:szCs w:val="22"/>
          <w:lang w:val="sk-SK"/>
        </w:rPr>
      </w:pPr>
      <w:proofErr w:type="spellStart"/>
      <w:r w:rsidRPr="009D3DED">
        <w:rPr>
          <w:szCs w:val="22"/>
          <w:lang w:val="sk-SK"/>
        </w:rPr>
        <w:t>Hydroxypropylcelulóza</w:t>
      </w:r>
      <w:proofErr w:type="spellEnd"/>
    </w:p>
    <w:p w14:paraId="1CCA3B29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Makrogol 6000</w:t>
      </w:r>
    </w:p>
    <w:p w14:paraId="154C4859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Mastenec</w:t>
      </w:r>
    </w:p>
    <w:p w14:paraId="2A803781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Oxid titaničitý (E171)</w:t>
      </w:r>
    </w:p>
    <w:p w14:paraId="4A99EB17" w14:textId="77777777" w:rsidR="002D70F1" w:rsidRPr="009D3DED" w:rsidRDefault="002D70F1" w:rsidP="00A65E8F">
      <w:pPr>
        <w:ind w:right="-2"/>
        <w:rPr>
          <w:szCs w:val="22"/>
          <w:lang w:val="sk-SK"/>
        </w:rPr>
      </w:pPr>
    </w:p>
    <w:p w14:paraId="0DDCBC0F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b/>
          <w:bCs/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Ako vyzerá </w:t>
      </w:r>
      <w:proofErr w:type="spellStart"/>
      <w:r w:rsidRPr="009D3DED">
        <w:rPr>
          <w:b/>
          <w:szCs w:val="22"/>
          <w:lang w:val="sk-SK"/>
        </w:rPr>
        <w:t>Ibalgin</w:t>
      </w:r>
      <w:proofErr w:type="spellEnd"/>
      <w:r w:rsidRPr="009D3DED">
        <w:rPr>
          <w:b/>
          <w:szCs w:val="22"/>
          <w:lang w:val="sk-SK"/>
        </w:rPr>
        <w:t xml:space="preserve"> Plus a obsah balenia</w:t>
      </w:r>
    </w:p>
    <w:p w14:paraId="682731BC" w14:textId="77777777" w:rsidR="002D70F1" w:rsidRPr="009D3DED" w:rsidRDefault="002D70F1" w:rsidP="00A65E8F">
      <w:pPr>
        <w:ind w:left="567" w:hanging="567"/>
        <w:rPr>
          <w:szCs w:val="22"/>
          <w:lang w:val="sk-SK"/>
        </w:rPr>
      </w:pPr>
    </w:p>
    <w:p w14:paraId="42ABF288" w14:textId="0F72BD0A" w:rsidR="002D70F1" w:rsidRPr="009D3DED" w:rsidRDefault="002D70F1" w:rsidP="00A65E8F">
      <w:pPr>
        <w:ind w:right="-2"/>
        <w:rPr>
          <w:szCs w:val="22"/>
          <w:lang w:val="sk-SK"/>
        </w:rPr>
      </w:pP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</w:t>
      </w:r>
      <w:r w:rsidRPr="009D3DED">
        <w:rPr>
          <w:b/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sú biele</w:t>
      </w:r>
      <w:r w:rsidR="008223B7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podlhovasté</w:t>
      </w:r>
      <w:r w:rsidR="008223B7">
        <w:rPr>
          <w:szCs w:val="22"/>
          <w:lang w:val="sk-SK"/>
        </w:rPr>
        <w:t>,</w:t>
      </w:r>
      <w:r w:rsidRPr="009D3DED">
        <w:rPr>
          <w:szCs w:val="22"/>
          <w:lang w:val="sk-SK"/>
        </w:rPr>
        <w:t xml:space="preserve"> filmom obalené tablety s veľkosťou 17,8 mm </w:t>
      </w:r>
      <w:r w:rsidRPr="004D26B7">
        <w:rPr>
          <w:szCs w:val="22"/>
          <w:lang w:val="sk-SK"/>
        </w:rPr>
        <w:t>×</w:t>
      </w:r>
      <w:r w:rsidRPr="009D3DED">
        <w:rPr>
          <w:szCs w:val="22"/>
          <w:lang w:val="sk-SK"/>
        </w:rPr>
        <w:t xml:space="preserve"> 8,6 mm.</w:t>
      </w:r>
    </w:p>
    <w:p w14:paraId="59842133" w14:textId="77777777" w:rsidR="002D70F1" w:rsidRPr="009D3DED" w:rsidRDefault="002D70F1" w:rsidP="00A65E8F">
      <w:pPr>
        <w:ind w:left="567" w:hanging="567"/>
        <w:rPr>
          <w:szCs w:val="22"/>
          <w:highlight w:val="yellow"/>
          <w:lang w:val="sk-SK"/>
        </w:rPr>
      </w:pPr>
    </w:p>
    <w:p w14:paraId="3CFA7A8B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b/>
          <w:szCs w:val="22"/>
          <w:lang w:val="sk-SK"/>
        </w:rPr>
        <w:t xml:space="preserve"> </w:t>
      </w:r>
      <w:proofErr w:type="spellStart"/>
      <w:r w:rsidRPr="009D3DED">
        <w:rPr>
          <w:bCs/>
          <w:szCs w:val="22"/>
          <w:lang w:val="sk-SK"/>
        </w:rPr>
        <w:t>Ibalgin</w:t>
      </w:r>
      <w:proofErr w:type="spellEnd"/>
      <w:r w:rsidRPr="009D3DED">
        <w:rPr>
          <w:bCs/>
          <w:szCs w:val="22"/>
          <w:lang w:val="sk-SK"/>
        </w:rPr>
        <w:t xml:space="preserve"> Plus</w:t>
      </w:r>
      <w:r w:rsidRPr="009D3DED">
        <w:rPr>
          <w:b/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je dostupný v </w:t>
      </w:r>
      <w:proofErr w:type="spellStart"/>
      <w:r w:rsidRPr="009D3DED">
        <w:rPr>
          <w:szCs w:val="22"/>
          <w:lang w:val="sk-SK"/>
        </w:rPr>
        <w:t>blistroch</w:t>
      </w:r>
      <w:proofErr w:type="spellEnd"/>
      <w:r w:rsidRPr="009D3DED">
        <w:rPr>
          <w:szCs w:val="22"/>
          <w:lang w:val="sk-SK"/>
        </w:rPr>
        <w:t>.</w:t>
      </w:r>
      <w:r w:rsidRPr="009D3DED">
        <w:rPr>
          <w:szCs w:val="22"/>
          <w:lang w:val="sk-SK"/>
        </w:rPr>
        <w:br/>
      </w:r>
    </w:p>
    <w:p w14:paraId="703BF83E" w14:textId="77777777" w:rsidR="002D70F1" w:rsidRPr="00B67F55" w:rsidRDefault="002D70F1" w:rsidP="00A65E8F">
      <w:pPr>
        <w:rPr>
          <w:szCs w:val="22"/>
          <w:lang w:val="sk-SK"/>
        </w:rPr>
      </w:pPr>
      <w:r w:rsidRPr="00B67F55">
        <w:rPr>
          <w:szCs w:val="22"/>
          <w:lang w:val="sk-SK"/>
        </w:rPr>
        <w:t>Balenie obsahuje  6, 10, 12, 15, 18, 20 a 24 filmom obalených tabliet.</w:t>
      </w:r>
    </w:p>
    <w:p w14:paraId="29A5A25B" w14:textId="77777777" w:rsidR="002D70F1" w:rsidRPr="009D3DED" w:rsidRDefault="002D70F1" w:rsidP="00A65E8F">
      <w:pPr>
        <w:rPr>
          <w:szCs w:val="22"/>
          <w:lang w:val="sk-SK"/>
        </w:rPr>
      </w:pPr>
    </w:p>
    <w:p w14:paraId="5252571F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lang w:val="sk-SK"/>
        </w:rPr>
        <w:t>Na trh nemusia byť uvedené</w:t>
      </w:r>
      <w:r w:rsidRPr="009D3DED">
        <w:rPr>
          <w:noProof/>
          <w:szCs w:val="22"/>
          <w:lang w:val="sk-SK"/>
        </w:rPr>
        <w:t xml:space="preserve"> </w:t>
      </w:r>
      <w:r w:rsidRPr="009D3DED">
        <w:rPr>
          <w:szCs w:val="22"/>
          <w:lang w:val="sk-SK"/>
        </w:rPr>
        <w:t>všetky veľkosti balenia.</w:t>
      </w:r>
    </w:p>
    <w:p w14:paraId="3BE526D7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u w:val="single"/>
          <w:lang w:val="sk-SK"/>
        </w:rPr>
      </w:pPr>
    </w:p>
    <w:p w14:paraId="610FD321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b/>
          <w:bCs/>
          <w:szCs w:val="22"/>
          <w:lang w:val="sk-SK"/>
        </w:rPr>
      </w:pPr>
      <w:r w:rsidRPr="009D3DED">
        <w:rPr>
          <w:b/>
          <w:szCs w:val="22"/>
          <w:lang w:val="sk-SK"/>
        </w:rPr>
        <w:t>Držiteľ rozhodnutia o registrácii</w:t>
      </w:r>
    </w:p>
    <w:p w14:paraId="37238EB4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A265093" w14:textId="77777777" w:rsidR="002D70F1" w:rsidRPr="009D3DED" w:rsidRDefault="002D70F1" w:rsidP="00A65E8F">
      <w:pPr>
        <w:rPr>
          <w:szCs w:val="22"/>
          <w:lang w:val="sk-SK"/>
        </w:rPr>
      </w:pPr>
      <w:proofErr w:type="spellStart"/>
      <w:r w:rsidRPr="009D3DED">
        <w:rPr>
          <w:szCs w:val="22"/>
          <w:lang w:val="sk-SK"/>
        </w:rPr>
        <w:t>sanofi-aventis</w:t>
      </w:r>
      <w:proofErr w:type="spellEnd"/>
      <w:r w:rsidRPr="009D3DED">
        <w:rPr>
          <w:szCs w:val="22"/>
          <w:lang w:val="sk-SK"/>
        </w:rPr>
        <w:t xml:space="preserve"> Slovakia s.r.o.</w:t>
      </w:r>
    </w:p>
    <w:p w14:paraId="5AEE18A7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Einsteinova 24 </w:t>
      </w:r>
    </w:p>
    <w:p w14:paraId="7B34A52B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85101 Bratislava </w:t>
      </w:r>
    </w:p>
    <w:p w14:paraId="2DB14F0B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Slovenská republika</w:t>
      </w:r>
    </w:p>
    <w:p w14:paraId="06322C8C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4DE39847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b/>
          <w:bCs/>
          <w:szCs w:val="22"/>
          <w:lang w:val="sk-SK"/>
        </w:rPr>
      </w:pPr>
      <w:r w:rsidRPr="009D3DED">
        <w:rPr>
          <w:b/>
          <w:bCs/>
          <w:szCs w:val="22"/>
          <w:lang w:val="sk-SK"/>
        </w:rPr>
        <w:t>Výrobca</w:t>
      </w:r>
    </w:p>
    <w:p w14:paraId="2F55B615" w14:textId="77777777" w:rsidR="002D70F1" w:rsidRPr="009D3DED" w:rsidRDefault="00B67F55" w:rsidP="00A65E8F">
      <w:pPr>
        <w:spacing w:before="120"/>
        <w:rPr>
          <w:b/>
          <w:bCs/>
          <w:szCs w:val="22"/>
          <w:lang w:val="sk-SK"/>
        </w:rPr>
      </w:pPr>
      <w:proofErr w:type="spellStart"/>
      <w:r w:rsidRPr="00FA775F">
        <w:rPr>
          <w:szCs w:val="22"/>
        </w:rPr>
        <w:t>Delpharm</w:t>
      </w:r>
      <w:proofErr w:type="spellEnd"/>
      <w:r w:rsidRPr="00FA775F">
        <w:rPr>
          <w:szCs w:val="22"/>
        </w:rPr>
        <w:t xml:space="preserve"> Reims,</w:t>
      </w:r>
      <w:r w:rsidRPr="00FA775F">
        <w:t xml:space="preserve"> </w:t>
      </w:r>
      <w:r w:rsidRPr="00FA775F">
        <w:rPr>
          <w:szCs w:val="22"/>
        </w:rPr>
        <w:t xml:space="preserve">10 rue du Colonel </w:t>
      </w:r>
      <w:proofErr w:type="spellStart"/>
      <w:r w:rsidRPr="00FA775F">
        <w:rPr>
          <w:szCs w:val="22"/>
        </w:rPr>
        <w:t>Charbonneaux</w:t>
      </w:r>
      <w:proofErr w:type="spellEnd"/>
      <w:r w:rsidRPr="00FA775F">
        <w:rPr>
          <w:szCs w:val="22"/>
        </w:rPr>
        <w:t xml:space="preserve">, 51100 Reims, </w:t>
      </w:r>
      <w:proofErr w:type="spellStart"/>
      <w:r w:rsidRPr="00FA775F">
        <w:rPr>
          <w:szCs w:val="22"/>
        </w:rPr>
        <w:t>Fran</w:t>
      </w:r>
      <w:r>
        <w:rPr>
          <w:szCs w:val="22"/>
        </w:rPr>
        <w:t>cúzsko</w:t>
      </w:r>
      <w:proofErr w:type="spellEnd"/>
    </w:p>
    <w:p w14:paraId="063718C0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0ABD3E6B" w14:textId="77777777" w:rsidR="002D70F1" w:rsidRPr="009D3DED" w:rsidRDefault="002D70F1" w:rsidP="00A65E8F">
      <w:pPr>
        <w:rPr>
          <w:b/>
          <w:szCs w:val="22"/>
          <w:lang w:val="sk-SK"/>
        </w:rPr>
      </w:pPr>
      <w:r w:rsidRPr="009D3DED">
        <w:rPr>
          <w:b/>
          <w:bCs/>
          <w:szCs w:val="22"/>
          <w:lang w:val="sk-SK"/>
        </w:rPr>
        <w:t>Liek je schválený v členských štátoch Európskeho hospodárskeho priestoru (EHP) pod nasledovnými názvami</w:t>
      </w:r>
      <w:r w:rsidRPr="009D3DED">
        <w:rPr>
          <w:b/>
          <w:szCs w:val="22"/>
          <w:lang w:val="sk-SK"/>
        </w:rPr>
        <w:t>:</w:t>
      </w:r>
    </w:p>
    <w:p w14:paraId="191038FC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E66D22C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Nemecko: </w:t>
      </w:r>
      <w:proofErr w:type="spellStart"/>
      <w:r w:rsidRPr="009D3DED">
        <w:rPr>
          <w:szCs w:val="22"/>
          <w:lang w:val="sk-SK"/>
        </w:rPr>
        <w:t>Ibuprof</w:t>
      </w:r>
      <w:r>
        <w:rPr>
          <w:szCs w:val="22"/>
          <w:lang w:val="sk-SK"/>
        </w:rPr>
        <w:t>e</w:t>
      </w:r>
      <w:r w:rsidRPr="009D3DED">
        <w:rPr>
          <w:szCs w:val="22"/>
          <w:lang w:val="sk-SK"/>
        </w:rPr>
        <w:t>n</w:t>
      </w:r>
      <w:proofErr w:type="spellEnd"/>
      <w:r w:rsidRPr="009D3DED">
        <w:rPr>
          <w:szCs w:val="22"/>
          <w:lang w:val="sk-SK"/>
        </w:rPr>
        <w:t>/</w:t>
      </w:r>
      <w:proofErr w:type="spellStart"/>
      <w:r w:rsidRPr="009D3DED">
        <w:rPr>
          <w:szCs w:val="22"/>
          <w:lang w:val="sk-SK"/>
        </w:rPr>
        <w:t>Coffein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Sanofi</w:t>
      </w:r>
      <w:proofErr w:type="spellEnd"/>
    </w:p>
    <w:p w14:paraId="6999A56B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Bulharsko: </w:t>
      </w:r>
      <w:proofErr w:type="spellStart"/>
      <w:r w:rsidRPr="009D3DED">
        <w:rPr>
          <w:szCs w:val="22"/>
          <w:lang w:val="sk-SK"/>
        </w:rPr>
        <w:t>Ношпалгин</w:t>
      </w:r>
      <w:proofErr w:type="spellEnd"/>
      <w:r w:rsidRPr="009D3DED">
        <w:rPr>
          <w:szCs w:val="22"/>
          <w:lang w:val="sk-SK"/>
        </w:rPr>
        <w:t xml:space="preserve"> 400 mg/100 mg </w:t>
      </w:r>
      <w:proofErr w:type="spellStart"/>
      <w:r w:rsidRPr="009D3DED">
        <w:rPr>
          <w:szCs w:val="22"/>
          <w:lang w:val="sk-SK"/>
        </w:rPr>
        <w:t>филмирани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таблетки</w:t>
      </w:r>
      <w:proofErr w:type="spellEnd"/>
    </w:p>
    <w:p w14:paraId="466BE5FE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Česká republika: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</w:t>
      </w:r>
      <w:r>
        <w:rPr>
          <w:szCs w:val="22"/>
          <w:lang w:val="sk-SK"/>
        </w:rPr>
        <w:t>lus</w:t>
      </w:r>
    </w:p>
    <w:p w14:paraId="34631F3C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Španielsko: </w:t>
      </w:r>
      <w:proofErr w:type="spellStart"/>
      <w:r w:rsidRPr="009D3DED">
        <w:rPr>
          <w:szCs w:val="22"/>
          <w:lang w:val="sk-SK"/>
        </w:rPr>
        <w:t>Dolalgial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Ibuproféno</w:t>
      </w:r>
      <w:proofErr w:type="spellEnd"/>
      <w:r w:rsidRPr="009D3DED">
        <w:rPr>
          <w:szCs w:val="22"/>
          <w:lang w:val="sk-SK"/>
        </w:rPr>
        <w:t xml:space="preserve"> 400mg + </w:t>
      </w:r>
      <w:proofErr w:type="spellStart"/>
      <w:r w:rsidRPr="009D3DED">
        <w:rPr>
          <w:szCs w:val="22"/>
          <w:lang w:val="sk-SK"/>
        </w:rPr>
        <w:t>Cafeina</w:t>
      </w:r>
      <w:proofErr w:type="spellEnd"/>
      <w:r w:rsidRPr="009D3DED">
        <w:rPr>
          <w:szCs w:val="22"/>
          <w:lang w:val="sk-SK"/>
        </w:rPr>
        <w:t xml:space="preserve"> 100mg </w:t>
      </w:r>
      <w:proofErr w:type="spellStart"/>
      <w:r w:rsidRPr="009D3DED">
        <w:rPr>
          <w:szCs w:val="22"/>
          <w:lang w:val="sk-SK"/>
        </w:rPr>
        <w:t>comprimidos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recubiertos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con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película</w:t>
      </w:r>
      <w:proofErr w:type="spellEnd"/>
    </w:p>
    <w:p w14:paraId="59B21218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Maďarsko: </w:t>
      </w:r>
      <w:proofErr w:type="spellStart"/>
      <w:r w:rsidRPr="009D3DED">
        <w:rPr>
          <w:szCs w:val="22"/>
          <w:lang w:val="sk-SK"/>
        </w:rPr>
        <w:t>Algoflex</w:t>
      </w:r>
      <w:proofErr w:type="spellEnd"/>
      <w:r w:rsidRPr="009D3DED">
        <w:rPr>
          <w:szCs w:val="22"/>
          <w:lang w:val="sk-SK"/>
        </w:rPr>
        <w:t xml:space="preserve"> Duo 400 mg/100 mg film </w:t>
      </w:r>
      <w:proofErr w:type="spellStart"/>
      <w:r w:rsidRPr="009D3DED">
        <w:rPr>
          <w:szCs w:val="22"/>
          <w:lang w:val="sk-SK"/>
        </w:rPr>
        <w:t>tabletta</w:t>
      </w:r>
      <w:proofErr w:type="spellEnd"/>
    </w:p>
    <w:p w14:paraId="1F6CFFA2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>Taliansko: BUSCOFENDUO</w:t>
      </w:r>
    </w:p>
    <w:p w14:paraId="3397A652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Poľsko: </w:t>
      </w:r>
      <w:proofErr w:type="spellStart"/>
      <w:r w:rsidRPr="009D3DED">
        <w:rPr>
          <w:szCs w:val="22"/>
          <w:lang w:val="sk-SK"/>
        </w:rPr>
        <w:t>NoSpafen</w:t>
      </w:r>
      <w:proofErr w:type="spellEnd"/>
    </w:p>
    <w:p w14:paraId="5BD461AB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Portugalsko: </w:t>
      </w:r>
      <w:proofErr w:type="spellStart"/>
      <w:r w:rsidRPr="009D3DED">
        <w:rPr>
          <w:szCs w:val="22"/>
          <w:lang w:val="sk-SK"/>
        </w:rPr>
        <w:t>Aspegic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Caff</w:t>
      </w:r>
      <w:proofErr w:type="spellEnd"/>
    </w:p>
    <w:p w14:paraId="7DB3BAB4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Rumunsko: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DUO 400 mg/100 mg </w:t>
      </w:r>
      <w:proofErr w:type="spellStart"/>
      <w:r w:rsidRPr="009D3DED">
        <w:rPr>
          <w:szCs w:val="22"/>
          <w:lang w:val="sk-SK"/>
        </w:rPr>
        <w:t>comprimate</w:t>
      </w:r>
      <w:proofErr w:type="spellEnd"/>
      <w:r w:rsidRPr="009D3DED">
        <w:rPr>
          <w:szCs w:val="22"/>
          <w:lang w:val="sk-SK"/>
        </w:rPr>
        <w:t xml:space="preserve"> </w:t>
      </w:r>
      <w:proofErr w:type="spellStart"/>
      <w:r w:rsidRPr="009D3DED">
        <w:rPr>
          <w:szCs w:val="22"/>
          <w:lang w:val="sk-SK"/>
        </w:rPr>
        <w:t>filmate</w:t>
      </w:r>
      <w:proofErr w:type="spellEnd"/>
    </w:p>
    <w:p w14:paraId="730E8692" w14:textId="77777777" w:rsidR="002D70F1" w:rsidRPr="009D3DED" w:rsidRDefault="002D70F1" w:rsidP="00A65E8F">
      <w:pPr>
        <w:rPr>
          <w:szCs w:val="22"/>
          <w:lang w:val="sk-SK"/>
        </w:rPr>
      </w:pPr>
      <w:r w:rsidRPr="009D3DED">
        <w:rPr>
          <w:szCs w:val="22"/>
          <w:lang w:val="sk-SK"/>
        </w:rPr>
        <w:t xml:space="preserve">Slovensko: </w:t>
      </w:r>
      <w:proofErr w:type="spellStart"/>
      <w:r w:rsidRPr="009D3DED">
        <w:rPr>
          <w:szCs w:val="22"/>
          <w:lang w:val="sk-SK"/>
        </w:rPr>
        <w:t>Ibalgin</w:t>
      </w:r>
      <w:proofErr w:type="spellEnd"/>
      <w:r w:rsidRPr="009D3DED">
        <w:rPr>
          <w:szCs w:val="22"/>
          <w:lang w:val="sk-SK"/>
        </w:rPr>
        <w:t xml:space="preserve"> Plus </w:t>
      </w:r>
    </w:p>
    <w:p w14:paraId="0F4D808F" w14:textId="77777777" w:rsidR="002D70F1" w:rsidRPr="009D3DED" w:rsidRDefault="002D70F1" w:rsidP="00A65E8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43D697DB" w14:textId="4DB5287C" w:rsidR="002D70F1" w:rsidRPr="009D3DED" w:rsidRDefault="002D70F1" w:rsidP="00A65E8F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9D3DED">
        <w:rPr>
          <w:b/>
          <w:szCs w:val="22"/>
          <w:lang w:val="sk-SK"/>
        </w:rPr>
        <w:t>Táto písomná informácia bola naposledy aktualizovaná v</w:t>
      </w:r>
      <w:r w:rsidR="000B5CCB">
        <w:rPr>
          <w:b/>
          <w:szCs w:val="22"/>
          <w:lang w:val="sk-SK"/>
        </w:rPr>
        <w:t xml:space="preserve"> </w:t>
      </w:r>
      <w:r w:rsidR="008234A8">
        <w:rPr>
          <w:b/>
          <w:szCs w:val="22"/>
          <w:lang w:val="sk-SK"/>
        </w:rPr>
        <w:t>07</w:t>
      </w:r>
      <w:r w:rsidR="008223B7">
        <w:rPr>
          <w:b/>
          <w:szCs w:val="22"/>
          <w:lang w:val="sk-SK"/>
        </w:rPr>
        <w:t>/2020.</w:t>
      </w:r>
    </w:p>
    <w:p w14:paraId="1A8C79F6" w14:textId="77777777" w:rsidR="008258FA" w:rsidRDefault="008258FA" w:rsidP="00A65E8F"/>
    <w:sectPr w:rsidR="008258FA" w:rsidSect="00B4672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6549" w14:textId="77777777" w:rsidR="009E300A" w:rsidRDefault="009E300A">
      <w:pPr>
        <w:spacing w:line="240" w:lineRule="auto"/>
      </w:pPr>
      <w:r>
        <w:separator/>
      </w:r>
    </w:p>
  </w:endnote>
  <w:endnote w:type="continuationSeparator" w:id="0">
    <w:p w14:paraId="3AB121A2" w14:textId="77777777" w:rsidR="009E300A" w:rsidRDefault="009E3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97498" w14:textId="77777777" w:rsidR="00966564" w:rsidRPr="000C1913" w:rsidRDefault="00966564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970347">
      <w:rPr>
        <w:rStyle w:val="slostrany"/>
        <w:rFonts w:ascii="Arial" w:hAnsi="Arial" w:cs="Arial"/>
        <w:noProof/>
      </w:rPr>
      <w:t>9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D2F1B" w14:textId="77777777" w:rsidR="00966564" w:rsidRPr="000C1913" w:rsidRDefault="00966564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970347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B32C3" w14:textId="77777777" w:rsidR="009E300A" w:rsidRDefault="009E300A">
      <w:pPr>
        <w:spacing w:line="240" w:lineRule="auto"/>
      </w:pPr>
      <w:r>
        <w:separator/>
      </w:r>
    </w:p>
  </w:footnote>
  <w:footnote w:type="continuationSeparator" w:id="0">
    <w:p w14:paraId="34B52A29" w14:textId="77777777" w:rsidR="009E300A" w:rsidRDefault="009E3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DC7B" w14:textId="6CECCD57" w:rsidR="00966564" w:rsidRPr="00966564" w:rsidRDefault="00966564" w:rsidP="008E508C">
    <w:pPr>
      <w:rPr>
        <w:sz w:val="18"/>
        <w:szCs w:val="18"/>
        <w:lang w:val="sk-SK"/>
      </w:rPr>
    </w:pPr>
    <w:r w:rsidRPr="00966564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Pr="00966564">
      <w:rPr>
        <w:sz w:val="18"/>
        <w:szCs w:val="18"/>
        <w:lang w:val="sk-SK"/>
      </w:rPr>
      <w:t>č.</w:t>
    </w:r>
    <w:r w:rsidRPr="00966564">
      <w:rPr>
        <w:sz w:val="18"/>
        <w:szCs w:val="18"/>
      </w:rPr>
      <w:t xml:space="preserve"> 2018/01980-REG</w:t>
    </w:r>
  </w:p>
  <w:p w14:paraId="08E723AB" w14:textId="77777777" w:rsidR="00966564" w:rsidRDefault="00966564" w:rsidP="008E508C">
    <w:pPr>
      <w:rPr>
        <w:szCs w:val="22"/>
        <w:lang w:val="sk-SK"/>
      </w:rPr>
    </w:pPr>
  </w:p>
  <w:p w14:paraId="26500774" w14:textId="77777777" w:rsidR="00966564" w:rsidRDefault="0096656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E629" w14:textId="77777777" w:rsidR="00176CED" w:rsidRPr="00966564" w:rsidRDefault="00176CED" w:rsidP="00176CED">
    <w:pPr>
      <w:rPr>
        <w:sz w:val="18"/>
        <w:szCs w:val="18"/>
        <w:lang w:val="sk-SK"/>
      </w:rPr>
    </w:pPr>
    <w:r w:rsidRPr="00966564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Pr="00966564">
      <w:rPr>
        <w:sz w:val="18"/>
        <w:szCs w:val="18"/>
        <w:lang w:val="sk-SK"/>
      </w:rPr>
      <w:t>č.</w:t>
    </w:r>
    <w:r w:rsidRPr="00966564">
      <w:rPr>
        <w:sz w:val="18"/>
        <w:szCs w:val="18"/>
      </w:rPr>
      <w:t xml:space="preserve"> 2018/01980-REG</w:t>
    </w:r>
  </w:p>
  <w:p w14:paraId="5EFDFAE4" w14:textId="77777777" w:rsidR="00176CED" w:rsidRDefault="00176C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01800"/>
    <w:multiLevelType w:val="hybridMultilevel"/>
    <w:tmpl w:val="F6281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3C7"/>
    <w:multiLevelType w:val="hybridMultilevel"/>
    <w:tmpl w:val="6C72C4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74B"/>
    <w:multiLevelType w:val="hybridMultilevel"/>
    <w:tmpl w:val="D21628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C98"/>
    <w:multiLevelType w:val="hybridMultilevel"/>
    <w:tmpl w:val="40265852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13559"/>
    <w:multiLevelType w:val="hybridMultilevel"/>
    <w:tmpl w:val="9792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065776B"/>
    <w:multiLevelType w:val="hybridMultilevel"/>
    <w:tmpl w:val="11F423F6"/>
    <w:lvl w:ilvl="0" w:tplc="0F70B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22DF"/>
    <w:multiLevelType w:val="hybridMultilevel"/>
    <w:tmpl w:val="E8BE5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1C1E8A"/>
    <w:multiLevelType w:val="hybridMultilevel"/>
    <w:tmpl w:val="813C4E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1CB549B"/>
    <w:multiLevelType w:val="hybridMultilevel"/>
    <w:tmpl w:val="E81ABC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5238BE"/>
    <w:multiLevelType w:val="hybridMultilevel"/>
    <w:tmpl w:val="412A65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53AA"/>
    <w:multiLevelType w:val="hybridMultilevel"/>
    <w:tmpl w:val="E658404E"/>
    <w:lvl w:ilvl="0" w:tplc="0F70B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C0F5D"/>
    <w:multiLevelType w:val="hybridMultilevel"/>
    <w:tmpl w:val="57BC20E0"/>
    <w:lvl w:ilvl="0" w:tplc="9F4817B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F1392"/>
    <w:multiLevelType w:val="hybridMultilevel"/>
    <w:tmpl w:val="D66A57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575"/>
    <w:multiLevelType w:val="hybridMultilevel"/>
    <w:tmpl w:val="D09A2374"/>
    <w:lvl w:ilvl="0" w:tplc="1654F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9071B"/>
    <w:multiLevelType w:val="hybridMultilevel"/>
    <w:tmpl w:val="B4964B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05E4A0C"/>
    <w:multiLevelType w:val="hybridMultilevel"/>
    <w:tmpl w:val="D11CCD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FE33812"/>
    <w:multiLevelType w:val="hybridMultilevel"/>
    <w:tmpl w:val="5C9055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1"/>
  </w:num>
  <w:num w:numId="3">
    <w:abstractNumId w:val="22"/>
  </w:num>
  <w:num w:numId="4">
    <w:abstractNumId w:val="11"/>
  </w:num>
  <w:num w:numId="5">
    <w:abstractNumId w:val="19"/>
  </w:num>
  <w:num w:numId="6">
    <w:abstractNumId w:val="9"/>
  </w:num>
  <w:num w:numId="7">
    <w:abstractNumId w:val="6"/>
  </w:num>
  <w:num w:numId="8">
    <w:abstractNumId w:val="17"/>
  </w:num>
  <w:num w:numId="9">
    <w:abstractNumId w:val="7"/>
  </w:num>
  <w:num w:numId="10">
    <w:abstractNumId w:val="14"/>
  </w:num>
  <w:num w:numId="11">
    <w:abstractNumId w:val="13"/>
  </w:num>
  <w:num w:numId="12">
    <w:abstractNumId w:val="10"/>
  </w:num>
  <w:num w:numId="13">
    <w:abstractNumId w:val="1"/>
  </w:num>
  <w:num w:numId="14">
    <w:abstractNumId w:val="15"/>
  </w:num>
  <w:num w:numId="15">
    <w:abstractNumId w:val="2"/>
  </w:num>
  <w:num w:numId="16">
    <w:abstractNumId w:val="20"/>
  </w:num>
  <w:num w:numId="17">
    <w:abstractNumId w:val="23"/>
  </w:num>
  <w:num w:numId="18">
    <w:abstractNumId w:val="12"/>
  </w:num>
  <w:num w:numId="19">
    <w:abstractNumId w:val="4"/>
  </w:num>
  <w:num w:numId="20">
    <w:abstractNumId w:val="5"/>
  </w:num>
  <w:num w:numId="21">
    <w:abstractNumId w:val="16"/>
  </w:num>
  <w:num w:numId="22">
    <w:abstractNumId w:val="3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F1"/>
    <w:rsid w:val="000176C1"/>
    <w:rsid w:val="000176EC"/>
    <w:rsid w:val="0007018B"/>
    <w:rsid w:val="000B5CCB"/>
    <w:rsid w:val="001735B5"/>
    <w:rsid w:val="00176CED"/>
    <w:rsid w:val="001D22CF"/>
    <w:rsid w:val="001E3C79"/>
    <w:rsid w:val="001F4A0E"/>
    <w:rsid w:val="001F6688"/>
    <w:rsid w:val="00246547"/>
    <w:rsid w:val="00246AA2"/>
    <w:rsid w:val="00265336"/>
    <w:rsid w:val="00270F0C"/>
    <w:rsid w:val="0029729B"/>
    <w:rsid w:val="002A7AA5"/>
    <w:rsid w:val="002C1DFF"/>
    <w:rsid w:val="002D3791"/>
    <w:rsid w:val="002D6BD9"/>
    <w:rsid w:val="002D70F1"/>
    <w:rsid w:val="002F78DA"/>
    <w:rsid w:val="003167FE"/>
    <w:rsid w:val="00330508"/>
    <w:rsid w:val="0037201A"/>
    <w:rsid w:val="003C6C03"/>
    <w:rsid w:val="003E49FE"/>
    <w:rsid w:val="003E6BE9"/>
    <w:rsid w:val="0041154C"/>
    <w:rsid w:val="00461E19"/>
    <w:rsid w:val="00463AD8"/>
    <w:rsid w:val="004B642A"/>
    <w:rsid w:val="0050695A"/>
    <w:rsid w:val="00516ABE"/>
    <w:rsid w:val="00534E50"/>
    <w:rsid w:val="00556039"/>
    <w:rsid w:val="00571F27"/>
    <w:rsid w:val="00576F8C"/>
    <w:rsid w:val="005A3B20"/>
    <w:rsid w:val="005D5DBA"/>
    <w:rsid w:val="00676595"/>
    <w:rsid w:val="006C0E14"/>
    <w:rsid w:val="006D1086"/>
    <w:rsid w:val="006E232E"/>
    <w:rsid w:val="006F6EC2"/>
    <w:rsid w:val="00704E52"/>
    <w:rsid w:val="00717E13"/>
    <w:rsid w:val="00731D33"/>
    <w:rsid w:val="00742D03"/>
    <w:rsid w:val="007505D2"/>
    <w:rsid w:val="007670E9"/>
    <w:rsid w:val="007B7050"/>
    <w:rsid w:val="007E7F1E"/>
    <w:rsid w:val="008152D0"/>
    <w:rsid w:val="008223B7"/>
    <w:rsid w:val="008234A8"/>
    <w:rsid w:val="008258FA"/>
    <w:rsid w:val="0082636A"/>
    <w:rsid w:val="00833C7C"/>
    <w:rsid w:val="00851124"/>
    <w:rsid w:val="00873643"/>
    <w:rsid w:val="00880E9E"/>
    <w:rsid w:val="008826DC"/>
    <w:rsid w:val="008C362F"/>
    <w:rsid w:val="008E508C"/>
    <w:rsid w:val="008F6DD4"/>
    <w:rsid w:val="0092477E"/>
    <w:rsid w:val="00926C05"/>
    <w:rsid w:val="009522C8"/>
    <w:rsid w:val="00963A29"/>
    <w:rsid w:val="00966564"/>
    <w:rsid w:val="00970347"/>
    <w:rsid w:val="009830AC"/>
    <w:rsid w:val="009E300A"/>
    <w:rsid w:val="00A32290"/>
    <w:rsid w:val="00A65E8F"/>
    <w:rsid w:val="00A740E8"/>
    <w:rsid w:val="00A760BE"/>
    <w:rsid w:val="00B03EFE"/>
    <w:rsid w:val="00B20B81"/>
    <w:rsid w:val="00B20FDA"/>
    <w:rsid w:val="00B4672A"/>
    <w:rsid w:val="00B67F55"/>
    <w:rsid w:val="00BC30E5"/>
    <w:rsid w:val="00BC5BBC"/>
    <w:rsid w:val="00BD2DB7"/>
    <w:rsid w:val="00BD6CA6"/>
    <w:rsid w:val="00C21EBA"/>
    <w:rsid w:val="00C507B7"/>
    <w:rsid w:val="00C55555"/>
    <w:rsid w:val="00CB079A"/>
    <w:rsid w:val="00CD5899"/>
    <w:rsid w:val="00D0542D"/>
    <w:rsid w:val="00D3367E"/>
    <w:rsid w:val="00D3439B"/>
    <w:rsid w:val="00D61C6E"/>
    <w:rsid w:val="00D656D9"/>
    <w:rsid w:val="00D86F20"/>
    <w:rsid w:val="00DB4619"/>
    <w:rsid w:val="00DE4F05"/>
    <w:rsid w:val="00E21316"/>
    <w:rsid w:val="00EE2CEC"/>
    <w:rsid w:val="00F165DD"/>
    <w:rsid w:val="00F934C6"/>
    <w:rsid w:val="00FC4D0B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8D3B"/>
  <w15:chartTrackingRefBased/>
  <w15:docId w15:val="{CCC63A6B-BAC5-4A14-9DD3-3E256A3F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70F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2D70F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2D70F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2D70F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2D70F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2D70F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2D70F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2D70F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2D70F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2D70F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D70F1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2D70F1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2D70F1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2D70F1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2D70F1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2D70F1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2D70F1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2D70F1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2D70F1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Hlavika">
    <w:name w:val="header"/>
    <w:basedOn w:val="Normlny"/>
    <w:link w:val="HlavikaChar"/>
    <w:rsid w:val="002D70F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2D70F1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rsid w:val="002D70F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2D70F1"/>
    <w:rPr>
      <w:rFonts w:ascii="Helvetica" w:eastAsia="Times New Roman" w:hAnsi="Helvetica" w:cs="Times New Roman"/>
      <w:sz w:val="16"/>
      <w:szCs w:val="20"/>
      <w:lang w:val="en-GB"/>
    </w:rPr>
  </w:style>
  <w:style w:type="character" w:styleId="slostrany">
    <w:name w:val="page number"/>
    <w:basedOn w:val="Predvolenpsmoodseku"/>
    <w:rsid w:val="002D70F1"/>
  </w:style>
  <w:style w:type="paragraph" w:styleId="Zarkazkladnhotextu">
    <w:name w:val="Body Text Indent"/>
    <w:basedOn w:val="Normlny"/>
    <w:link w:val="ZarkazkladnhotextuChar"/>
    <w:rsid w:val="002D70F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2D70F1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2D70F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rsid w:val="002D70F1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2D70F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D70F1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2D70F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2D70F1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2D70F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2D70F1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Odkaznakomentr">
    <w:name w:val="annotation reference"/>
    <w:semiHidden/>
    <w:rsid w:val="002D70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D70F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D70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2D70F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rsid w:val="002D70F1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rsid w:val="002D70F1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ypertextovprepojenie">
    <w:name w:val="Hyperlink"/>
    <w:rsid w:val="002D70F1"/>
    <w:rPr>
      <w:color w:val="0000FF"/>
      <w:u w:val="single"/>
    </w:rPr>
  </w:style>
  <w:style w:type="paragraph" w:customStyle="1" w:styleId="AHeader1">
    <w:name w:val="AHeader 1"/>
    <w:basedOn w:val="Normlny"/>
    <w:rsid w:val="002D70F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D70F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D70F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D70F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D70F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2D70F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D70F1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rsid w:val="002D70F1"/>
    <w:rPr>
      <w:color w:val="800080"/>
      <w:u w:val="single"/>
    </w:rPr>
  </w:style>
  <w:style w:type="paragraph" w:customStyle="1" w:styleId="Default">
    <w:name w:val="Default"/>
    <w:rsid w:val="002D7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2D70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2D70F1"/>
    <w:rPr>
      <w:rFonts w:ascii="Tahoma" w:eastAsia="Times New Roman" w:hAnsi="Tahoma" w:cs="Tahoma"/>
      <w:sz w:val="16"/>
      <w:szCs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D70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D70F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odytextAgency">
    <w:name w:val="Body text (Agency)"/>
    <w:basedOn w:val="Normlny"/>
    <w:link w:val="BodytextAgencyChar"/>
    <w:qFormat/>
    <w:rsid w:val="002D70F1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2D70F1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4thlevel">
    <w:name w:val="4th level"/>
    <w:basedOn w:val="Normlny"/>
    <w:next w:val="Normlny"/>
    <w:rsid w:val="002D70F1"/>
    <w:pPr>
      <w:keepNext/>
      <w:keepLines/>
      <w:tabs>
        <w:tab w:val="clear" w:pos="567"/>
        <w:tab w:val="left" w:pos="1134"/>
      </w:tabs>
      <w:spacing w:before="240" w:after="240" w:line="276" w:lineRule="auto"/>
      <w:ind w:left="1134" w:hanging="1134"/>
      <w:outlineLvl w:val="3"/>
    </w:pPr>
    <w:rPr>
      <w:color w:val="000000"/>
      <w:sz w:val="24"/>
      <w:szCs w:val="22"/>
      <w:lang w:val="en-US" w:eastAsia="de-DE"/>
    </w:rPr>
  </w:style>
  <w:style w:type="paragraph" w:styleId="Odsekzoznamu">
    <w:name w:val="List Paragraph"/>
    <w:aliases w:val="Bullets"/>
    <w:basedOn w:val="Normlny"/>
    <w:uiPriority w:val="34"/>
    <w:qFormat/>
    <w:rsid w:val="002D70F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color w:val="000000"/>
      <w:szCs w:val="22"/>
      <w:lang w:val="en-US"/>
    </w:rPr>
  </w:style>
  <w:style w:type="character" w:customStyle="1" w:styleId="systranseg">
    <w:name w:val="systran_seg"/>
    <w:rsid w:val="002D70F1"/>
  </w:style>
  <w:style w:type="character" w:customStyle="1" w:styleId="systrantokenword">
    <w:name w:val="systran_token_word"/>
    <w:rsid w:val="002D70F1"/>
  </w:style>
  <w:style w:type="character" w:customStyle="1" w:styleId="systrantokenpunctuation">
    <w:name w:val="systran_token_punctuation"/>
    <w:rsid w:val="002D70F1"/>
  </w:style>
  <w:style w:type="character" w:customStyle="1" w:styleId="systrantokensymbol">
    <w:name w:val="systran_token_symbol"/>
    <w:rsid w:val="002D70F1"/>
  </w:style>
  <w:style w:type="character" w:customStyle="1" w:styleId="apple-converted-space">
    <w:name w:val="apple-converted-space"/>
    <w:rsid w:val="002D70F1"/>
  </w:style>
  <w:style w:type="character" w:customStyle="1" w:styleId="systrantokennumeric">
    <w:name w:val="systran_token_numeric"/>
    <w:rsid w:val="002D70F1"/>
  </w:style>
  <w:style w:type="paragraph" w:customStyle="1" w:styleId="Fliesstext">
    <w:name w:val="Fliesstext"/>
    <w:basedOn w:val="Normlny"/>
    <w:uiPriority w:val="99"/>
    <w:rsid w:val="002D70F1"/>
    <w:pPr>
      <w:tabs>
        <w:tab w:val="clear" w:pos="567"/>
      </w:tabs>
      <w:spacing w:line="240" w:lineRule="auto"/>
    </w:pPr>
    <w:rPr>
      <w:rFonts w:eastAsia="Arial Unicode MS"/>
      <w:szCs w:val="22"/>
      <w:lang w:val="de-DE" w:eastAsia="de-DE" w:bidi="th-TH"/>
    </w:rPr>
  </w:style>
  <w:style w:type="paragraph" w:customStyle="1" w:styleId="CSTextinTable10pt">
    <w:name w:val="CS Text_in_Table:10pt"/>
    <w:basedOn w:val="Normlny"/>
    <w:uiPriority w:val="99"/>
    <w:rsid w:val="002D70F1"/>
    <w:pPr>
      <w:keepNext/>
      <w:keepLines/>
      <w:tabs>
        <w:tab w:val="clear" w:pos="567"/>
        <w:tab w:val="left" w:pos="144"/>
      </w:tabs>
      <w:spacing w:before="60" w:after="60" w:line="240" w:lineRule="auto"/>
    </w:pPr>
    <w:rPr>
      <w:sz w:val="20"/>
      <w:lang w:val="en-US" w:eastAsia="de-DE"/>
    </w:rPr>
  </w:style>
  <w:style w:type="table" w:styleId="Mriekatabuky">
    <w:name w:val="Table Grid"/>
    <w:basedOn w:val="Normlnatabuka"/>
    <w:rsid w:val="002D7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ReferenceFootnote">
    <w:name w:val="CS Reference Footnote"/>
    <w:basedOn w:val="Normlny"/>
    <w:link w:val="CSReferenceFootnoteChar"/>
    <w:rsid w:val="002D70F1"/>
    <w:pPr>
      <w:tabs>
        <w:tab w:val="clear" w:pos="567"/>
        <w:tab w:val="left" w:pos="454"/>
      </w:tabs>
      <w:spacing w:before="40" w:line="240" w:lineRule="auto"/>
      <w:ind w:left="454" w:hanging="454"/>
    </w:pPr>
    <w:rPr>
      <w:sz w:val="18"/>
      <w:szCs w:val="18"/>
      <w:lang w:val="en-US" w:eastAsia="de-DE"/>
    </w:rPr>
  </w:style>
  <w:style w:type="character" w:customStyle="1" w:styleId="CSReferenceFootnoteChar">
    <w:name w:val="CS Reference Footnote Char"/>
    <w:link w:val="CSReferenceFootnote"/>
    <w:rsid w:val="002D70F1"/>
    <w:rPr>
      <w:rFonts w:ascii="Times New Roman" w:eastAsia="Times New Roman" w:hAnsi="Times New Roman" w:cs="Times New Roman"/>
      <w:sz w:val="18"/>
      <w:szCs w:val="18"/>
      <w:lang w:val="en-US" w:eastAsia="de-DE"/>
    </w:rPr>
  </w:style>
  <w:style w:type="paragraph" w:customStyle="1" w:styleId="TextinTable10pt">
    <w:name w:val="Text_in_Table:10pt"/>
    <w:basedOn w:val="Normlny"/>
    <w:rsid w:val="002D70F1"/>
    <w:pPr>
      <w:keepNext/>
      <w:keepLines/>
      <w:tabs>
        <w:tab w:val="clear" w:pos="567"/>
        <w:tab w:val="left" w:pos="144"/>
      </w:tabs>
      <w:spacing w:before="60" w:after="60" w:line="240" w:lineRule="auto"/>
    </w:pPr>
    <w:rPr>
      <w:sz w:val="20"/>
      <w:lang w:val="en-US"/>
    </w:rPr>
  </w:style>
  <w:style w:type="paragraph" w:styleId="Revzia">
    <w:name w:val="Revision"/>
    <w:hidden/>
    <w:uiPriority w:val="99"/>
    <w:semiHidden/>
    <w:rsid w:val="002D70F1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Normlnysozarkami">
    <w:name w:val="Normal Indent"/>
    <w:basedOn w:val="Normlny"/>
    <w:rsid w:val="002D70F1"/>
    <w:pPr>
      <w:tabs>
        <w:tab w:val="clear" w:pos="567"/>
      </w:tabs>
      <w:spacing w:after="120" w:line="240" w:lineRule="auto"/>
      <w:ind w:left="720"/>
    </w:pPr>
    <w:rPr>
      <w:szCs w:val="22"/>
      <w:lang w:eastAsia="en-GB"/>
    </w:rPr>
  </w:style>
  <w:style w:type="paragraph" w:customStyle="1" w:styleId="knZulassung02">
    <w:name w:val="knZulassung02"/>
    <w:basedOn w:val="Normlny"/>
    <w:rsid w:val="002D70F1"/>
    <w:pPr>
      <w:tabs>
        <w:tab w:val="clear" w:pos="567"/>
      </w:tabs>
      <w:autoSpaceDE w:val="0"/>
      <w:autoSpaceDN w:val="0"/>
      <w:spacing w:line="240" w:lineRule="auto"/>
      <w:ind w:left="1843" w:right="284"/>
    </w:pPr>
    <w:rPr>
      <w:rFonts w:ascii="Courier" w:hAnsi="Courier" w:cs="Courier"/>
      <w:sz w:val="24"/>
      <w:szCs w:val="24"/>
      <w:lang w:val="de-DE" w:eastAsia="de-DE"/>
    </w:rPr>
  </w:style>
  <w:style w:type="paragraph" w:customStyle="1" w:styleId="SPCText">
    <w:name w:val="SPC Text"/>
    <w:basedOn w:val="Normlny"/>
    <w:rsid w:val="002D70F1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 w:cs="Arial"/>
      <w:sz w:val="20"/>
      <w:lang w:eastAsia="de-DE"/>
    </w:rPr>
  </w:style>
  <w:style w:type="paragraph" w:customStyle="1" w:styleId="PHZMngelpunkt">
    <w:name w:val="PHZ Mängelpunkt"/>
    <w:basedOn w:val="Normlny"/>
    <w:rsid w:val="002D70F1"/>
    <w:pPr>
      <w:numPr>
        <w:numId w:val="19"/>
      </w:numPr>
      <w:tabs>
        <w:tab w:val="clear" w:pos="567"/>
      </w:tabs>
      <w:spacing w:before="120" w:line="240" w:lineRule="auto"/>
    </w:pPr>
    <w:rPr>
      <w:rFonts w:ascii="Arial" w:hAnsi="Arial"/>
      <w:szCs w:val="24"/>
      <w:lang w:val="de-DE" w:eastAsia="de-DE"/>
    </w:rPr>
  </w:style>
  <w:style w:type="paragraph" w:styleId="Bezriadkovania">
    <w:name w:val="No Spacing"/>
    <w:uiPriority w:val="1"/>
    <w:qFormat/>
    <w:rsid w:val="002D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2D70F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2D70F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Zvraznenie">
    <w:name w:val="Emphasis"/>
    <w:basedOn w:val="Predvolenpsmoodseku"/>
    <w:uiPriority w:val="20"/>
    <w:qFormat/>
    <w:rsid w:val="002D7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5999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E4B4-1DC6-489D-AE87-987B9B2B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3644</Words>
  <Characters>20777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Laifrova, Miroslava /SK</dc:creator>
  <cp:keywords/>
  <dc:description/>
  <cp:lastModifiedBy>PM</cp:lastModifiedBy>
  <cp:revision>12</cp:revision>
  <dcterms:created xsi:type="dcterms:W3CDTF">2020-06-10T06:48:00Z</dcterms:created>
  <dcterms:modified xsi:type="dcterms:W3CDTF">2020-07-20T06:05:00Z</dcterms:modified>
</cp:coreProperties>
</file>