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CCB11" w14:textId="77777777" w:rsidR="00654187" w:rsidRDefault="00654187" w:rsidP="00F50AFB">
      <w:pPr>
        <w:pStyle w:val="SPCnadpis"/>
        <w:spacing w:before="0" w:after="0"/>
        <w:rPr>
          <w:szCs w:val="22"/>
          <w:lang w:val="sk-SK"/>
        </w:rPr>
      </w:pPr>
    </w:p>
    <w:p w14:paraId="0A0B3F73" w14:textId="77777777" w:rsidR="00625A4D" w:rsidRPr="00FB6F28" w:rsidRDefault="00625A4D" w:rsidP="00F50AFB">
      <w:pPr>
        <w:pStyle w:val="SPCnadpis"/>
        <w:spacing w:before="0" w:after="0"/>
        <w:rPr>
          <w:szCs w:val="22"/>
          <w:lang w:val="sk-SK"/>
        </w:rPr>
      </w:pPr>
      <w:r w:rsidRPr="00FB6F28">
        <w:rPr>
          <w:szCs w:val="22"/>
          <w:lang w:val="sk-SK"/>
        </w:rPr>
        <w:t>Písomná informácia pre používateľa</w:t>
      </w:r>
    </w:p>
    <w:p w14:paraId="77A754D1" w14:textId="77777777" w:rsidR="00654187" w:rsidRPr="0099750B" w:rsidRDefault="00654187" w:rsidP="00F50AFB">
      <w:pPr>
        <w:pStyle w:val="SPCnadpis"/>
        <w:spacing w:before="0" w:after="0"/>
        <w:rPr>
          <w:bCs w:val="0"/>
          <w:szCs w:val="22"/>
          <w:lang w:val="sk-SK" w:eastAsia="en-US"/>
        </w:rPr>
      </w:pPr>
    </w:p>
    <w:p w14:paraId="1577B3EE" w14:textId="2B8EBFBE" w:rsidR="00AF4424" w:rsidRPr="0099750B" w:rsidRDefault="00F42CCB" w:rsidP="00F50AFB">
      <w:pPr>
        <w:pStyle w:val="SPCnadpis"/>
        <w:spacing w:before="0" w:after="0"/>
        <w:rPr>
          <w:bCs w:val="0"/>
          <w:szCs w:val="22"/>
          <w:lang w:val="sk-SK" w:eastAsia="en-US"/>
        </w:rPr>
      </w:pPr>
      <w:r w:rsidRPr="0099750B">
        <w:rPr>
          <w:bCs w:val="0"/>
          <w:szCs w:val="22"/>
          <w:lang w:val="sk-SK" w:eastAsia="en-US"/>
        </w:rPr>
        <w:t>Dinarex 1,5 mg/ml</w:t>
      </w:r>
      <w:r w:rsidR="00884305" w:rsidRPr="0099750B">
        <w:rPr>
          <w:bCs w:val="0"/>
          <w:szCs w:val="22"/>
          <w:lang w:val="sk-SK" w:eastAsia="en-US"/>
        </w:rPr>
        <w:t xml:space="preserve"> sirup</w:t>
      </w:r>
    </w:p>
    <w:p w14:paraId="696DC9B0" w14:textId="77777777" w:rsidR="00654187" w:rsidRPr="0099750B" w:rsidRDefault="00654187">
      <w:pPr>
        <w:pStyle w:val="SPCnadpis"/>
        <w:spacing w:before="0" w:after="0"/>
        <w:rPr>
          <w:b w:val="0"/>
          <w:szCs w:val="22"/>
          <w:lang w:val="sk-SK" w:eastAsia="sk-SK"/>
        </w:rPr>
      </w:pPr>
    </w:p>
    <w:p w14:paraId="2C3E696F" w14:textId="1FCDC04F" w:rsidR="00625A4D" w:rsidRPr="0099750B" w:rsidRDefault="00641DDA">
      <w:pPr>
        <w:pStyle w:val="SPCnadpis"/>
        <w:spacing w:before="0" w:after="0"/>
        <w:rPr>
          <w:b w:val="0"/>
          <w:szCs w:val="22"/>
          <w:lang w:val="sk-SK" w:eastAsia="sk-SK"/>
        </w:rPr>
      </w:pPr>
      <w:r w:rsidRPr="0099750B">
        <w:rPr>
          <w:b w:val="0"/>
          <w:szCs w:val="22"/>
          <w:lang w:val="sk-SK" w:eastAsia="sk-SK"/>
        </w:rPr>
        <w:t>dextrometorfániumbromid</w:t>
      </w:r>
    </w:p>
    <w:p w14:paraId="06D3D62E" w14:textId="77777777" w:rsidR="00672E82" w:rsidRPr="0099750B" w:rsidRDefault="00672E82">
      <w:pPr>
        <w:pStyle w:val="SPCnadpis"/>
        <w:spacing w:before="0" w:after="0"/>
        <w:rPr>
          <w:rFonts w:eastAsia="Calibri"/>
          <w:b w:val="0"/>
          <w:bCs w:val="0"/>
          <w:szCs w:val="22"/>
          <w:lang w:val="sk-SK" w:eastAsia="en-US"/>
        </w:rPr>
      </w:pPr>
    </w:p>
    <w:p w14:paraId="715F9519" w14:textId="33575378" w:rsidR="00625A4D" w:rsidRPr="0099750B" w:rsidRDefault="00625A4D" w:rsidP="003344FA">
      <w:pPr>
        <w:pStyle w:val="Styl2"/>
      </w:pPr>
      <w:r w:rsidRPr="0099750B">
        <w:t>Pozorne si prečítajte celú písomnú informáciu predtým, ako začnete užívať tento liek, pretože obsahuje pre vás dôležité informácie.</w:t>
      </w:r>
    </w:p>
    <w:p w14:paraId="74A707D8" w14:textId="3829E1FC" w:rsidR="00672E82" w:rsidRPr="0099750B" w:rsidRDefault="00672E82" w:rsidP="003777A4">
      <w:pPr>
        <w:pStyle w:val="Normlndoblokusodrkami"/>
      </w:pPr>
      <w:r w:rsidRPr="0099750B">
        <w:t>Vždy užívajte tento liek presne tak, ako je to uvedené v</w:t>
      </w:r>
      <w:r w:rsidR="005F2F1E" w:rsidRPr="0099750B">
        <w:t> </w:t>
      </w:r>
      <w:r w:rsidRPr="0099750B">
        <w:t>tejto písomnej informácii, alebo ako vám povedal váš lekár alebo lekárnik.</w:t>
      </w:r>
    </w:p>
    <w:p w14:paraId="7AE7CEBF" w14:textId="77777777" w:rsidR="00625A4D" w:rsidRPr="0099750B" w:rsidRDefault="00625A4D" w:rsidP="003777A4">
      <w:pPr>
        <w:pStyle w:val="Normlndoblokusodrkami"/>
      </w:pPr>
      <w:r w:rsidRPr="0099750B">
        <w:t>Túto písomnú informáciu si uschovajte. Možno bude potrebné, aby ste si ju znovu prečítali.</w:t>
      </w:r>
    </w:p>
    <w:p w14:paraId="29F38088" w14:textId="39CF4DA6" w:rsidR="00625A4D" w:rsidRPr="0099750B" w:rsidRDefault="007A4DBB" w:rsidP="003777A4">
      <w:pPr>
        <w:pStyle w:val="Normlndoblokusodrkami"/>
      </w:pPr>
      <w:r w:rsidRPr="0099750B">
        <w:t xml:space="preserve">Ak </w:t>
      </w:r>
      <w:r w:rsidR="00BB75DA" w:rsidRPr="0099750B">
        <w:t>potrebujete</w:t>
      </w:r>
      <w:r w:rsidRPr="0099750B">
        <w:t xml:space="preserve"> ďalšie informácie alebo radu, obráťte sa na svojho lekárnika.</w:t>
      </w:r>
    </w:p>
    <w:p w14:paraId="16A09F58" w14:textId="583A829B" w:rsidR="00625A4D" w:rsidRPr="0099750B" w:rsidRDefault="00625A4D" w:rsidP="003777A4">
      <w:pPr>
        <w:pStyle w:val="Normlndoblokusodrkami"/>
      </w:pPr>
      <w:r w:rsidRPr="0099750B">
        <w:t>Ak sa u vás vyskytne akýkoľvek vedľajší účinok, ob</w:t>
      </w:r>
      <w:r w:rsidR="00C23A49" w:rsidRPr="0099750B">
        <w:t>ráťte sa na svojho lekára</w:t>
      </w:r>
      <w:r w:rsidR="00672E82" w:rsidRPr="0099750B">
        <w:t xml:space="preserve"> alebo</w:t>
      </w:r>
      <w:r w:rsidR="003F0B49" w:rsidRPr="0099750B">
        <w:t xml:space="preserve"> </w:t>
      </w:r>
      <w:r w:rsidRPr="0099750B">
        <w:t>lekárnika</w:t>
      </w:r>
      <w:r w:rsidR="00672E82" w:rsidRPr="0099750B">
        <w:t>.</w:t>
      </w:r>
      <w:r w:rsidR="00C23A49" w:rsidRPr="0099750B">
        <w:t xml:space="preserve"> </w:t>
      </w:r>
      <w:r w:rsidRPr="0099750B">
        <w:t>To sa týka aj akýchkoľvek vedľajších účinkov, ktoré nie sú uvedené v tejto písomnej informácii. Pozri časť 4.</w:t>
      </w:r>
    </w:p>
    <w:p w14:paraId="00F09A76" w14:textId="1F0BE9F2" w:rsidR="007A4DBB" w:rsidRPr="0099750B" w:rsidRDefault="007A4DBB" w:rsidP="003777A4">
      <w:pPr>
        <w:pStyle w:val="Normlndoblokusodrkami"/>
      </w:pPr>
      <w:r w:rsidRPr="0099750B">
        <w:t>Ak sa do 3 – 5 dní nebudete cítiť lepšie, alebo sa budete cítiť horšie, musíte sa obrátiť na lekára.</w:t>
      </w:r>
    </w:p>
    <w:p w14:paraId="33DF5734" w14:textId="77777777" w:rsidR="00654187" w:rsidRPr="0099750B" w:rsidRDefault="00654187" w:rsidP="003777A4">
      <w:pPr>
        <w:pStyle w:val="Normlndobloku"/>
      </w:pPr>
    </w:p>
    <w:p w14:paraId="2B0DA70C" w14:textId="77777777" w:rsidR="00625A4D" w:rsidRPr="0099750B" w:rsidRDefault="00625A4D" w:rsidP="003344FA">
      <w:pPr>
        <w:pStyle w:val="Styl2"/>
      </w:pPr>
      <w:r w:rsidRPr="0099750B">
        <w:t>V tejto písomnej informácii sa dozviete:</w:t>
      </w:r>
    </w:p>
    <w:p w14:paraId="45CE340D" w14:textId="7C7210F2" w:rsidR="00625A4D" w:rsidRPr="0099750B" w:rsidRDefault="00625A4D" w:rsidP="003777A4">
      <w:pPr>
        <w:pStyle w:val="Normlndobloku"/>
      </w:pPr>
      <w:r w:rsidRPr="0099750B">
        <w:t xml:space="preserve">1. Čo je </w:t>
      </w:r>
      <w:r w:rsidR="00F42CCB" w:rsidRPr="0099750B">
        <w:t>Dinarex</w:t>
      </w:r>
      <w:r w:rsidR="00FB7B57" w:rsidRPr="0099750B">
        <w:t xml:space="preserve"> </w:t>
      </w:r>
      <w:r w:rsidRPr="0099750B">
        <w:t>a na čo sa používa</w:t>
      </w:r>
    </w:p>
    <w:p w14:paraId="12AFB583" w14:textId="28002DFA" w:rsidR="00625A4D" w:rsidRPr="0099750B" w:rsidRDefault="00625A4D" w:rsidP="003777A4">
      <w:pPr>
        <w:pStyle w:val="Normlndobloku"/>
      </w:pPr>
      <w:r w:rsidRPr="0099750B">
        <w:t xml:space="preserve">2. Čo potrebujete vedieť predtým, ako užijete </w:t>
      </w:r>
      <w:r w:rsidR="00F42CCB" w:rsidRPr="0099750B">
        <w:t>Dinarex</w:t>
      </w:r>
    </w:p>
    <w:p w14:paraId="79D30D72" w14:textId="0DD80A88" w:rsidR="00625A4D" w:rsidRPr="0099750B" w:rsidRDefault="00625A4D" w:rsidP="003777A4">
      <w:pPr>
        <w:pStyle w:val="Normlndobloku"/>
      </w:pPr>
      <w:r w:rsidRPr="0099750B">
        <w:t xml:space="preserve">3. Ako užívať </w:t>
      </w:r>
      <w:r w:rsidR="00F42CCB" w:rsidRPr="0099750B">
        <w:t>Dinarex</w:t>
      </w:r>
    </w:p>
    <w:p w14:paraId="30B7CAB9" w14:textId="77777777" w:rsidR="00625A4D" w:rsidRPr="0099750B" w:rsidRDefault="00625A4D" w:rsidP="003777A4">
      <w:pPr>
        <w:pStyle w:val="Normlndobloku"/>
      </w:pPr>
      <w:r w:rsidRPr="0099750B">
        <w:t>4. Možné vedľajšie účinky</w:t>
      </w:r>
    </w:p>
    <w:p w14:paraId="15E8DBDF" w14:textId="32E4F102" w:rsidR="00625A4D" w:rsidRPr="0099750B" w:rsidRDefault="00625A4D" w:rsidP="003777A4">
      <w:pPr>
        <w:pStyle w:val="Normlndobloku"/>
      </w:pPr>
      <w:r w:rsidRPr="0099750B">
        <w:t xml:space="preserve">5. Ako uchovávať </w:t>
      </w:r>
      <w:r w:rsidR="00F42CCB" w:rsidRPr="0099750B">
        <w:t>Dinarex</w:t>
      </w:r>
    </w:p>
    <w:p w14:paraId="2147CA7D" w14:textId="77777777" w:rsidR="00625A4D" w:rsidRPr="0099750B" w:rsidRDefault="00625A4D" w:rsidP="003777A4">
      <w:pPr>
        <w:pStyle w:val="Normlndobloku"/>
      </w:pPr>
      <w:r w:rsidRPr="0099750B">
        <w:t>6. Obsah balenia a ďalšie informácie</w:t>
      </w:r>
    </w:p>
    <w:p w14:paraId="1A213FCF" w14:textId="77777777" w:rsidR="00654187" w:rsidRPr="0099750B" w:rsidRDefault="00654187" w:rsidP="003777A4">
      <w:pPr>
        <w:pStyle w:val="Normlndobloku"/>
      </w:pPr>
    </w:p>
    <w:p w14:paraId="08999A7B" w14:textId="77777777" w:rsidR="00654187" w:rsidRPr="0099750B" w:rsidRDefault="00654187" w:rsidP="003777A4">
      <w:pPr>
        <w:pStyle w:val="Normlndobloku"/>
      </w:pPr>
    </w:p>
    <w:p w14:paraId="6D9080B4" w14:textId="77777777" w:rsidR="00CC7823" w:rsidRPr="0099750B" w:rsidRDefault="003606AA" w:rsidP="00F50AFB">
      <w:pPr>
        <w:pStyle w:val="Styl1"/>
        <w:numPr>
          <w:ilvl w:val="0"/>
          <w:numId w:val="1"/>
        </w:numPr>
        <w:spacing w:before="0" w:after="0"/>
        <w:rPr>
          <w:szCs w:val="22"/>
        </w:rPr>
      </w:pPr>
      <w:bookmarkStart w:id="0" w:name="_Toc443314743"/>
      <w:r w:rsidRPr="0099750B">
        <w:rPr>
          <w:caps w:val="0"/>
          <w:szCs w:val="22"/>
        </w:rPr>
        <w:t xml:space="preserve">Čo je </w:t>
      </w:r>
      <w:r w:rsidR="00F42CCB" w:rsidRPr="0099750B">
        <w:rPr>
          <w:szCs w:val="22"/>
        </w:rPr>
        <w:t>D</w:t>
      </w:r>
      <w:r w:rsidR="00F42CCB" w:rsidRPr="0099750B">
        <w:rPr>
          <w:caps w:val="0"/>
          <w:szCs w:val="22"/>
        </w:rPr>
        <w:t>inarex</w:t>
      </w:r>
      <w:r w:rsidRPr="0099750B">
        <w:rPr>
          <w:szCs w:val="22"/>
        </w:rPr>
        <w:t xml:space="preserve"> </w:t>
      </w:r>
      <w:r w:rsidRPr="0099750B">
        <w:rPr>
          <w:caps w:val="0"/>
          <w:szCs w:val="22"/>
        </w:rPr>
        <w:t>a</w:t>
      </w:r>
      <w:r w:rsidRPr="0099750B">
        <w:rPr>
          <w:szCs w:val="22"/>
        </w:rPr>
        <w:t> </w:t>
      </w:r>
      <w:r w:rsidRPr="0099750B">
        <w:rPr>
          <w:caps w:val="0"/>
          <w:szCs w:val="22"/>
        </w:rPr>
        <w:t>na čo sa používa</w:t>
      </w:r>
      <w:bookmarkEnd w:id="0"/>
    </w:p>
    <w:p w14:paraId="7E564775" w14:textId="77777777" w:rsidR="00654187" w:rsidRPr="0099750B" w:rsidRDefault="00654187" w:rsidP="003777A4">
      <w:pPr>
        <w:pStyle w:val="Normlndobloku"/>
        <w:rPr>
          <w:noProof/>
        </w:rPr>
      </w:pPr>
    </w:p>
    <w:p w14:paraId="2972F38D" w14:textId="4353BBB5" w:rsidR="00C23A49" w:rsidRPr="0099750B" w:rsidRDefault="00F42CCB" w:rsidP="003777A4">
      <w:pPr>
        <w:pStyle w:val="Normlndobloku"/>
        <w:rPr>
          <w:noProof/>
        </w:rPr>
      </w:pPr>
      <w:r w:rsidRPr="0099750B">
        <w:rPr>
          <w:noProof/>
        </w:rPr>
        <w:t>Dinarex</w:t>
      </w:r>
      <w:r w:rsidR="008D173B" w:rsidRPr="0099750B">
        <w:rPr>
          <w:noProof/>
        </w:rPr>
        <w:t xml:space="preserve"> je liek, ktorý sa používa na </w:t>
      </w:r>
      <w:r w:rsidR="00600EED" w:rsidRPr="0099750B">
        <w:rPr>
          <w:noProof/>
        </w:rPr>
        <w:t xml:space="preserve">úľavu </w:t>
      </w:r>
      <w:r w:rsidR="008D173B" w:rsidRPr="0099750B">
        <w:rPr>
          <w:noProof/>
        </w:rPr>
        <w:t xml:space="preserve">od suchého, dráždivého kašľa. </w:t>
      </w:r>
      <w:r w:rsidR="005F2F1E" w:rsidRPr="0099750B">
        <w:rPr>
          <w:noProof/>
        </w:rPr>
        <w:t>Sirup</w:t>
      </w:r>
      <w:r w:rsidR="008D173B" w:rsidRPr="0099750B">
        <w:rPr>
          <w:noProof/>
        </w:rPr>
        <w:t xml:space="preserve"> obsahuje liečivo dextrometorfániumbromid, čo je antitusikum pomáhajúce utlmiť kašeľ.</w:t>
      </w:r>
    </w:p>
    <w:p w14:paraId="6B9D81A6" w14:textId="77777777" w:rsidR="00BA4313" w:rsidRPr="0099750B" w:rsidRDefault="00BA4313" w:rsidP="003777A4">
      <w:pPr>
        <w:pStyle w:val="Normlndobloku"/>
        <w:rPr>
          <w:noProof/>
        </w:rPr>
      </w:pPr>
    </w:p>
    <w:p w14:paraId="2ACD3CA1" w14:textId="26657E02" w:rsidR="00D57FB9" w:rsidRPr="0099750B" w:rsidRDefault="00D57FB9" w:rsidP="003777A4">
      <w:pPr>
        <w:pStyle w:val="Normlndobloku"/>
        <w:rPr>
          <w:noProof/>
        </w:rPr>
      </w:pPr>
      <w:r w:rsidRPr="0099750B">
        <w:rPr>
          <w:noProof/>
        </w:rPr>
        <w:t>Liek je určený dospelým a deťom vo veku 12 rokov a starším.</w:t>
      </w:r>
    </w:p>
    <w:p w14:paraId="1483ADDA" w14:textId="77777777" w:rsidR="00BA4313" w:rsidRPr="0099750B" w:rsidRDefault="00BA4313" w:rsidP="003777A4">
      <w:pPr>
        <w:pStyle w:val="Normlndobloku"/>
        <w:rPr>
          <w:noProof/>
        </w:rPr>
      </w:pPr>
    </w:p>
    <w:p w14:paraId="1E9FCAED" w14:textId="7E54E6A4" w:rsidR="00D57FB9" w:rsidRPr="0099750B" w:rsidRDefault="00672E82" w:rsidP="003777A4">
      <w:pPr>
        <w:pStyle w:val="Normlndobloku"/>
      </w:pPr>
      <w:r w:rsidRPr="0099750B">
        <w:rPr>
          <w:noProof/>
        </w:rPr>
        <w:t xml:space="preserve">Ak </w:t>
      </w:r>
      <w:r w:rsidR="00D57FB9" w:rsidRPr="0099750B">
        <w:rPr>
          <w:noProof/>
        </w:rPr>
        <w:t xml:space="preserve">sa </w:t>
      </w:r>
      <w:r w:rsidR="00D57FB9" w:rsidRPr="0099750B">
        <w:t>do 3 – 5 dní nebudete cítiť lepšie, alebo sa budete cítiť horšie, musíte sa obrátiť na lekára.</w:t>
      </w:r>
    </w:p>
    <w:p w14:paraId="4F00488B" w14:textId="77777777" w:rsidR="00654187" w:rsidRPr="0099750B" w:rsidRDefault="00654187" w:rsidP="003777A4">
      <w:pPr>
        <w:pStyle w:val="Normlndobloku"/>
      </w:pPr>
    </w:p>
    <w:p w14:paraId="0DE56BB5" w14:textId="77777777" w:rsidR="00654187" w:rsidRPr="0099750B" w:rsidRDefault="00654187" w:rsidP="003777A4">
      <w:pPr>
        <w:pStyle w:val="Normlndobloku"/>
      </w:pPr>
    </w:p>
    <w:p w14:paraId="31122204" w14:textId="0EE1E8BE" w:rsidR="00625A4D" w:rsidRPr="0099750B" w:rsidRDefault="003606AA" w:rsidP="00F50AFB">
      <w:pPr>
        <w:pStyle w:val="Styl1"/>
        <w:numPr>
          <w:ilvl w:val="0"/>
          <w:numId w:val="1"/>
        </w:numPr>
        <w:spacing w:before="0" w:after="0"/>
        <w:rPr>
          <w:szCs w:val="22"/>
        </w:rPr>
      </w:pPr>
      <w:bookmarkStart w:id="1" w:name="_Toc443314744"/>
      <w:r w:rsidRPr="0099750B">
        <w:rPr>
          <w:caps w:val="0"/>
          <w:szCs w:val="22"/>
        </w:rPr>
        <w:t>Čo potrebuj</w:t>
      </w:r>
      <w:r w:rsidR="0035389A" w:rsidRPr="0099750B">
        <w:rPr>
          <w:caps w:val="0"/>
          <w:szCs w:val="22"/>
        </w:rPr>
        <w:t>ete vedieť predtým, ako užijet</w:t>
      </w:r>
      <w:r w:rsidR="00DF62B7" w:rsidRPr="0099750B">
        <w:rPr>
          <w:caps w:val="0"/>
          <w:szCs w:val="22"/>
        </w:rPr>
        <w:t xml:space="preserve">e </w:t>
      </w:r>
      <w:r w:rsidR="00F42CCB" w:rsidRPr="0099750B">
        <w:rPr>
          <w:caps w:val="0"/>
          <w:szCs w:val="22"/>
        </w:rPr>
        <w:t>Dinarex</w:t>
      </w:r>
      <w:bookmarkEnd w:id="1"/>
    </w:p>
    <w:p w14:paraId="4882807D" w14:textId="77777777" w:rsidR="008A7596" w:rsidRPr="0099750B" w:rsidRDefault="008A7596" w:rsidP="003344FA">
      <w:pPr>
        <w:pStyle w:val="Styl2"/>
        <w:rPr>
          <w:rFonts w:eastAsia="SimSun"/>
        </w:rPr>
      </w:pPr>
    </w:p>
    <w:p w14:paraId="3561BEE5" w14:textId="53964FDC" w:rsidR="00654187" w:rsidRPr="00FB6F28" w:rsidRDefault="008A7596" w:rsidP="003344FA">
      <w:pPr>
        <w:pStyle w:val="Styl2"/>
        <w:rPr>
          <w:rFonts w:eastAsia="SimSun"/>
          <w:b w:val="0"/>
          <w:szCs w:val="22"/>
        </w:rPr>
      </w:pPr>
      <w:r w:rsidRPr="0099750B">
        <w:rPr>
          <w:rFonts w:eastAsia="SimSun"/>
          <w:b w:val="0"/>
          <w:szCs w:val="22"/>
        </w:rPr>
        <w:t>Užívanie tohto lieku môže viesť k závislosti. Preto má liečba trvať len krátko.</w:t>
      </w:r>
    </w:p>
    <w:p w14:paraId="445A3454" w14:textId="77777777" w:rsidR="008A7596" w:rsidRPr="0099750B" w:rsidRDefault="008A7596" w:rsidP="003344FA">
      <w:pPr>
        <w:pStyle w:val="Styl2"/>
        <w:rPr>
          <w:rFonts w:eastAsia="SimSun"/>
        </w:rPr>
      </w:pPr>
    </w:p>
    <w:p w14:paraId="1FAFBA7D" w14:textId="44455688" w:rsidR="00625A4D" w:rsidRPr="0099750B" w:rsidRDefault="00D57FB9" w:rsidP="003344FA">
      <w:pPr>
        <w:pStyle w:val="Styl2"/>
      </w:pPr>
      <w:r w:rsidRPr="0099750B">
        <w:t xml:space="preserve">Neužívajte </w:t>
      </w:r>
      <w:r w:rsidR="00F42CCB" w:rsidRPr="0099750B">
        <w:t>Dinarex</w:t>
      </w:r>
      <w:r w:rsidR="00672E82" w:rsidRPr="0099750B">
        <w:t>:</w:t>
      </w:r>
    </w:p>
    <w:p w14:paraId="6D6CCF02" w14:textId="3C2F68AF" w:rsidR="00C23A49" w:rsidRPr="0099750B" w:rsidRDefault="002426EB" w:rsidP="003777A4">
      <w:pPr>
        <w:pStyle w:val="Normlndoblokusodrkami"/>
      </w:pPr>
      <w:r w:rsidRPr="0099750B">
        <w:t xml:space="preserve">ak </w:t>
      </w:r>
      <w:r w:rsidR="00600EED" w:rsidRPr="0099750B">
        <w:t xml:space="preserve">ste </w:t>
      </w:r>
      <w:r w:rsidR="00D57FB9" w:rsidRPr="0099750B">
        <w:t>alergick</w:t>
      </w:r>
      <w:r w:rsidR="00600EED" w:rsidRPr="0099750B">
        <w:t>ý</w:t>
      </w:r>
      <w:r w:rsidR="00D57FB9" w:rsidRPr="0099750B">
        <w:t xml:space="preserve"> na dextrometorfániumbromid</w:t>
      </w:r>
      <w:r w:rsidR="00625A4D" w:rsidRPr="0099750B">
        <w:t xml:space="preserve"> alebo na ktorúkoľvek z ďalších zložiek tohto lieku (uvedených v časti 6)</w:t>
      </w:r>
    </w:p>
    <w:p w14:paraId="48D7813A" w14:textId="01CFD353" w:rsidR="00C23A49" w:rsidRPr="0099750B" w:rsidRDefault="00D57FB9" w:rsidP="003777A4">
      <w:pPr>
        <w:pStyle w:val="Normlndoblokusodrkami"/>
      </w:pPr>
      <w:r w:rsidRPr="0099750B">
        <w:t xml:space="preserve">ak </w:t>
      </w:r>
      <w:r w:rsidR="00672E82" w:rsidRPr="0099750B">
        <w:t xml:space="preserve">máte </w:t>
      </w:r>
      <w:r w:rsidRPr="0099750B">
        <w:t>závažn</w:t>
      </w:r>
      <w:r w:rsidR="00672E82" w:rsidRPr="0099750B">
        <w:t>é</w:t>
      </w:r>
      <w:r w:rsidRPr="0099750B">
        <w:t xml:space="preserve"> ochoren</w:t>
      </w:r>
      <w:r w:rsidR="00672E82" w:rsidRPr="0099750B">
        <w:t>ie</w:t>
      </w:r>
      <w:r w:rsidRPr="0099750B">
        <w:t xml:space="preserve"> pľúc</w:t>
      </w:r>
    </w:p>
    <w:p w14:paraId="0E855E79" w14:textId="1CEAD126" w:rsidR="00C23A49" w:rsidRPr="0099750B" w:rsidRDefault="00C23A49" w:rsidP="003777A4">
      <w:pPr>
        <w:pStyle w:val="Normlndoblokusodrkami"/>
        <w:rPr>
          <w:lang w:eastAsia="en-GB"/>
        </w:rPr>
      </w:pPr>
      <w:r w:rsidRPr="0099750B">
        <w:t>ak</w:t>
      </w:r>
      <w:r w:rsidR="00D57FB9" w:rsidRPr="0099750B">
        <w:t xml:space="preserve"> </w:t>
      </w:r>
      <w:r w:rsidR="00D57FB9" w:rsidRPr="0099750B">
        <w:rPr>
          <w:lang w:eastAsia="en-GB"/>
        </w:rPr>
        <w:t>užívate</w:t>
      </w:r>
      <w:r w:rsidR="00672E82" w:rsidRPr="0099750B">
        <w:rPr>
          <w:lang w:eastAsia="en-GB"/>
        </w:rPr>
        <w:t>,</w:t>
      </w:r>
      <w:r w:rsidR="00D57FB9" w:rsidRPr="0099750B">
        <w:rPr>
          <w:lang w:eastAsia="en-GB"/>
        </w:rPr>
        <w:t xml:space="preserve"> alebo ste počas predchádzajúcich 2 týždňov užívali lieky na liečbu depresie nazývané inhibítory monoaminooxidázy (IMAO)</w:t>
      </w:r>
    </w:p>
    <w:p w14:paraId="755EC1D0" w14:textId="01C05F6B" w:rsidR="00D57FB9" w:rsidRPr="0099750B" w:rsidRDefault="00D57FB9" w:rsidP="003777A4">
      <w:pPr>
        <w:pStyle w:val="Normlndoblokusodrkami"/>
      </w:pPr>
      <w:r w:rsidRPr="0099750B">
        <w:t>ak užívate selektívne inhibítory spätného vychytávania s</w:t>
      </w:r>
      <w:r w:rsidR="00672E82" w:rsidRPr="0099750B">
        <w:t>é</w:t>
      </w:r>
      <w:r w:rsidRPr="0099750B">
        <w:t xml:space="preserve">rotonínu (používajú sa </w:t>
      </w:r>
      <w:r w:rsidR="00672E82" w:rsidRPr="0099750B">
        <w:t>na</w:t>
      </w:r>
      <w:r w:rsidRPr="0099750B">
        <w:t> liečb</w:t>
      </w:r>
      <w:r w:rsidR="00672E82" w:rsidRPr="0099750B">
        <w:t>u</w:t>
      </w:r>
      <w:r w:rsidRPr="0099750B">
        <w:t xml:space="preserve"> depresie a</w:t>
      </w:r>
      <w:r w:rsidR="00600EED" w:rsidRPr="0099750B">
        <w:t> </w:t>
      </w:r>
      <w:r w:rsidRPr="0099750B">
        <w:t>úzkosti</w:t>
      </w:r>
      <w:r w:rsidR="00600EED" w:rsidRPr="0099750B">
        <w:t>, napr.</w:t>
      </w:r>
      <w:r w:rsidR="00757084" w:rsidRPr="0099750B">
        <w:t> </w:t>
      </w:r>
      <w:r w:rsidRPr="0099750B">
        <w:t>fluoxetín, paroxetín a sertralín)</w:t>
      </w:r>
      <w:r w:rsidR="00672E82" w:rsidRPr="0099750B">
        <w:t>.</w:t>
      </w:r>
    </w:p>
    <w:p w14:paraId="01E51D41" w14:textId="77777777" w:rsidR="00654187" w:rsidRPr="0099750B" w:rsidRDefault="00654187" w:rsidP="003777A4">
      <w:pPr>
        <w:pStyle w:val="Normlndobloku"/>
        <w:rPr>
          <w:noProof/>
        </w:rPr>
      </w:pPr>
    </w:p>
    <w:p w14:paraId="11435973" w14:textId="76AFA9E0" w:rsidR="00D57FB9" w:rsidRPr="0099750B" w:rsidRDefault="00F42CCB" w:rsidP="003777A4">
      <w:pPr>
        <w:pStyle w:val="Normlndobloku"/>
        <w:rPr>
          <w:noProof/>
        </w:rPr>
      </w:pPr>
      <w:r w:rsidRPr="0099750B">
        <w:rPr>
          <w:noProof/>
        </w:rPr>
        <w:t>Dinarex</w:t>
      </w:r>
      <w:r w:rsidR="00672E82" w:rsidRPr="0099750B">
        <w:rPr>
          <w:noProof/>
        </w:rPr>
        <w:t xml:space="preserve"> nepodávajte</w:t>
      </w:r>
      <w:r w:rsidR="00D57FB9" w:rsidRPr="0099750B">
        <w:rPr>
          <w:noProof/>
        </w:rPr>
        <w:t xml:space="preserve"> de</w:t>
      </w:r>
      <w:r w:rsidR="00672E82" w:rsidRPr="0099750B">
        <w:rPr>
          <w:noProof/>
        </w:rPr>
        <w:t>ťom</w:t>
      </w:r>
      <w:r w:rsidR="00D57FB9" w:rsidRPr="0099750B">
        <w:rPr>
          <w:noProof/>
        </w:rPr>
        <w:t xml:space="preserve"> mladší</w:t>
      </w:r>
      <w:r w:rsidR="00672E82" w:rsidRPr="0099750B">
        <w:rPr>
          <w:noProof/>
        </w:rPr>
        <w:t>m</w:t>
      </w:r>
      <w:r w:rsidR="00D57FB9" w:rsidRPr="0099750B">
        <w:rPr>
          <w:noProof/>
        </w:rPr>
        <w:t xml:space="preserve"> ako 12 rokov (pozri časť 3).</w:t>
      </w:r>
    </w:p>
    <w:p w14:paraId="4D9FF3B8" w14:textId="77777777" w:rsidR="00654187" w:rsidRPr="0099750B" w:rsidRDefault="00654187" w:rsidP="003344FA">
      <w:pPr>
        <w:pStyle w:val="Styl2"/>
      </w:pPr>
    </w:p>
    <w:p w14:paraId="781D1122" w14:textId="77777777" w:rsidR="00625A4D" w:rsidRPr="0099750B" w:rsidRDefault="00625A4D" w:rsidP="003344FA">
      <w:pPr>
        <w:pStyle w:val="Styl2"/>
      </w:pPr>
      <w:r w:rsidRPr="0099750B">
        <w:t>Upozornenia a opatrenia</w:t>
      </w:r>
    </w:p>
    <w:p w14:paraId="0E273A05" w14:textId="4ECCFAA3" w:rsidR="00A553AF" w:rsidRPr="0099750B" w:rsidRDefault="00A553AF" w:rsidP="003777A4">
      <w:pPr>
        <w:pStyle w:val="Normlndobloku"/>
      </w:pPr>
      <w:r w:rsidRPr="0099750B">
        <w:t xml:space="preserve">Predtým, ako začnete užívať </w:t>
      </w:r>
      <w:r w:rsidR="00F42CCB" w:rsidRPr="0099750B">
        <w:t>Dinarex</w:t>
      </w:r>
      <w:r w:rsidRPr="0099750B">
        <w:t>, obráťte sa n</w:t>
      </w:r>
      <w:r w:rsidR="00A96B46" w:rsidRPr="0099750B">
        <w:t>a svojho lekára</w:t>
      </w:r>
      <w:r w:rsidR="00672E82" w:rsidRPr="0099750B">
        <w:t xml:space="preserve"> alebo</w:t>
      </w:r>
      <w:r w:rsidR="00FA4025" w:rsidRPr="0099750B">
        <w:t xml:space="preserve"> </w:t>
      </w:r>
      <w:r w:rsidR="00387125" w:rsidRPr="0099750B">
        <w:t>lekárnika:</w:t>
      </w:r>
    </w:p>
    <w:p w14:paraId="3ED79866" w14:textId="776668E8" w:rsidR="007933AC" w:rsidRPr="0099750B" w:rsidRDefault="00672E82" w:rsidP="003777A4">
      <w:pPr>
        <w:pStyle w:val="Normlndoblokusodrkami"/>
      </w:pPr>
      <w:r w:rsidRPr="0099750B">
        <w:t xml:space="preserve">ak </w:t>
      </w:r>
      <w:r w:rsidR="00A47F33" w:rsidRPr="0099750B">
        <w:t>máte problémy s pečeňou alebo obličkami</w:t>
      </w:r>
    </w:p>
    <w:p w14:paraId="29D3DEE0" w14:textId="2ED395C7" w:rsidR="007933AC" w:rsidRPr="0099750B" w:rsidRDefault="00672E82" w:rsidP="003777A4">
      <w:pPr>
        <w:pStyle w:val="Normlndoblokusodrkami"/>
      </w:pPr>
      <w:r w:rsidRPr="0099750B">
        <w:lastRenderedPageBreak/>
        <w:t xml:space="preserve">ak </w:t>
      </w:r>
      <w:r w:rsidR="00A47F33" w:rsidRPr="0099750B">
        <w:t xml:space="preserve">máte </w:t>
      </w:r>
      <w:r w:rsidRPr="0099750B">
        <w:t xml:space="preserve">dlhodobý </w:t>
      </w:r>
      <w:r w:rsidR="00A47F33" w:rsidRPr="0099750B">
        <w:t>alebo pretrvávajúci kašeľ, aký sa vyskytuje napr. </w:t>
      </w:r>
      <w:r w:rsidRPr="0099750B">
        <w:t>pri</w:t>
      </w:r>
      <w:r w:rsidR="005F2F1E" w:rsidRPr="0099750B">
        <w:t xml:space="preserve"> </w:t>
      </w:r>
      <w:r w:rsidR="00A47F33" w:rsidRPr="0099750B">
        <w:t>astm</w:t>
      </w:r>
      <w:r w:rsidRPr="0099750B">
        <w:t>e</w:t>
      </w:r>
      <w:r w:rsidR="00A47F33" w:rsidRPr="0099750B">
        <w:t xml:space="preserve">, alebo kašeľ </w:t>
      </w:r>
      <w:r w:rsidRPr="0099750B">
        <w:t>s</w:t>
      </w:r>
      <w:r w:rsidR="005F2F1E" w:rsidRPr="0099750B">
        <w:t> </w:t>
      </w:r>
      <w:r w:rsidRPr="0099750B">
        <w:t>tvorbou</w:t>
      </w:r>
      <w:r w:rsidR="00A47F33" w:rsidRPr="0099750B">
        <w:t xml:space="preserve"> veľké</w:t>
      </w:r>
      <w:r w:rsidRPr="0099750B">
        <w:t>ho</w:t>
      </w:r>
      <w:r w:rsidR="00A47F33" w:rsidRPr="0099750B">
        <w:t xml:space="preserve"> množstv</w:t>
      </w:r>
      <w:r w:rsidRPr="0099750B">
        <w:t>a</w:t>
      </w:r>
      <w:r w:rsidR="00A47F33" w:rsidRPr="0099750B">
        <w:t xml:space="preserve"> hlienu</w:t>
      </w:r>
    </w:p>
    <w:p w14:paraId="11E97E41" w14:textId="0625B2C3" w:rsidR="00A96B46" w:rsidRPr="0099750B" w:rsidRDefault="00672E82" w:rsidP="003777A4">
      <w:pPr>
        <w:pStyle w:val="Normlndoblokusodrkami"/>
      </w:pPr>
      <w:r w:rsidRPr="0099750B">
        <w:t xml:space="preserve">ak </w:t>
      </w:r>
      <w:r w:rsidR="00A47F33" w:rsidRPr="0099750B">
        <w:t>ste závislí od alkoholu</w:t>
      </w:r>
    </w:p>
    <w:p w14:paraId="0ED910B3" w14:textId="6F47908B" w:rsidR="00A47F33" w:rsidRPr="0099750B" w:rsidRDefault="00672E82" w:rsidP="003777A4">
      <w:pPr>
        <w:pStyle w:val="Normlndoblokusodrkami"/>
      </w:pPr>
      <w:r w:rsidRPr="0099750B">
        <w:t xml:space="preserve">ak </w:t>
      </w:r>
      <w:r w:rsidR="00B71097" w:rsidRPr="0099750B">
        <w:t xml:space="preserve">máte </w:t>
      </w:r>
      <w:r w:rsidR="00A47F33" w:rsidRPr="0099750B">
        <w:t xml:space="preserve">neznášanlivosť </w:t>
      </w:r>
      <w:r w:rsidR="00D63CA4" w:rsidRPr="0099750B">
        <w:t>niektorých cukrov</w:t>
      </w:r>
    </w:p>
    <w:p w14:paraId="15217EB2" w14:textId="27811D0F" w:rsidR="00D63CA4" w:rsidRPr="0099750B" w:rsidRDefault="00D63CA4" w:rsidP="003777A4">
      <w:pPr>
        <w:pStyle w:val="Normlndoblokusodrkami"/>
      </w:pPr>
      <w:r w:rsidRPr="0099750B">
        <w:t>užívate akýkoľvek iný liek proti kašľu alebo nachladnutiu, ktorý obsahuje dextrometorfán</w:t>
      </w:r>
    </w:p>
    <w:p w14:paraId="3F266728" w14:textId="1F4485F8" w:rsidR="00D63CA4" w:rsidRPr="0099750B" w:rsidRDefault="00794BD7" w:rsidP="003777A4">
      <w:pPr>
        <w:pStyle w:val="Normlndoblokusodrkami"/>
      </w:pPr>
      <w:r w:rsidRPr="0099750B">
        <w:t xml:space="preserve">ak </w:t>
      </w:r>
      <w:r w:rsidR="00D63CA4" w:rsidRPr="0099750B">
        <w:t>je vaše dieťa náchylné na rozvoj určitých alergických reakcií (napr. atopické reakcie)</w:t>
      </w:r>
    </w:p>
    <w:p w14:paraId="05F5FC86" w14:textId="22D43371" w:rsidR="00D63CA4" w:rsidRPr="0099750B" w:rsidRDefault="00794BD7" w:rsidP="003777A4">
      <w:pPr>
        <w:pStyle w:val="Normlndoblokusodrkami"/>
      </w:pPr>
      <w:r w:rsidRPr="0099750B">
        <w:t>ak ste v</w:t>
      </w:r>
      <w:r w:rsidR="005F2F1E" w:rsidRPr="0099750B">
        <w:t> </w:t>
      </w:r>
      <w:r w:rsidRPr="0099750B">
        <w:t>minulosti</w:t>
      </w:r>
      <w:r w:rsidR="00D63CA4" w:rsidRPr="0099750B">
        <w:t xml:space="preserve"> zneužíva</w:t>
      </w:r>
      <w:r w:rsidRPr="0099750B">
        <w:t>li</w:t>
      </w:r>
      <w:r w:rsidR="00D63CA4" w:rsidRPr="0099750B">
        <w:t xml:space="preserve"> liek</w:t>
      </w:r>
      <w:r w:rsidRPr="0099750B">
        <w:t>y</w:t>
      </w:r>
    </w:p>
    <w:p w14:paraId="283D14E9" w14:textId="518825E2" w:rsidR="00D63CA4" w:rsidRPr="0099750B" w:rsidRDefault="00794BD7" w:rsidP="003777A4">
      <w:pPr>
        <w:pStyle w:val="Normlndoblokusodrkami"/>
      </w:pPr>
      <w:r w:rsidRPr="0099750B">
        <w:t xml:space="preserve">ak </w:t>
      </w:r>
      <w:r w:rsidR="00D63CA4" w:rsidRPr="0099750B">
        <w:t xml:space="preserve">vám váš lekár povedal, že </w:t>
      </w:r>
      <w:r w:rsidRPr="0099750B">
        <w:t>vaše telo premieňa látky pomaly prostredníctvom určitej bielkoviny zvanej</w:t>
      </w:r>
      <w:r w:rsidR="00F553FF" w:rsidRPr="0099750B">
        <w:t xml:space="preserve"> </w:t>
      </w:r>
      <w:r w:rsidR="00D63CA4" w:rsidRPr="0099750B">
        <w:t>CYP2D6.</w:t>
      </w:r>
    </w:p>
    <w:p w14:paraId="6F222D35" w14:textId="5E89754D" w:rsidR="008A7596" w:rsidRPr="0099750B" w:rsidRDefault="008A7596" w:rsidP="003777A4">
      <w:pPr>
        <w:pStyle w:val="Normlndoblokusodrkami"/>
      </w:pPr>
      <w:r w:rsidRPr="0099750B">
        <w:t xml:space="preserve">ak užívate lieky, ako sú niektoré antidepresíva (na liečbu depresie) alebo antipsychotiká (na liečbu psychických ochorení), pretože </w:t>
      </w:r>
      <w:r w:rsidR="003344FA" w:rsidRPr="0099750B">
        <w:t xml:space="preserve">Dinarex </w:t>
      </w:r>
      <w:r w:rsidRPr="0099750B">
        <w:t xml:space="preserve">sa môže s týmito liekmi vzájomne ovplyvňovať a môže dôjsť k zmene vášho duševného stavu (napr. nepokoj, halucinácie, kóma). Môžu sa vyskytnúť aj iné účinky, ako </w:t>
      </w:r>
      <w:r w:rsidR="00854C88" w:rsidRPr="0099750B">
        <w:t>sú</w:t>
      </w:r>
      <w:r w:rsidRPr="0099750B">
        <w:t xml:space="preserve"> zvýšenie telesnej teploty nad 38 °C, zvýšenie srdcového rytmu, nestabilný tlak krvi, prehnané reflexy, svalová stuhnutosť, nedostatok koordinácie a/alebo žalúdočno-črevné príznaky (napr. nevoľnosť, vracanie, hnačka).</w:t>
      </w:r>
    </w:p>
    <w:p w14:paraId="3A2715D9" w14:textId="77777777" w:rsidR="008267B5" w:rsidRPr="00FB6F28" w:rsidRDefault="008267B5" w:rsidP="003777A4">
      <w:pPr>
        <w:pStyle w:val="Normlndobloku"/>
        <w:rPr>
          <w:noProof/>
        </w:rPr>
      </w:pPr>
    </w:p>
    <w:p w14:paraId="7A4EF785" w14:textId="3C94F927" w:rsidR="007933AC" w:rsidRPr="0099750B" w:rsidRDefault="00D63CA4" w:rsidP="003777A4">
      <w:pPr>
        <w:pStyle w:val="Normlndobloku"/>
        <w:rPr>
          <w:noProof/>
        </w:rPr>
      </w:pPr>
      <w:r w:rsidRPr="0099750B">
        <w:rPr>
          <w:noProof/>
        </w:rPr>
        <w:t>V prípade, že kašeľ pretrváva dlhšie ako 1 týždeň</w:t>
      </w:r>
      <w:r w:rsidR="00794BD7" w:rsidRPr="0099750B">
        <w:rPr>
          <w:noProof/>
        </w:rPr>
        <w:t>,</w:t>
      </w:r>
      <w:r w:rsidRPr="0099750B">
        <w:rPr>
          <w:noProof/>
        </w:rPr>
        <w:t xml:space="preserve"> alebo je sprevádzaný vysokou horúčkou, vyrážkou alebo pretvávajúcimi bolesťami hlavy, vyhľadajte lekársku pomoc.</w:t>
      </w:r>
    </w:p>
    <w:p w14:paraId="0C55C107" w14:textId="77777777" w:rsidR="00654187" w:rsidRPr="0099750B" w:rsidRDefault="00654187" w:rsidP="003344FA">
      <w:pPr>
        <w:pStyle w:val="Styl2"/>
      </w:pPr>
    </w:p>
    <w:p w14:paraId="4281A8DE" w14:textId="6E6C4DFB" w:rsidR="007933AC" w:rsidRPr="0099750B" w:rsidRDefault="00D63CA4" w:rsidP="003344FA">
      <w:pPr>
        <w:pStyle w:val="Styl2"/>
      </w:pPr>
      <w:r w:rsidRPr="0099750B">
        <w:t>Iné lieky a </w:t>
      </w:r>
      <w:r w:rsidR="00F42CCB" w:rsidRPr="0099750B">
        <w:t>Dinarex</w:t>
      </w:r>
    </w:p>
    <w:p w14:paraId="1B1B273E" w14:textId="363C53D4" w:rsidR="007933AC" w:rsidRPr="0099750B" w:rsidRDefault="001460D0" w:rsidP="003777A4">
      <w:pPr>
        <w:pStyle w:val="Normlndobloku"/>
        <w:rPr>
          <w:noProof/>
        </w:rPr>
      </w:pPr>
      <w:r w:rsidRPr="0099750B">
        <w:rPr>
          <w:noProof/>
        </w:rPr>
        <w:t>Ak teraz užívate</w:t>
      </w:r>
      <w:r w:rsidR="00794BD7" w:rsidRPr="0099750B">
        <w:rPr>
          <w:noProof/>
        </w:rPr>
        <w:t>,</w:t>
      </w:r>
      <w:r w:rsidR="007933AC" w:rsidRPr="0099750B">
        <w:rPr>
          <w:noProof/>
        </w:rPr>
        <w:t xml:space="preserve"> alebo </w:t>
      </w:r>
      <w:r w:rsidRPr="0099750B">
        <w:rPr>
          <w:noProof/>
        </w:rPr>
        <w:t>ste v poslednom čase užívali</w:t>
      </w:r>
      <w:r w:rsidR="007933AC" w:rsidRPr="0099750B">
        <w:rPr>
          <w:noProof/>
        </w:rPr>
        <w:t>, či práve bude</w:t>
      </w:r>
      <w:r w:rsidR="00BB75DA" w:rsidRPr="0099750B">
        <w:rPr>
          <w:noProof/>
        </w:rPr>
        <w:t>te</w:t>
      </w:r>
      <w:r w:rsidR="007933AC" w:rsidRPr="0099750B">
        <w:rPr>
          <w:noProof/>
        </w:rPr>
        <w:t xml:space="preserve"> užívať</w:t>
      </w:r>
      <w:r w:rsidR="007933AC" w:rsidRPr="0099750B">
        <w:rPr>
          <w:i/>
          <w:noProof/>
        </w:rPr>
        <w:t xml:space="preserve"> </w:t>
      </w:r>
      <w:r w:rsidR="007933AC" w:rsidRPr="0099750B">
        <w:rPr>
          <w:noProof/>
        </w:rPr>
        <w:t xml:space="preserve">ďalšie lieky, povedzte to </w:t>
      </w:r>
      <w:r w:rsidR="00BB75DA" w:rsidRPr="0099750B">
        <w:rPr>
          <w:noProof/>
        </w:rPr>
        <w:t>svojmu</w:t>
      </w:r>
      <w:r w:rsidR="007933AC" w:rsidRPr="0099750B">
        <w:rPr>
          <w:noProof/>
        </w:rPr>
        <w:t xml:space="preserve"> </w:t>
      </w:r>
      <w:r w:rsidRPr="0099750B">
        <w:rPr>
          <w:noProof/>
        </w:rPr>
        <w:t>lekárovi alebo lekárnikovi, vrátane:</w:t>
      </w:r>
    </w:p>
    <w:p w14:paraId="7540399B" w14:textId="6D9DCA66" w:rsidR="001460D0" w:rsidRPr="0099750B" w:rsidRDefault="001460D0" w:rsidP="003777A4">
      <w:pPr>
        <w:pStyle w:val="Normlndoblokusodrkami"/>
      </w:pPr>
      <w:r w:rsidRPr="0099750B">
        <w:t xml:space="preserve">určitých liekov na liečbu depresie, ako sú inhibítory spätného vychytávania </w:t>
      </w:r>
      <w:r w:rsidR="00794BD7" w:rsidRPr="0099750B">
        <w:t>noradrenalínu-</w:t>
      </w:r>
      <w:r w:rsidRPr="0099750B">
        <w:t>dopamínu (NDRI) vrátane bupropiónu</w:t>
      </w:r>
    </w:p>
    <w:p w14:paraId="10008046" w14:textId="596A91A1" w:rsidR="001460D0" w:rsidRPr="0099750B" w:rsidRDefault="001460D0" w:rsidP="003777A4">
      <w:pPr>
        <w:pStyle w:val="Normlndoblokusodrkami"/>
      </w:pPr>
      <w:r w:rsidRPr="0099750B">
        <w:t>antipsychotík (lieky používané na liečbu porúch nálad, ako je haloperidol, tioridazín, perfenazín)</w:t>
      </w:r>
    </w:p>
    <w:p w14:paraId="7E45BC97" w14:textId="6861C0F3" w:rsidR="001460D0" w:rsidRPr="0099750B" w:rsidRDefault="001460D0" w:rsidP="003777A4">
      <w:pPr>
        <w:pStyle w:val="Normlndoblokusodrkami"/>
      </w:pPr>
      <w:r w:rsidRPr="0099750B">
        <w:t>antiarytmík (lieky používané na liečbu nepravidelného srdcového rytmu, ako je amiodarón, propafenón, ch</w:t>
      </w:r>
      <w:r w:rsidR="00794BD7" w:rsidRPr="0099750B">
        <w:t>i</w:t>
      </w:r>
      <w:r w:rsidRPr="0099750B">
        <w:t>nidín a flekainid)</w:t>
      </w:r>
    </w:p>
    <w:p w14:paraId="7F131254" w14:textId="093426F6" w:rsidR="001460D0" w:rsidRPr="0099750B" w:rsidRDefault="001460D0" w:rsidP="003777A4">
      <w:pPr>
        <w:pStyle w:val="Normlndoblokusodrkami"/>
      </w:pPr>
      <w:r w:rsidRPr="0099750B">
        <w:t xml:space="preserve">kalcimimetík (lieky používané na liečbu </w:t>
      </w:r>
      <w:r w:rsidR="00794BD7" w:rsidRPr="0099750B">
        <w:t>druhotne spôsobenej zvýšenej tvorby parathormónu (</w:t>
      </w:r>
      <w:r w:rsidRPr="0099750B">
        <w:t>hyperparat</w:t>
      </w:r>
      <w:r w:rsidR="00794BD7" w:rsidRPr="0099750B">
        <w:t>yreoidizmus)</w:t>
      </w:r>
      <w:r w:rsidRPr="0099750B">
        <w:t>, zvýšených hladín parathormónu, ako je cinakalcet)</w:t>
      </w:r>
    </w:p>
    <w:p w14:paraId="4848B36E" w14:textId="30C7686F" w:rsidR="001460D0" w:rsidRPr="0099750B" w:rsidRDefault="00E21DC6" w:rsidP="003777A4">
      <w:pPr>
        <w:pStyle w:val="Normlndoblokusodrkami"/>
      </w:pPr>
      <w:r w:rsidRPr="0099750B">
        <w:t xml:space="preserve">liekov proti plesniam </w:t>
      </w:r>
      <w:r w:rsidR="001460D0" w:rsidRPr="0099750B">
        <w:t>(terbinafín)</w:t>
      </w:r>
    </w:p>
    <w:p w14:paraId="49A176A9" w14:textId="6CFE4596" w:rsidR="001460D0" w:rsidRPr="0099750B" w:rsidRDefault="00E21DC6" w:rsidP="003777A4">
      <w:pPr>
        <w:pStyle w:val="Normlndoblokusodrkami"/>
      </w:pPr>
      <w:r w:rsidRPr="0099750B">
        <w:t xml:space="preserve">liekov na silnú bolesť- </w:t>
      </w:r>
      <w:r w:rsidR="001460D0" w:rsidRPr="0099750B">
        <w:t>opioidov (metad</w:t>
      </w:r>
      <w:r w:rsidRPr="0099750B">
        <w:t>ó</w:t>
      </w:r>
      <w:r w:rsidR="001460D0" w:rsidRPr="0099750B">
        <w:t>n)</w:t>
      </w:r>
    </w:p>
    <w:p w14:paraId="32ECF2CB" w14:textId="5A65F06D" w:rsidR="001460D0" w:rsidRPr="0099750B" w:rsidRDefault="001460D0" w:rsidP="003777A4">
      <w:pPr>
        <w:pStyle w:val="Normlndoblokusodrkami"/>
      </w:pPr>
      <w:r w:rsidRPr="0099750B">
        <w:t>antihistaminík (lieky používané na liečbu príznakov alergick</w:t>
      </w:r>
      <w:r w:rsidR="00E21DC6" w:rsidRPr="0099750B">
        <w:t>ých</w:t>
      </w:r>
      <w:r w:rsidRPr="0099750B">
        <w:t xml:space="preserve"> reakci</w:t>
      </w:r>
      <w:r w:rsidR="00E21DC6" w:rsidRPr="0099750B">
        <w:t>í</w:t>
      </w:r>
      <w:r w:rsidRPr="0099750B">
        <w:t>)</w:t>
      </w:r>
    </w:p>
    <w:p w14:paraId="75BFED1C" w14:textId="77777777" w:rsidR="00654187" w:rsidRPr="0099750B" w:rsidRDefault="00654187" w:rsidP="003777A4">
      <w:pPr>
        <w:pStyle w:val="Normlndobloku"/>
        <w:rPr>
          <w:noProof/>
        </w:rPr>
      </w:pPr>
    </w:p>
    <w:p w14:paraId="1D06E2DD" w14:textId="589C1241" w:rsidR="001460D0" w:rsidRPr="0099750B" w:rsidRDefault="00344C79" w:rsidP="003777A4">
      <w:pPr>
        <w:pStyle w:val="Normlndobloku"/>
        <w:rPr>
          <w:noProof/>
        </w:rPr>
      </w:pPr>
      <w:r w:rsidRPr="0099750B">
        <w:rPr>
          <w:noProof/>
        </w:rPr>
        <w:t xml:space="preserve">Ak </w:t>
      </w:r>
      <w:r w:rsidR="001460D0" w:rsidRPr="0099750B">
        <w:rPr>
          <w:noProof/>
        </w:rPr>
        <w:t>si</w:t>
      </w:r>
      <w:r w:rsidRPr="0099750B">
        <w:rPr>
          <w:noProof/>
        </w:rPr>
        <w:t xml:space="preserve"> nie ste istý, aké lieky užívate,</w:t>
      </w:r>
      <w:r w:rsidR="001460D0" w:rsidRPr="0099750B">
        <w:rPr>
          <w:noProof/>
        </w:rPr>
        <w:t xml:space="preserve"> uká</w:t>
      </w:r>
      <w:r w:rsidR="00B84AA9" w:rsidRPr="0099750B">
        <w:rPr>
          <w:noProof/>
        </w:rPr>
        <w:t>žte fľaš</w:t>
      </w:r>
      <w:r w:rsidRPr="0099750B">
        <w:rPr>
          <w:noProof/>
        </w:rPr>
        <w:t>ku</w:t>
      </w:r>
      <w:r w:rsidR="00B84AA9" w:rsidRPr="0099750B">
        <w:rPr>
          <w:noProof/>
        </w:rPr>
        <w:t xml:space="preserve"> alebo balenie</w:t>
      </w:r>
      <w:r w:rsidRPr="0099750B">
        <w:rPr>
          <w:noProof/>
        </w:rPr>
        <w:t xml:space="preserve"> lieku</w:t>
      </w:r>
      <w:r w:rsidR="00B84AA9" w:rsidRPr="0099750B">
        <w:rPr>
          <w:noProof/>
        </w:rPr>
        <w:t xml:space="preserve"> svoj</w:t>
      </w:r>
      <w:r w:rsidR="001460D0" w:rsidRPr="0099750B">
        <w:rPr>
          <w:noProof/>
        </w:rPr>
        <w:t>mu lekár</w:t>
      </w:r>
      <w:r w:rsidR="00600EED" w:rsidRPr="0099750B">
        <w:rPr>
          <w:noProof/>
        </w:rPr>
        <w:t>nikovi</w:t>
      </w:r>
      <w:r w:rsidR="001460D0" w:rsidRPr="0099750B">
        <w:rPr>
          <w:noProof/>
        </w:rPr>
        <w:t>.</w:t>
      </w:r>
    </w:p>
    <w:p w14:paraId="687B8228" w14:textId="482427DB" w:rsidR="001460D0" w:rsidRPr="0099750B" w:rsidRDefault="001460D0" w:rsidP="003777A4">
      <w:pPr>
        <w:pStyle w:val="Normlndobloku"/>
        <w:rPr>
          <w:noProof/>
        </w:rPr>
      </w:pPr>
      <w:r w:rsidRPr="0099750B">
        <w:rPr>
          <w:noProof/>
        </w:rPr>
        <w:t xml:space="preserve">Ak sa vás </w:t>
      </w:r>
      <w:r w:rsidR="00344C79" w:rsidRPr="0099750B">
        <w:rPr>
          <w:noProof/>
        </w:rPr>
        <w:t xml:space="preserve">teraz alebo v minulosti </w:t>
      </w:r>
      <w:r w:rsidRPr="0099750B">
        <w:rPr>
          <w:noProof/>
        </w:rPr>
        <w:t>týka</w:t>
      </w:r>
      <w:r w:rsidR="00344C79" w:rsidRPr="0099750B">
        <w:rPr>
          <w:noProof/>
        </w:rPr>
        <w:t>la niektorá vyššie uvedená situácia,</w:t>
      </w:r>
      <w:r w:rsidR="00A146F6" w:rsidRPr="0099750B">
        <w:rPr>
          <w:noProof/>
        </w:rPr>
        <w:t xml:space="preserve"> </w:t>
      </w:r>
      <w:r w:rsidRPr="0099750B">
        <w:rPr>
          <w:noProof/>
        </w:rPr>
        <w:t xml:space="preserve">poraďte sa </w:t>
      </w:r>
      <w:r w:rsidR="00B71097" w:rsidRPr="0099750B">
        <w:rPr>
          <w:noProof/>
        </w:rPr>
        <w:t xml:space="preserve">s </w:t>
      </w:r>
      <w:r w:rsidR="0056728C" w:rsidRPr="0099750B">
        <w:rPr>
          <w:noProof/>
        </w:rPr>
        <w:t>l</w:t>
      </w:r>
      <w:r w:rsidRPr="0099750B">
        <w:rPr>
          <w:noProof/>
        </w:rPr>
        <w:t>ekárom alebo lekárnikom.</w:t>
      </w:r>
    </w:p>
    <w:p w14:paraId="2136E67E" w14:textId="3239BC81" w:rsidR="001460D0" w:rsidRPr="0099750B" w:rsidRDefault="001460D0" w:rsidP="003777A4">
      <w:pPr>
        <w:pStyle w:val="Normlndobloku"/>
        <w:rPr>
          <w:noProof/>
        </w:rPr>
      </w:pPr>
      <w:r w:rsidRPr="0099750B">
        <w:rPr>
          <w:noProof/>
        </w:rPr>
        <w:t xml:space="preserve">Konzumácia alkoholu počas liečby </w:t>
      </w:r>
      <w:r w:rsidR="00F42CCB" w:rsidRPr="0099750B">
        <w:rPr>
          <w:noProof/>
        </w:rPr>
        <w:t>Dinarex</w:t>
      </w:r>
      <w:r w:rsidR="00344C79" w:rsidRPr="0099750B">
        <w:rPr>
          <w:noProof/>
        </w:rPr>
        <w:t>om</w:t>
      </w:r>
      <w:r w:rsidR="00B84AA9" w:rsidRPr="0099750B">
        <w:rPr>
          <w:noProof/>
        </w:rPr>
        <w:t xml:space="preserve"> môže zvýšiť výskyt </w:t>
      </w:r>
      <w:r w:rsidR="00344C79" w:rsidRPr="0099750B">
        <w:rPr>
          <w:noProof/>
        </w:rPr>
        <w:t xml:space="preserve">vedľajších </w:t>
      </w:r>
      <w:r w:rsidRPr="0099750B">
        <w:rPr>
          <w:noProof/>
        </w:rPr>
        <w:t>účinkov</w:t>
      </w:r>
      <w:r w:rsidR="00B84AA9" w:rsidRPr="0099750B">
        <w:rPr>
          <w:noProof/>
        </w:rPr>
        <w:t xml:space="preserve">. </w:t>
      </w:r>
      <w:r w:rsidR="00344C79" w:rsidRPr="0099750B">
        <w:rPr>
          <w:noProof/>
        </w:rPr>
        <w:t>P</w:t>
      </w:r>
      <w:r w:rsidR="00B84AA9" w:rsidRPr="0099750B">
        <w:rPr>
          <w:noProof/>
        </w:rPr>
        <w:t xml:space="preserve">očas liečby </w:t>
      </w:r>
      <w:r w:rsidR="00344C79" w:rsidRPr="0099750B">
        <w:rPr>
          <w:noProof/>
        </w:rPr>
        <w:t xml:space="preserve">je potrebné </w:t>
      </w:r>
      <w:r w:rsidR="00B84AA9" w:rsidRPr="0099750B">
        <w:rPr>
          <w:noProof/>
        </w:rPr>
        <w:t>vyhnúť</w:t>
      </w:r>
      <w:r w:rsidR="00344C79" w:rsidRPr="0099750B">
        <w:rPr>
          <w:noProof/>
        </w:rPr>
        <w:t xml:space="preserve"> sa</w:t>
      </w:r>
      <w:r w:rsidR="00B84AA9" w:rsidRPr="0099750B">
        <w:rPr>
          <w:noProof/>
        </w:rPr>
        <w:t xml:space="preserve"> konzumácii alkoholu.</w:t>
      </w:r>
    </w:p>
    <w:p w14:paraId="50DAD23A" w14:textId="77777777" w:rsidR="00654187" w:rsidRPr="0099750B" w:rsidRDefault="00654187" w:rsidP="003344FA">
      <w:pPr>
        <w:pStyle w:val="Styl2"/>
      </w:pPr>
    </w:p>
    <w:p w14:paraId="5FF95992" w14:textId="7CBC36E7" w:rsidR="007933AC" w:rsidRPr="0099750B" w:rsidRDefault="007933AC" w:rsidP="003344FA">
      <w:pPr>
        <w:pStyle w:val="Styl2"/>
      </w:pPr>
      <w:r w:rsidRPr="0099750B">
        <w:t>Tehotenstvo</w:t>
      </w:r>
      <w:r w:rsidR="00344C79" w:rsidRPr="0099750B">
        <w:t xml:space="preserve"> a</w:t>
      </w:r>
      <w:r w:rsidR="005F2F1E" w:rsidRPr="0099750B">
        <w:t> </w:t>
      </w:r>
      <w:r w:rsidR="00625A4D" w:rsidRPr="0099750B">
        <w:t>dojčenie</w:t>
      </w:r>
    </w:p>
    <w:p w14:paraId="7BEE2FA5" w14:textId="1E3C890E" w:rsidR="007933AC" w:rsidRPr="0099750B" w:rsidRDefault="007933AC" w:rsidP="003777A4">
      <w:pPr>
        <w:pStyle w:val="Normlndobloku"/>
        <w:rPr>
          <w:noProof/>
        </w:rPr>
      </w:pPr>
      <w:r w:rsidRPr="0099750B">
        <w:rPr>
          <w:noProof/>
        </w:rPr>
        <w:t xml:space="preserve">Ak </w:t>
      </w:r>
      <w:r w:rsidR="00B84AA9" w:rsidRPr="0099750B">
        <w:rPr>
          <w:noProof/>
        </w:rPr>
        <w:t>ste tehotná alebo dojčíte, ak si myslíte, že ste tehotná</w:t>
      </w:r>
      <w:r w:rsidR="00344C79" w:rsidRPr="0099750B">
        <w:rPr>
          <w:noProof/>
        </w:rPr>
        <w:t>,</w:t>
      </w:r>
      <w:r w:rsidR="00B84AA9" w:rsidRPr="0099750B">
        <w:rPr>
          <w:noProof/>
        </w:rPr>
        <w:t xml:space="preserve"> alebo ak plánujete otehotnieť, poraďte sa so svojím</w:t>
      </w:r>
      <w:r w:rsidRPr="0099750B">
        <w:rPr>
          <w:noProof/>
        </w:rPr>
        <w:t xml:space="preserve"> lekárom alebo lekárnikom predtým, ako začne</w:t>
      </w:r>
      <w:r w:rsidR="00344C79" w:rsidRPr="0099750B">
        <w:rPr>
          <w:noProof/>
        </w:rPr>
        <w:t>te</w:t>
      </w:r>
      <w:r w:rsidRPr="0099750B">
        <w:rPr>
          <w:noProof/>
        </w:rPr>
        <w:t xml:space="preserve"> užívať tento liek.</w:t>
      </w:r>
    </w:p>
    <w:p w14:paraId="5EF8368B" w14:textId="77777777" w:rsidR="00654187" w:rsidRPr="0099750B" w:rsidRDefault="00654187" w:rsidP="003344FA">
      <w:pPr>
        <w:pStyle w:val="Styl2"/>
      </w:pPr>
    </w:p>
    <w:p w14:paraId="151A60B8" w14:textId="270D78A7" w:rsidR="007933AC" w:rsidRPr="0099750B" w:rsidRDefault="00625A4D" w:rsidP="003344FA">
      <w:pPr>
        <w:pStyle w:val="Styl2"/>
      </w:pPr>
      <w:r w:rsidRPr="0099750B">
        <w:t>Vedenie vozidiel a obsluha strojov</w:t>
      </w:r>
    </w:p>
    <w:p w14:paraId="66469E39" w14:textId="5B932D0F" w:rsidR="008D17F9" w:rsidRPr="0099750B" w:rsidRDefault="008D17F9" w:rsidP="003777A4">
      <w:pPr>
        <w:pStyle w:val="Normlndobloku"/>
      </w:pPr>
      <w:r w:rsidRPr="0099750B">
        <w:t>Tento liek môže ovplyvniť vašu schopnosť viesť vozidl</w:t>
      </w:r>
      <w:r w:rsidR="00CD348C" w:rsidRPr="0099750B">
        <w:t>á</w:t>
      </w:r>
      <w:r w:rsidRPr="0099750B">
        <w:t>.</w:t>
      </w:r>
    </w:p>
    <w:p w14:paraId="1A541745" w14:textId="6E347B3A" w:rsidR="007933AC" w:rsidRPr="0099750B" w:rsidRDefault="008D17F9" w:rsidP="003777A4">
      <w:pPr>
        <w:pStyle w:val="Normlndobloku"/>
      </w:pPr>
      <w:r w:rsidRPr="0099750B">
        <w:t>Počas užívania tohto lieku neveďte vozidl</w:t>
      </w:r>
      <w:r w:rsidR="00CD348C" w:rsidRPr="0099750B">
        <w:t>á</w:t>
      </w:r>
      <w:r w:rsidRPr="0099750B">
        <w:t xml:space="preserve">, </w:t>
      </w:r>
      <w:r w:rsidR="00CD348C" w:rsidRPr="0099750B">
        <w:t xml:space="preserve">kým </w:t>
      </w:r>
      <w:r w:rsidRPr="0099750B">
        <w:t xml:space="preserve">nebudete vedieť, ako na vás tento liek </w:t>
      </w:r>
      <w:r w:rsidR="00CD348C" w:rsidRPr="0099750B">
        <w:t>pôsobí</w:t>
      </w:r>
      <w:r w:rsidR="007933AC" w:rsidRPr="0099750B">
        <w:t>.</w:t>
      </w:r>
    </w:p>
    <w:p w14:paraId="3370CD2A" w14:textId="77777777" w:rsidR="00DE5312" w:rsidRPr="0099750B" w:rsidRDefault="00DE5312" w:rsidP="00DE5312">
      <w:pPr>
        <w:pStyle w:val="Styl2"/>
      </w:pPr>
    </w:p>
    <w:p w14:paraId="1F106155" w14:textId="34ADDD96" w:rsidR="00DE5312" w:rsidRPr="0099750B" w:rsidRDefault="00DE5312" w:rsidP="003777A4">
      <w:pPr>
        <w:pStyle w:val="Styl2"/>
      </w:pPr>
      <w:r w:rsidRPr="0099750B">
        <w:t>D</w:t>
      </w:r>
      <w:r w:rsidRPr="0099750B">
        <w:rPr>
          <w:rFonts w:hint="eastAsia"/>
        </w:rPr>
        <w:t>ô</w:t>
      </w:r>
      <w:r w:rsidRPr="0099750B">
        <w:t>le</w:t>
      </w:r>
      <w:r w:rsidRPr="0099750B">
        <w:rPr>
          <w:rFonts w:hint="eastAsia"/>
        </w:rPr>
        <w:t>ž</w:t>
      </w:r>
      <w:r w:rsidRPr="0099750B">
        <w:t>it</w:t>
      </w:r>
      <w:r w:rsidRPr="0099750B">
        <w:rPr>
          <w:rFonts w:hint="eastAsia"/>
        </w:rPr>
        <w:t>é</w:t>
      </w:r>
      <w:r w:rsidRPr="0099750B">
        <w:t xml:space="preserve"> inform</w:t>
      </w:r>
      <w:r w:rsidRPr="0099750B">
        <w:rPr>
          <w:rFonts w:hint="eastAsia"/>
        </w:rPr>
        <w:t>á</w:t>
      </w:r>
      <w:r w:rsidRPr="0099750B">
        <w:t>cie o niektor</w:t>
      </w:r>
      <w:r w:rsidRPr="0099750B">
        <w:rPr>
          <w:rFonts w:hint="eastAsia"/>
        </w:rPr>
        <w:t>ý</w:t>
      </w:r>
      <w:r w:rsidRPr="0099750B">
        <w:t>ch zlo</w:t>
      </w:r>
      <w:r w:rsidRPr="0099750B">
        <w:rPr>
          <w:rFonts w:hint="eastAsia"/>
        </w:rPr>
        <w:t>ž</w:t>
      </w:r>
      <w:r w:rsidRPr="0099750B">
        <w:t>k</w:t>
      </w:r>
      <w:r w:rsidRPr="0099750B">
        <w:rPr>
          <w:rFonts w:hint="eastAsia"/>
        </w:rPr>
        <w:t>á</w:t>
      </w:r>
      <w:r w:rsidRPr="0099750B">
        <w:t>ch lieku Dinarex</w:t>
      </w:r>
    </w:p>
    <w:p w14:paraId="79B349A2" w14:textId="77777777" w:rsidR="00DE5312" w:rsidRPr="0099750B" w:rsidRDefault="00DE5312" w:rsidP="003344FA">
      <w:pPr>
        <w:pStyle w:val="Styl2"/>
      </w:pPr>
    </w:p>
    <w:p w14:paraId="54AA10ED" w14:textId="0B91C318" w:rsidR="00303481" w:rsidRPr="0099750B" w:rsidRDefault="00F42CCB" w:rsidP="003344FA">
      <w:pPr>
        <w:pStyle w:val="Styl2"/>
      </w:pPr>
      <w:r w:rsidRPr="0099750B">
        <w:t>Dinarex</w:t>
      </w:r>
      <w:r w:rsidR="007933AC" w:rsidRPr="0099750B">
        <w:t xml:space="preserve"> obsahuje sacharózu</w:t>
      </w:r>
      <w:r w:rsidR="008D17F9" w:rsidRPr="0099750B">
        <w:t xml:space="preserve">, </w:t>
      </w:r>
      <w:r w:rsidR="00DE5312" w:rsidRPr="0099750B">
        <w:t xml:space="preserve">roztok </w:t>
      </w:r>
      <w:proofErr w:type="spellStart"/>
      <w:r w:rsidR="008D17F9" w:rsidRPr="0099750B">
        <w:t>sorbitol</w:t>
      </w:r>
      <w:r w:rsidR="00DE5312" w:rsidRPr="0099750B">
        <w:t>u</w:t>
      </w:r>
      <w:proofErr w:type="spellEnd"/>
      <w:r w:rsidR="008D17F9" w:rsidRPr="0099750B">
        <w:t>,</w:t>
      </w:r>
      <w:r w:rsidR="00DE5312" w:rsidRPr="0099750B">
        <w:t xml:space="preserve"> roztok </w:t>
      </w:r>
      <w:r w:rsidR="008D17F9" w:rsidRPr="0099750B">
        <w:t>glukóz</w:t>
      </w:r>
      <w:r w:rsidR="00DE5312" w:rsidRPr="0099750B">
        <w:t>y</w:t>
      </w:r>
      <w:r w:rsidR="008D17F9" w:rsidRPr="0099750B">
        <w:t>, etanol</w:t>
      </w:r>
      <w:r w:rsidR="008A7596" w:rsidRPr="0099750B">
        <w:t>, </w:t>
      </w:r>
      <w:r w:rsidR="008D17F9" w:rsidRPr="0099750B">
        <w:t>sodík</w:t>
      </w:r>
      <w:r w:rsidR="008A7596" w:rsidRPr="0099750B">
        <w:t xml:space="preserve">, </w:t>
      </w:r>
      <w:proofErr w:type="spellStart"/>
      <w:r w:rsidR="008A7596" w:rsidRPr="0099750B">
        <w:t>benzoan</w:t>
      </w:r>
      <w:proofErr w:type="spellEnd"/>
      <w:r w:rsidR="008A7596" w:rsidRPr="0099750B">
        <w:t xml:space="preserve"> sodný, propylénglykol, a</w:t>
      </w:r>
      <w:r w:rsidR="00795051" w:rsidRPr="0099750B">
        <w:t> </w:t>
      </w:r>
      <w:r w:rsidR="008A7596" w:rsidRPr="0099750B">
        <w:t>benzylalkohol</w:t>
      </w:r>
      <w:r w:rsidR="00795051" w:rsidRPr="0099750B">
        <w:t>.</w:t>
      </w:r>
    </w:p>
    <w:p w14:paraId="5AB2C379" w14:textId="77777777" w:rsidR="008A7596" w:rsidRPr="0099750B" w:rsidRDefault="008A7596" w:rsidP="003344FA">
      <w:pPr>
        <w:pStyle w:val="Styl2"/>
      </w:pPr>
    </w:p>
    <w:p w14:paraId="1B584727" w14:textId="22D0F3E2" w:rsidR="00303481" w:rsidRPr="0099750B" w:rsidRDefault="00F42CCB" w:rsidP="003777A4">
      <w:pPr>
        <w:pStyle w:val="Normlndobloku"/>
      </w:pPr>
      <w:r w:rsidRPr="0099750B">
        <w:t>Dinarex</w:t>
      </w:r>
      <w:r w:rsidR="008D17F9" w:rsidRPr="0099750B">
        <w:t xml:space="preserve"> obsahuje 3,25 g sacharózy, 3,95 g glukózy a 0,65 g sorbitolu v jednej dávke. </w:t>
      </w:r>
      <w:r w:rsidR="00303481" w:rsidRPr="0099750B">
        <w:t>Ak vám váš lekár povedal, že neznášate niektoré cukry, kontaktujte svojho le</w:t>
      </w:r>
      <w:r w:rsidR="007933AC" w:rsidRPr="0099750B">
        <w:t>kára ešte pred užitím tohto lieku</w:t>
      </w:r>
      <w:r w:rsidR="00303481" w:rsidRPr="0099750B">
        <w:t>.</w:t>
      </w:r>
    </w:p>
    <w:p w14:paraId="5832FDB6" w14:textId="2C04B7CB" w:rsidR="008A7596" w:rsidRPr="0099750B" w:rsidRDefault="008A7596" w:rsidP="003777A4">
      <w:pPr>
        <w:pStyle w:val="Normlndobloku"/>
      </w:pPr>
    </w:p>
    <w:p w14:paraId="458F631A" w14:textId="70B30C24" w:rsidR="00DE5312" w:rsidRPr="0099750B" w:rsidRDefault="00DE5312" w:rsidP="003777A4">
      <w:pPr>
        <w:pStyle w:val="Normlndobloku"/>
        <w:rPr>
          <w:noProof/>
        </w:rPr>
      </w:pPr>
      <w:r w:rsidRPr="0099750B">
        <w:rPr>
          <w:noProof/>
        </w:rPr>
        <w:lastRenderedPageBreak/>
        <w:t>Tento liek obsahuje 3,25 g sacharózy v jednej 10 ml dávke. Ak vám váš lekár povedal, že neznášate niektoré</w:t>
      </w:r>
      <w:r w:rsidR="0059595A" w:rsidRPr="0099750B">
        <w:rPr>
          <w:noProof/>
        </w:rPr>
        <w:t xml:space="preserve"> </w:t>
      </w:r>
      <w:r w:rsidRPr="0099750B">
        <w:rPr>
          <w:noProof/>
        </w:rPr>
        <w:t>cukry, kontaktujte svojho lekára pred užitím tohto lieku. Musí sa to vziať do úvahy u pacientov s diabetes mellitus.</w:t>
      </w:r>
    </w:p>
    <w:p w14:paraId="07111CF3" w14:textId="77777777" w:rsidR="00DE5312" w:rsidRPr="0099750B" w:rsidRDefault="00DE5312" w:rsidP="003777A4">
      <w:pPr>
        <w:pStyle w:val="Normlndobloku"/>
      </w:pPr>
    </w:p>
    <w:p w14:paraId="416D31D9" w14:textId="24041132" w:rsidR="00DE5312" w:rsidRPr="0099750B" w:rsidRDefault="00DE5312" w:rsidP="003777A4">
      <w:pPr>
        <w:pStyle w:val="Normlndobloku"/>
        <w:rPr>
          <w:noProof/>
        </w:rPr>
      </w:pPr>
      <w:r w:rsidRPr="0099750B">
        <w:rPr>
          <w:noProof/>
        </w:rPr>
        <w:t>Tento liek obsahuje 0,65 g sorbitolu v jednej 10 ml dávke. Sorbitol je zdrojom fruktózy. Ak vám (alebo vášmu dieťaťu) lekár povedal, že neznášate niektoré cukry, alebo ak vám bola diagnostikovaná dedičná neznášanlivosť fruktózy (skratka HFI, z anglického hereditary fructose intolerance), zriedkavé</w:t>
      </w:r>
    </w:p>
    <w:p w14:paraId="598C95B9" w14:textId="2C174B18" w:rsidR="00DE5312" w:rsidRPr="0099750B" w:rsidRDefault="00DE5312" w:rsidP="003777A4">
      <w:pPr>
        <w:pStyle w:val="Normlndobloku"/>
        <w:rPr>
          <w:noProof/>
        </w:rPr>
      </w:pPr>
      <w:r w:rsidRPr="0099750B">
        <w:rPr>
          <w:noProof/>
        </w:rPr>
        <w:t>genetické ochorenie, pri ktorom človek nedokáže spracovať fruktózu, obráťte sa na svojho lekára</w:t>
      </w:r>
      <w:r w:rsidR="0059595A" w:rsidRPr="0099750B">
        <w:rPr>
          <w:noProof/>
        </w:rPr>
        <w:t xml:space="preserve"> </w:t>
      </w:r>
      <w:r w:rsidRPr="0099750B">
        <w:rPr>
          <w:noProof/>
        </w:rPr>
        <w:t>predtým, ako vy (alebo vaše dieťa) užijete alebo dostanete tento liek.</w:t>
      </w:r>
    </w:p>
    <w:p w14:paraId="5B67F72B" w14:textId="77777777" w:rsidR="0059595A" w:rsidRPr="0099750B" w:rsidRDefault="0059595A" w:rsidP="003777A4">
      <w:pPr>
        <w:pStyle w:val="Normlndobloku"/>
        <w:rPr>
          <w:noProof/>
        </w:rPr>
      </w:pPr>
    </w:p>
    <w:p w14:paraId="59F25EC0" w14:textId="40C56B52" w:rsidR="0059595A" w:rsidRPr="00FB6F28" w:rsidRDefault="0059595A" w:rsidP="003777A4">
      <w:pPr>
        <w:pStyle w:val="Normlndobloku"/>
        <w:rPr>
          <w:noProof/>
        </w:rPr>
      </w:pPr>
      <w:r w:rsidRPr="0099750B">
        <w:rPr>
          <w:noProof/>
        </w:rPr>
        <w:t>Tento liek obsahuje 3,95 g glukózy v jednej 10 ml dávke. Ak vám váš lekár povedal, že neznášate niektoré cukry, kontaktujte svojho lekára pred užitím tohto lieku. Musí sa to vziať do úvahy u pacientov s diabetes mellitus.</w:t>
      </w:r>
    </w:p>
    <w:p w14:paraId="7C7A6B22" w14:textId="77777777" w:rsidR="00DE5312" w:rsidRPr="0099750B" w:rsidRDefault="00DE5312" w:rsidP="003777A4">
      <w:pPr>
        <w:pStyle w:val="Normlndobloku"/>
        <w:rPr>
          <w:noProof/>
        </w:rPr>
      </w:pPr>
    </w:p>
    <w:p w14:paraId="1E7F342C" w14:textId="4CB8C80B" w:rsidR="008A7596" w:rsidRPr="00FB6F28" w:rsidRDefault="008A7596" w:rsidP="003777A4">
      <w:pPr>
        <w:pStyle w:val="Normlndobloku"/>
      </w:pPr>
      <w:r w:rsidRPr="0099750B">
        <w:t xml:space="preserve">Tento liek obsahuje 503 mg alkoholu (etanol) </w:t>
      </w:r>
      <w:r w:rsidR="0059595A" w:rsidRPr="0099750B">
        <w:t>v jednej 10 ml dávke</w:t>
      </w:r>
      <w:r w:rsidRPr="0099750B">
        <w:t>, čo zodpovedá 5,03  obj</w:t>
      </w:r>
      <w:r w:rsidR="00BA1DD2" w:rsidRPr="0099750B">
        <w:t>.</w:t>
      </w:r>
      <w:r w:rsidRPr="0099750B">
        <w:t> %</w:t>
      </w:r>
      <w:r w:rsidR="0059595A" w:rsidRPr="0099750B">
        <w:t xml:space="preserve"> alkoholu</w:t>
      </w:r>
      <w:r w:rsidRPr="0099750B">
        <w:t xml:space="preserve">. Množstvo alkoholu </w:t>
      </w:r>
      <w:r w:rsidR="0059595A" w:rsidRPr="0099750B">
        <w:t xml:space="preserve">v jednej 10 ml dávke </w:t>
      </w:r>
      <w:r w:rsidRPr="0099750B">
        <w:t xml:space="preserve">tohoto lieku zodpovedá menej </w:t>
      </w:r>
      <w:r w:rsidR="00854C88" w:rsidRPr="0099750B">
        <w:t>ako</w:t>
      </w:r>
      <w:r w:rsidRPr="0099750B">
        <w:t xml:space="preserve"> 10 ml piva alebo 4,2 ml vína. Malé množstvo alkoholu v tomto lieku nemá žiadny pozorovateľný vplyv.</w:t>
      </w:r>
    </w:p>
    <w:p w14:paraId="4B600279" w14:textId="77777777" w:rsidR="0059595A" w:rsidRPr="0099750B" w:rsidRDefault="0059595A" w:rsidP="003777A4">
      <w:pPr>
        <w:pStyle w:val="Normlndobloku"/>
        <w:rPr>
          <w:noProof/>
        </w:rPr>
      </w:pPr>
    </w:p>
    <w:p w14:paraId="706830E2" w14:textId="67DF2702" w:rsidR="0059595A" w:rsidRPr="0099750B" w:rsidRDefault="00096EE6" w:rsidP="003777A4">
      <w:pPr>
        <w:pStyle w:val="Normlndobloku"/>
        <w:rPr>
          <w:noProof/>
        </w:rPr>
      </w:pPr>
      <w:r w:rsidRPr="0099750B">
        <w:rPr>
          <w:noProof/>
        </w:rPr>
        <w:t>Tento liek obsahuje menej ako 1 mmol sodíka (23 mg) v dávke, t.j. </w:t>
      </w:r>
      <w:r w:rsidR="00E048A4" w:rsidRPr="0099750B">
        <w:rPr>
          <w:noProof/>
        </w:rPr>
        <w:t>v podstate zanedbateľné množstvo sodíka.</w:t>
      </w:r>
    </w:p>
    <w:p w14:paraId="6EFE4AE1" w14:textId="77777777" w:rsidR="00A3486E" w:rsidRPr="0099750B" w:rsidRDefault="00A3486E" w:rsidP="003777A4">
      <w:pPr>
        <w:pStyle w:val="Normlndobloku"/>
        <w:rPr>
          <w:noProof/>
        </w:rPr>
      </w:pPr>
    </w:p>
    <w:p w14:paraId="5A8D9617" w14:textId="55831569" w:rsidR="00A3486E" w:rsidRPr="0099750B" w:rsidRDefault="00A3486E" w:rsidP="003777A4">
      <w:pPr>
        <w:pStyle w:val="Normlndobloku"/>
      </w:pPr>
      <w:r w:rsidRPr="0099750B">
        <w:t>Tento liek obsahuje 6</w:t>
      </w:r>
      <w:r w:rsidR="003344FA" w:rsidRPr="0099750B">
        <w:t> </w:t>
      </w:r>
      <w:r w:rsidRPr="0099750B">
        <w:t xml:space="preserve">mg benzoanu sodného </w:t>
      </w:r>
      <w:r w:rsidR="0059595A" w:rsidRPr="0099750B">
        <w:t>v jednej 10 ml dávke</w:t>
      </w:r>
      <w:r w:rsidRPr="0099750B">
        <w:t>.</w:t>
      </w:r>
    </w:p>
    <w:p w14:paraId="71D53107" w14:textId="77777777" w:rsidR="0059595A" w:rsidRPr="0099750B" w:rsidRDefault="0059595A" w:rsidP="003777A4">
      <w:pPr>
        <w:pStyle w:val="Normlndobloku"/>
      </w:pPr>
    </w:p>
    <w:p w14:paraId="04C3CE2B" w14:textId="5F2068E8" w:rsidR="00A3486E" w:rsidRPr="0099750B" w:rsidRDefault="00A3486E" w:rsidP="003777A4">
      <w:pPr>
        <w:pStyle w:val="Normlndobloku"/>
      </w:pPr>
      <w:r w:rsidRPr="0099750B">
        <w:t>Tento liek obsahuje 26,52 mg propylénglykolu</w:t>
      </w:r>
      <w:r w:rsidR="003327FE" w:rsidRPr="0099750B">
        <w:t xml:space="preserve"> (E1520)</w:t>
      </w:r>
      <w:r w:rsidRPr="0099750B">
        <w:t xml:space="preserve"> </w:t>
      </w:r>
      <w:r w:rsidR="0059595A" w:rsidRPr="0099750B">
        <w:t>v jednej 10 ml dávke</w:t>
      </w:r>
      <w:r w:rsidRPr="0099750B">
        <w:t xml:space="preserve">. </w:t>
      </w:r>
    </w:p>
    <w:p w14:paraId="4B582E1A" w14:textId="77777777" w:rsidR="0059595A" w:rsidRPr="0099750B" w:rsidRDefault="0059595A" w:rsidP="003777A4">
      <w:pPr>
        <w:pStyle w:val="Normlndobloku"/>
      </w:pPr>
    </w:p>
    <w:p w14:paraId="66C90AFB" w14:textId="029A3CB2" w:rsidR="00A3486E" w:rsidRPr="00FB6F28" w:rsidRDefault="00A3486E" w:rsidP="003777A4">
      <w:pPr>
        <w:pStyle w:val="Normlndobloku"/>
      </w:pPr>
      <w:r w:rsidRPr="0099750B">
        <w:t xml:space="preserve">Tento liek obsahuje </w:t>
      </w:r>
      <w:r w:rsidR="0059595A" w:rsidRPr="0099750B">
        <w:t xml:space="preserve">v jednej 10 ml dávke </w:t>
      </w:r>
      <w:r w:rsidRPr="0099750B">
        <w:t xml:space="preserve">zanedbateľné množstvo benzylalkoholu ako súčasť látok zvýrazňujúcich chuť a vôňu. Benzylalkohol môže spôsobiť alergické reakcie. </w:t>
      </w:r>
    </w:p>
    <w:p w14:paraId="323A8F68" w14:textId="77777777" w:rsidR="00F73A63" w:rsidRPr="0099750B" w:rsidRDefault="00F73A63" w:rsidP="003777A4">
      <w:pPr>
        <w:pStyle w:val="Normlndobloku"/>
        <w:rPr>
          <w:noProof/>
        </w:rPr>
      </w:pPr>
    </w:p>
    <w:p w14:paraId="24AE6661" w14:textId="75017162" w:rsidR="00303481" w:rsidRPr="0099750B" w:rsidRDefault="003606AA" w:rsidP="00F50AFB">
      <w:pPr>
        <w:pStyle w:val="Styl1"/>
        <w:numPr>
          <w:ilvl w:val="0"/>
          <w:numId w:val="1"/>
        </w:numPr>
        <w:spacing w:before="0" w:after="0"/>
        <w:rPr>
          <w:szCs w:val="22"/>
        </w:rPr>
      </w:pPr>
      <w:bookmarkStart w:id="2" w:name="_Toc443314745"/>
      <w:r w:rsidRPr="0099750B">
        <w:rPr>
          <w:caps w:val="0"/>
          <w:szCs w:val="22"/>
        </w:rPr>
        <w:t xml:space="preserve">Ako užívať </w:t>
      </w:r>
      <w:r w:rsidR="00F42CCB" w:rsidRPr="0099750B">
        <w:rPr>
          <w:szCs w:val="22"/>
        </w:rPr>
        <w:t>D</w:t>
      </w:r>
      <w:r w:rsidR="00F42CCB" w:rsidRPr="0099750B">
        <w:rPr>
          <w:caps w:val="0"/>
          <w:szCs w:val="22"/>
        </w:rPr>
        <w:t>inarex</w:t>
      </w:r>
      <w:bookmarkEnd w:id="2"/>
    </w:p>
    <w:p w14:paraId="79C05158" w14:textId="77777777" w:rsidR="00654187" w:rsidRPr="0099750B" w:rsidRDefault="00654187" w:rsidP="003777A4">
      <w:pPr>
        <w:pStyle w:val="Normlndobloku"/>
        <w:rPr>
          <w:noProof/>
        </w:rPr>
      </w:pPr>
    </w:p>
    <w:p w14:paraId="519A6E74" w14:textId="2F58031D" w:rsidR="00303481" w:rsidRPr="0099750B" w:rsidRDefault="00303481" w:rsidP="003777A4">
      <w:pPr>
        <w:pStyle w:val="Normlndobloku"/>
        <w:rPr>
          <w:noProof/>
        </w:rPr>
      </w:pPr>
      <w:r w:rsidRPr="0099750B">
        <w:rPr>
          <w:noProof/>
        </w:rPr>
        <w:t>Vždy užívajte tento liek presne tak, ako vám povedal váš lekár</w:t>
      </w:r>
      <w:r w:rsidR="00096EE6" w:rsidRPr="0099750B">
        <w:rPr>
          <w:noProof/>
        </w:rPr>
        <w:t xml:space="preserve"> alebo lekárnik</w:t>
      </w:r>
      <w:r w:rsidRPr="0099750B">
        <w:rPr>
          <w:noProof/>
        </w:rPr>
        <w:t>. Ak si nie ste niečím istý, overte si to u svojho lekára alebo lekárnika.</w:t>
      </w:r>
    </w:p>
    <w:p w14:paraId="61FDA5F0" w14:textId="77777777" w:rsidR="00654187" w:rsidRPr="0099750B" w:rsidRDefault="00654187" w:rsidP="003777A4">
      <w:pPr>
        <w:pStyle w:val="Normlndobloku"/>
        <w:rPr>
          <w:noProof/>
        </w:rPr>
      </w:pPr>
    </w:p>
    <w:p w14:paraId="524011B6" w14:textId="4D536330" w:rsidR="00C45AE1" w:rsidRPr="0099750B" w:rsidRDefault="00096EE6" w:rsidP="003777A4">
      <w:pPr>
        <w:pStyle w:val="Normlndobloku"/>
        <w:rPr>
          <w:noProof/>
        </w:rPr>
      </w:pPr>
      <w:r w:rsidRPr="0099750B">
        <w:rPr>
          <w:noProof/>
        </w:rPr>
        <w:t>Nižšie je uvedené, koľko lieku máte užívať.</w:t>
      </w:r>
    </w:p>
    <w:p w14:paraId="13111217" w14:textId="11D0F216" w:rsidR="00096EE6" w:rsidRPr="0099750B" w:rsidRDefault="00096EE6" w:rsidP="003777A4">
      <w:pPr>
        <w:pStyle w:val="Normlndoblokusodrkami"/>
      </w:pPr>
      <w:r w:rsidRPr="0099750B">
        <w:t xml:space="preserve">Iba na </w:t>
      </w:r>
      <w:r w:rsidR="005B44F1" w:rsidRPr="0099750B">
        <w:t xml:space="preserve">perorálne </w:t>
      </w:r>
      <w:r w:rsidR="006F42C3" w:rsidRPr="0099750B">
        <w:t>použitie</w:t>
      </w:r>
      <w:r w:rsidR="005B44F1" w:rsidRPr="0099750B">
        <w:t xml:space="preserve"> (ústami)</w:t>
      </w:r>
      <w:r w:rsidR="006F42C3" w:rsidRPr="0099750B">
        <w:t>.</w:t>
      </w:r>
    </w:p>
    <w:p w14:paraId="0F5351C6" w14:textId="03537AD1" w:rsidR="00096EE6" w:rsidRPr="0099750B" w:rsidRDefault="00096EE6" w:rsidP="003777A4">
      <w:pPr>
        <w:pStyle w:val="Normlndoblokusodrkami"/>
      </w:pPr>
      <w:r w:rsidRPr="0099750B">
        <w:t>Neužívajte viac ako sú určené dávky podľa pokynov uvedených nižšie.</w:t>
      </w:r>
    </w:p>
    <w:p w14:paraId="10EFB42E" w14:textId="2D7A5CB1" w:rsidR="00096EE6" w:rsidRPr="0099750B" w:rsidRDefault="00096EE6" w:rsidP="003777A4">
      <w:pPr>
        <w:pStyle w:val="Normlndoblokusodrkami"/>
      </w:pPr>
      <w:r w:rsidRPr="0099750B">
        <w:t>Neužívajte viac ako 4 dávky počas 24 hodín.</w:t>
      </w:r>
    </w:p>
    <w:p w14:paraId="423D21A8" w14:textId="2DA1BD01" w:rsidR="00096EE6" w:rsidRPr="0099750B" w:rsidRDefault="00096EE6" w:rsidP="003777A4">
      <w:pPr>
        <w:pStyle w:val="Normlndoblokusodrkami"/>
      </w:pPr>
      <w:r w:rsidRPr="0099750B">
        <w:t>Maximálna dĺžka liečby bez lekárskeho odporúčania je 1 týždeň.</w:t>
      </w:r>
    </w:p>
    <w:p w14:paraId="79092015" w14:textId="513B91E6" w:rsidR="00096EE6" w:rsidRPr="0099750B" w:rsidRDefault="006F42C3" w:rsidP="003777A4">
      <w:pPr>
        <w:pStyle w:val="Normlndoblokusodrkami"/>
      </w:pPr>
      <w:r w:rsidRPr="0099750B">
        <w:t xml:space="preserve">Ak </w:t>
      </w:r>
      <w:r w:rsidR="00096EE6" w:rsidRPr="0099750B">
        <w:t>príznaky pretrvávajú alebo sa po 3 – 5 dňoch zhorš</w:t>
      </w:r>
      <w:r w:rsidRPr="0099750B">
        <w:t>ia</w:t>
      </w:r>
      <w:r w:rsidR="00096EE6" w:rsidRPr="0099750B">
        <w:t>, poraďte sa so svojím lekárom alebo lekárnikom.</w:t>
      </w:r>
    </w:p>
    <w:p w14:paraId="0DA0C1CC" w14:textId="77777777" w:rsidR="00654187" w:rsidRPr="0099750B" w:rsidRDefault="00654187" w:rsidP="003777A4">
      <w:pPr>
        <w:pStyle w:val="Normlndobloku"/>
        <w:rPr>
          <w:noProof/>
        </w:rPr>
      </w:pPr>
    </w:p>
    <w:p w14:paraId="56E0088C" w14:textId="3AD612E9" w:rsidR="00096EE6" w:rsidRPr="0099750B" w:rsidRDefault="00096EE6" w:rsidP="003777A4">
      <w:pPr>
        <w:pStyle w:val="Normlndobloku"/>
        <w:rPr>
          <w:noProof/>
        </w:rPr>
      </w:pPr>
      <w:r w:rsidRPr="0099750B">
        <w:rPr>
          <w:noProof/>
        </w:rPr>
        <w:t>Odporúčané dávky sú:</w:t>
      </w:r>
    </w:p>
    <w:p w14:paraId="00105530" w14:textId="77777777" w:rsidR="00654187" w:rsidRPr="0099750B" w:rsidRDefault="00654187" w:rsidP="003777A4">
      <w:pPr>
        <w:pStyle w:val="Normlndobloku"/>
        <w:rPr>
          <w:noProof/>
        </w:rPr>
      </w:pPr>
    </w:p>
    <w:p w14:paraId="47708E9F" w14:textId="77777777" w:rsidR="00096EE6" w:rsidRPr="0099750B" w:rsidRDefault="00096EE6" w:rsidP="00795051">
      <w:pPr>
        <w:pStyle w:val="Styl2-2"/>
        <w:rPr>
          <w:noProof/>
        </w:rPr>
      </w:pPr>
      <w:r w:rsidRPr="0099750B">
        <w:rPr>
          <w:noProof/>
        </w:rPr>
        <w:t>Dospelí</w:t>
      </w:r>
    </w:p>
    <w:p w14:paraId="0CBBCCB7" w14:textId="43CDF5C0" w:rsidR="00096EE6" w:rsidRPr="0099750B" w:rsidRDefault="00096EE6" w:rsidP="003777A4">
      <w:pPr>
        <w:pStyle w:val="Normlndobloku"/>
        <w:rPr>
          <w:noProof/>
        </w:rPr>
      </w:pPr>
      <w:r w:rsidRPr="0099750B">
        <w:rPr>
          <w:noProof/>
        </w:rPr>
        <w:t>10 ml sirupu (15 mg dextrometorfánu) 4-krát denne</w:t>
      </w:r>
      <w:r w:rsidR="006F42C3" w:rsidRPr="0099750B">
        <w:rPr>
          <w:noProof/>
        </w:rPr>
        <w:t>.</w:t>
      </w:r>
    </w:p>
    <w:p w14:paraId="0F98AD69" w14:textId="77777777" w:rsidR="006F42C3" w:rsidRPr="0099750B" w:rsidRDefault="006F42C3" w:rsidP="003777A4">
      <w:pPr>
        <w:pStyle w:val="Normlndobloku"/>
        <w:rPr>
          <w:noProof/>
        </w:rPr>
      </w:pPr>
    </w:p>
    <w:p w14:paraId="4523668C" w14:textId="1AA0C670" w:rsidR="00096EE6" w:rsidRPr="0099750B" w:rsidRDefault="00096EE6" w:rsidP="00795051">
      <w:pPr>
        <w:pStyle w:val="Styl2-2"/>
        <w:rPr>
          <w:noProof/>
        </w:rPr>
      </w:pPr>
      <w:r w:rsidRPr="0099750B">
        <w:rPr>
          <w:noProof/>
        </w:rPr>
        <w:t>Použitie u detí a dospievajúcich</w:t>
      </w:r>
    </w:p>
    <w:p w14:paraId="64CEA9C9" w14:textId="75591804" w:rsidR="00096EE6" w:rsidRPr="0099750B" w:rsidRDefault="00096EE6" w:rsidP="003777A4">
      <w:pPr>
        <w:pStyle w:val="Normlndobloku"/>
      </w:pPr>
      <w:r w:rsidRPr="0099750B">
        <w:rPr>
          <w:noProof/>
        </w:rPr>
        <w:t xml:space="preserve">Deti vo veku 12 rokov a staršie: </w:t>
      </w:r>
      <w:r w:rsidRPr="0099750B">
        <w:t xml:space="preserve">dávkovanie ako </w:t>
      </w:r>
      <w:r w:rsidR="006F42C3" w:rsidRPr="0099750B">
        <w:t>pre </w:t>
      </w:r>
      <w:r w:rsidRPr="0099750B">
        <w:t>dospelých</w:t>
      </w:r>
      <w:r w:rsidR="006F42C3" w:rsidRPr="0099750B">
        <w:t>.</w:t>
      </w:r>
    </w:p>
    <w:p w14:paraId="3FCFADC9" w14:textId="712170F9" w:rsidR="00096EE6" w:rsidRPr="0099750B" w:rsidRDefault="00096EE6" w:rsidP="003777A4">
      <w:pPr>
        <w:pStyle w:val="Normlndobloku"/>
      </w:pPr>
      <w:r w:rsidRPr="0099750B">
        <w:t xml:space="preserve">Deti mladšie ako 12 rokov: </w:t>
      </w:r>
      <w:r w:rsidR="00F42CCB" w:rsidRPr="0099750B">
        <w:t>Dinarex</w:t>
      </w:r>
      <w:r w:rsidRPr="0099750B">
        <w:t xml:space="preserve"> nie je určený pre deti mladšie</w:t>
      </w:r>
      <w:r w:rsidR="00F42CCB" w:rsidRPr="0099750B">
        <w:t xml:space="preserve"> ako 12 rokov.</w:t>
      </w:r>
    </w:p>
    <w:p w14:paraId="444469B9" w14:textId="77777777" w:rsidR="006F42C3" w:rsidRPr="0099750B" w:rsidRDefault="006F42C3" w:rsidP="003777A4">
      <w:pPr>
        <w:pStyle w:val="Normlndobloku"/>
      </w:pPr>
    </w:p>
    <w:p w14:paraId="11C8D3FA" w14:textId="71B77D7D" w:rsidR="00F42CCB" w:rsidRPr="0099750B" w:rsidRDefault="00F42CCB" w:rsidP="00795051">
      <w:pPr>
        <w:pStyle w:val="Styl2-2"/>
        <w:rPr>
          <w:noProof/>
        </w:rPr>
      </w:pPr>
      <w:r w:rsidRPr="0099750B">
        <w:rPr>
          <w:noProof/>
        </w:rPr>
        <w:t>Starší pacienti (65 rokov a viac)</w:t>
      </w:r>
    </w:p>
    <w:p w14:paraId="27560CC9" w14:textId="44F151C8" w:rsidR="00F42CCB" w:rsidRPr="0099750B" w:rsidRDefault="00F42CCB" w:rsidP="003777A4">
      <w:pPr>
        <w:pStyle w:val="Normlndobloku"/>
      </w:pPr>
      <w:r w:rsidRPr="0099750B">
        <w:t xml:space="preserve">Dávkovanie ako </w:t>
      </w:r>
      <w:r w:rsidR="00B35C22" w:rsidRPr="0099750B">
        <w:t>pre</w:t>
      </w:r>
      <w:r w:rsidR="006F42C3" w:rsidRPr="0099750B">
        <w:t> </w:t>
      </w:r>
      <w:r w:rsidRPr="0099750B">
        <w:t>dospelých</w:t>
      </w:r>
      <w:r w:rsidR="006F42C3" w:rsidRPr="0099750B">
        <w:t>.</w:t>
      </w:r>
    </w:p>
    <w:p w14:paraId="1C9CBE7C" w14:textId="77777777" w:rsidR="006F42C3" w:rsidRPr="0099750B" w:rsidRDefault="006F42C3" w:rsidP="003777A4">
      <w:pPr>
        <w:pStyle w:val="Normlndobloku"/>
      </w:pPr>
    </w:p>
    <w:p w14:paraId="54E9508A" w14:textId="3082E9F4" w:rsidR="00C45AE1" w:rsidRPr="0099750B" w:rsidRDefault="002E42DD" w:rsidP="003344FA">
      <w:pPr>
        <w:pStyle w:val="Styl2-2"/>
        <w:rPr>
          <w:rFonts w:eastAsia="TimesNewRoman,Bold"/>
        </w:rPr>
      </w:pPr>
      <w:r w:rsidRPr="0099750B">
        <w:rPr>
          <w:rFonts w:eastAsia="TimesNewRoman,Bold"/>
        </w:rPr>
        <w:t xml:space="preserve">Ak užijete viac lieku </w:t>
      </w:r>
      <w:r w:rsidR="00F42CCB" w:rsidRPr="0099750B">
        <w:rPr>
          <w:rFonts w:eastAsia="TimesNewRoman,Bold"/>
        </w:rPr>
        <w:t>Dinarex</w:t>
      </w:r>
      <w:r w:rsidR="00303481" w:rsidRPr="0099750B">
        <w:rPr>
          <w:rFonts w:eastAsia="TimesNewRoman,Bold"/>
        </w:rPr>
        <w:t>, ako máte</w:t>
      </w:r>
    </w:p>
    <w:p w14:paraId="5B7EF380" w14:textId="405D24B2" w:rsidR="005B4438" w:rsidRPr="00FB6F28" w:rsidRDefault="0030443D" w:rsidP="003777A4">
      <w:pPr>
        <w:pStyle w:val="Normlndobloku"/>
        <w:rPr>
          <w:noProof/>
        </w:rPr>
      </w:pPr>
      <w:r w:rsidRPr="0099750B">
        <w:t xml:space="preserve">Ak užijete viac lieku Dinarex , ako máte, môžu sa u vás vyskytnúť nasledujúce príznaky: nevoľnosť, vracanie, mimovoľné svalové sťahy, nepokoj, zmätenosť, ospalosť, poruchy vedomia, mimovoľné </w:t>
      </w:r>
      <w:r w:rsidRPr="0099750B">
        <w:lastRenderedPageBreak/>
        <w:t>a</w:t>
      </w:r>
      <w:r w:rsidR="005B4438" w:rsidRPr="0099750B">
        <w:t> </w:t>
      </w:r>
      <w:r w:rsidRPr="0099750B">
        <w:t>rýchle pohyby očí, srdcové poruchy (rýchly tep srdca), poruchy koordinácie, psychóza so zrakovými halucináciami a zvýšená dráždivosť. Ďalšie príznaky v prípade nadmerného predávkovania môžu byť kóma, závažné problémy s dýchaním a kŕče. Ak sa u vás vyskytne ktorýkoľvek z vyššie uvedených príznakov, ihneď vyhľadajte lekára alebo najbližšiu nemocnicu.</w:t>
      </w:r>
    </w:p>
    <w:p w14:paraId="19748E82" w14:textId="77777777" w:rsidR="00654187" w:rsidRPr="0099750B" w:rsidRDefault="00654187" w:rsidP="003777A4">
      <w:pPr>
        <w:pStyle w:val="Normlndobloku"/>
      </w:pPr>
    </w:p>
    <w:p w14:paraId="5904F7E9" w14:textId="1D854CBA" w:rsidR="0024144C" w:rsidRPr="0099750B" w:rsidRDefault="00303481" w:rsidP="003344FA">
      <w:pPr>
        <w:pStyle w:val="Styl2-2"/>
        <w:rPr>
          <w:rFonts w:eastAsia="TimesNewRoman,Bold"/>
        </w:rPr>
      </w:pPr>
      <w:r w:rsidRPr="0099750B">
        <w:rPr>
          <w:rFonts w:eastAsia="TimesNewRoman,Bold"/>
        </w:rPr>
        <w:t>Ak zabudnete užiť</w:t>
      </w:r>
      <w:r w:rsidR="002E42DD" w:rsidRPr="0099750B">
        <w:rPr>
          <w:rFonts w:eastAsia="TimesNewRoman,Bold"/>
        </w:rPr>
        <w:t xml:space="preserve"> </w:t>
      </w:r>
      <w:r w:rsidR="00F42CCB" w:rsidRPr="0099750B">
        <w:rPr>
          <w:rFonts w:eastAsia="TimesNewRoman,Bold"/>
        </w:rPr>
        <w:t>Dinarex</w:t>
      </w:r>
    </w:p>
    <w:p w14:paraId="6FA8C477" w14:textId="58DEDC1D" w:rsidR="00F42CCB" w:rsidRPr="0099750B" w:rsidRDefault="00F42CCB" w:rsidP="003777A4">
      <w:pPr>
        <w:pStyle w:val="Normlndobloku"/>
        <w:rPr>
          <w:noProof/>
        </w:rPr>
      </w:pPr>
      <w:r w:rsidRPr="0099750B">
        <w:rPr>
          <w:noProof/>
        </w:rPr>
        <w:t xml:space="preserve">Užívajte tento liek presne podľa uvedených pokynov </w:t>
      </w:r>
      <w:r w:rsidR="006F42C3" w:rsidRPr="0099750B">
        <w:rPr>
          <w:noProof/>
        </w:rPr>
        <w:t>na</w:t>
      </w:r>
      <w:r w:rsidRPr="0099750B">
        <w:rPr>
          <w:noProof/>
        </w:rPr>
        <w:t xml:space="preserve"> dávkovanie. </w:t>
      </w:r>
      <w:r w:rsidR="006F42C3" w:rsidRPr="0099750B">
        <w:rPr>
          <w:noProof/>
        </w:rPr>
        <w:t xml:space="preserve">Ak </w:t>
      </w:r>
      <w:r w:rsidRPr="0099750B">
        <w:rPr>
          <w:noProof/>
        </w:rPr>
        <w:t xml:space="preserve">zabudnete užiť dávku, ďalšiu dávku </w:t>
      </w:r>
      <w:r w:rsidR="006F42C3" w:rsidRPr="0099750B">
        <w:rPr>
          <w:noProof/>
        </w:rPr>
        <w:t>užite podľa potreby.</w:t>
      </w:r>
    </w:p>
    <w:p w14:paraId="426156DF" w14:textId="6CA42192" w:rsidR="0024144C" w:rsidRPr="0099750B" w:rsidRDefault="00F42CCB" w:rsidP="003777A4">
      <w:pPr>
        <w:pStyle w:val="Normlndobloku"/>
        <w:rPr>
          <w:noProof/>
        </w:rPr>
      </w:pPr>
      <w:r w:rsidRPr="0099750B">
        <w:rPr>
          <w:noProof/>
        </w:rPr>
        <w:t>Neužívajte dvojnásobnú dávku, aby ste nahradili vynechanú dávku.</w:t>
      </w:r>
    </w:p>
    <w:p w14:paraId="43D42CB0" w14:textId="3F134FB6" w:rsidR="0024144C" w:rsidRPr="0099750B" w:rsidRDefault="0024144C" w:rsidP="003777A4">
      <w:pPr>
        <w:pStyle w:val="Normlndobloku"/>
        <w:rPr>
          <w:noProof/>
        </w:rPr>
      </w:pPr>
      <w:r w:rsidRPr="0099750B">
        <w:rPr>
          <w:noProof/>
        </w:rPr>
        <w:t xml:space="preserve">Ak máte akékoľvek </w:t>
      </w:r>
      <w:r w:rsidR="006F42C3" w:rsidRPr="0099750B">
        <w:rPr>
          <w:noProof/>
        </w:rPr>
        <w:t xml:space="preserve">ďalšie </w:t>
      </w:r>
      <w:r w:rsidRPr="0099750B">
        <w:rPr>
          <w:noProof/>
        </w:rPr>
        <w:t xml:space="preserve">otázky týkajúce sa použitia tohto lieku, opýtajte sa </w:t>
      </w:r>
      <w:r w:rsidR="006F42C3" w:rsidRPr="0099750B">
        <w:rPr>
          <w:noProof/>
        </w:rPr>
        <w:t xml:space="preserve">svojho </w:t>
      </w:r>
      <w:r w:rsidRPr="0099750B">
        <w:rPr>
          <w:noProof/>
        </w:rPr>
        <w:t>lekára</w:t>
      </w:r>
      <w:r w:rsidR="006F42C3" w:rsidRPr="0099750B">
        <w:rPr>
          <w:noProof/>
        </w:rPr>
        <w:t xml:space="preserve"> alebo</w:t>
      </w:r>
      <w:r w:rsidR="005F2F1E" w:rsidRPr="0099750B">
        <w:rPr>
          <w:noProof/>
        </w:rPr>
        <w:t xml:space="preserve"> </w:t>
      </w:r>
      <w:r w:rsidRPr="0099750B">
        <w:rPr>
          <w:noProof/>
        </w:rPr>
        <w:t>lekárnika</w:t>
      </w:r>
      <w:r w:rsidR="006F42C3" w:rsidRPr="0099750B">
        <w:rPr>
          <w:noProof/>
        </w:rPr>
        <w:t>.</w:t>
      </w:r>
    </w:p>
    <w:p w14:paraId="7B3285F8" w14:textId="77777777" w:rsidR="00F73A63" w:rsidRPr="0099750B" w:rsidRDefault="00F73A63" w:rsidP="003777A4">
      <w:pPr>
        <w:pStyle w:val="Normlndobloku"/>
        <w:rPr>
          <w:noProof/>
        </w:rPr>
      </w:pPr>
    </w:p>
    <w:p w14:paraId="4798D761" w14:textId="77777777" w:rsidR="00F73A63" w:rsidRPr="0099750B" w:rsidRDefault="00F73A63" w:rsidP="003777A4">
      <w:pPr>
        <w:pStyle w:val="Normlndobloku"/>
        <w:rPr>
          <w:noProof/>
        </w:rPr>
      </w:pPr>
    </w:p>
    <w:p w14:paraId="06B02C89" w14:textId="77777777" w:rsidR="00042F95" w:rsidRPr="0099750B" w:rsidRDefault="003606AA" w:rsidP="00F50AFB">
      <w:pPr>
        <w:pStyle w:val="Styl1"/>
        <w:numPr>
          <w:ilvl w:val="0"/>
          <w:numId w:val="1"/>
        </w:numPr>
        <w:spacing w:before="0" w:after="0"/>
        <w:rPr>
          <w:szCs w:val="22"/>
        </w:rPr>
      </w:pPr>
      <w:bookmarkStart w:id="3" w:name="_Toc443314746"/>
      <w:r w:rsidRPr="0099750B">
        <w:rPr>
          <w:caps w:val="0"/>
          <w:szCs w:val="22"/>
        </w:rPr>
        <w:t>Možné vedľajšie účinky</w:t>
      </w:r>
      <w:bookmarkEnd w:id="3"/>
    </w:p>
    <w:p w14:paraId="50C12DC7" w14:textId="77777777" w:rsidR="00654187" w:rsidRPr="0099750B" w:rsidRDefault="00654187" w:rsidP="003777A4">
      <w:pPr>
        <w:pStyle w:val="Normlndobloku"/>
        <w:rPr>
          <w:noProof/>
        </w:rPr>
      </w:pPr>
    </w:p>
    <w:p w14:paraId="3B5C4144" w14:textId="5D40909D" w:rsidR="006442DF" w:rsidRPr="0099750B" w:rsidRDefault="00011424" w:rsidP="003777A4">
      <w:pPr>
        <w:pStyle w:val="Normlndobloku"/>
        <w:rPr>
          <w:noProof/>
        </w:rPr>
      </w:pPr>
      <w:r w:rsidRPr="0099750B">
        <w:rPr>
          <w:noProof/>
        </w:rPr>
        <w:t>Tak ako všetky lieky, aj tento liek môže spôsobovať vedľajšie účinky, hoci sa neprejavia u každého.</w:t>
      </w:r>
    </w:p>
    <w:p w14:paraId="1E061E3C" w14:textId="77777777" w:rsidR="00654187" w:rsidRPr="0099750B" w:rsidRDefault="00654187" w:rsidP="003777A4">
      <w:pPr>
        <w:pStyle w:val="Normlndobloku"/>
        <w:rPr>
          <w:noProof/>
        </w:rPr>
      </w:pPr>
    </w:p>
    <w:p w14:paraId="073DD8E3" w14:textId="5B6BA08C" w:rsidR="008A1188" w:rsidRPr="0099750B" w:rsidRDefault="006442DF" w:rsidP="003777A4">
      <w:pPr>
        <w:pStyle w:val="Normlndobloku"/>
        <w:rPr>
          <w:rStyle w:val="DeltaViewMoveSource"/>
          <w:b/>
          <w:strike w:val="0"/>
          <w:color w:val="000000"/>
        </w:rPr>
      </w:pPr>
      <w:r w:rsidRPr="0099750B">
        <w:rPr>
          <w:noProof/>
        </w:rPr>
        <w:t>Ak sa u </w:t>
      </w:r>
      <w:r w:rsidR="008A1188" w:rsidRPr="0099750B">
        <w:rPr>
          <w:noProof/>
        </w:rPr>
        <w:t>v</w:t>
      </w:r>
      <w:r w:rsidRPr="0099750B">
        <w:rPr>
          <w:noProof/>
        </w:rPr>
        <w:t>ás</w:t>
      </w:r>
      <w:r w:rsidR="00041A41" w:rsidRPr="0099750B">
        <w:rPr>
          <w:noProof/>
        </w:rPr>
        <w:t xml:space="preserve"> prejaví ktorýkoľvek z </w:t>
      </w:r>
      <w:r w:rsidRPr="0099750B">
        <w:rPr>
          <w:noProof/>
        </w:rPr>
        <w:t>nasledovných</w:t>
      </w:r>
      <w:r w:rsidR="008A1188" w:rsidRPr="0099750B">
        <w:rPr>
          <w:noProof/>
        </w:rPr>
        <w:t xml:space="preserve"> príznakov, </w:t>
      </w:r>
      <w:r w:rsidRPr="0099750B">
        <w:rPr>
          <w:noProof/>
        </w:rPr>
        <w:t>prerušte užívanie lieku a </w:t>
      </w:r>
      <w:r w:rsidRPr="0099750B">
        <w:rPr>
          <w:rStyle w:val="DeltaViewMoveSource"/>
          <w:b/>
          <w:strike w:val="0"/>
          <w:color w:val="000000"/>
        </w:rPr>
        <w:t>ihneď vyhľadajte lekársku pomoc:</w:t>
      </w:r>
    </w:p>
    <w:p w14:paraId="0A08836C" w14:textId="71C06E78" w:rsidR="006442DF" w:rsidRPr="0099750B" w:rsidRDefault="006442DF" w:rsidP="003777A4">
      <w:pPr>
        <w:pStyle w:val="Normlndoblokusodrkami"/>
      </w:pPr>
      <w:r w:rsidRPr="0099750B">
        <w:t>opuch tváre, pier, úst, jazyka alebo hrdla, ktorý môže spôsobiť problémy pri prehĺtaní alebo dýchaní</w:t>
      </w:r>
    </w:p>
    <w:p w14:paraId="2658EA86" w14:textId="7E5AEFD8" w:rsidR="006442DF" w:rsidRPr="0099750B" w:rsidRDefault="006F42C3" w:rsidP="003777A4">
      <w:pPr>
        <w:pStyle w:val="Normlndoblokusodrkami"/>
      </w:pPr>
      <w:r w:rsidRPr="0099750B">
        <w:t>z</w:t>
      </w:r>
      <w:r w:rsidR="006442DF" w:rsidRPr="0099750B">
        <w:t>áchvaty</w:t>
      </w:r>
    </w:p>
    <w:p w14:paraId="6BC2AFB2" w14:textId="77777777" w:rsidR="00654187" w:rsidRPr="0099750B" w:rsidRDefault="00654187" w:rsidP="003777A4">
      <w:pPr>
        <w:pStyle w:val="Normlndobloku"/>
        <w:rPr>
          <w:rStyle w:val="DeltaViewDeletion"/>
          <w:b/>
          <w:strike w:val="0"/>
          <w:noProof/>
          <w:color w:val="auto"/>
        </w:rPr>
      </w:pPr>
    </w:p>
    <w:p w14:paraId="18140460" w14:textId="3F23DA19" w:rsidR="008A1188" w:rsidRPr="0099750B" w:rsidRDefault="006442DF" w:rsidP="003777A4">
      <w:pPr>
        <w:pStyle w:val="Normlndobloku"/>
        <w:rPr>
          <w:color w:val="000000"/>
        </w:rPr>
      </w:pPr>
      <w:r w:rsidRPr="0099750B">
        <w:rPr>
          <w:rStyle w:val="DeltaViewDeletion"/>
          <w:b/>
          <w:strike w:val="0"/>
          <w:color w:val="auto"/>
        </w:rPr>
        <w:t xml:space="preserve">Ak sa </w:t>
      </w:r>
      <w:r w:rsidR="006F42C3" w:rsidRPr="0099750B">
        <w:rPr>
          <w:rStyle w:val="DeltaViewDeletion"/>
          <w:b/>
          <w:strike w:val="0"/>
          <w:color w:val="auto"/>
        </w:rPr>
        <w:t xml:space="preserve">u vás prejavia </w:t>
      </w:r>
      <w:r w:rsidRPr="0099750B">
        <w:rPr>
          <w:rStyle w:val="DeltaViewDeletion"/>
          <w:b/>
          <w:strike w:val="0"/>
          <w:color w:val="auto"/>
        </w:rPr>
        <w:t>niektor</w:t>
      </w:r>
      <w:r w:rsidR="006F42C3" w:rsidRPr="0099750B">
        <w:rPr>
          <w:rStyle w:val="DeltaViewDeletion"/>
          <w:b/>
          <w:strike w:val="0"/>
          <w:color w:val="auto"/>
        </w:rPr>
        <w:t>é</w:t>
      </w:r>
      <w:r w:rsidRPr="0099750B">
        <w:rPr>
          <w:rStyle w:val="DeltaViewDeletion"/>
          <w:b/>
          <w:strike w:val="0"/>
          <w:color w:val="auto"/>
        </w:rPr>
        <w:t xml:space="preserve"> z </w:t>
      </w:r>
      <w:r w:rsidRPr="0099750B">
        <w:rPr>
          <w:noProof/>
        </w:rPr>
        <w:t>nasledovných príznakov, prerušte užívanie lieku a </w:t>
      </w:r>
      <w:r w:rsidRPr="0099750B">
        <w:rPr>
          <w:rStyle w:val="DeltaViewMoveSource"/>
          <w:b/>
          <w:strike w:val="0"/>
          <w:color w:val="000000"/>
        </w:rPr>
        <w:t>ihneď vyhľadajte lekársku pomoc:</w:t>
      </w:r>
    </w:p>
    <w:p w14:paraId="52F89C2F" w14:textId="01B03439" w:rsidR="008A1188" w:rsidRPr="0099750B" w:rsidRDefault="006442DF" w:rsidP="003777A4">
      <w:pPr>
        <w:pStyle w:val="Normlndoblokusodrkami"/>
      </w:pPr>
      <w:r w:rsidRPr="0099750B">
        <w:t>svrbenie, vyrážka, žihľavka</w:t>
      </w:r>
    </w:p>
    <w:p w14:paraId="26DB3FF1" w14:textId="77777777" w:rsidR="00654187" w:rsidRPr="0099750B" w:rsidRDefault="00654187" w:rsidP="003777A4">
      <w:pPr>
        <w:pStyle w:val="Normlndobloku"/>
        <w:rPr>
          <w:rStyle w:val="DeltaViewDeletion"/>
          <w:b/>
          <w:strike w:val="0"/>
          <w:noProof/>
          <w:color w:val="auto"/>
        </w:rPr>
      </w:pPr>
    </w:p>
    <w:p w14:paraId="28E15A40" w14:textId="5BB05E7E" w:rsidR="008A1188" w:rsidRPr="0099750B" w:rsidRDefault="006442DF" w:rsidP="003777A4">
      <w:pPr>
        <w:pStyle w:val="Normlndobloku"/>
      </w:pPr>
      <w:r w:rsidRPr="0099750B">
        <w:rPr>
          <w:rStyle w:val="DeltaViewDeletion"/>
          <w:b/>
          <w:strike w:val="0"/>
          <w:color w:val="auto"/>
        </w:rPr>
        <w:t>Ďalšie nežiaduce účinky, ktoré sa môžu vyskytnúť</w:t>
      </w:r>
    </w:p>
    <w:p w14:paraId="68501500" w14:textId="5FD020D5" w:rsidR="008A1188" w:rsidRPr="0099750B" w:rsidRDefault="006442DF" w:rsidP="003777A4">
      <w:pPr>
        <w:pStyle w:val="Normlndoblokusodrkami"/>
      </w:pPr>
      <w:r w:rsidRPr="0099750B">
        <w:t>závraty, ospalosť</w:t>
      </w:r>
    </w:p>
    <w:p w14:paraId="63429357" w14:textId="4E887913" w:rsidR="008A1188" w:rsidRPr="0099750B" w:rsidRDefault="006442DF" w:rsidP="003777A4">
      <w:pPr>
        <w:pStyle w:val="Normlndoblokusodrkami"/>
      </w:pPr>
      <w:r w:rsidRPr="0099750B">
        <w:t>nevoľnosť, vracanie, hnačka</w:t>
      </w:r>
    </w:p>
    <w:p w14:paraId="0CC4ABA4" w14:textId="77777777" w:rsidR="0017131F" w:rsidRPr="0099750B" w:rsidRDefault="006442DF" w:rsidP="003777A4">
      <w:pPr>
        <w:pStyle w:val="Normlndoblokusodrkami"/>
      </w:pPr>
      <w:r w:rsidRPr="0099750B">
        <w:t>žalúdočná nevoľnosť alebo bolesť žalúdka</w:t>
      </w:r>
      <w:r w:rsidR="0017131F" w:rsidRPr="0099750B">
        <w:t xml:space="preserve"> </w:t>
      </w:r>
    </w:p>
    <w:p w14:paraId="0F11FCEF" w14:textId="078B799A" w:rsidR="008A1188" w:rsidRPr="0099750B" w:rsidRDefault="006442DF" w:rsidP="003777A4">
      <w:pPr>
        <w:pStyle w:val="Normlndoblokusodrkami"/>
      </w:pPr>
      <w:r w:rsidRPr="0099750B">
        <w:t>ťažkosti so spánkom alebo pocit nepokoja alebo zmätenosť</w:t>
      </w:r>
    </w:p>
    <w:p w14:paraId="40210C1B" w14:textId="726B9872" w:rsidR="008A1188" w:rsidRPr="0099750B" w:rsidRDefault="006442DF" w:rsidP="003777A4">
      <w:pPr>
        <w:pStyle w:val="Normlndoblokusodrkami"/>
      </w:pPr>
      <w:r w:rsidRPr="0099750B">
        <w:t>plytké dýchanie</w:t>
      </w:r>
    </w:p>
    <w:p w14:paraId="7AB19989" w14:textId="77777777" w:rsidR="00654187" w:rsidRPr="0099750B" w:rsidRDefault="00654187" w:rsidP="003344FA">
      <w:pPr>
        <w:pStyle w:val="Styl2"/>
      </w:pPr>
    </w:p>
    <w:p w14:paraId="42C7A527" w14:textId="77777777" w:rsidR="00625A4D" w:rsidRPr="0099750B" w:rsidRDefault="00625A4D" w:rsidP="003344FA">
      <w:pPr>
        <w:pStyle w:val="Styl2"/>
      </w:pPr>
      <w:r w:rsidRPr="0099750B">
        <w:t>Hlásenie vedľajších účinkov</w:t>
      </w:r>
    </w:p>
    <w:p w14:paraId="001793E0" w14:textId="77777777" w:rsidR="00625A4D" w:rsidRPr="0099750B" w:rsidRDefault="00625A4D" w:rsidP="003777A4">
      <w:pPr>
        <w:pStyle w:val="Normlndobloku"/>
      </w:pPr>
      <w:r w:rsidRPr="0099750B">
        <w:t>Ak sa u vás vyskytne akýkoľvek vedľajší účinok, obráťte sa na svojho lekára alebo lekárnika. To sa týka aj akýchkoľvek vedľajších účinkov, ktoré nie sú uvedené v tejto písomnej informácii. Vedľajšie účinky môžete h</w:t>
      </w:r>
      <w:r w:rsidR="00656A0E" w:rsidRPr="0099750B">
        <w:t xml:space="preserve">lásiť aj priamo na </w:t>
      </w:r>
      <w:r w:rsidR="00656A0E" w:rsidRPr="00FB6F28">
        <w:rPr>
          <w:highlight w:val="lightGray"/>
        </w:rPr>
        <w:t>náro</w:t>
      </w:r>
      <w:r w:rsidR="00656A0E" w:rsidRPr="0099750B">
        <w:rPr>
          <w:highlight w:val="lightGray"/>
        </w:rPr>
        <w:t>dné</w:t>
      </w:r>
      <w:r w:rsidRPr="0099750B">
        <w:rPr>
          <w:highlight w:val="lightGray"/>
        </w:rPr>
        <w:t xml:space="preserve"> </w:t>
      </w:r>
      <w:r w:rsidR="00656A0E" w:rsidRPr="0099750B">
        <w:rPr>
          <w:highlight w:val="lightGray"/>
        </w:rPr>
        <w:t>centrum hlásenia uvedené</w:t>
      </w:r>
      <w:r w:rsidRPr="0099750B">
        <w:rPr>
          <w:highlight w:val="lightGray"/>
        </w:rPr>
        <w:t xml:space="preserve"> v </w:t>
      </w:r>
      <w:hyperlink r:id="rId7" w:history="1">
        <w:r w:rsidRPr="0099750B">
          <w:rPr>
            <w:rStyle w:val="Hypertextovprepojenie"/>
            <w:highlight w:val="lightGray"/>
          </w:rPr>
          <w:t>Prílohe V</w:t>
        </w:r>
      </w:hyperlink>
      <w:bookmarkStart w:id="4" w:name="_GoBack"/>
      <w:bookmarkEnd w:id="4"/>
      <w:r w:rsidRPr="0099750B">
        <w:t>.</w:t>
      </w:r>
      <w:r w:rsidRPr="00FB6F28">
        <w:t xml:space="preserve"> Hlásením vedľajších účinkov môžete prispieť k získaniu ďalších informácií o bezpečnosti tohto lieku.</w:t>
      </w:r>
    </w:p>
    <w:p w14:paraId="7E5075D4" w14:textId="77777777" w:rsidR="00F73A63" w:rsidRPr="0099750B" w:rsidRDefault="00F73A63" w:rsidP="003777A4">
      <w:pPr>
        <w:pStyle w:val="Normlndobloku"/>
      </w:pPr>
    </w:p>
    <w:p w14:paraId="682439C0" w14:textId="77777777" w:rsidR="00654187" w:rsidRPr="0099750B" w:rsidRDefault="00654187" w:rsidP="003777A4">
      <w:pPr>
        <w:pStyle w:val="Normlndobloku"/>
      </w:pPr>
    </w:p>
    <w:p w14:paraId="2390AF86" w14:textId="21365F9E" w:rsidR="00625A4D" w:rsidRPr="0099750B" w:rsidRDefault="003606AA" w:rsidP="00F50AFB">
      <w:pPr>
        <w:pStyle w:val="Styl1"/>
        <w:numPr>
          <w:ilvl w:val="0"/>
          <w:numId w:val="1"/>
        </w:numPr>
        <w:spacing w:before="0" w:after="0"/>
        <w:rPr>
          <w:szCs w:val="22"/>
        </w:rPr>
      </w:pPr>
      <w:bookmarkStart w:id="5" w:name="_Toc443314747"/>
      <w:r w:rsidRPr="0099750B">
        <w:rPr>
          <w:caps w:val="0"/>
          <w:szCs w:val="22"/>
        </w:rPr>
        <w:t xml:space="preserve">Ako uchovávať </w:t>
      </w:r>
      <w:r w:rsidR="00F42CCB" w:rsidRPr="0099750B">
        <w:rPr>
          <w:szCs w:val="22"/>
        </w:rPr>
        <w:t>D</w:t>
      </w:r>
      <w:r w:rsidR="00A92E6F" w:rsidRPr="0099750B">
        <w:rPr>
          <w:caps w:val="0"/>
          <w:szCs w:val="22"/>
        </w:rPr>
        <w:t>inarex</w:t>
      </w:r>
      <w:bookmarkEnd w:id="5"/>
    </w:p>
    <w:p w14:paraId="50C87ABA" w14:textId="77777777" w:rsidR="00654187" w:rsidRPr="0099750B" w:rsidRDefault="00654187" w:rsidP="003777A4">
      <w:pPr>
        <w:pStyle w:val="Normlndobloku"/>
      </w:pPr>
    </w:p>
    <w:p w14:paraId="00AA7589" w14:textId="77777777" w:rsidR="00625A4D" w:rsidRPr="0099750B" w:rsidRDefault="00625A4D" w:rsidP="003777A4">
      <w:pPr>
        <w:pStyle w:val="Normlndobloku"/>
      </w:pPr>
      <w:r w:rsidRPr="0099750B">
        <w:t>Tento liek uchovávajte mimo dohľadu a dosahu detí.</w:t>
      </w:r>
    </w:p>
    <w:p w14:paraId="090EB39F" w14:textId="77777777" w:rsidR="00A92E6F" w:rsidRPr="0099750B" w:rsidRDefault="00A92E6F" w:rsidP="003777A4">
      <w:pPr>
        <w:pStyle w:val="Normlndobloku"/>
        <w:rPr>
          <w:lang w:eastAsia="en-GB"/>
        </w:rPr>
      </w:pPr>
      <w:r w:rsidRPr="0099750B">
        <w:rPr>
          <w:noProof/>
        </w:rPr>
        <w:t>Tento liek nevyžaduje žiadne zvláštne podmienky na uchovávanie.</w:t>
      </w:r>
    </w:p>
    <w:p w14:paraId="266BBF52" w14:textId="7F36D2B8" w:rsidR="00F9173B" w:rsidRPr="0099750B" w:rsidRDefault="00625A4D" w:rsidP="003777A4">
      <w:pPr>
        <w:pStyle w:val="Normlndobloku"/>
      </w:pPr>
      <w:r w:rsidRPr="0099750B">
        <w:t>Nepoužívajte tento liek po dátume exspirác</w:t>
      </w:r>
      <w:r w:rsidR="00A92E6F" w:rsidRPr="0099750B">
        <w:t>ie, ktorý je uvedený na fľaš</w:t>
      </w:r>
      <w:r w:rsidR="006F42C3" w:rsidRPr="0099750B">
        <w:t>ke</w:t>
      </w:r>
      <w:r w:rsidRPr="0099750B">
        <w:t xml:space="preserve"> po EXP. </w:t>
      </w:r>
      <w:r w:rsidR="00F9173B" w:rsidRPr="0099750B">
        <w:t>Dátum ex</w:t>
      </w:r>
      <w:r w:rsidR="009A35AB" w:rsidRPr="0099750B">
        <w:t>s</w:t>
      </w:r>
      <w:r w:rsidR="00F9173B" w:rsidRPr="0099750B">
        <w:t>pirácie sa vzťahuje na posledný deň v danom mesiaci.</w:t>
      </w:r>
    </w:p>
    <w:p w14:paraId="61ADDE5B" w14:textId="4647E437" w:rsidR="00625A4D" w:rsidRPr="0099750B" w:rsidRDefault="00625A4D" w:rsidP="003777A4">
      <w:pPr>
        <w:pStyle w:val="Normlndobloku"/>
      </w:pPr>
      <w:r w:rsidRPr="0099750B">
        <w:t xml:space="preserve">Nelikvidujte lieky odpadovou vodou alebo domovým odpadom. </w:t>
      </w:r>
      <w:r w:rsidR="00A92E6F" w:rsidRPr="0099750B">
        <w:t xml:space="preserve">Spýtajte sa svojho lekárnika, ako zlikvidovať lieky, ktoré už nepoužívate. </w:t>
      </w:r>
      <w:r w:rsidRPr="0099750B">
        <w:t>Tieto opatrenia pomôžu chrániť životné prostredie.</w:t>
      </w:r>
    </w:p>
    <w:p w14:paraId="4F0ADC02" w14:textId="69336566" w:rsidR="0017131F" w:rsidRPr="00FB6F28" w:rsidRDefault="0017131F" w:rsidP="003777A4">
      <w:pPr>
        <w:pStyle w:val="Normlndobloku"/>
      </w:pPr>
      <w:r w:rsidRPr="0099750B">
        <w:t>Po prvom otvorení fľaš</w:t>
      </w:r>
      <w:r w:rsidR="0068770F" w:rsidRPr="0099750B">
        <w:t>e</w:t>
      </w:r>
      <w:r w:rsidRPr="0099750B">
        <w:t xml:space="preserve"> je liek stabilný 1</w:t>
      </w:r>
      <w:r w:rsidR="002104C7" w:rsidRPr="0099750B">
        <w:t>8</w:t>
      </w:r>
      <w:r w:rsidRPr="0099750B">
        <w:t xml:space="preserve"> mesiacov.</w:t>
      </w:r>
    </w:p>
    <w:p w14:paraId="361914B4" w14:textId="77777777" w:rsidR="00654187" w:rsidRPr="0099750B" w:rsidRDefault="00654187" w:rsidP="003777A4">
      <w:pPr>
        <w:pStyle w:val="Normlndobloku"/>
      </w:pPr>
    </w:p>
    <w:p w14:paraId="621655DE" w14:textId="77777777" w:rsidR="00654187" w:rsidRPr="0099750B" w:rsidRDefault="00654187" w:rsidP="003777A4">
      <w:pPr>
        <w:pStyle w:val="Normlndobloku"/>
      </w:pPr>
    </w:p>
    <w:p w14:paraId="6638354A" w14:textId="77777777" w:rsidR="00625A4D" w:rsidRPr="0099750B" w:rsidRDefault="003606AA" w:rsidP="00F50AFB">
      <w:pPr>
        <w:pStyle w:val="Styl1"/>
        <w:numPr>
          <w:ilvl w:val="0"/>
          <w:numId w:val="1"/>
        </w:numPr>
        <w:spacing w:before="0" w:after="0"/>
        <w:rPr>
          <w:szCs w:val="22"/>
        </w:rPr>
      </w:pPr>
      <w:bookmarkStart w:id="6" w:name="_Toc443314748"/>
      <w:r w:rsidRPr="0099750B">
        <w:rPr>
          <w:caps w:val="0"/>
          <w:szCs w:val="22"/>
        </w:rPr>
        <w:lastRenderedPageBreak/>
        <w:t>Obsah balenia a ďalšie informácie</w:t>
      </w:r>
      <w:bookmarkEnd w:id="6"/>
    </w:p>
    <w:p w14:paraId="0DE9100D" w14:textId="77777777" w:rsidR="00654187" w:rsidRPr="0099750B" w:rsidRDefault="00654187" w:rsidP="003344FA">
      <w:pPr>
        <w:pStyle w:val="Styl2"/>
      </w:pPr>
    </w:p>
    <w:p w14:paraId="15615384" w14:textId="4978A839" w:rsidR="00625A4D" w:rsidRPr="0099750B" w:rsidRDefault="00625A4D" w:rsidP="003344FA">
      <w:pPr>
        <w:pStyle w:val="Styl2"/>
      </w:pPr>
      <w:r w:rsidRPr="0099750B">
        <w:t xml:space="preserve">Čo </w:t>
      </w:r>
      <w:r w:rsidR="00F42CCB" w:rsidRPr="0099750B">
        <w:t>Dinarex</w:t>
      </w:r>
      <w:r w:rsidRPr="0099750B">
        <w:t xml:space="preserve"> obsahuje</w:t>
      </w:r>
    </w:p>
    <w:p w14:paraId="0870D8DC" w14:textId="77777777" w:rsidR="00654187" w:rsidRPr="0099750B" w:rsidRDefault="00654187" w:rsidP="003344FA">
      <w:pPr>
        <w:pStyle w:val="Styl2"/>
      </w:pPr>
    </w:p>
    <w:p w14:paraId="4CB30B78" w14:textId="7386B5FB" w:rsidR="00EA670B" w:rsidRPr="0099750B" w:rsidRDefault="00656A0E" w:rsidP="003777A4">
      <w:pPr>
        <w:pStyle w:val="Normlndoblokusodrkami"/>
      </w:pPr>
      <w:r w:rsidRPr="0099750B">
        <w:t>L</w:t>
      </w:r>
      <w:r w:rsidR="00A92E6F" w:rsidRPr="0099750B">
        <w:t xml:space="preserve">iečivo je dextrometorfániumbromid. </w:t>
      </w:r>
      <w:r w:rsidR="005F2F1E" w:rsidRPr="0099750B">
        <w:t>Jeden</w:t>
      </w:r>
      <w:r w:rsidR="000B5DBD" w:rsidRPr="0099750B">
        <w:t> </w:t>
      </w:r>
      <w:r w:rsidR="00622A0A" w:rsidRPr="0099750B">
        <w:t>ml sirupu obsahuje 1,5 mg dextrometorfániumbromidu.</w:t>
      </w:r>
    </w:p>
    <w:p w14:paraId="332D327D" w14:textId="2C2CC89B" w:rsidR="0070271F" w:rsidRPr="0099750B" w:rsidRDefault="00622A0A" w:rsidP="003777A4">
      <w:pPr>
        <w:pStyle w:val="Normlndoblokusodrkami"/>
      </w:pPr>
      <w:r w:rsidRPr="0099750B">
        <w:t>Ďalšie zložky sú: sacharín, sodná soľ</w:t>
      </w:r>
      <w:r w:rsidR="00DE4812" w:rsidRPr="0099750B">
        <w:t>,</w:t>
      </w:r>
      <w:r w:rsidRPr="0099750B">
        <w:t xml:space="preserve"> </w:t>
      </w:r>
      <w:r w:rsidR="00266F00" w:rsidRPr="0099750B">
        <w:t>benzoan sodný</w:t>
      </w:r>
      <w:r w:rsidRPr="0099750B">
        <w:t xml:space="preserve"> (E 211), sacharóza, </w:t>
      </w:r>
      <w:r w:rsidR="00266F00" w:rsidRPr="0099750B">
        <w:t xml:space="preserve">roztok </w:t>
      </w:r>
      <w:r w:rsidRPr="0099750B">
        <w:t>glukóz</w:t>
      </w:r>
      <w:r w:rsidR="00266F00" w:rsidRPr="0099750B">
        <w:t>y</w:t>
      </w:r>
      <w:r w:rsidR="00BA41A2" w:rsidRPr="0099750B">
        <w:t>,</w:t>
      </w:r>
      <w:r w:rsidRPr="0099750B">
        <w:t xml:space="preserve"> disperzne sušený</w:t>
      </w:r>
      <w:r w:rsidR="00266F00" w:rsidRPr="0099750B">
        <w:t>;</w:t>
      </w:r>
      <w:r w:rsidRPr="0099750B">
        <w:t xml:space="preserve"> sorbitol (E 420, nekryštalizujúci roztok), glycerol</w:t>
      </w:r>
      <w:r w:rsidR="003C6313" w:rsidRPr="0099750B">
        <w:t xml:space="preserve"> (E 422)</w:t>
      </w:r>
      <w:r w:rsidRPr="0099750B">
        <w:t>, etanol bezvodý, levomentol, kyselina citrónová, karamelová príchuť (obsahuje propylénglykol</w:t>
      </w:r>
      <w:r w:rsidR="003C6313" w:rsidRPr="0099750B">
        <w:t xml:space="preserve"> (E 1520)</w:t>
      </w:r>
      <w:r w:rsidRPr="0099750B">
        <w:t>, benzyalkohol), broskyňová príchuť (obsahuje propylénglykol</w:t>
      </w:r>
      <w:r w:rsidR="003C6313" w:rsidRPr="0099750B">
        <w:t xml:space="preserve"> (E 1520),</w:t>
      </w:r>
      <w:r w:rsidRPr="0099750B">
        <w:t xml:space="preserve"> </w:t>
      </w:r>
      <w:r w:rsidR="00266F00" w:rsidRPr="0099750B">
        <w:t>citronan sodný</w:t>
      </w:r>
      <w:r w:rsidRPr="0099750B">
        <w:t>, benzyalkohol, limonén), čistená voda (pozri časť 2).</w:t>
      </w:r>
    </w:p>
    <w:p w14:paraId="41197380" w14:textId="77777777" w:rsidR="00654187" w:rsidRPr="0099750B" w:rsidRDefault="00654187" w:rsidP="003344FA">
      <w:pPr>
        <w:pStyle w:val="Styl2"/>
      </w:pPr>
    </w:p>
    <w:p w14:paraId="26D807AA" w14:textId="3B3DE020" w:rsidR="00625A4D" w:rsidRPr="0099750B" w:rsidRDefault="00625A4D" w:rsidP="003344FA">
      <w:pPr>
        <w:pStyle w:val="Styl2"/>
      </w:pPr>
      <w:r w:rsidRPr="0099750B">
        <w:t xml:space="preserve">Ako vyzerá </w:t>
      </w:r>
      <w:r w:rsidR="00F42CCB" w:rsidRPr="0099750B">
        <w:t>Dinarex</w:t>
      </w:r>
      <w:r w:rsidRPr="0099750B">
        <w:t xml:space="preserve"> a obsah balenia</w:t>
      </w:r>
    </w:p>
    <w:p w14:paraId="3DEE0A0D" w14:textId="77777777" w:rsidR="00654187" w:rsidRPr="0099750B" w:rsidRDefault="00654187" w:rsidP="003344FA">
      <w:pPr>
        <w:pStyle w:val="Styl2"/>
      </w:pPr>
    </w:p>
    <w:p w14:paraId="6EFB00E3" w14:textId="7EAD2C4C" w:rsidR="00622A0A" w:rsidRPr="0099750B" w:rsidRDefault="000B5DBD" w:rsidP="003777A4">
      <w:pPr>
        <w:pStyle w:val="Normlndobloku"/>
      </w:pPr>
      <w:r w:rsidRPr="0099750B">
        <w:t xml:space="preserve">Mierne </w:t>
      </w:r>
      <w:r w:rsidR="00266F00" w:rsidRPr="0099750B">
        <w:t xml:space="preserve">žltkastý, </w:t>
      </w:r>
      <w:r w:rsidR="00622A0A" w:rsidRPr="0099750B">
        <w:t xml:space="preserve">číry </w:t>
      </w:r>
      <w:r w:rsidRPr="0099750B">
        <w:t>sirup</w:t>
      </w:r>
      <w:r w:rsidR="00622A0A" w:rsidRPr="0099750B">
        <w:t xml:space="preserve"> s broskyňovou príchuťou</w:t>
      </w:r>
      <w:r w:rsidR="00266F00" w:rsidRPr="0099750B">
        <w:t>.</w:t>
      </w:r>
    </w:p>
    <w:p w14:paraId="01EBB50D" w14:textId="77777777" w:rsidR="00BA4313" w:rsidRPr="0099750B" w:rsidRDefault="00BA4313" w:rsidP="003777A4">
      <w:pPr>
        <w:pStyle w:val="Normlndobloku"/>
      </w:pPr>
    </w:p>
    <w:p w14:paraId="43D584E1" w14:textId="54896B0D" w:rsidR="00622A0A" w:rsidRPr="0099750B" w:rsidRDefault="00622A0A" w:rsidP="003777A4">
      <w:pPr>
        <w:pStyle w:val="Normlndobloku"/>
      </w:pPr>
      <w:r w:rsidRPr="0099750B">
        <w:t>150 ml alebo 200 ml hnedé sklenené fľaš</w:t>
      </w:r>
      <w:r w:rsidR="00266F00" w:rsidRPr="0099750B">
        <w:t>e</w:t>
      </w:r>
      <w:r w:rsidRPr="0099750B">
        <w:t xml:space="preserve"> typu III (Ph.Eur) s jedným z týchto uzáverov:</w:t>
      </w:r>
    </w:p>
    <w:p w14:paraId="7157849A" w14:textId="36DCACE9" w:rsidR="00622A0A" w:rsidRPr="0099750B" w:rsidRDefault="00622A0A" w:rsidP="003777A4">
      <w:pPr>
        <w:pStyle w:val="Normlndoblokusodrkami"/>
        <w:numPr>
          <w:ilvl w:val="0"/>
          <w:numId w:val="3"/>
        </w:numPr>
      </w:pPr>
      <w:r w:rsidRPr="0099750B">
        <w:t>Hliníkové viečko. Súčasťou balenia je plastová lyžička s diel</w:t>
      </w:r>
      <w:r w:rsidR="00266F00" w:rsidRPr="0099750B">
        <w:t>mi</w:t>
      </w:r>
      <w:r w:rsidRPr="0099750B">
        <w:t xml:space="preserve"> </w:t>
      </w:r>
      <w:r w:rsidR="00266F00" w:rsidRPr="0099750B">
        <w:t xml:space="preserve">po </w:t>
      </w:r>
      <w:r w:rsidRPr="0099750B">
        <w:t>2,5 ml a 5 ml.</w:t>
      </w:r>
    </w:p>
    <w:p w14:paraId="4586F21E" w14:textId="3192B910" w:rsidR="00622A0A" w:rsidRPr="0099750B" w:rsidRDefault="00622A0A" w:rsidP="003777A4">
      <w:pPr>
        <w:pStyle w:val="Normlndoblokusodrkami"/>
        <w:numPr>
          <w:ilvl w:val="0"/>
          <w:numId w:val="3"/>
        </w:numPr>
      </w:pPr>
      <w:r w:rsidRPr="0099750B">
        <w:t xml:space="preserve">Plastové </w:t>
      </w:r>
      <w:r w:rsidR="00F362EE" w:rsidRPr="0099750B">
        <w:t>poistné viečko</w:t>
      </w:r>
      <w:r w:rsidRPr="0099750B">
        <w:t>. Súčasťou balenia je plastová odmerka s</w:t>
      </w:r>
      <w:r w:rsidR="001B5CDC" w:rsidRPr="0099750B">
        <w:t> </w:t>
      </w:r>
      <w:r w:rsidRPr="0099750B">
        <w:t>diel</w:t>
      </w:r>
      <w:r w:rsidR="001B5CDC" w:rsidRPr="0099750B">
        <w:t>mi po</w:t>
      </w:r>
      <w:r w:rsidRPr="0099750B">
        <w:t xml:space="preserve"> 5 ml, 10 ml, 15 ml a 20 ml.</w:t>
      </w:r>
    </w:p>
    <w:p w14:paraId="65035192" w14:textId="78B53DA1" w:rsidR="00622A0A" w:rsidRPr="0099750B" w:rsidRDefault="00622A0A" w:rsidP="003777A4">
      <w:pPr>
        <w:pStyle w:val="Normlndoblokusodrkami"/>
        <w:numPr>
          <w:ilvl w:val="0"/>
          <w:numId w:val="3"/>
        </w:numPr>
      </w:pPr>
      <w:r w:rsidRPr="0099750B">
        <w:t>Plastové viečko s</w:t>
      </w:r>
      <w:r w:rsidR="00F362EE" w:rsidRPr="0099750B">
        <w:t> detskou</w:t>
      </w:r>
      <w:r w:rsidRPr="0099750B">
        <w:t> poistkou. Súčasťou balenia je plastová odmerka s</w:t>
      </w:r>
      <w:r w:rsidR="001B5CDC" w:rsidRPr="0099750B">
        <w:t> </w:t>
      </w:r>
      <w:r w:rsidRPr="0099750B">
        <w:t>diel</w:t>
      </w:r>
      <w:r w:rsidR="001B5CDC" w:rsidRPr="0099750B">
        <w:t>mi po</w:t>
      </w:r>
      <w:r w:rsidRPr="0099750B">
        <w:t xml:space="preserve"> 2 ml, 2,5 ml, 3 ml, 4 ml, 5 ml, 6 ml, 7 ml, 7,5 ml, 8 ml, 9 ml, 10 ml, 11 ml, 12 ml, 12,5 ml a 15 ml.</w:t>
      </w:r>
    </w:p>
    <w:p w14:paraId="70046D96" w14:textId="77777777" w:rsidR="00654187" w:rsidRPr="0099750B" w:rsidRDefault="00654187" w:rsidP="003777A4">
      <w:pPr>
        <w:pStyle w:val="Normlndobloku"/>
      </w:pPr>
    </w:p>
    <w:p w14:paraId="4B5D44BA" w14:textId="77777777" w:rsidR="00622A0A" w:rsidRPr="0099750B" w:rsidRDefault="00622A0A" w:rsidP="003777A4">
      <w:pPr>
        <w:pStyle w:val="Normlndobloku"/>
      </w:pPr>
      <w:r w:rsidRPr="0099750B">
        <w:t>Na trh nemusia byť uvedené všetky veľkosti balenia.</w:t>
      </w:r>
    </w:p>
    <w:p w14:paraId="0E8CDC3A" w14:textId="77777777" w:rsidR="00654187" w:rsidRPr="0099750B" w:rsidRDefault="00654187" w:rsidP="003777A4">
      <w:pPr>
        <w:pStyle w:val="Normlndobloku"/>
      </w:pPr>
    </w:p>
    <w:p w14:paraId="7E18F897" w14:textId="1A979013" w:rsidR="004D3D07" w:rsidRPr="0099750B" w:rsidRDefault="00C64463" w:rsidP="003344FA">
      <w:pPr>
        <w:pStyle w:val="Styl2"/>
      </w:pPr>
      <w:r w:rsidRPr="0099750B">
        <w:t>Držiteľ rozhodnutia o</w:t>
      </w:r>
      <w:r w:rsidR="000E1BA3" w:rsidRPr="0099750B">
        <w:t> </w:t>
      </w:r>
      <w:r w:rsidRPr="0099750B">
        <w:t>registrácii</w:t>
      </w:r>
      <w:r w:rsidR="000E1BA3" w:rsidRPr="0099750B">
        <w:t xml:space="preserve"> a</w:t>
      </w:r>
      <w:r w:rsidR="00654187" w:rsidRPr="0099750B">
        <w:t> </w:t>
      </w:r>
      <w:r w:rsidR="000E1BA3" w:rsidRPr="0099750B">
        <w:t>výrobca</w:t>
      </w:r>
    </w:p>
    <w:p w14:paraId="74ECFDAA" w14:textId="77777777" w:rsidR="00654187" w:rsidRPr="0099750B" w:rsidRDefault="00654187" w:rsidP="003344FA">
      <w:pPr>
        <w:pStyle w:val="Styl2"/>
      </w:pPr>
    </w:p>
    <w:p w14:paraId="7873E062" w14:textId="5A235A38" w:rsidR="003F0B49" w:rsidRPr="0099750B" w:rsidRDefault="003F0B49" w:rsidP="003777A4">
      <w:pPr>
        <w:pStyle w:val="Normlndobloku"/>
      </w:pPr>
      <w:r w:rsidRPr="0099750B">
        <w:t>MEDOCHEMIE Ltd., 1-10 Constatinoupoleos Street, 3011 Limassol, Cyprus</w:t>
      </w:r>
    </w:p>
    <w:p w14:paraId="30C639E0" w14:textId="6E29285E" w:rsidR="00654187" w:rsidRPr="0099750B" w:rsidRDefault="00654187" w:rsidP="003777A4">
      <w:pPr>
        <w:pStyle w:val="Normlndobloku"/>
      </w:pPr>
    </w:p>
    <w:p w14:paraId="3F2C7DFE" w14:textId="19167621" w:rsidR="00C64463" w:rsidRPr="0099750B" w:rsidRDefault="00C64463" w:rsidP="003344FA">
      <w:pPr>
        <w:pStyle w:val="Styl2-2"/>
      </w:pPr>
      <w:r w:rsidRPr="0099750B">
        <w:t>Liek je schválený v členských štátoch Európskeho hospodárskeho priestoru (EHP) pod nasledovnými názvami</w:t>
      </w:r>
      <w:r w:rsidR="00BB75DA" w:rsidRPr="0099750B">
        <w:t>:</w:t>
      </w:r>
    </w:p>
    <w:p w14:paraId="3FA7017E" w14:textId="77777777" w:rsidR="00654187" w:rsidRPr="0099750B" w:rsidRDefault="00654187" w:rsidP="00F50AFB"/>
    <w:p w14:paraId="33880491" w14:textId="2FAB846A" w:rsidR="002E2243" w:rsidRPr="0099750B" w:rsidRDefault="00622A0A" w:rsidP="003777A4">
      <w:pPr>
        <w:pStyle w:val="Normlndobloku"/>
      </w:pPr>
      <w:r w:rsidRPr="0099750B">
        <w:t>Bulharsko, Česká republika</w:t>
      </w:r>
      <w:r w:rsidR="00610CD2" w:rsidRPr="0099750B">
        <w:t>, Estónsko, Rumunsko, Slovenská republika: Dinarex</w:t>
      </w:r>
    </w:p>
    <w:p w14:paraId="04F124AE" w14:textId="77777777" w:rsidR="00654187" w:rsidRPr="0099750B" w:rsidRDefault="00654187" w:rsidP="003777A4">
      <w:pPr>
        <w:pStyle w:val="Normlndobloku"/>
      </w:pPr>
    </w:p>
    <w:p w14:paraId="3F756F7A" w14:textId="3DC4BB45" w:rsidR="00FF299A" w:rsidRPr="000C1A6A" w:rsidRDefault="00625A4D" w:rsidP="003344FA">
      <w:pPr>
        <w:pStyle w:val="Styl2"/>
      </w:pPr>
      <w:r w:rsidRPr="0099750B">
        <w:t>Táto písomná informácia bola naposledy aktualizovaná v</w:t>
      </w:r>
      <w:r w:rsidR="0068770F" w:rsidRPr="0099750B">
        <w:t> auguste 2020</w:t>
      </w:r>
      <w:r w:rsidR="0016436C" w:rsidRPr="0099750B">
        <w:t>.</w:t>
      </w:r>
    </w:p>
    <w:sectPr w:rsidR="00FF299A" w:rsidRPr="000C1A6A" w:rsidSect="0017131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ECBDD" w14:textId="77777777" w:rsidR="00E8187A" w:rsidRDefault="00E8187A">
      <w:r>
        <w:separator/>
      </w:r>
    </w:p>
  </w:endnote>
  <w:endnote w:type="continuationSeparator" w:id="0">
    <w:p w14:paraId="0ED025B2" w14:textId="77777777" w:rsidR="00E8187A" w:rsidRDefault="00E8187A">
      <w:r>
        <w:continuationSeparator/>
      </w:r>
    </w:p>
  </w:endnote>
  <w:endnote w:type="continuationNotice" w:id="1">
    <w:p w14:paraId="369AD80E" w14:textId="77777777" w:rsidR="00E8187A" w:rsidRDefault="00E81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7265A" w14:textId="517C910D" w:rsidR="00E82869" w:rsidRPr="00F50AFB" w:rsidRDefault="00E82869" w:rsidP="00991FFA">
    <w:pPr>
      <w:pStyle w:val="Pta"/>
      <w:jc w:val="center"/>
      <w:rPr>
        <w:sz w:val="18"/>
        <w:szCs w:val="22"/>
      </w:rPr>
    </w:pPr>
    <w:r w:rsidRPr="00F50AFB">
      <w:rPr>
        <w:sz w:val="18"/>
        <w:szCs w:val="22"/>
      </w:rPr>
      <w:fldChar w:fldCharType="begin"/>
    </w:r>
    <w:r w:rsidRPr="00F50AFB">
      <w:rPr>
        <w:sz w:val="18"/>
        <w:szCs w:val="22"/>
      </w:rPr>
      <w:instrText>PAGE</w:instrText>
    </w:r>
    <w:r w:rsidRPr="00F50AFB">
      <w:rPr>
        <w:sz w:val="18"/>
        <w:szCs w:val="22"/>
      </w:rPr>
      <w:fldChar w:fldCharType="separate"/>
    </w:r>
    <w:r w:rsidR="0099750B">
      <w:rPr>
        <w:noProof/>
        <w:sz w:val="18"/>
        <w:szCs w:val="22"/>
      </w:rPr>
      <w:t>5</w:t>
    </w:r>
    <w:r w:rsidRPr="00F50AFB">
      <w:rPr>
        <w:sz w:val="18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E4178" w14:textId="49CA678B" w:rsidR="00E82869" w:rsidRPr="00F50AFB" w:rsidRDefault="00E82869" w:rsidP="00991FFA">
    <w:pPr>
      <w:pStyle w:val="Pta"/>
      <w:jc w:val="center"/>
      <w:rPr>
        <w:sz w:val="18"/>
        <w:szCs w:val="22"/>
      </w:rPr>
    </w:pPr>
    <w:r w:rsidRPr="00F50AFB">
      <w:rPr>
        <w:sz w:val="18"/>
        <w:szCs w:val="22"/>
      </w:rPr>
      <w:fldChar w:fldCharType="begin"/>
    </w:r>
    <w:r w:rsidRPr="00F50AFB">
      <w:rPr>
        <w:sz w:val="18"/>
        <w:szCs w:val="22"/>
      </w:rPr>
      <w:instrText>PAGE</w:instrText>
    </w:r>
    <w:r w:rsidRPr="00F50AFB">
      <w:rPr>
        <w:sz w:val="18"/>
        <w:szCs w:val="22"/>
      </w:rPr>
      <w:fldChar w:fldCharType="separate"/>
    </w:r>
    <w:r w:rsidR="00F50AFB">
      <w:rPr>
        <w:noProof/>
        <w:sz w:val="18"/>
        <w:szCs w:val="22"/>
      </w:rPr>
      <w:t>1</w:t>
    </w:r>
    <w:r w:rsidRPr="00F50AFB">
      <w:rPr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9BFA7" w14:textId="77777777" w:rsidR="00E8187A" w:rsidRDefault="00E8187A">
      <w:r>
        <w:separator/>
      </w:r>
    </w:p>
  </w:footnote>
  <w:footnote w:type="continuationSeparator" w:id="0">
    <w:p w14:paraId="0EA62BB8" w14:textId="77777777" w:rsidR="00E8187A" w:rsidRDefault="00E8187A">
      <w:r>
        <w:continuationSeparator/>
      </w:r>
    </w:p>
  </w:footnote>
  <w:footnote w:type="continuationNotice" w:id="1">
    <w:p w14:paraId="35C2B30F" w14:textId="77777777" w:rsidR="00E8187A" w:rsidRDefault="00E818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F5204" w14:textId="71590F26" w:rsidR="00A9069B" w:rsidRDefault="00A9069B" w:rsidP="00A9069B">
    <w:pPr>
      <w:pStyle w:val="Hlavika"/>
      <w:rPr>
        <w:sz w:val="18"/>
        <w:szCs w:val="18"/>
      </w:rPr>
    </w:pPr>
    <w:r w:rsidRPr="00FB6F28">
      <w:rPr>
        <w:sz w:val="18"/>
        <w:szCs w:val="18"/>
      </w:rPr>
      <w:t xml:space="preserve">Príloha č. 2 k notifikácii o zmene, ev. č.: </w:t>
    </w:r>
    <w:r w:rsidR="008A7596" w:rsidRPr="0099750B">
      <w:rPr>
        <w:sz w:val="18"/>
        <w:szCs w:val="18"/>
      </w:rPr>
      <w:t>2018/03376</w:t>
    </w:r>
    <w:r w:rsidR="0068770F" w:rsidRPr="00FB6F28">
      <w:rPr>
        <w:sz w:val="18"/>
        <w:szCs w:val="18"/>
      </w:rPr>
      <w:t>-ZIB</w:t>
    </w:r>
    <w:r w:rsidR="008A7596" w:rsidRPr="00FB6F28">
      <w:rPr>
        <w:sz w:val="18"/>
        <w:szCs w:val="18"/>
      </w:rPr>
      <w:t xml:space="preserve">, </w:t>
    </w:r>
    <w:r w:rsidR="008A7596" w:rsidRPr="0099750B">
      <w:rPr>
        <w:sz w:val="18"/>
        <w:szCs w:val="18"/>
      </w:rPr>
      <w:t>2020/</w:t>
    </w:r>
    <w:r w:rsidR="0068770F" w:rsidRPr="00FB6F28">
      <w:rPr>
        <w:sz w:val="18"/>
        <w:szCs w:val="18"/>
      </w:rPr>
      <w:t>00066-ZIB</w:t>
    </w:r>
  </w:p>
  <w:p w14:paraId="6BE2BA5A" w14:textId="77777777" w:rsidR="00A9069B" w:rsidRDefault="00A9069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B8CAC" w14:textId="04F1D211" w:rsidR="00E82869" w:rsidRDefault="00E82869" w:rsidP="0073714D">
    <w:pPr>
      <w:outlineLvl w:val="0"/>
      <w:rPr>
        <w:sz w:val="18"/>
        <w:szCs w:val="18"/>
      </w:rPr>
    </w:pPr>
    <w:r w:rsidRPr="00FA36E7">
      <w:rPr>
        <w:noProof/>
        <w:sz w:val="18"/>
        <w:szCs w:val="18"/>
        <w:lang w:eastAsia="en-GB"/>
      </w:rPr>
      <w:t>Schválený text</w:t>
    </w:r>
    <w:r w:rsidRPr="00FA36E7">
      <w:rPr>
        <w:sz w:val="18"/>
        <w:szCs w:val="18"/>
      </w:rPr>
      <w:t xml:space="preserve"> k</w:t>
    </w:r>
    <w:r w:rsidRPr="00FA36E7">
      <w:rPr>
        <w:noProof/>
        <w:sz w:val="18"/>
        <w:szCs w:val="18"/>
        <w:lang w:eastAsia="en-GB"/>
      </w:rPr>
      <w:t> r</w:t>
    </w:r>
    <w:r w:rsidRPr="00FA36E7">
      <w:rPr>
        <w:sz w:val="18"/>
        <w:szCs w:val="18"/>
      </w:rPr>
      <w:t>ozhodnutiu o </w:t>
    </w:r>
    <w:r w:rsidR="003F0B49" w:rsidRPr="00FA36E7">
      <w:rPr>
        <w:noProof/>
        <w:sz w:val="18"/>
        <w:szCs w:val="18"/>
        <w:lang w:eastAsia="en-GB"/>
      </w:rPr>
      <w:t>prevode</w:t>
    </w:r>
    <w:r w:rsidRPr="00FA36E7">
      <w:rPr>
        <w:sz w:val="18"/>
        <w:szCs w:val="18"/>
      </w:rPr>
      <w:t>, ev. č.:</w:t>
    </w:r>
    <w:r w:rsidRPr="00F50AFB">
      <w:rPr>
        <w:sz w:val="18"/>
        <w:szCs w:val="18"/>
      </w:rPr>
      <w:t xml:space="preserve"> </w:t>
    </w:r>
    <w:r w:rsidR="00FA36E7" w:rsidRPr="00FA36E7">
      <w:rPr>
        <w:sz w:val="18"/>
        <w:szCs w:val="18"/>
      </w:rPr>
      <w:t>2017/03004-TR</w:t>
    </w:r>
  </w:p>
  <w:p w14:paraId="349674F9" w14:textId="77777777" w:rsidR="00A9069B" w:rsidRDefault="00A9069B" w:rsidP="00A9069B">
    <w:pPr>
      <w:pStyle w:val="Hlavika"/>
      <w:rPr>
        <w:sz w:val="18"/>
        <w:szCs w:val="18"/>
      </w:rPr>
    </w:pPr>
    <w:r w:rsidRPr="0017131F">
      <w:rPr>
        <w:sz w:val="18"/>
        <w:szCs w:val="18"/>
      </w:rPr>
      <w:t>Príloha č. 2 k notifikácii o zmene, ev. č.: 2017/04538-ZIB</w:t>
    </w:r>
  </w:p>
  <w:p w14:paraId="4C148C6C" w14:textId="77777777" w:rsidR="00A9069B" w:rsidRPr="00FA36E7" w:rsidRDefault="00A9069B" w:rsidP="0073714D">
    <w:pPr>
      <w:outlineLvl w:val="0"/>
      <w:rPr>
        <w:noProof/>
        <w:sz w:val="18"/>
        <w:szCs w:val="18"/>
        <w:lang w:eastAsia="en-GB"/>
      </w:rPr>
    </w:pPr>
  </w:p>
  <w:p w14:paraId="5940518A" w14:textId="77777777" w:rsidR="00E82869" w:rsidRPr="00FA36E7" w:rsidRDefault="00E82869" w:rsidP="00D52AC5">
    <w:pPr>
      <w:outlineLvl w:val="0"/>
      <w:rPr>
        <w:noProof/>
        <w:sz w:val="18"/>
        <w:szCs w:val="18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4C7DB5"/>
    <w:multiLevelType w:val="hybridMultilevel"/>
    <w:tmpl w:val="9A6CC522"/>
    <w:lvl w:ilvl="0" w:tplc="468E3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66679"/>
    <w:multiLevelType w:val="singleLevel"/>
    <w:tmpl w:val="DE4EF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EBA460D"/>
    <w:multiLevelType w:val="hybridMultilevel"/>
    <w:tmpl w:val="61904DD0"/>
    <w:lvl w:ilvl="0" w:tplc="4E9ADB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9C76E9"/>
    <w:multiLevelType w:val="hybridMultilevel"/>
    <w:tmpl w:val="36EEC15A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61D737A4"/>
    <w:multiLevelType w:val="hybridMultilevel"/>
    <w:tmpl w:val="2CAC21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851AE"/>
    <w:multiLevelType w:val="hybridMultilevel"/>
    <w:tmpl w:val="7A941DCC"/>
    <w:lvl w:ilvl="0" w:tplc="7AE2A6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D4AA7"/>
    <w:multiLevelType w:val="multilevel"/>
    <w:tmpl w:val="10747AC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763D4FC1"/>
    <w:multiLevelType w:val="hybridMultilevel"/>
    <w:tmpl w:val="478E6C46"/>
    <w:lvl w:ilvl="0" w:tplc="44B43CB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11277"/>
    <w:multiLevelType w:val="multilevel"/>
    <w:tmpl w:val="AA0E75B2"/>
    <w:lvl w:ilvl="0">
      <w:start w:val="1"/>
      <w:numFmt w:val="bullet"/>
      <w:pStyle w:val="EMEA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"/>
  </w:num>
  <w:num w:numId="13">
    <w:abstractNumId w:val="4"/>
  </w:num>
  <w:num w:numId="14">
    <w:abstractNumId w:val="9"/>
  </w:num>
  <w:num w:numId="15">
    <w:abstractNumId w:val="5"/>
  </w:num>
  <w:num w:numId="16">
    <w:abstractNumId w:val="2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83"/>
    <w:rsid w:val="00007B94"/>
    <w:rsid w:val="00011424"/>
    <w:rsid w:val="00013EEA"/>
    <w:rsid w:val="00014B99"/>
    <w:rsid w:val="00041A41"/>
    <w:rsid w:val="00042F95"/>
    <w:rsid w:val="00043146"/>
    <w:rsid w:val="0007008F"/>
    <w:rsid w:val="00076F36"/>
    <w:rsid w:val="00096EE6"/>
    <w:rsid w:val="000B159C"/>
    <w:rsid w:val="000B5DBD"/>
    <w:rsid w:val="000C1A6A"/>
    <w:rsid w:val="000C5B34"/>
    <w:rsid w:val="000E1BA3"/>
    <w:rsid w:val="000F0430"/>
    <w:rsid w:val="000F3A5C"/>
    <w:rsid w:val="000F766B"/>
    <w:rsid w:val="000F7F17"/>
    <w:rsid w:val="00117102"/>
    <w:rsid w:val="00135048"/>
    <w:rsid w:val="001460D0"/>
    <w:rsid w:val="00162B04"/>
    <w:rsid w:val="0016436C"/>
    <w:rsid w:val="001709E3"/>
    <w:rsid w:val="0017131F"/>
    <w:rsid w:val="0017256D"/>
    <w:rsid w:val="0018507C"/>
    <w:rsid w:val="00190E2D"/>
    <w:rsid w:val="00192DC4"/>
    <w:rsid w:val="001B5CDC"/>
    <w:rsid w:val="001C38D9"/>
    <w:rsid w:val="001D1276"/>
    <w:rsid w:val="001F29FB"/>
    <w:rsid w:val="002046A8"/>
    <w:rsid w:val="002104C7"/>
    <w:rsid w:val="00215594"/>
    <w:rsid w:val="00220B2D"/>
    <w:rsid w:val="0022263C"/>
    <w:rsid w:val="00227D4B"/>
    <w:rsid w:val="002340CE"/>
    <w:rsid w:val="0024144C"/>
    <w:rsid w:val="00241A54"/>
    <w:rsid w:val="002426EB"/>
    <w:rsid w:val="002547D4"/>
    <w:rsid w:val="002566F5"/>
    <w:rsid w:val="00256999"/>
    <w:rsid w:val="00266F00"/>
    <w:rsid w:val="002709F3"/>
    <w:rsid w:val="00272495"/>
    <w:rsid w:val="00287B18"/>
    <w:rsid w:val="00293F53"/>
    <w:rsid w:val="002A007E"/>
    <w:rsid w:val="002B0C26"/>
    <w:rsid w:val="002B1627"/>
    <w:rsid w:val="002C3C7C"/>
    <w:rsid w:val="002E2243"/>
    <w:rsid w:val="002E260D"/>
    <w:rsid w:val="002E42DD"/>
    <w:rsid w:val="002F59AC"/>
    <w:rsid w:val="00303481"/>
    <w:rsid w:val="0030443D"/>
    <w:rsid w:val="003223DF"/>
    <w:rsid w:val="003327FE"/>
    <w:rsid w:val="003344FA"/>
    <w:rsid w:val="003354DC"/>
    <w:rsid w:val="00342111"/>
    <w:rsid w:val="00344C79"/>
    <w:rsid w:val="00350C8C"/>
    <w:rsid w:val="0035389A"/>
    <w:rsid w:val="003606AA"/>
    <w:rsid w:val="003732F4"/>
    <w:rsid w:val="003777A4"/>
    <w:rsid w:val="00387125"/>
    <w:rsid w:val="003920CF"/>
    <w:rsid w:val="003B2FEC"/>
    <w:rsid w:val="003C6313"/>
    <w:rsid w:val="003D2D58"/>
    <w:rsid w:val="003D478F"/>
    <w:rsid w:val="003E10BF"/>
    <w:rsid w:val="003E6BEE"/>
    <w:rsid w:val="003F0B49"/>
    <w:rsid w:val="00407A39"/>
    <w:rsid w:val="00417083"/>
    <w:rsid w:val="0043493B"/>
    <w:rsid w:val="00436F9C"/>
    <w:rsid w:val="0044097B"/>
    <w:rsid w:val="004449C5"/>
    <w:rsid w:val="00452158"/>
    <w:rsid w:val="00454162"/>
    <w:rsid w:val="004567F8"/>
    <w:rsid w:val="0046151C"/>
    <w:rsid w:val="0048141D"/>
    <w:rsid w:val="00494C9B"/>
    <w:rsid w:val="00496240"/>
    <w:rsid w:val="004A5E49"/>
    <w:rsid w:val="004A6AF0"/>
    <w:rsid w:val="004C4D29"/>
    <w:rsid w:val="004D1D3B"/>
    <w:rsid w:val="004D2104"/>
    <w:rsid w:val="004D3D07"/>
    <w:rsid w:val="004E7AE7"/>
    <w:rsid w:val="00503E66"/>
    <w:rsid w:val="00511F2D"/>
    <w:rsid w:val="00517B66"/>
    <w:rsid w:val="0052017D"/>
    <w:rsid w:val="00526015"/>
    <w:rsid w:val="005264C5"/>
    <w:rsid w:val="00526E45"/>
    <w:rsid w:val="0053570C"/>
    <w:rsid w:val="00541E8A"/>
    <w:rsid w:val="00552AAB"/>
    <w:rsid w:val="005540A5"/>
    <w:rsid w:val="0056673E"/>
    <w:rsid w:val="0056728C"/>
    <w:rsid w:val="005857D1"/>
    <w:rsid w:val="00585F29"/>
    <w:rsid w:val="0059221C"/>
    <w:rsid w:val="0059595A"/>
    <w:rsid w:val="005A3625"/>
    <w:rsid w:val="005A397C"/>
    <w:rsid w:val="005B4438"/>
    <w:rsid w:val="005B44F1"/>
    <w:rsid w:val="005C0EFB"/>
    <w:rsid w:val="005C18A6"/>
    <w:rsid w:val="005C7B92"/>
    <w:rsid w:val="005E16A2"/>
    <w:rsid w:val="005F2F1E"/>
    <w:rsid w:val="005F398D"/>
    <w:rsid w:val="005F50B7"/>
    <w:rsid w:val="00600EED"/>
    <w:rsid w:val="00610CD2"/>
    <w:rsid w:val="00614559"/>
    <w:rsid w:val="0061553C"/>
    <w:rsid w:val="00622A0A"/>
    <w:rsid w:val="00625A4D"/>
    <w:rsid w:val="0063016A"/>
    <w:rsid w:val="0063086A"/>
    <w:rsid w:val="00634F7C"/>
    <w:rsid w:val="00637F45"/>
    <w:rsid w:val="006416F1"/>
    <w:rsid w:val="00641DDA"/>
    <w:rsid w:val="006442DF"/>
    <w:rsid w:val="00652C62"/>
    <w:rsid w:val="00654187"/>
    <w:rsid w:val="00656A0E"/>
    <w:rsid w:val="00666163"/>
    <w:rsid w:val="00667F7F"/>
    <w:rsid w:val="00672E82"/>
    <w:rsid w:val="00676DE1"/>
    <w:rsid w:val="0068770F"/>
    <w:rsid w:val="006A3D51"/>
    <w:rsid w:val="006A4E1C"/>
    <w:rsid w:val="006C7025"/>
    <w:rsid w:val="006D7F1C"/>
    <w:rsid w:val="006E7014"/>
    <w:rsid w:val="006F1380"/>
    <w:rsid w:val="006F42C3"/>
    <w:rsid w:val="00701590"/>
    <w:rsid w:val="0070271F"/>
    <w:rsid w:val="007123ED"/>
    <w:rsid w:val="00725BA5"/>
    <w:rsid w:val="0073714D"/>
    <w:rsid w:val="0074635D"/>
    <w:rsid w:val="007538DB"/>
    <w:rsid w:val="00757084"/>
    <w:rsid w:val="00763502"/>
    <w:rsid w:val="00764E0E"/>
    <w:rsid w:val="00765928"/>
    <w:rsid w:val="00770291"/>
    <w:rsid w:val="007933AC"/>
    <w:rsid w:val="00794BD7"/>
    <w:rsid w:val="00795051"/>
    <w:rsid w:val="00796692"/>
    <w:rsid w:val="007A0ADF"/>
    <w:rsid w:val="007A4DBB"/>
    <w:rsid w:val="007B77C4"/>
    <w:rsid w:val="007E34D0"/>
    <w:rsid w:val="007E3FBC"/>
    <w:rsid w:val="008043B3"/>
    <w:rsid w:val="00806C52"/>
    <w:rsid w:val="0081266F"/>
    <w:rsid w:val="00821234"/>
    <w:rsid w:val="008267B5"/>
    <w:rsid w:val="008403A6"/>
    <w:rsid w:val="00854C88"/>
    <w:rsid w:val="00856CE3"/>
    <w:rsid w:val="00871255"/>
    <w:rsid w:val="00884305"/>
    <w:rsid w:val="00884588"/>
    <w:rsid w:val="00893671"/>
    <w:rsid w:val="008A1188"/>
    <w:rsid w:val="008A7596"/>
    <w:rsid w:val="008D173B"/>
    <w:rsid w:val="008D17F9"/>
    <w:rsid w:val="008E7F82"/>
    <w:rsid w:val="00901AF7"/>
    <w:rsid w:val="00907C5E"/>
    <w:rsid w:val="00911598"/>
    <w:rsid w:val="009414DE"/>
    <w:rsid w:val="009533C8"/>
    <w:rsid w:val="009560B1"/>
    <w:rsid w:val="00961B84"/>
    <w:rsid w:val="00961E73"/>
    <w:rsid w:val="0096754B"/>
    <w:rsid w:val="00991FFA"/>
    <w:rsid w:val="00995D88"/>
    <w:rsid w:val="0099750B"/>
    <w:rsid w:val="009A35AB"/>
    <w:rsid w:val="009C1D88"/>
    <w:rsid w:val="009D71B0"/>
    <w:rsid w:val="009F191F"/>
    <w:rsid w:val="00A146F6"/>
    <w:rsid w:val="00A17839"/>
    <w:rsid w:val="00A3486E"/>
    <w:rsid w:val="00A41A27"/>
    <w:rsid w:val="00A45071"/>
    <w:rsid w:val="00A47F33"/>
    <w:rsid w:val="00A553AF"/>
    <w:rsid w:val="00A57E75"/>
    <w:rsid w:val="00A61503"/>
    <w:rsid w:val="00A64045"/>
    <w:rsid w:val="00A9069B"/>
    <w:rsid w:val="00A92E6F"/>
    <w:rsid w:val="00A96B46"/>
    <w:rsid w:val="00AA575E"/>
    <w:rsid w:val="00AA669A"/>
    <w:rsid w:val="00AA6E0E"/>
    <w:rsid w:val="00AB260F"/>
    <w:rsid w:val="00AD5506"/>
    <w:rsid w:val="00AE3551"/>
    <w:rsid w:val="00AF290C"/>
    <w:rsid w:val="00AF4424"/>
    <w:rsid w:val="00B13C19"/>
    <w:rsid w:val="00B34C34"/>
    <w:rsid w:val="00B35C22"/>
    <w:rsid w:val="00B5245F"/>
    <w:rsid w:val="00B52B73"/>
    <w:rsid w:val="00B56609"/>
    <w:rsid w:val="00B614D6"/>
    <w:rsid w:val="00B71097"/>
    <w:rsid w:val="00B84113"/>
    <w:rsid w:val="00B84AA9"/>
    <w:rsid w:val="00B872C5"/>
    <w:rsid w:val="00B93D25"/>
    <w:rsid w:val="00BA1DD2"/>
    <w:rsid w:val="00BA41A2"/>
    <w:rsid w:val="00BA4313"/>
    <w:rsid w:val="00BB1535"/>
    <w:rsid w:val="00BB75DA"/>
    <w:rsid w:val="00BC7BE6"/>
    <w:rsid w:val="00BD2D62"/>
    <w:rsid w:val="00BD4E61"/>
    <w:rsid w:val="00BE4C57"/>
    <w:rsid w:val="00BE5409"/>
    <w:rsid w:val="00BE546D"/>
    <w:rsid w:val="00BF2AA0"/>
    <w:rsid w:val="00C02A26"/>
    <w:rsid w:val="00C05AD9"/>
    <w:rsid w:val="00C12275"/>
    <w:rsid w:val="00C20E6B"/>
    <w:rsid w:val="00C23A49"/>
    <w:rsid w:val="00C44E1E"/>
    <w:rsid w:val="00C45AE1"/>
    <w:rsid w:val="00C46F55"/>
    <w:rsid w:val="00C51BAF"/>
    <w:rsid w:val="00C53D1D"/>
    <w:rsid w:val="00C64463"/>
    <w:rsid w:val="00C825CD"/>
    <w:rsid w:val="00CB0514"/>
    <w:rsid w:val="00CC7823"/>
    <w:rsid w:val="00CD348C"/>
    <w:rsid w:val="00CD3691"/>
    <w:rsid w:val="00CE1975"/>
    <w:rsid w:val="00CE731B"/>
    <w:rsid w:val="00CF3F13"/>
    <w:rsid w:val="00D030C8"/>
    <w:rsid w:val="00D03F59"/>
    <w:rsid w:val="00D108D9"/>
    <w:rsid w:val="00D12A83"/>
    <w:rsid w:val="00D24A1E"/>
    <w:rsid w:val="00D42EB6"/>
    <w:rsid w:val="00D46143"/>
    <w:rsid w:val="00D529E3"/>
    <w:rsid w:val="00D52AC5"/>
    <w:rsid w:val="00D57FB9"/>
    <w:rsid w:val="00D6362D"/>
    <w:rsid w:val="00D63CA4"/>
    <w:rsid w:val="00D705D6"/>
    <w:rsid w:val="00D82CB6"/>
    <w:rsid w:val="00D97FCF"/>
    <w:rsid w:val="00DA650B"/>
    <w:rsid w:val="00DB72EA"/>
    <w:rsid w:val="00DC1096"/>
    <w:rsid w:val="00DE4812"/>
    <w:rsid w:val="00DE5312"/>
    <w:rsid w:val="00DF62B7"/>
    <w:rsid w:val="00DF7023"/>
    <w:rsid w:val="00E048A4"/>
    <w:rsid w:val="00E21DC6"/>
    <w:rsid w:val="00E25CED"/>
    <w:rsid w:val="00E31311"/>
    <w:rsid w:val="00E65499"/>
    <w:rsid w:val="00E8187A"/>
    <w:rsid w:val="00E82869"/>
    <w:rsid w:val="00E9261F"/>
    <w:rsid w:val="00E94585"/>
    <w:rsid w:val="00E95B83"/>
    <w:rsid w:val="00E961B0"/>
    <w:rsid w:val="00EA670B"/>
    <w:rsid w:val="00EB3E8D"/>
    <w:rsid w:val="00EB4E24"/>
    <w:rsid w:val="00EC0113"/>
    <w:rsid w:val="00ED0231"/>
    <w:rsid w:val="00ED0CAA"/>
    <w:rsid w:val="00EE2E51"/>
    <w:rsid w:val="00EF1B6A"/>
    <w:rsid w:val="00F03744"/>
    <w:rsid w:val="00F07163"/>
    <w:rsid w:val="00F17A61"/>
    <w:rsid w:val="00F31045"/>
    <w:rsid w:val="00F32358"/>
    <w:rsid w:val="00F362EE"/>
    <w:rsid w:val="00F42CCB"/>
    <w:rsid w:val="00F50AFB"/>
    <w:rsid w:val="00F50B27"/>
    <w:rsid w:val="00F553FF"/>
    <w:rsid w:val="00F7048A"/>
    <w:rsid w:val="00F73A63"/>
    <w:rsid w:val="00F73D2C"/>
    <w:rsid w:val="00F87D5D"/>
    <w:rsid w:val="00F9173B"/>
    <w:rsid w:val="00F945D2"/>
    <w:rsid w:val="00FA0447"/>
    <w:rsid w:val="00FA36E7"/>
    <w:rsid w:val="00FA4025"/>
    <w:rsid w:val="00FB28C3"/>
    <w:rsid w:val="00FB6F28"/>
    <w:rsid w:val="00FB7B57"/>
    <w:rsid w:val="00FD3627"/>
    <w:rsid w:val="00FE0F27"/>
    <w:rsid w:val="00FE1E97"/>
    <w:rsid w:val="00FF1CC8"/>
    <w:rsid w:val="00FF299A"/>
    <w:rsid w:val="00FF6CD7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67DED"/>
  <w15:docId w15:val="{3C15D0A1-3385-44A4-A590-4600F520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6B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4C4D29"/>
    <w:pPr>
      <w:keepNext/>
      <w:numPr>
        <w:numId w:val="2"/>
      </w:numPr>
      <w:spacing w:before="360" w:after="120"/>
    </w:pPr>
    <w:rPr>
      <w:b/>
      <w:bCs/>
      <w:caps/>
      <w:sz w:val="22"/>
    </w:rPr>
  </w:style>
  <w:style w:type="paragraph" w:customStyle="1" w:styleId="Styl2">
    <w:name w:val="Styl2"/>
    <w:basedOn w:val="Normlny"/>
    <w:autoRedefine/>
    <w:rsid w:val="003344FA"/>
    <w:pPr>
      <w:keepNext/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3344FA"/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3777A4"/>
    <w:pPr>
      <w:suppressAutoHyphens/>
    </w:pPr>
    <w:rPr>
      <w:rFonts w:eastAsia="SimSun"/>
      <w:bCs/>
      <w:sz w:val="22"/>
      <w:szCs w:val="22"/>
    </w:rPr>
  </w:style>
  <w:style w:type="character" w:customStyle="1" w:styleId="NormlndoblokuChar">
    <w:name w:val="Normální do bloku Char"/>
    <w:link w:val="Normlndobloku"/>
    <w:rsid w:val="003777A4"/>
    <w:rPr>
      <w:rFonts w:ascii="Times New Roman" w:eastAsia="SimSun" w:hAnsi="Times New Roman" w:cs="Times New Roman"/>
      <w:bCs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8A7596"/>
    <w:pPr>
      <w:numPr>
        <w:numId w:val="14"/>
      </w:numPr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4C4D29"/>
    <w:rPr>
      <w:rFonts w:ascii="Times New Roman" w:eastAsia="Times New Roman" w:hAnsi="Times New Roman" w:cs="Times New Roman"/>
      <w:b/>
      <w:bCs/>
      <w:caps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8A7596"/>
    <w:rPr>
      <w:rFonts w:ascii="Times New Roman" w:eastAsia="SimSun" w:hAnsi="Times New Roman" w:cs="Times New Roman"/>
      <w:bCs/>
      <w:noProof/>
      <w:lang w:val="sk-SK" w:eastAsia="sk-SK"/>
    </w:rPr>
  </w:style>
  <w:style w:type="paragraph" w:styleId="Pta">
    <w:name w:val="footer"/>
    <w:basedOn w:val="Normlny"/>
    <w:link w:val="PtaChar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936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367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MEABullet">
    <w:name w:val="EMEA Bullet"/>
    <w:rsid w:val="00A553AF"/>
    <w:pPr>
      <w:numPr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Revzia">
    <w:name w:val="Revision"/>
    <w:hidden/>
    <w:uiPriority w:val="99"/>
    <w:semiHidden/>
    <w:rsid w:val="005F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6B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 w:eastAsia="sk-SK"/>
    </w:rPr>
  </w:style>
  <w:style w:type="paragraph" w:styleId="Odsekzoznamu">
    <w:name w:val="List Paragraph"/>
    <w:basedOn w:val="Normlny"/>
    <w:uiPriority w:val="34"/>
    <w:qFormat/>
    <w:rsid w:val="00AA669A"/>
    <w:pPr>
      <w:ind w:left="720"/>
      <w:contextualSpacing/>
    </w:pPr>
  </w:style>
  <w:style w:type="character" w:customStyle="1" w:styleId="DeltaViewDeletion">
    <w:name w:val="DeltaView Deletion"/>
    <w:rsid w:val="008A1188"/>
    <w:rPr>
      <w:strike/>
      <w:color w:val="FF0000"/>
      <w:spacing w:val="0"/>
    </w:rPr>
  </w:style>
  <w:style w:type="character" w:customStyle="1" w:styleId="DeltaViewMoveSource">
    <w:name w:val="DeltaView Move Source"/>
    <w:rsid w:val="008A1188"/>
    <w:rPr>
      <w:strike/>
      <w:color w:val="00C000"/>
      <w:spacing w:val="0"/>
    </w:rPr>
  </w:style>
  <w:style w:type="table" w:styleId="Mriekatabuky">
    <w:name w:val="Table Grid"/>
    <w:basedOn w:val="Normlnatabuka"/>
    <w:uiPriority w:val="59"/>
    <w:rsid w:val="009C1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82869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42C3"/>
    <w:rPr>
      <w:color w:val="800080" w:themeColor="followed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E5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E5312"/>
    <w:rPr>
      <w:rFonts w:ascii="Courier New" w:eastAsia="Times New Roman" w:hAnsi="Courier New" w:cs="Courier New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1796</Words>
  <Characters>10243</Characters>
  <Application>Microsoft Office Word</Application>
  <DocSecurity>0</DocSecurity>
  <Lines>85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ME</cp:lastModifiedBy>
  <cp:revision>17</cp:revision>
  <cp:lastPrinted>2017-06-05T11:33:00Z</cp:lastPrinted>
  <dcterms:created xsi:type="dcterms:W3CDTF">2018-07-26T13:45:00Z</dcterms:created>
  <dcterms:modified xsi:type="dcterms:W3CDTF">2020-08-10T08:13:00Z</dcterms:modified>
</cp:coreProperties>
</file>