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2C2C4" w14:textId="77777777" w:rsidR="007765C2" w:rsidRPr="00D7257E" w:rsidRDefault="007765C2">
      <w:pPr>
        <w:spacing w:after="0" w:line="240" w:lineRule="auto"/>
        <w:rPr>
          <w:rFonts w:ascii="Times New Roman" w:hAnsi="Times New Roman"/>
          <w:sz w:val="18"/>
          <w:szCs w:val="18"/>
          <w:lang w:val="sk-SK"/>
        </w:rPr>
      </w:pPr>
    </w:p>
    <w:p w14:paraId="75C67C1E" w14:textId="77777777" w:rsidR="007765C2" w:rsidRPr="00D7257E" w:rsidRDefault="007765C2">
      <w:pPr>
        <w:spacing w:after="0" w:line="240" w:lineRule="auto"/>
        <w:jc w:val="center"/>
        <w:rPr>
          <w:rFonts w:ascii="Times New Roman" w:hAnsi="Times New Roman"/>
          <w:b/>
          <w:szCs w:val="24"/>
          <w:lang w:val="sk-SK"/>
        </w:rPr>
      </w:pPr>
      <w:r w:rsidRPr="00D7257E">
        <w:rPr>
          <w:rFonts w:ascii="Times New Roman" w:hAnsi="Times New Roman"/>
          <w:b/>
          <w:szCs w:val="24"/>
          <w:lang w:val="sk-SK"/>
        </w:rPr>
        <w:t>Písomná informácia pre používateľa</w:t>
      </w:r>
    </w:p>
    <w:p w14:paraId="5A947D76" w14:textId="77777777" w:rsidR="007765C2" w:rsidRPr="00D7257E" w:rsidRDefault="007765C2">
      <w:pPr>
        <w:numPr>
          <w:ilvl w:val="12"/>
          <w:numId w:val="0"/>
        </w:numPr>
        <w:spacing w:after="0" w:line="240" w:lineRule="auto"/>
        <w:jc w:val="center"/>
        <w:rPr>
          <w:rFonts w:ascii="Times New Roman" w:hAnsi="Times New Roman"/>
          <w:b/>
          <w:szCs w:val="24"/>
          <w:lang w:val="sk-SK"/>
        </w:rPr>
      </w:pPr>
    </w:p>
    <w:p w14:paraId="0D9E0DBC" w14:textId="77777777" w:rsidR="007765C2" w:rsidRPr="00D7257E" w:rsidRDefault="007765C2">
      <w:pPr>
        <w:numPr>
          <w:ilvl w:val="12"/>
          <w:numId w:val="0"/>
        </w:numPr>
        <w:spacing w:after="0" w:line="240" w:lineRule="auto"/>
        <w:jc w:val="center"/>
        <w:rPr>
          <w:rFonts w:ascii="Times New Roman" w:hAnsi="Times New Roman"/>
          <w:b/>
          <w:szCs w:val="24"/>
          <w:lang w:val="sk-SK"/>
        </w:rPr>
      </w:pPr>
      <w:r w:rsidRPr="00D7257E">
        <w:rPr>
          <w:rFonts w:ascii="Times New Roman" w:hAnsi="Times New Roman"/>
          <w:b/>
          <w:szCs w:val="24"/>
          <w:lang w:val="sk-SK"/>
        </w:rPr>
        <w:t>Spironolactone Accord 25 mg filmom obalené tablety</w:t>
      </w:r>
    </w:p>
    <w:p w14:paraId="03818E10" w14:textId="77777777" w:rsidR="007765C2" w:rsidRPr="00D7257E" w:rsidRDefault="007765C2" w:rsidP="000B6D6A">
      <w:pPr>
        <w:numPr>
          <w:ilvl w:val="12"/>
          <w:numId w:val="0"/>
        </w:numPr>
        <w:spacing w:after="0" w:line="240" w:lineRule="auto"/>
        <w:jc w:val="center"/>
        <w:rPr>
          <w:rFonts w:ascii="Times New Roman" w:hAnsi="Times New Roman"/>
          <w:b/>
          <w:szCs w:val="24"/>
          <w:lang w:val="sk-SK"/>
        </w:rPr>
      </w:pPr>
      <w:r w:rsidRPr="00D7257E">
        <w:rPr>
          <w:rFonts w:ascii="Times New Roman" w:hAnsi="Times New Roman"/>
          <w:b/>
          <w:szCs w:val="24"/>
          <w:lang w:val="sk-SK"/>
        </w:rPr>
        <w:t>Spironolactone Accord 50 mg filmom obalené tablety</w:t>
      </w:r>
    </w:p>
    <w:p w14:paraId="1C33A819" w14:textId="77777777" w:rsidR="007765C2" w:rsidRPr="00D7257E" w:rsidRDefault="007765C2">
      <w:pPr>
        <w:numPr>
          <w:ilvl w:val="12"/>
          <w:numId w:val="0"/>
        </w:numPr>
        <w:spacing w:after="0" w:line="240" w:lineRule="auto"/>
        <w:jc w:val="center"/>
        <w:rPr>
          <w:rFonts w:ascii="Times New Roman" w:hAnsi="Times New Roman"/>
          <w:b/>
          <w:szCs w:val="24"/>
          <w:lang w:val="sk-SK"/>
        </w:rPr>
      </w:pPr>
      <w:r w:rsidRPr="00D7257E">
        <w:rPr>
          <w:rFonts w:ascii="Times New Roman" w:hAnsi="Times New Roman"/>
          <w:b/>
          <w:szCs w:val="24"/>
          <w:lang w:val="sk-SK"/>
        </w:rPr>
        <w:t>Spironolactone Accord 100 mg filmom obalené tablety</w:t>
      </w:r>
    </w:p>
    <w:p w14:paraId="04C487F9" w14:textId="77777777" w:rsidR="007765C2" w:rsidRPr="00D7257E" w:rsidRDefault="007765C2">
      <w:pPr>
        <w:spacing w:after="0" w:line="240" w:lineRule="auto"/>
        <w:jc w:val="center"/>
        <w:rPr>
          <w:rFonts w:ascii="Times New Roman" w:hAnsi="Times New Roman"/>
          <w:szCs w:val="24"/>
          <w:lang w:val="sk-SK"/>
        </w:rPr>
      </w:pPr>
      <w:r w:rsidRPr="00D7257E">
        <w:rPr>
          <w:rFonts w:ascii="Times New Roman" w:hAnsi="Times New Roman"/>
          <w:szCs w:val="24"/>
          <w:lang w:val="sk-SK"/>
        </w:rPr>
        <w:t>spironolaktón</w:t>
      </w:r>
    </w:p>
    <w:p w14:paraId="02A11A7A" w14:textId="77777777" w:rsidR="007765C2" w:rsidRPr="00D7257E" w:rsidRDefault="007765C2">
      <w:pPr>
        <w:spacing w:after="0" w:line="240" w:lineRule="auto"/>
        <w:jc w:val="center"/>
        <w:rPr>
          <w:rFonts w:ascii="Times New Roman" w:hAnsi="Times New Roman"/>
          <w:szCs w:val="24"/>
          <w:lang w:val="sk-SK"/>
        </w:rPr>
      </w:pPr>
    </w:p>
    <w:p w14:paraId="79816494" w14:textId="77777777" w:rsidR="007765C2" w:rsidRPr="00D7257E" w:rsidRDefault="007765C2">
      <w:pPr>
        <w:spacing w:after="0" w:line="240" w:lineRule="auto"/>
        <w:ind w:right="-2"/>
        <w:rPr>
          <w:rFonts w:ascii="Times New Roman" w:hAnsi="Times New Roman"/>
          <w:b/>
          <w:szCs w:val="24"/>
          <w:lang w:val="sk-SK"/>
        </w:rPr>
      </w:pPr>
      <w:r w:rsidRPr="00D7257E">
        <w:rPr>
          <w:rFonts w:ascii="Times New Roman" w:hAnsi="Times New Roman"/>
          <w:b/>
          <w:szCs w:val="24"/>
          <w:lang w:val="sk-SK"/>
        </w:rPr>
        <w:t>Pozorne si prečítajte celú písomnú informáciu predtým, ako začnete užívať tento liek, pretože obsahuje pre vás dôležité informácie.</w:t>
      </w:r>
    </w:p>
    <w:p w14:paraId="73FC6CB0"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Túto písomnú informáciu si uschovajte. Možno bude potrebné, aby ste si ju znovu prečítali.</w:t>
      </w:r>
    </w:p>
    <w:p w14:paraId="35E29480"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Ak máte akékoľvek ďalšie otázky, obráťte sa na svojho lekára alebo lekárnika.</w:t>
      </w:r>
    </w:p>
    <w:p w14:paraId="5067B004"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Tento liek bol predpísaný iba vám. Nedávajte ho nikomu inému. Môže mu uškodiť, dokonca aj vtedy, ak má rovnaké príznaky ochorenia ako vy.</w:t>
      </w:r>
    </w:p>
    <w:p w14:paraId="34D8682A"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Ak sa u vás vyskytne akýkoľvek vedľajší účinok, obráťte sa na svojho lekára alebo lekárnika alebo zdravotnú sestru. To sa týka aj akýchkoľvek vedľajších účinkov, ktoré nie sú uvedené v tejto písomnej informácii pre používateľa. Pozri časť 4.</w:t>
      </w:r>
    </w:p>
    <w:p w14:paraId="6D20DD82" w14:textId="77777777" w:rsidR="007765C2" w:rsidRPr="00D7257E" w:rsidRDefault="007765C2">
      <w:pPr>
        <w:spacing w:after="0" w:line="240" w:lineRule="auto"/>
        <w:ind w:right="-2"/>
        <w:rPr>
          <w:rFonts w:ascii="Times New Roman" w:hAnsi="Times New Roman"/>
          <w:szCs w:val="24"/>
          <w:lang w:val="sk-SK"/>
        </w:rPr>
      </w:pPr>
    </w:p>
    <w:p w14:paraId="20DEC4A8" w14:textId="77777777" w:rsidR="007765C2" w:rsidRPr="00D7257E" w:rsidRDefault="007765C2">
      <w:pPr>
        <w:spacing w:after="0" w:line="240" w:lineRule="auto"/>
        <w:ind w:right="-2"/>
        <w:rPr>
          <w:rFonts w:ascii="Times New Roman" w:hAnsi="Times New Roman"/>
          <w:szCs w:val="24"/>
          <w:lang w:val="sk-SK"/>
        </w:rPr>
      </w:pPr>
    </w:p>
    <w:p w14:paraId="1D2B2166"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sidRPr="00D7257E">
        <w:rPr>
          <w:rFonts w:ascii="Times New Roman" w:hAnsi="Times New Roman"/>
          <w:b/>
          <w:szCs w:val="24"/>
          <w:lang w:val="sk-SK"/>
        </w:rPr>
        <w:t>V tejto písomnej informácii sa dozviete:</w:t>
      </w:r>
      <w:r w:rsidRPr="00D7257E">
        <w:rPr>
          <w:rFonts w:ascii="Times New Roman" w:hAnsi="Times New Roman"/>
          <w:szCs w:val="24"/>
          <w:lang w:val="sk-SK"/>
        </w:rPr>
        <w:t xml:space="preserve"> </w:t>
      </w:r>
    </w:p>
    <w:p w14:paraId="1AACFAA8" w14:textId="77777777" w:rsidR="007765C2" w:rsidRPr="00D7257E" w:rsidRDefault="007765C2">
      <w:pPr>
        <w:numPr>
          <w:ilvl w:val="12"/>
          <w:numId w:val="0"/>
        </w:numPr>
        <w:spacing w:after="0" w:line="240" w:lineRule="auto"/>
        <w:ind w:right="-29"/>
        <w:rPr>
          <w:rFonts w:ascii="Times New Roman" w:hAnsi="Times New Roman"/>
          <w:szCs w:val="24"/>
          <w:lang w:val="sk-SK"/>
        </w:rPr>
      </w:pPr>
      <w:r w:rsidRPr="00D7257E">
        <w:rPr>
          <w:rFonts w:ascii="Times New Roman" w:hAnsi="Times New Roman"/>
          <w:szCs w:val="24"/>
          <w:lang w:val="sk-SK"/>
        </w:rPr>
        <w:t>1.</w:t>
      </w:r>
      <w:r w:rsidRPr="00D7257E">
        <w:rPr>
          <w:rFonts w:ascii="Times New Roman" w:hAnsi="Times New Roman"/>
          <w:szCs w:val="24"/>
          <w:lang w:val="sk-SK"/>
        </w:rPr>
        <w:tab/>
        <w:t>Čo je Spironolactone Accord a na čo sa používa</w:t>
      </w:r>
    </w:p>
    <w:p w14:paraId="7918C623" w14:textId="77777777" w:rsidR="007765C2" w:rsidRPr="00D7257E" w:rsidRDefault="007765C2">
      <w:pPr>
        <w:numPr>
          <w:ilvl w:val="12"/>
          <w:numId w:val="0"/>
        </w:numPr>
        <w:spacing w:after="0" w:line="240" w:lineRule="auto"/>
        <w:ind w:right="-29"/>
        <w:rPr>
          <w:rFonts w:ascii="Times New Roman" w:hAnsi="Times New Roman"/>
          <w:szCs w:val="24"/>
          <w:lang w:val="sk-SK"/>
        </w:rPr>
      </w:pPr>
      <w:r w:rsidRPr="00D7257E">
        <w:rPr>
          <w:rFonts w:ascii="Times New Roman" w:hAnsi="Times New Roman"/>
          <w:szCs w:val="24"/>
          <w:lang w:val="sk-SK"/>
        </w:rPr>
        <w:t>2.</w:t>
      </w:r>
      <w:r w:rsidRPr="00D7257E">
        <w:rPr>
          <w:rFonts w:ascii="Times New Roman" w:hAnsi="Times New Roman"/>
          <w:szCs w:val="24"/>
          <w:lang w:val="sk-SK"/>
        </w:rPr>
        <w:tab/>
        <w:t xml:space="preserve">Čo potrebujete vedieť predtým, ako užijete Spironolactone Accord  </w:t>
      </w:r>
    </w:p>
    <w:p w14:paraId="46761504" w14:textId="77777777" w:rsidR="007765C2" w:rsidRPr="00D7257E" w:rsidRDefault="007765C2">
      <w:pPr>
        <w:numPr>
          <w:ilvl w:val="12"/>
          <w:numId w:val="0"/>
        </w:numPr>
        <w:spacing w:after="0" w:line="240" w:lineRule="auto"/>
        <w:ind w:right="-29"/>
        <w:rPr>
          <w:rFonts w:ascii="Times New Roman" w:hAnsi="Times New Roman"/>
          <w:szCs w:val="24"/>
          <w:lang w:val="sk-SK"/>
        </w:rPr>
      </w:pPr>
      <w:r w:rsidRPr="00D7257E">
        <w:rPr>
          <w:rFonts w:ascii="Times New Roman" w:hAnsi="Times New Roman"/>
          <w:szCs w:val="24"/>
          <w:lang w:val="sk-SK"/>
        </w:rPr>
        <w:t>3.</w:t>
      </w:r>
      <w:r w:rsidRPr="00D7257E">
        <w:rPr>
          <w:rFonts w:ascii="Times New Roman" w:hAnsi="Times New Roman"/>
          <w:szCs w:val="24"/>
          <w:lang w:val="sk-SK"/>
        </w:rPr>
        <w:tab/>
        <w:t>Ako užívať Spironolactone Accord</w:t>
      </w:r>
    </w:p>
    <w:p w14:paraId="3B110E4C" w14:textId="77777777" w:rsidR="007765C2" w:rsidRPr="00D7257E" w:rsidRDefault="007765C2">
      <w:pPr>
        <w:numPr>
          <w:ilvl w:val="12"/>
          <w:numId w:val="0"/>
        </w:numPr>
        <w:spacing w:after="0" w:line="240" w:lineRule="auto"/>
        <w:ind w:right="-29"/>
        <w:rPr>
          <w:rFonts w:ascii="Times New Roman" w:hAnsi="Times New Roman"/>
          <w:szCs w:val="24"/>
          <w:lang w:val="sk-SK"/>
        </w:rPr>
      </w:pPr>
      <w:r w:rsidRPr="00D7257E">
        <w:rPr>
          <w:rFonts w:ascii="Times New Roman" w:hAnsi="Times New Roman"/>
          <w:szCs w:val="24"/>
          <w:lang w:val="sk-SK"/>
        </w:rPr>
        <w:t>4.</w:t>
      </w:r>
      <w:r w:rsidRPr="00D7257E">
        <w:rPr>
          <w:rFonts w:ascii="Times New Roman" w:hAnsi="Times New Roman"/>
          <w:szCs w:val="24"/>
          <w:lang w:val="sk-SK"/>
        </w:rPr>
        <w:tab/>
        <w:t>Možné vedľajšie účinky</w:t>
      </w:r>
    </w:p>
    <w:p w14:paraId="185E5D44" w14:textId="696F46B2" w:rsidR="007765C2" w:rsidRPr="00D7257E" w:rsidRDefault="007765C2">
      <w:pPr>
        <w:numPr>
          <w:ilvl w:val="0"/>
          <w:numId w:val="1"/>
        </w:numPr>
        <w:spacing w:after="0" w:line="240" w:lineRule="auto"/>
        <w:ind w:right="-29"/>
        <w:rPr>
          <w:rFonts w:ascii="Times New Roman" w:hAnsi="Times New Roman"/>
          <w:szCs w:val="24"/>
          <w:lang w:val="sk-SK"/>
        </w:rPr>
      </w:pPr>
      <w:r w:rsidRPr="00D7257E">
        <w:rPr>
          <w:rFonts w:ascii="Times New Roman" w:hAnsi="Times New Roman"/>
          <w:szCs w:val="24"/>
          <w:lang w:val="sk-SK"/>
        </w:rPr>
        <w:t>Ako uchovávať Spironolactone Accord</w:t>
      </w:r>
    </w:p>
    <w:p w14:paraId="772CC381" w14:textId="77777777" w:rsidR="007765C2" w:rsidRPr="00D7257E" w:rsidRDefault="007765C2">
      <w:pPr>
        <w:spacing w:after="0" w:line="240" w:lineRule="auto"/>
        <w:ind w:right="-29"/>
        <w:rPr>
          <w:rFonts w:ascii="Times New Roman" w:hAnsi="Times New Roman"/>
          <w:szCs w:val="24"/>
          <w:lang w:val="sk-SK"/>
        </w:rPr>
      </w:pPr>
      <w:r w:rsidRPr="00D7257E">
        <w:rPr>
          <w:rFonts w:ascii="Times New Roman" w:hAnsi="Times New Roman"/>
          <w:szCs w:val="24"/>
          <w:lang w:val="sk-SK"/>
        </w:rPr>
        <w:t>6.</w:t>
      </w:r>
      <w:r w:rsidRPr="00D7257E">
        <w:rPr>
          <w:rFonts w:ascii="Times New Roman" w:hAnsi="Times New Roman"/>
          <w:szCs w:val="24"/>
          <w:lang w:val="sk-SK"/>
        </w:rPr>
        <w:tab/>
        <w:t>Obsah balenia a ďalšie informácie</w:t>
      </w:r>
    </w:p>
    <w:p w14:paraId="0B5528D9" w14:textId="77777777" w:rsidR="007765C2" w:rsidRPr="00D7257E" w:rsidRDefault="007765C2">
      <w:pPr>
        <w:numPr>
          <w:ilvl w:val="12"/>
          <w:numId w:val="0"/>
        </w:numPr>
        <w:spacing w:after="0" w:line="240" w:lineRule="auto"/>
        <w:rPr>
          <w:rFonts w:ascii="Times New Roman" w:hAnsi="Times New Roman"/>
          <w:szCs w:val="24"/>
          <w:lang w:val="sk-SK"/>
        </w:rPr>
      </w:pPr>
    </w:p>
    <w:p w14:paraId="5D0CBF68" w14:textId="77777777" w:rsidR="007765C2" w:rsidRPr="00D7257E" w:rsidRDefault="007765C2">
      <w:pPr>
        <w:numPr>
          <w:ilvl w:val="12"/>
          <w:numId w:val="0"/>
        </w:numPr>
        <w:spacing w:after="0" w:line="240" w:lineRule="auto"/>
        <w:rPr>
          <w:rFonts w:ascii="Times New Roman" w:hAnsi="Times New Roman"/>
          <w:szCs w:val="24"/>
          <w:lang w:val="sk-SK"/>
        </w:rPr>
      </w:pPr>
    </w:p>
    <w:p w14:paraId="4D17E9EC" w14:textId="77777777" w:rsidR="007765C2" w:rsidRPr="00D7257E" w:rsidRDefault="007765C2">
      <w:pPr>
        <w:numPr>
          <w:ilvl w:val="0"/>
          <w:numId w:val="3"/>
        </w:numPr>
        <w:spacing w:after="0" w:line="240" w:lineRule="auto"/>
        <w:ind w:right="-2"/>
        <w:rPr>
          <w:rFonts w:ascii="Times New Roman" w:hAnsi="Times New Roman"/>
          <w:b/>
          <w:szCs w:val="24"/>
          <w:lang w:val="sk-SK"/>
        </w:rPr>
      </w:pPr>
      <w:r w:rsidRPr="00D7257E">
        <w:rPr>
          <w:rFonts w:ascii="Times New Roman" w:hAnsi="Times New Roman"/>
          <w:b/>
          <w:szCs w:val="24"/>
          <w:lang w:val="sk-SK"/>
        </w:rPr>
        <w:t>Čo je Spironolactone Accord a na čo sa používa</w:t>
      </w:r>
    </w:p>
    <w:p w14:paraId="2975E737" w14:textId="77777777" w:rsidR="007765C2" w:rsidRPr="00D7257E" w:rsidRDefault="007765C2">
      <w:pPr>
        <w:pStyle w:val="Default"/>
        <w:ind w:left="517"/>
        <w:rPr>
          <w:lang w:val="sk-SK"/>
        </w:rPr>
      </w:pPr>
    </w:p>
    <w:p w14:paraId="2B33F2B6" w14:textId="77777777" w:rsidR="007765C2" w:rsidRPr="00D7257E" w:rsidRDefault="007765C2">
      <w:pPr>
        <w:numPr>
          <w:ilvl w:val="12"/>
          <w:numId w:val="0"/>
        </w:numPr>
        <w:spacing w:after="0" w:line="240" w:lineRule="auto"/>
        <w:ind w:right="-2"/>
        <w:rPr>
          <w:rFonts w:ascii="Times New Roman" w:hAnsi="Times New Roman"/>
          <w:szCs w:val="24"/>
          <w:lang w:val="sk-SK"/>
        </w:rPr>
      </w:pPr>
      <w:r w:rsidRPr="00D7257E">
        <w:rPr>
          <w:rFonts w:ascii="Times New Roman" w:hAnsi="Times New Roman"/>
          <w:szCs w:val="24"/>
          <w:lang w:val="sk-SK"/>
        </w:rPr>
        <w:t>Účinnou látkou v tabletách je spironolaktón. Spironolaktón patrí do konkrétnej skupiny liekov známej ako antagonisty aldosterónu, ktorá tlmí účinok hormónu aldosterónu. Jednou z funkcií aldosterónu je zabezpečiť to, aby si telo uchovávalo sodík. Tvorí časť systému, ktorý reguluje rovnováhu tekutín a solí v tele („RAAS“, systém renín-angiotenzín-aldosterón). Spironolaktón podporuje vylučovanie moču u pacientov, u ktorých dochádza k nazhromaždeniu tekutiny v v tkanivách (edém) alebo v brušnej dutine (ascites) tak, že sa zvýši množstvo sodíka (soli) vylučovaného močom. Takto sa zníži strata draslíka ako možného následku užívania určitých diuretík (liekov na odvodnenie). Účinok na zníženie vysokého krvného tlaku závisí od vylučovania vody a soli.</w:t>
      </w:r>
    </w:p>
    <w:p w14:paraId="02F2FFC5"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3F4ADF44" w14:textId="77777777" w:rsidR="007765C2" w:rsidRPr="00D7257E" w:rsidRDefault="007765C2">
      <w:pPr>
        <w:numPr>
          <w:ilvl w:val="12"/>
          <w:numId w:val="0"/>
        </w:numPr>
        <w:spacing w:after="0" w:line="240" w:lineRule="auto"/>
        <w:ind w:right="-2"/>
        <w:rPr>
          <w:rFonts w:ascii="Times New Roman" w:hAnsi="Times New Roman"/>
          <w:szCs w:val="24"/>
          <w:lang w:val="sk-SK"/>
        </w:rPr>
      </w:pPr>
      <w:r w:rsidRPr="00D7257E">
        <w:rPr>
          <w:rFonts w:ascii="Times New Roman" w:hAnsi="Times New Roman"/>
          <w:szCs w:val="24"/>
          <w:lang w:val="sk-SK"/>
        </w:rPr>
        <w:t>Spironolactone Accord môže lekár predpísať pri liečbe:</w:t>
      </w:r>
    </w:p>
    <w:p w14:paraId="3663FE1C" w14:textId="6CF81B50"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nazhromaždenia tekutiny v tkanivách v dôsledku srdcových porúch;</w:t>
      </w:r>
    </w:p>
    <w:p w14:paraId="351850D0"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závažného srdcového zlyhania (NYHA III-IV);</w:t>
      </w:r>
    </w:p>
    <w:p w14:paraId="00E110D6"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zvýšeného krvného tlaku ako doplňujúcu liečbu k strave bez obsahu soli a užívaniu diuretík;</w:t>
      </w:r>
    </w:p>
    <w:p w14:paraId="554F89FA"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niektorých porúch obličiek;</w:t>
      </w:r>
    </w:p>
    <w:p w14:paraId="676D2A6A"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D7257E">
        <w:rPr>
          <w:rFonts w:ascii="Times New Roman" w:hAnsi="Times New Roman"/>
          <w:szCs w:val="24"/>
          <w:lang w:val="sk-SK"/>
        </w:rPr>
        <w:t>nazhromaždenia tekutiny v tkanivách v brušnej dutine.</w:t>
      </w:r>
    </w:p>
    <w:p w14:paraId="62010DB5"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5D77B37E" w14:textId="77777777" w:rsidR="007765C2" w:rsidRPr="00D7257E" w:rsidRDefault="007765C2">
      <w:pPr>
        <w:numPr>
          <w:ilvl w:val="12"/>
          <w:numId w:val="0"/>
        </w:numPr>
        <w:spacing w:after="0" w:line="240" w:lineRule="auto"/>
        <w:ind w:right="-2"/>
        <w:rPr>
          <w:rFonts w:ascii="Times New Roman" w:hAnsi="Times New Roman"/>
          <w:szCs w:val="24"/>
          <w:lang w:val="sk-SK"/>
        </w:rPr>
      </w:pPr>
      <w:r w:rsidRPr="00D7257E">
        <w:rPr>
          <w:rFonts w:ascii="Times New Roman" w:hAnsi="Times New Roman"/>
          <w:szCs w:val="24"/>
          <w:lang w:val="sk-SK"/>
        </w:rPr>
        <w:t>Spironolactone Accord sa môže tiež používať:</w:t>
      </w:r>
    </w:p>
    <w:p w14:paraId="542DC156" w14:textId="77777777" w:rsidR="007765C2" w:rsidRPr="00D7257E" w:rsidRDefault="007765C2">
      <w:pPr>
        <w:pStyle w:val="Default"/>
        <w:rPr>
          <w:sz w:val="22"/>
          <w:lang w:val="sk-SK"/>
        </w:rPr>
      </w:pPr>
      <w:r w:rsidRPr="00D7257E">
        <w:rPr>
          <w:sz w:val="22"/>
          <w:lang w:val="sk-SK"/>
        </w:rPr>
        <w:t>počas lekárskych vyšetrení (diagnostike) na potvrdenie prítomnosti porúch, pri ktorých sa tvorí príliš vysoká hladina aldosterónu v kôre nadobličiek (známe ako Connova choroba), a pri ich liečbe.</w:t>
      </w:r>
    </w:p>
    <w:p w14:paraId="7A5EF4E7" w14:textId="77777777" w:rsidR="007765C2" w:rsidRPr="00D7257E" w:rsidRDefault="007765C2">
      <w:pPr>
        <w:spacing w:after="0" w:line="240" w:lineRule="auto"/>
        <w:ind w:right="-2"/>
        <w:rPr>
          <w:rFonts w:ascii="Times New Roman" w:hAnsi="Times New Roman"/>
          <w:szCs w:val="24"/>
          <w:lang w:val="sk-SK"/>
        </w:rPr>
      </w:pPr>
    </w:p>
    <w:p w14:paraId="27E63B01" w14:textId="77777777" w:rsidR="007765C2" w:rsidRPr="00D7257E" w:rsidRDefault="007765C2">
      <w:pPr>
        <w:spacing w:after="0" w:line="240" w:lineRule="auto"/>
        <w:ind w:right="-2"/>
        <w:rPr>
          <w:rFonts w:ascii="Times New Roman" w:hAnsi="Times New Roman"/>
          <w:szCs w:val="24"/>
          <w:lang w:val="sk-SK"/>
        </w:rPr>
      </w:pPr>
      <w:r w:rsidRPr="00D7257E">
        <w:rPr>
          <w:rFonts w:ascii="Times New Roman" w:hAnsi="Times New Roman"/>
          <w:szCs w:val="24"/>
          <w:lang w:val="sk-SK"/>
        </w:rPr>
        <w:lastRenderedPageBreak/>
        <w:t>Deti majú byť liečené iba pod dohľadom odborného detského lekára.</w:t>
      </w:r>
    </w:p>
    <w:p w14:paraId="46725D38" w14:textId="77777777" w:rsidR="007765C2" w:rsidRPr="00D7257E" w:rsidRDefault="007765C2">
      <w:pPr>
        <w:spacing w:after="0" w:line="240" w:lineRule="auto"/>
        <w:ind w:left="63" w:right="-2"/>
        <w:rPr>
          <w:rFonts w:ascii="Times New Roman" w:hAnsi="Times New Roman"/>
          <w:szCs w:val="24"/>
          <w:lang w:val="sk-SK"/>
        </w:rPr>
      </w:pPr>
    </w:p>
    <w:p w14:paraId="2C6F0E9A"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3B8FFAF2" w14:textId="77777777" w:rsidR="007765C2" w:rsidRPr="00D7257E" w:rsidRDefault="007765C2">
      <w:pPr>
        <w:numPr>
          <w:ilvl w:val="0"/>
          <w:numId w:val="9"/>
        </w:numPr>
        <w:spacing w:after="0" w:line="240" w:lineRule="auto"/>
        <w:ind w:right="-2"/>
        <w:rPr>
          <w:rFonts w:ascii="Times New Roman" w:hAnsi="Times New Roman"/>
          <w:b/>
          <w:szCs w:val="24"/>
          <w:lang w:val="sk-SK"/>
        </w:rPr>
      </w:pPr>
      <w:r w:rsidRPr="00D7257E">
        <w:rPr>
          <w:rFonts w:ascii="Times New Roman" w:hAnsi="Times New Roman"/>
          <w:b/>
          <w:szCs w:val="24"/>
          <w:lang w:val="sk-SK"/>
        </w:rPr>
        <w:t xml:space="preserve">Čo potrebujete vedieť predtým, ako užijete Spironolactone Accord </w:t>
      </w:r>
    </w:p>
    <w:p w14:paraId="1D9AD6F4"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58351B97" w14:textId="77777777" w:rsidR="007765C2" w:rsidRPr="00D7257E" w:rsidRDefault="007765C2">
      <w:pPr>
        <w:numPr>
          <w:ilvl w:val="12"/>
          <w:numId w:val="0"/>
        </w:numPr>
        <w:spacing w:after="0" w:line="240" w:lineRule="auto"/>
        <w:outlineLvl w:val="0"/>
        <w:rPr>
          <w:rFonts w:ascii="Times New Roman" w:hAnsi="Times New Roman"/>
          <w:szCs w:val="24"/>
          <w:lang w:val="sk-SK"/>
        </w:rPr>
      </w:pPr>
      <w:r w:rsidRPr="00D7257E">
        <w:rPr>
          <w:rFonts w:ascii="Times New Roman" w:hAnsi="Times New Roman"/>
          <w:b/>
          <w:szCs w:val="24"/>
          <w:lang w:val="sk-SK"/>
        </w:rPr>
        <w:t>Neužívajte Spironolactone Accord</w:t>
      </w:r>
    </w:p>
    <w:p w14:paraId="08705E9A"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ste alergický na spironolaktón alebo na ktorúkoľvek z ďalších zložiek tohto lieku (uvedených v časti 6).</w:t>
      </w:r>
    </w:p>
    <w:p w14:paraId="59E9FF41"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máte závažnú poruchu funkcie obličiek alebo máte náhle alebo rýchlo sa zhoršujúce ochorenie obličiek, vrátane prípadov, pri ktorých sa netvorí žiadny moč alebo sa ho tvorí veľmi málo.</w:t>
      </w:r>
    </w:p>
    <w:p w14:paraId="00F23B21"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máte nízke hladiny sodíka v krvi (hyponatrémia).</w:t>
      </w:r>
    </w:p>
    <w:p w14:paraId="67D324A5"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 xml:space="preserve">ak máte hyperkaliémiu (zvýšené hladiny draslíka v krvi) alebo akékoľvek iné stavy spojené s hyperkaliémiou. </w:t>
      </w:r>
    </w:p>
    <w:p w14:paraId="2A31CEF9"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súbežne užívate draslík šetriacich diuretiká (lieky na odvodnenie vrátane eplerenónu) alebo doplnky draslíka, alebo duálnu blokádu RAAS kombinovaným použitím inhibítorov angiotenzín konvertujúceho enzýmu (ACE) a blokátorov receptorov angiotenzínu (ARB) (liečba používaná pri ochoreniach srdca a obličiek).</w:t>
      </w:r>
    </w:p>
    <w:p w14:paraId="53DDDD27" w14:textId="77777777" w:rsidR="007765C2" w:rsidRPr="00D7257E" w:rsidRDefault="007765C2">
      <w:pPr>
        <w:spacing w:after="0" w:line="240" w:lineRule="auto"/>
        <w:rPr>
          <w:rFonts w:ascii="Times New Roman" w:hAnsi="Times New Roman"/>
          <w:szCs w:val="24"/>
          <w:lang w:val="sk-SK"/>
        </w:rPr>
      </w:pPr>
    </w:p>
    <w:p w14:paraId="017A11F0" w14:textId="77777777" w:rsidR="007765C2" w:rsidRPr="00D7257E" w:rsidRDefault="007765C2">
      <w:pPr>
        <w:numPr>
          <w:ilvl w:val="12"/>
          <w:numId w:val="0"/>
        </w:numPr>
        <w:spacing w:after="0" w:line="240" w:lineRule="auto"/>
        <w:ind w:right="-2"/>
        <w:rPr>
          <w:rFonts w:ascii="Times New Roman" w:hAnsi="Times New Roman"/>
          <w:b/>
          <w:szCs w:val="24"/>
          <w:lang w:val="sk-SK"/>
        </w:rPr>
      </w:pPr>
      <w:r w:rsidRPr="00D7257E">
        <w:rPr>
          <w:rFonts w:ascii="Times New Roman" w:hAnsi="Times New Roman"/>
          <w:b/>
          <w:szCs w:val="24"/>
          <w:lang w:val="sk-SK"/>
        </w:rPr>
        <w:t>Deti</w:t>
      </w:r>
    </w:p>
    <w:p w14:paraId="430EE5D3" w14:textId="77777777" w:rsidR="007765C2" w:rsidRPr="00D7257E" w:rsidRDefault="007765C2">
      <w:pPr>
        <w:numPr>
          <w:ilvl w:val="12"/>
          <w:numId w:val="0"/>
        </w:numPr>
        <w:spacing w:after="0" w:line="240" w:lineRule="auto"/>
        <w:ind w:right="-2"/>
        <w:rPr>
          <w:rFonts w:ascii="Times New Roman" w:hAnsi="Times New Roman"/>
          <w:szCs w:val="24"/>
          <w:lang w:val="sk-SK"/>
        </w:rPr>
      </w:pPr>
      <w:r w:rsidRPr="00D7257E">
        <w:rPr>
          <w:rFonts w:ascii="Times New Roman" w:hAnsi="Times New Roman"/>
          <w:szCs w:val="24"/>
          <w:lang w:val="sk-SK"/>
        </w:rPr>
        <w:t>Deti so stredne závažným alebo závažným ochorením obličiek nesmú užívať Spironolactone Accord.</w:t>
      </w:r>
    </w:p>
    <w:p w14:paraId="2D93ADFD" w14:textId="77777777" w:rsidR="007765C2" w:rsidRPr="00D7257E" w:rsidRDefault="007765C2">
      <w:pPr>
        <w:spacing w:after="0" w:line="240" w:lineRule="auto"/>
        <w:rPr>
          <w:rFonts w:ascii="Times New Roman" w:hAnsi="Times New Roman"/>
          <w:szCs w:val="24"/>
          <w:lang w:val="sk-SK"/>
        </w:rPr>
      </w:pPr>
    </w:p>
    <w:p w14:paraId="15869C27" w14:textId="77777777" w:rsidR="007765C2" w:rsidRPr="00D7257E" w:rsidRDefault="007765C2">
      <w:pPr>
        <w:spacing w:after="0" w:line="240" w:lineRule="auto"/>
        <w:rPr>
          <w:rFonts w:ascii="Times New Roman" w:hAnsi="Times New Roman"/>
          <w:b/>
          <w:szCs w:val="24"/>
          <w:lang w:val="sk-SK"/>
        </w:rPr>
      </w:pPr>
      <w:r w:rsidRPr="00D7257E">
        <w:rPr>
          <w:rFonts w:ascii="Times New Roman" w:hAnsi="Times New Roman"/>
          <w:b/>
          <w:szCs w:val="24"/>
          <w:lang w:val="sk-SK"/>
        </w:rPr>
        <w:t>Zvláštna opatrnosť pri užívaní Spironolactone Accord</w:t>
      </w:r>
    </w:p>
    <w:p w14:paraId="68214474"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trpíte ochorením obličiek, predovšetkým ak ide o deti s vysokým krvným tlakom. Váš lekár vás bude pravidelne kontrolovať.</w:t>
      </w:r>
    </w:p>
    <w:p w14:paraId="5F4C107F" w14:textId="77777777" w:rsidR="007765C2" w:rsidRPr="00D7257E" w:rsidRDefault="007765C2">
      <w:pPr>
        <w:spacing w:after="0" w:line="240" w:lineRule="auto"/>
        <w:rPr>
          <w:rFonts w:ascii="Times New Roman" w:hAnsi="Times New Roman"/>
          <w:szCs w:val="24"/>
          <w:lang w:val="sk-SK"/>
        </w:rPr>
      </w:pPr>
    </w:p>
    <w:p w14:paraId="0421C9BB"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r w:rsidRPr="00D7257E">
        <w:rPr>
          <w:rFonts w:ascii="Times New Roman" w:hAnsi="Times New Roman"/>
          <w:b/>
          <w:szCs w:val="24"/>
          <w:lang w:val="sk-SK"/>
        </w:rPr>
        <w:t>Upozornenia a opatrenia</w:t>
      </w:r>
    </w:p>
    <w:p w14:paraId="1F44CC80"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r w:rsidRPr="00D7257E">
        <w:rPr>
          <w:rFonts w:ascii="Times New Roman" w:hAnsi="Times New Roman"/>
          <w:szCs w:val="24"/>
          <w:lang w:val="sk-SK"/>
        </w:rPr>
        <w:t>Obráťte sa na svojho lekára alebo lekárnika predtým, ako začnete užívať Spironolactone Accord:</w:t>
      </w:r>
    </w:p>
    <w:p w14:paraId="2D65FB81"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potrebujete užívať Spironolactone Accord dlhodobo, váš lekár by mal vykonávať pravidelné kontroly (napr. čo sa týka hladiny draslíka a sodíka vo vašej krvi), predovšetkým, ak ste staršia osoba.</w:t>
      </w:r>
    </w:p>
    <w:p w14:paraId="3C6E55C3"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máte poruchu pečene, váš lekár by mal byť pri vašej liečbe opatrný.</w:t>
      </w:r>
    </w:p>
    <w:p w14:paraId="6FDCE1C5"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máte poruchu obličiek, váš lekár by mal byť pri vašej liečbe opatrný.</w:t>
      </w:r>
    </w:p>
    <w:p w14:paraId="07CE2ACC"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máte zvýšenú hladinu draslíka v krvi alebo ak máte zhoršenú funkciu obličiek, podávanie Spironolactone Accord sa neodporúča (pozri tiež „Neužívajte Spironolactone Accord“).</w:t>
      </w:r>
    </w:p>
    <w:p w14:paraId="0B4C7AB3"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 xml:space="preserve">ak máte závažnú renálnu dysfunkciu (poruchu funkcie obličiek), ktorá sa súbežne lieči s doplnkami draslíka, pretože by sa mohla objaviť hyperkaliémia (zvýšená hladina draslíka), čo môže mať za následok zastavenie srdca (niekedy smrteľné). </w:t>
      </w:r>
    </w:p>
    <w:p w14:paraId="100BED69" w14:textId="77777777" w:rsidR="007765C2" w:rsidRPr="00D7257E"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ak užívate určité diuretiká (lieky na odvodnenie), nazývané draslík šetriace diuretiká (napr. amilorid a triamterén); súbežné užívanie so Spironolactone Accord sa neodporúča, pretože sa zvyšuje riziko zvýšených hladín draslíka v krvi (hyperkaliémia).</w:t>
      </w:r>
    </w:p>
    <w:p w14:paraId="617076E8" w14:textId="77777777" w:rsidR="005C19EA" w:rsidRDefault="007765C2">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v prípade dlhodobej liečby mladších pacientov Spironolactone Accord by mal váš lekár zvážiť prínosy lieku v porovnaní s jeho dlhodobými nevýhodami.</w:t>
      </w:r>
    </w:p>
    <w:p w14:paraId="69F52EA7" w14:textId="6CC71326" w:rsidR="007765C2" w:rsidRPr="001F5F00" w:rsidRDefault="007765C2" w:rsidP="000F2695">
      <w:pPr>
        <w:numPr>
          <w:ilvl w:val="1"/>
          <w:numId w:val="2"/>
        </w:numPr>
        <w:tabs>
          <w:tab w:val="num" w:pos="454"/>
          <w:tab w:val="left" w:pos="567"/>
        </w:tabs>
        <w:spacing w:after="0" w:line="240" w:lineRule="auto"/>
        <w:ind w:left="454"/>
        <w:rPr>
          <w:rFonts w:ascii="Times New Roman" w:hAnsi="Times New Roman"/>
          <w:szCs w:val="24"/>
          <w:lang w:val="sk-SK"/>
        </w:rPr>
      </w:pPr>
      <w:r w:rsidRPr="00D7257E">
        <w:rPr>
          <w:rFonts w:ascii="Times New Roman" w:hAnsi="Times New Roman"/>
          <w:szCs w:val="24"/>
          <w:lang w:val="sk-SK"/>
        </w:rPr>
        <w:t xml:space="preserve"> </w:t>
      </w:r>
      <w:r w:rsidR="001B620D" w:rsidRPr="001F5F00">
        <w:rPr>
          <w:rFonts w:ascii="Times New Roman" w:hAnsi="Times New Roman"/>
          <w:szCs w:val="24"/>
          <w:lang w:val="sk-SK"/>
        </w:rPr>
        <w:t xml:space="preserve">Súčasné užívanie Spironolactonu Accord a určitých liekov, draslíkových doplnkov a potravín bohatých na draslík môže viesť k závažnej hyperkaliémii (zvýšenej hladine draslíka v krvi). Príznaky závažnej hyperkaliémie môžu zahŕňať svalové kŕče, nepravidelný srdcový rytmus, hnačku, žalúdočnú nevoľnosť, závraty alebo bolesti hlavy. </w:t>
      </w:r>
    </w:p>
    <w:p w14:paraId="7E0BA6B0" w14:textId="77777777" w:rsidR="007765C2" w:rsidRPr="00D7257E" w:rsidRDefault="007765C2">
      <w:pPr>
        <w:spacing w:after="0" w:line="240" w:lineRule="auto"/>
        <w:rPr>
          <w:rFonts w:ascii="Times New Roman" w:hAnsi="Times New Roman"/>
          <w:szCs w:val="24"/>
          <w:lang w:val="sk-SK"/>
        </w:rPr>
      </w:pPr>
    </w:p>
    <w:p w14:paraId="2006AEF7" w14:textId="2C369C28" w:rsidR="007765C2" w:rsidRPr="00D7257E" w:rsidRDefault="007765C2">
      <w:pPr>
        <w:spacing w:after="0" w:line="240" w:lineRule="auto"/>
        <w:rPr>
          <w:rFonts w:ascii="Times New Roman" w:hAnsi="Times New Roman"/>
          <w:szCs w:val="24"/>
          <w:lang w:val="sk-SK"/>
        </w:rPr>
      </w:pPr>
      <w:r>
        <w:rPr>
          <w:rFonts w:ascii="Times New Roman" w:hAnsi="Times New Roman"/>
          <w:szCs w:val="24"/>
          <w:lang w:val="sk-SK"/>
        </w:rPr>
        <w:t>Informujte vášho lekára, ak sa na vás vzťahuje niektoré z vyššie uvedených upozornení, alebo sa vzťahovalo v minulosti.</w:t>
      </w:r>
    </w:p>
    <w:p w14:paraId="3B730B7A" w14:textId="77777777" w:rsidR="007765C2" w:rsidRPr="00D7257E" w:rsidRDefault="007765C2">
      <w:pPr>
        <w:numPr>
          <w:ilvl w:val="12"/>
          <w:numId w:val="0"/>
        </w:numPr>
        <w:spacing w:after="0" w:line="240" w:lineRule="auto"/>
        <w:ind w:right="-2"/>
        <w:rPr>
          <w:rFonts w:ascii="Times New Roman" w:hAnsi="Times New Roman"/>
          <w:b/>
          <w:szCs w:val="24"/>
          <w:lang w:val="sk-SK"/>
        </w:rPr>
      </w:pPr>
    </w:p>
    <w:p w14:paraId="478C27AE" w14:textId="77777777" w:rsidR="007765C2" w:rsidRPr="00D7257E" w:rsidRDefault="007765C2">
      <w:pPr>
        <w:numPr>
          <w:ilvl w:val="12"/>
          <w:numId w:val="0"/>
        </w:numPr>
        <w:spacing w:after="0" w:line="240" w:lineRule="auto"/>
        <w:ind w:right="-2"/>
        <w:rPr>
          <w:rFonts w:ascii="Times New Roman" w:hAnsi="Times New Roman"/>
          <w:szCs w:val="24"/>
          <w:lang w:val="sk-SK"/>
        </w:rPr>
      </w:pPr>
      <w:r>
        <w:rPr>
          <w:rFonts w:ascii="Times New Roman" w:hAnsi="Times New Roman"/>
          <w:b/>
          <w:szCs w:val="24"/>
          <w:lang w:val="sk-SK"/>
        </w:rPr>
        <w:lastRenderedPageBreak/>
        <w:t>Iné lieky a Spironolactone Accord</w:t>
      </w:r>
    </w:p>
    <w:p w14:paraId="66DB0850"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7BDAD78D" w14:textId="46116E0B" w:rsidR="007765C2" w:rsidRPr="00D7257E" w:rsidRDefault="007765C2">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Povedzte svojmu lekárovi alebo lekárnikovi, ak teraz užívate alebo ste v poslednom čase užívali, či práve budete užívať ďalšie lieky, vrátane tých, ktorých výdaj nie je viazaný na lekársky predpis, pretože váš lekár možno bude chcieť zmeniť dávku Spironolactone Accord, ak užívate niektoré z nasledovných:</w:t>
      </w:r>
    </w:p>
    <w:p w14:paraId="158C2B0B" w14:textId="77777777" w:rsidR="007765C2" w:rsidRPr="00D7257E" w:rsidRDefault="007765C2">
      <w:pPr>
        <w:spacing w:after="0" w:line="240" w:lineRule="auto"/>
        <w:rPr>
          <w:rFonts w:ascii="Times New Roman" w:hAnsi="Times New Roman"/>
          <w:szCs w:val="24"/>
          <w:lang w:val="sk-SK"/>
        </w:rPr>
      </w:pPr>
    </w:p>
    <w:p w14:paraId="3D5C1159" w14:textId="77777777" w:rsidR="007765C2" w:rsidRPr="00D7257E" w:rsidRDefault="007765C2">
      <w:pPr>
        <w:pStyle w:val="Default"/>
        <w:numPr>
          <w:ilvl w:val="0"/>
          <w:numId w:val="5"/>
        </w:numPr>
        <w:rPr>
          <w:sz w:val="22"/>
          <w:szCs w:val="22"/>
          <w:lang w:val="sk-SK"/>
        </w:rPr>
      </w:pPr>
      <w:r>
        <w:rPr>
          <w:sz w:val="22"/>
          <w:szCs w:val="22"/>
          <w:lang w:val="sk-SK"/>
        </w:rPr>
        <w:t xml:space="preserve">lieky na vysoký krvný tlak, vrátane ACE inhibítorov, liekov blokujúcich ganglion </w:t>
      </w:r>
    </w:p>
    <w:p w14:paraId="101260B2" w14:textId="77777777" w:rsidR="007765C2" w:rsidRPr="00D7257E" w:rsidRDefault="007765C2">
      <w:pPr>
        <w:pStyle w:val="Default"/>
        <w:numPr>
          <w:ilvl w:val="0"/>
          <w:numId w:val="5"/>
        </w:numPr>
        <w:rPr>
          <w:sz w:val="22"/>
          <w:szCs w:val="22"/>
          <w:lang w:val="sk-SK"/>
        </w:rPr>
      </w:pPr>
      <w:r>
        <w:rPr>
          <w:sz w:val="22"/>
          <w:szCs w:val="22"/>
          <w:lang w:val="sk-SK"/>
        </w:rPr>
        <w:t xml:space="preserve">iné diuretiká </w:t>
      </w:r>
    </w:p>
    <w:p w14:paraId="2C144C94" w14:textId="77777777" w:rsidR="007765C2" w:rsidRPr="00D7257E" w:rsidRDefault="007765C2">
      <w:pPr>
        <w:pStyle w:val="Default"/>
        <w:numPr>
          <w:ilvl w:val="0"/>
          <w:numId w:val="5"/>
        </w:numPr>
        <w:rPr>
          <w:sz w:val="22"/>
          <w:szCs w:val="22"/>
          <w:lang w:val="sk-SK"/>
        </w:rPr>
      </w:pPr>
      <w:r>
        <w:rPr>
          <w:sz w:val="22"/>
          <w:szCs w:val="22"/>
          <w:lang w:val="sk-SK"/>
        </w:rPr>
        <w:t xml:space="preserve">nesteroidné protizápalové lieky (NSAID), ako sú aspirín alebo ibuprofen </w:t>
      </w:r>
    </w:p>
    <w:p w14:paraId="21CAA149" w14:textId="77777777" w:rsidR="007765C2" w:rsidRPr="00D7257E" w:rsidRDefault="007765C2">
      <w:pPr>
        <w:pStyle w:val="Default"/>
        <w:numPr>
          <w:ilvl w:val="0"/>
          <w:numId w:val="5"/>
        </w:numPr>
        <w:rPr>
          <w:sz w:val="22"/>
          <w:szCs w:val="22"/>
          <w:lang w:val="sk-SK"/>
        </w:rPr>
      </w:pPr>
      <w:r>
        <w:rPr>
          <w:sz w:val="22"/>
          <w:szCs w:val="22"/>
          <w:lang w:val="sk-SK"/>
        </w:rPr>
        <w:t xml:space="preserve">doplnky draslíka </w:t>
      </w:r>
    </w:p>
    <w:p w14:paraId="759A26FD" w14:textId="77777777" w:rsidR="007765C2" w:rsidRPr="00D7257E" w:rsidRDefault="007765C2">
      <w:pPr>
        <w:pStyle w:val="Default"/>
        <w:numPr>
          <w:ilvl w:val="0"/>
          <w:numId w:val="5"/>
        </w:numPr>
        <w:rPr>
          <w:sz w:val="22"/>
          <w:szCs w:val="22"/>
          <w:lang w:val="sk-SK"/>
        </w:rPr>
      </w:pPr>
      <w:r>
        <w:rPr>
          <w:sz w:val="22"/>
          <w:szCs w:val="22"/>
          <w:lang w:val="sk-SK"/>
        </w:rPr>
        <w:t xml:space="preserve">heparín alebo nízkomolekulárny heparín (lieky, ktoré sa používajú na prevenciu tvorby krvných zrazenín) </w:t>
      </w:r>
    </w:p>
    <w:p w14:paraId="35D69DF7" w14:textId="77777777" w:rsidR="007765C2" w:rsidRPr="00D7257E" w:rsidRDefault="007765C2">
      <w:pPr>
        <w:pStyle w:val="Default"/>
        <w:numPr>
          <w:ilvl w:val="0"/>
          <w:numId w:val="5"/>
        </w:numPr>
        <w:rPr>
          <w:sz w:val="22"/>
          <w:szCs w:val="22"/>
          <w:lang w:val="sk-SK"/>
        </w:rPr>
      </w:pPr>
      <w:r>
        <w:rPr>
          <w:sz w:val="22"/>
          <w:szCs w:val="22"/>
          <w:lang w:val="sk-SK"/>
        </w:rPr>
        <w:t>lieky, ktoré tlmia zrážanie krvi (antikoagulanty, na „riedenie krvi“), noradrenalín (látka so stimulačným účinkom na konkrétnu časť nervového systému) (sympatomimetický))</w:t>
      </w:r>
    </w:p>
    <w:p w14:paraId="0576CF7F" w14:textId="77777777" w:rsidR="007765C2" w:rsidRPr="00D7257E" w:rsidRDefault="007765C2">
      <w:pPr>
        <w:pStyle w:val="Default"/>
        <w:numPr>
          <w:ilvl w:val="0"/>
          <w:numId w:val="5"/>
        </w:numPr>
        <w:rPr>
          <w:sz w:val="22"/>
          <w:szCs w:val="22"/>
          <w:lang w:val="sk-SK"/>
        </w:rPr>
      </w:pPr>
      <w:r>
        <w:rPr>
          <w:sz w:val="22"/>
          <w:szCs w:val="22"/>
          <w:lang w:val="sk-SK"/>
        </w:rPr>
        <w:t>lítium (používa sa na liečbu depresie)</w:t>
      </w:r>
    </w:p>
    <w:p w14:paraId="3A02E88B" w14:textId="77777777" w:rsidR="007765C2" w:rsidRPr="00D7257E" w:rsidRDefault="007765C2">
      <w:pPr>
        <w:pStyle w:val="Default"/>
        <w:numPr>
          <w:ilvl w:val="0"/>
          <w:numId w:val="5"/>
        </w:numPr>
        <w:rPr>
          <w:sz w:val="22"/>
          <w:szCs w:val="22"/>
          <w:lang w:val="sk-SK"/>
        </w:rPr>
      </w:pPr>
      <w:r>
        <w:rPr>
          <w:sz w:val="22"/>
          <w:szCs w:val="22"/>
          <w:lang w:val="sk-SK"/>
        </w:rPr>
        <w:t>digoxín (používa sa na liečbu rôznych srdcových ochorení)</w:t>
      </w:r>
    </w:p>
    <w:p w14:paraId="1C9FF92F" w14:textId="77777777" w:rsidR="007765C2" w:rsidRPr="00D7257E" w:rsidRDefault="007765C2">
      <w:pPr>
        <w:pStyle w:val="Default"/>
        <w:numPr>
          <w:ilvl w:val="0"/>
          <w:numId w:val="5"/>
        </w:numPr>
        <w:rPr>
          <w:sz w:val="22"/>
          <w:szCs w:val="22"/>
          <w:lang w:val="sk-SK"/>
        </w:rPr>
      </w:pPr>
      <w:r>
        <w:rPr>
          <w:sz w:val="22"/>
          <w:szCs w:val="22"/>
          <w:lang w:val="sk-SK"/>
        </w:rPr>
        <w:t>alkohol, barbituráty alebo narkotiká</w:t>
      </w:r>
    </w:p>
    <w:p w14:paraId="40274E00" w14:textId="77777777" w:rsidR="007765C2" w:rsidRPr="00D7257E" w:rsidRDefault="007765C2">
      <w:pPr>
        <w:pStyle w:val="Default"/>
        <w:numPr>
          <w:ilvl w:val="0"/>
          <w:numId w:val="5"/>
        </w:numPr>
        <w:rPr>
          <w:sz w:val="22"/>
          <w:szCs w:val="22"/>
          <w:lang w:val="sk-SK"/>
        </w:rPr>
      </w:pPr>
      <w:r>
        <w:rPr>
          <w:sz w:val="22"/>
          <w:szCs w:val="22"/>
          <w:lang w:val="sk-SK"/>
        </w:rPr>
        <w:t xml:space="preserve">lieky, o ktorých je známe, že spôsobujú hyperkaliémiu (zvýšené hladiny draslíka v krvi) </w:t>
      </w:r>
    </w:p>
    <w:p w14:paraId="3EE82C3E" w14:textId="77777777" w:rsidR="007765C2" w:rsidRPr="00D7257E" w:rsidRDefault="007765C2">
      <w:pPr>
        <w:pStyle w:val="Default"/>
        <w:numPr>
          <w:ilvl w:val="0"/>
          <w:numId w:val="5"/>
        </w:numPr>
        <w:rPr>
          <w:sz w:val="22"/>
          <w:szCs w:val="22"/>
          <w:u w:val="single"/>
          <w:lang w:val="sk-SK"/>
        </w:rPr>
      </w:pPr>
      <w:r>
        <w:rPr>
          <w:sz w:val="22"/>
          <w:szCs w:val="22"/>
          <w:lang w:val="sk-SK"/>
        </w:rPr>
        <w:t>cholestyramín (používa sa na zníženie hladiny cholesterolu v krvi)</w:t>
      </w:r>
    </w:p>
    <w:p w14:paraId="6BF622FC" w14:textId="77777777" w:rsidR="007765C2" w:rsidRPr="00D7257E" w:rsidRDefault="007765C2">
      <w:pPr>
        <w:widowControl w:val="0"/>
        <w:numPr>
          <w:ilvl w:val="0"/>
          <w:numId w:val="5"/>
        </w:numPr>
        <w:autoSpaceDE w:val="0"/>
        <w:autoSpaceDN w:val="0"/>
        <w:adjustRightInd w:val="0"/>
        <w:spacing w:after="0" w:line="240" w:lineRule="exact"/>
        <w:ind w:left="357" w:hanging="357"/>
        <w:rPr>
          <w:rFonts w:ascii="Times New Roman" w:hAnsi="Times New Roman"/>
          <w:color w:val="000000"/>
          <w:lang w:val="sk-SK"/>
        </w:rPr>
      </w:pPr>
      <w:r>
        <w:rPr>
          <w:rFonts w:ascii="Times New Roman" w:hAnsi="Times New Roman"/>
          <w:color w:val="000000"/>
          <w:lang w:val="sk-SK"/>
        </w:rPr>
        <w:t>kortikosteroidy, ACTH (predpisujú sa pri rôznych epileptických stavoch)</w:t>
      </w:r>
    </w:p>
    <w:p w14:paraId="5CA8FCEE" w14:textId="77777777" w:rsidR="007765C2" w:rsidRPr="00D7257E" w:rsidRDefault="007765C2">
      <w:pPr>
        <w:widowControl w:val="0"/>
        <w:numPr>
          <w:ilvl w:val="0"/>
          <w:numId w:val="5"/>
        </w:numPr>
        <w:autoSpaceDE w:val="0"/>
        <w:autoSpaceDN w:val="0"/>
        <w:adjustRightInd w:val="0"/>
        <w:spacing w:after="0" w:line="240" w:lineRule="auto"/>
        <w:ind w:left="357" w:hanging="357"/>
        <w:rPr>
          <w:rFonts w:ascii="Times New Roman" w:hAnsi="Times New Roman"/>
          <w:color w:val="000000"/>
          <w:lang w:val="sk-SK"/>
        </w:rPr>
      </w:pPr>
      <w:r>
        <w:rPr>
          <w:rFonts w:ascii="Times New Roman" w:hAnsi="Times New Roman"/>
          <w:color w:val="000000"/>
          <w:lang w:val="sk-SK"/>
        </w:rPr>
        <w:t>chlorid amónny (napr. v sladkom drievku)</w:t>
      </w:r>
    </w:p>
    <w:p w14:paraId="59FC1924" w14:textId="77777777" w:rsidR="007765C2" w:rsidRPr="00D7257E" w:rsidRDefault="007765C2">
      <w:pPr>
        <w:widowControl w:val="0"/>
        <w:numPr>
          <w:ilvl w:val="0"/>
          <w:numId w:val="5"/>
        </w:numPr>
        <w:autoSpaceDE w:val="0"/>
        <w:autoSpaceDN w:val="0"/>
        <w:adjustRightInd w:val="0"/>
        <w:spacing w:after="0" w:line="240" w:lineRule="auto"/>
        <w:ind w:left="357" w:hanging="357"/>
        <w:rPr>
          <w:rFonts w:ascii="Times New Roman" w:hAnsi="Times New Roman"/>
          <w:color w:val="000000"/>
          <w:lang w:val="sk-SK"/>
        </w:rPr>
      </w:pPr>
      <w:r>
        <w:rPr>
          <w:rFonts w:ascii="Times New Roman" w:hAnsi="Times New Roman"/>
          <w:color w:val="000000"/>
          <w:lang w:val="sk-SK"/>
        </w:rPr>
        <w:t>cyklosporín</w:t>
      </w:r>
    </w:p>
    <w:p w14:paraId="375D5C63" w14:textId="77777777" w:rsidR="007765C2" w:rsidRPr="00D7257E" w:rsidRDefault="007765C2">
      <w:pPr>
        <w:widowControl w:val="0"/>
        <w:numPr>
          <w:ilvl w:val="0"/>
          <w:numId w:val="5"/>
        </w:numPr>
        <w:autoSpaceDE w:val="0"/>
        <w:autoSpaceDN w:val="0"/>
        <w:adjustRightInd w:val="0"/>
        <w:spacing w:after="0" w:line="240" w:lineRule="auto"/>
        <w:ind w:left="357" w:hanging="357"/>
        <w:rPr>
          <w:rFonts w:ascii="Times New Roman" w:hAnsi="Times New Roman"/>
          <w:color w:val="000000"/>
          <w:lang w:val="sk-SK"/>
        </w:rPr>
      </w:pPr>
      <w:r w:rsidRPr="001322C9">
        <w:rPr>
          <w:rStyle w:val="shorttext"/>
          <w:rFonts w:ascii="Times New Roman" w:hAnsi="Times New Roman"/>
          <w:lang w:val="sk-SK"/>
        </w:rPr>
        <w:t>trimetoprim a trimetoprim-sulfametoxazol</w:t>
      </w:r>
    </w:p>
    <w:p w14:paraId="13AE016F" w14:textId="77777777" w:rsidR="007765C2" w:rsidRPr="00D7257E" w:rsidRDefault="007765C2">
      <w:pPr>
        <w:spacing w:after="0" w:line="240" w:lineRule="auto"/>
        <w:rPr>
          <w:rFonts w:ascii="Times New Roman" w:hAnsi="Times New Roman"/>
          <w:szCs w:val="24"/>
          <w:lang w:val="sk-SK"/>
        </w:rPr>
      </w:pPr>
    </w:p>
    <w:p w14:paraId="1579AD09" w14:textId="77777777" w:rsidR="007765C2" w:rsidRPr="00D7257E" w:rsidRDefault="007765C2">
      <w:pPr>
        <w:spacing w:after="0" w:line="240" w:lineRule="auto"/>
        <w:rPr>
          <w:rFonts w:ascii="Times New Roman" w:hAnsi="Times New Roman"/>
          <w:b/>
          <w:szCs w:val="24"/>
          <w:lang w:val="sk-SK"/>
        </w:rPr>
      </w:pPr>
      <w:r>
        <w:rPr>
          <w:rFonts w:ascii="Times New Roman" w:hAnsi="Times New Roman"/>
          <w:b/>
          <w:szCs w:val="24"/>
          <w:lang w:val="sk-SK"/>
        </w:rPr>
        <w:t>Spironolactone Accord a jedlo</w:t>
      </w:r>
    </w:p>
    <w:p w14:paraId="77EFDE19" w14:textId="77777777" w:rsidR="007765C2" w:rsidRPr="00D7257E" w:rsidRDefault="007765C2">
      <w:pPr>
        <w:spacing w:after="0" w:line="240" w:lineRule="auto"/>
        <w:rPr>
          <w:rFonts w:ascii="Times New Roman" w:hAnsi="Times New Roman"/>
          <w:szCs w:val="24"/>
          <w:lang w:val="sk-SK"/>
        </w:rPr>
      </w:pPr>
      <w:r>
        <w:rPr>
          <w:rFonts w:ascii="Times New Roman" w:hAnsi="Times New Roman"/>
          <w:szCs w:val="24"/>
          <w:lang w:val="sk-SK"/>
        </w:rPr>
        <w:t>Účinok spironolaktónu nie je ovplyvnený jedlom.</w:t>
      </w:r>
    </w:p>
    <w:p w14:paraId="48286F40"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p>
    <w:p w14:paraId="5240C1FE" w14:textId="77777777" w:rsidR="007765C2" w:rsidRPr="00D7257E" w:rsidRDefault="007765C2">
      <w:pPr>
        <w:numPr>
          <w:ilvl w:val="12"/>
          <w:numId w:val="0"/>
        </w:numPr>
        <w:spacing w:after="0" w:line="240" w:lineRule="auto"/>
        <w:ind w:right="-2"/>
        <w:outlineLvl w:val="0"/>
        <w:rPr>
          <w:rFonts w:ascii="Times New Roman" w:hAnsi="Times New Roman"/>
          <w:b/>
          <w:noProof/>
          <w:lang w:val="sk-SK"/>
        </w:rPr>
      </w:pPr>
      <w:r>
        <w:rPr>
          <w:rFonts w:ascii="Times New Roman" w:hAnsi="Times New Roman"/>
          <w:b/>
          <w:noProof/>
          <w:lang w:val="sk-SK"/>
        </w:rPr>
        <w:t>Tehotenstvo, dojčenie a plodnosť</w:t>
      </w:r>
    </w:p>
    <w:p w14:paraId="195EFBA7" w14:textId="25B768B9"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Ak ste tehotná alebo dojčíte, ak si myslíte, že ste tehotná alebo ak plánujete otehotnieť, poraďte sa so svojím lekárom alebo lekárnikom predtým, ako začnete užívať tento liek.</w:t>
      </w:r>
    </w:p>
    <w:p w14:paraId="6BE8E8FE"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Spironolaktón sa nemá užívať počas tehotenstva.</w:t>
      </w:r>
    </w:p>
    <w:p w14:paraId="613F425F"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Spironolaktón sa má užívať počas dojčenia iba vtedy, ak je to nevyhnutne potrebné.</w:t>
      </w:r>
    </w:p>
    <w:p w14:paraId="52E21824"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Poraďte so svojím lekárom o užívaní spironolaktónu, ktorý vám odporučí, aby ste zvážili iný spôsob kŕmenia vášho dieťaťa, kým budete užívať tento liek.</w:t>
      </w:r>
    </w:p>
    <w:p w14:paraId="46C510EB"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Spironolaktón môže vyvolať impotenciu (neschopnosť dosiahnuť a udržať erekciu) a nepravidelnú menštruáciu.</w:t>
      </w:r>
    </w:p>
    <w:p w14:paraId="1126DA2C"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p>
    <w:p w14:paraId="1A8C7273"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r>
        <w:rPr>
          <w:rFonts w:ascii="Times New Roman" w:hAnsi="Times New Roman"/>
          <w:b/>
          <w:szCs w:val="24"/>
          <w:lang w:val="sk-SK"/>
        </w:rPr>
        <w:t>Riadenie vozidiel a obsluha strojov</w:t>
      </w:r>
    </w:p>
    <w:p w14:paraId="190F5C8D" w14:textId="77777777" w:rsidR="007765C2" w:rsidRPr="00D7257E" w:rsidRDefault="007765C2">
      <w:pPr>
        <w:numPr>
          <w:ilvl w:val="12"/>
          <w:numId w:val="0"/>
        </w:numPr>
        <w:spacing w:after="0" w:line="240" w:lineRule="auto"/>
        <w:rPr>
          <w:rFonts w:ascii="Times New Roman" w:hAnsi="Times New Roman"/>
          <w:szCs w:val="24"/>
          <w:lang w:val="sk-SK"/>
        </w:rPr>
      </w:pPr>
      <w:r>
        <w:rPr>
          <w:rFonts w:ascii="Times New Roman" w:hAnsi="Times New Roman"/>
          <w:szCs w:val="24"/>
          <w:lang w:val="sk-SK"/>
        </w:rPr>
        <w:t xml:space="preserve">Niekedy sa pri užívaní Spironolactone Accord môžu objaviť vedľajšie účinky, ako sú závrat, bolesť hlavy a zmätenosť. V takomto prípade neriaďte vozidlo ani neobsluhujte stroje.  </w:t>
      </w:r>
    </w:p>
    <w:p w14:paraId="7D5E5E97" w14:textId="77777777" w:rsidR="007765C2" w:rsidRPr="00D7257E" w:rsidRDefault="007765C2">
      <w:pPr>
        <w:numPr>
          <w:ilvl w:val="12"/>
          <w:numId w:val="0"/>
        </w:numPr>
        <w:spacing w:after="0" w:line="240" w:lineRule="auto"/>
        <w:ind w:right="-29"/>
        <w:rPr>
          <w:rFonts w:ascii="Times New Roman" w:hAnsi="Times New Roman"/>
          <w:szCs w:val="24"/>
          <w:lang w:val="sk-SK"/>
        </w:rPr>
      </w:pPr>
    </w:p>
    <w:p w14:paraId="285FD11A"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r>
        <w:rPr>
          <w:rFonts w:ascii="Times New Roman" w:hAnsi="Times New Roman"/>
          <w:b/>
          <w:szCs w:val="24"/>
          <w:lang w:val="sk-SK"/>
        </w:rPr>
        <w:t>Spironolactone Accord obsahuje laktózu</w:t>
      </w:r>
    </w:p>
    <w:p w14:paraId="7EE58ADD"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Tento liek obsahuje laktózu. Ak vám váš lekár povedal, že máte intoleranciu (neznášanlivosť) na niektoré druhy cukru, kontaktujte ho ešte pred užitím tohto lieku.</w:t>
      </w:r>
    </w:p>
    <w:p w14:paraId="470D37DF"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p>
    <w:p w14:paraId="61253BF4"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p>
    <w:p w14:paraId="6C79E697" w14:textId="77777777" w:rsidR="007765C2" w:rsidRPr="00D7257E" w:rsidRDefault="007765C2">
      <w:pPr>
        <w:numPr>
          <w:ilvl w:val="0"/>
          <w:numId w:val="9"/>
        </w:numPr>
        <w:spacing w:after="0" w:line="240" w:lineRule="auto"/>
        <w:ind w:right="-2"/>
        <w:rPr>
          <w:rFonts w:ascii="Times New Roman" w:hAnsi="Times New Roman"/>
          <w:szCs w:val="24"/>
          <w:lang w:val="sk-SK"/>
        </w:rPr>
      </w:pPr>
      <w:r>
        <w:rPr>
          <w:rFonts w:ascii="Times New Roman" w:hAnsi="Times New Roman"/>
          <w:b/>
          <w:szCs w:val="24"/>
          <w:lang w:val="sk-SK"/>
        </w:rPr>
        <w:t>Ako užívať Spironolactone Accord</w:t>
      </w:r>
    </w:p>
    <w:p w14:paraId="1B901EBA"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02F78065" w14:textId="77777777" w:rsidR="007765C2" w:rsidRPr="00D7257E" w:rsidRDefault="007765C2">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Vždy užívajte tento liek presne tak, ako vám povedal váš lekár alebo lekárnik. Ak si nie ste niečím istý, overte si to u svojho lekára alebo lekárnika.</w:t>
      </w:r>
    </w:p>
    <w:p w14:paraId="6C05465B"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2168FC96" w14:textId="77777777" w:rsidR="007765C2" w:rsidRPr="00D7257E" w:rsidRDefault="007765C2">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Odporúčaná dávka je:</w:t>
      </w:r>
    </w:p>
    <w:p w14:paraId="53AEC3B5"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7296DFF3" w14:textId="77777777" w:rsidR="007765C2" w:rsidRPr="00D7257E" w:rsidRDefault="007765C2">
      <w:pPr>
        <w:spacing w:after="0" w:line="240" w:lineRule="auto"/>
        <w:ind w:right="-2"/>
        <w:rPr>
          <w:rFonts w:ascii="Times New Roman" w:hAnsi="Times New Roman"/>
          <w:szCs w:val="24"/>
          <w:u w:val="single"/>
          <w:lang w:val="sk-SK"/>
        </w:rPr>
      </w:pPr>
      <w:r>
        <w:rPr>
          <w:rFonts w:ascii="Times New Roman" w:hAnsi="Times New Roman"/>
          <w:szCs w:val="24"/>
          <w:u w:val="single"/>
          <w:lang w:val="sk-SK"/>
        </w:rPr>
        <w:t>Dospelí</w:t>
      </w:r>
    </w:p>
    <w:p w14:paraId="211A6E62" w14:textId="77777777" w:rsidR="007765C2" w:rsidRPr="00D7257E" w:rsidRDefault="007765C2">
      <w:pPr>
        <w:spacing w:after="0" w:line="240" w:lineRule="auto"/>
        <w:ind w:right="-2"/>
        <w:rPr>
          <w:rFonts w:ascii="Times New Roman" w:hAnsi="Times New Roman"/>
          <w:szCs w:val="24"/>
          <w:lang w:val="sk-SK"/>
        </w:rPr>
      </w:pPr>
      <w:r>
        <w:rPr>
          <w:rFonts w:ascii="Times New Roman" w:hAnsi="Times New Roman"/>
          <w:szCs w:val="24"/>
          <w:lang w:val="sk-SK"/>
        </w:rPr>
        <w:t>Odporúčané dávkovanie je 100 mg denne, podané jednorazovo alebo v niekoľkých dávkach. Dávka dospelých sa líši od 25 mg do 400 mg spironolaktónu denne. Ak nie ste si istý, koľko lieku máte užiť, opýtajte sa vášho lekára alebo lekárnika.</w:t>
      </w:r>
    </w:p>
    <w:p w14:paraId="0E0957E2" w14:textId="77777777" w:rsidR="007765C2" w:rsidRPr="00D7257E" w:rsidRDefault="007765C2">
      <w:pPr>
        <w:spacing w:after="0" w:line="240" w:lineRule="auto"/>
        <w:ind w:right="-2"/>
        <w:rPr>
          <w:rFonts w:ascii="Times New Roman" w:hAnsi="Times New Roman"/>
          <w:szCs w:val="24"/>
          <w:lang w:val="sk-SK"/>
        </w:rPr>
      </w:pPr>
    </w:p>
    <w:p w14:paraId="177D2802" w14:textId="77777777" w:rsidR="007765C2" w:rsidRPr="00D7257E" w:rsidRDefault="007765C2">
      <w:pPr>
        <w:spacing w:after="0" w:line="240" w:lineRule="auto"/>
        <w:ind w:right="-2"/>
        <w:rPr>
          <w:rFonts w:ascii="Times New Roman" w:hAnsi="Times New Roman"/>
          <w:szCs w:val="24"/>
          <w:lang w:val="sk-SK"/>
        </w:rPr>
      </w:pPr>
      <w:r>
        <w:rPr>
          <w:rFonts w:ascii="Times New Roman" w:hAnsi="Times New Roman"/>
          <w:szCs w:val="24"/>
          <w:lang w:val="sk-SK"/>
        </w:rPr>
        <w:t xml:space="preserve">Tablety sa majú užívať s jedlom. Ak je celková dávka viac ako 100 mg za deň, dávka sa musí podávať rozdelená na jednotlivé dávky počas celého dňa. </w:t>
      </w:r>
    </w:p>
    <w:p w14:paraId="3774A354" w14:textId="77777777" w:rsidR="007765C2" w:rsidRPr="00D7257E" w:rsidRDefault="007765C2">
      <w:pPr>
        <w:spacing w:after="0" w:line="240" w:lineRule="auto"/>
        <w:ind w:right="-2"/>
        <w:rPr>
          <w:rFonts w:ascii="Times New Roman" w:hAnsi="Times New Roman"/>
          <w:szCs w:val="24"/>
          <w:u w:val="single"/>
          <w:lang w:val="sk-SK"/>
        </w:rPr>
      </w:pPr>
    </w:p>
    <w:p w14:paraId="10AA95C0" w14:textId="77777777" w:rsidR="007765C2" w:rsidRPr="00D7257E" w:rsidRDefault="007765C2">
      <w:pPr>
        <w:spacing w:after="0" w:line="240" w:lineRule="auto"/>
        <w:ind w:right="-2"/>
        <w:rPr>
          <w:rFonts w:ascii="Times New Roman" w:hAnsi="Times New Roman"/>
          <w:szCs w:val="24"/>
          <w:u w:val="single"/>
          <w:lang w:val="sk-SK"/>
        </w:rPr>
      </w:pPr>
      <w:r>
        <w:rPr>
          <w:rFonts w:ascii="Times New Roman" w:hAnsi="Times New Roman"/>
          <w:szCs w:val="24"/>
          <w:u w:val="single"/>
          <w:lang w:val="sk-SK"/>
        </w:rPr>
        <w:t>Použitie u detí</w:t>
      </w:r>
    </w:p>
    <w:p w14:paraId="7B3F9E1E" w14:textId="77777777" w:rsidR="007765C2" w:rsidRPr="00D7257E" w:rsidRDefault="007765C2">
      <w:pPr>
        <w:spacing w:after="0" w:line="240" w:lineRule="auto"/>
        <w:ind w:right="-2"/>
        <w:rPr>
          <w:rFonts w:ascii="Times New Roman" w:hAnsi="Times New Roman"/>
          <w:szCs w:val="24"/>
          <w:lang w:val="sk-SK"/>
        </w:rPr>
      </w:pPr>
      <w:r>
        <w:rPr>
          <w:rFonts w:ascii="Times New Roman" w:hAnsi="Times New Roman"/>
          <w:szCs w:val="24"/>
          <w:lang w:val="sk-SK"/>
        </w:rPr>
        <w:t xml:space="preserve">Odporúčaná dávka sú 3 mg denne na jeden kilogram telesnej hmotnosti, a to v niekoľkých rozdelených dávkach. Aby sa u detí uľahčilo podanie lieku, tablety sa môžu najprv rozdrviť a potom rozpustiť v pohári vody miešaním. </w:t>
      </w:r>
    </w:p>
    <w:p w14:paraId="52A1EE04" w14:textId="77777777" w:rsidR="007765C2" w:rsidRPr="00D7257E" w:rsidRDefault="007765C2">
      <w:pPr>
        <w:spacing w:after="0" w:line="240" w:lineRule="auto"/>
        <w:ind w:right="-2"/>
        <w:rPr>
          <w:rFonts w:ascii="Times New Roman" w:hAnsi="Times New Roman"/>
          <w:szCs w:val="24"/>
          <w:lang w:val="sk-SK"/>
        </w:rPr>
      </w:pPr>
    </w:p>
    <w:p w14:paraId="2934F8E1" w14:textId="77777777" w:rsidR="007765C2" w:rsidRPr="00D7257E" w:rsidRDefault="007765C2">
      <w:pPr>
        <w:spacing w:after="0" w:line="240" w:lineRule="auto"/>
        <w:ind w:right="-2"/>
        <w:rPr>
          <w:rFonts w:ascii="Times New Roman" w:hAnsi="Times New Roman"/>
          <w:szCs w:val="24"/>
          <w:u w:val="single"/>
          <w:lang w:val="sk-SK"/>
        </w:rPr>
      </w:pPr>
      <w:r>
        <w:rPr>
          <w:rFonts w:ascii="Times New Roman" w:hAnsi="Times New Roman"/>
          <w:szCs w:val="24"/>
          <w:u w:val="single"/>
          <w:lang w:val="sk-SK"/>
        </w:rPr>
        <w:t>Starší pacienti</w:t>
      </w:r>
    </w:p>
    <w:p w14:paraId="703C9904" w14:textId="77777777" w:rsidR="007765C2" w:rsidRPr="00D7257E" w:rsidRDefault="007765C2">
      <w:pPr>
        <w:spacing w:after="0" w:line="240" w:lineRule="auto"/>
        <w:ind w:right="-2"/>
        <w:rPr>
          <w:rFonts w:ascii="Times New Roman" w:hAnsi="Times New Roman"/>
          <w:szCs w:val="24"/>
          <w:lang w:val="sk-SK"/>
        </w:rPr>
      </w:pPr>
      <w:r>
        <w:rPr>
          <w:rFonts w:ascii="Times New Roman" w:hAnsi="Times New Roman"/>
          <w:szCs w:val="24"/>
          <w:lang w:val="sk-SK"/>
        </w:rPr>
        <w:t>U starších pacientov sa odporúča začať s najnižšou možnou dávkou, ktorá sa potom postupne zvyšuje, až kým sa nedosiahne požadovaný účinok. Odporúča sa opatrnosť a vykonávanie pravidelných zdravotných prehliadok, predovšetkým v prípade poškodenia obličiek.</w:t>
      </w:r>
    </w:p>
    <w:p w14:paraId="5FC72104" w14:textId="77777777" w:rsidR="007765C2" w:rsidRPr="00D7257E" w:rsidRDefault="007765C2">
      <w:pPr>
        <w:spacing w:after="0" w:line="240" w:lineRule="auto"/>
        <w:ind w:right="-2"/>
        <w:rPr>
          <w:rFonts w:ascii="Times New Roman" w:hAnsi="Times New Roman"/>
          <w:szCs w:val="24"/>
          <w:lang w:val="sk-SK"/>
        </w:rPr>
      </w:pPr>
    </w:p>
    <w:p w14:paraId="754A8C50" w14:textId="77777777" w:rsidR="007765C2" w:rsidRPr="00D7257E" w:rsidRDefault="007765C2">
      <w:pPr>
        <w:spacing w:after="0" w:line="240" w:lineRule="auto"/>
        <w:ind w:right="-2"/>
        <w:rPr>
          <w:rFonts w:ascii="Times New Roman" w:hAnsi="Times New Roman"/>
          <w:szCs w:val="24"/>
          <w:lang w:val="sk-SK"/>
        </w:rPr>
      </w:pPr>
      <w:r>
        <w:rPr>
          <w:rFonts w:ascii="Times New Roman" w:hAnsi="Times New Roman"/>
          <w:szCs w:val="24"/>
          <w:lang w:val="sk-SK"/>
        </w:rPr>
        <w:t xml:space="preserve">Nezabudnite si vziať váš liek. Užívaním tabliet v rovnakom čase každý deň sa dosahuje najlepší účinok. Tiež vám to pomôže zapamätať si, kedy si máte tablety vziať. </w:t>
      </w:r>
    </w:p>
    <w:p w14:paraId="47F5CE8D"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3C01C9DE"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r>
        <w:rPr>
          <w:rFonts w:ascii="Times New Roman" w:hAnsi="Times New Roman"/>
          <w:b/>
          <w:szCs w:val="24"/>
          <w:lang w:val="sk-SK"/>
        </w:rPr>
        <w:t>Ak užijete viac Spironolactone Accord, ako máte</w:t>
      </w:r>
    </w:p>
    <w:p w14:paraId="2BAA30E7"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Ak užijete príliš veľa Spironolactone Accord, ihneď kontaktujte vášho lekára alebo lekárnika. Zoberte so sebou aj škatuľku, aby lekár videl, aký liek ste užili.</w:t>
      </w:r>
    </w:p>
    <w:p w14:paraId="3B22CCEF"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 xml:space="preserve">Príznaky predávkovania môžu zahŕňať nevoľnosť a vracanie a (zriedkavejšie) ospalosť, zmätenosť, kožnú vyrážku alebo hnačku. Môže sa vyskytnúť narušenie rovnováhy tekutín a solí a dehydratácia (nedostatok tekutín v tele). </w:t>
      </w:r>
    </w:p>
    <w:p w14:paraId="411CBD73"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p>
    <w:p w14:paraId="069CA957"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r>
        <w:rPr>
          <w:rFonts w:ascii="Times New Roman" w:hAnsi="Times New Roman"/>
          <w:b/>
          <w:szCs w:val="24"/>
          <w:lang w:val="sk-SK"/>
        </w:rPr>
        <w:t>Ak zabudnete užiť Spironolactone Accord</w:t>
      </w:r>
    </w:p>
    <w:p w14:paraId="431929CD" w14:textId="77777777" w:rsidR="007765C2" w:rsidRPr="00D7257E" w:rsidRDefault="007765C2">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Ak ste zabudli užiť dávku, užite ju čo najskôr, pokiaľ nenastal čas, kedy máte vziať ďalšiu dávku. V takomto prípade neužite zabudnutú dávku, ale pokračujte podľa predpísaného harmonogramu. Neužite dvojitú dávku, aby ste nahradili vynechanú dávku. Ak si nie ste niečím istý, overte si to u svojho lekára alebo lekárnika.</w:t>
      </w:r>
    </w:p>
    <w:p w14:paraId="376563FB"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47B96B1A" w14:textId="77777777" w:rsidR="007765C2" w:rsidRPr="00D7257E" w:rsidRDefault="007765C2">
      <w:pPr>
        <w:numPr>
          <w:ilvl w:val="12"/>
          <w:numId w:val="0"/>
        </w:numPr>
        <w:spacing w:after="0" w:line="240" w:lineRule="auto"/>
        <w:ind w:right="-2"/>
        <w:outlineLvl w:val="0"/>
        <w:rPr>
          <w:rFonts w:ascii="Times New Roman" w:hAnsi="Times New Roman"/>
          <w:b/>
          <w:szCs w:val="24"/>
          <w:lang w:val="sk-SK"/>
        </w:rPr>
      </w:pPr>
      <w:r>
        <w:rPr>
          <w:rFonts w:ascii="Times New Roman" w:hAnsi="Times New Roman"/>
          <w:b/>
          <w:szCs w:val="24"/>
          <w:lang w:val="sk-SK"/>
        </w:rPr>
        <w:t>Ak prestanete užívať Spironolactone Accord</w:t>
      </w:r>
    </w:p>
    <w:p w14:paraId="2F4E92E6" w14:textId="77777777" w:rsidR="007765C2" w:rsidRPr="00D7257E" w:rsidRDefault="007765C2">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 xml:space="preserve">Ak prestanete užívať Spironolactone Accord, môžu sa znovu objaviť pôvodné príznaky. Vždy sa obráťte na svojho lekára, ak chcete prestať užívať liek. </w:t>
      </w:r>
    </w:p>
    <w:p w14:paraId="74663BD9" w14:textId="77777777" w:rsidR="007765C2" w:rsidRPr="00D7257E" w:rsidRDefault="007765C2">
      <w:pPr>
        <w:numPr>
          <w:ilvl w:val="12"/>
          <w:numId w:val="0"/>
        </w:numPr>
        <w:spacing w:after="0" w:line="240" w:lineRule="auto"/>
        <w:rPr>
          <w:rFonts w:ascii="Times New Roman" w:hAnsi="Times New Roman"/>
          <w:szCs w:val="24"/>
          <w:lang w:val="sk-SK"/>
        </w:rPr>
      </w:pPr>
    </w:p>
    <w:p w14:paraId="1112D9D0" w14:textId="77777777" w:rsidR="007765C2" w:rsidRPr="00D7257E" w:rsidRDefault="007765C2">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Ak máte ďalšie otázky týkajúce sa použitia tohto lieku, opýtajte sa svojho lekára alebo lekárnika.</w:t>
      </w:r>
    </w:p>
    <w:p w14:paraId="1B3ABC48" w14:textId="77777777" w:rsidR="007765C2" w:rsidRPr="00D7257E" w:rsidRDefault="007765C2">
      <w:pPr>
        <w:numPr>
          <w:ilvl w:val="12"/>
          <w:numId w:val="0"/>
        </w:numPr>
        <w:spacing w:after="0" w:line="240" w:lineRule="auto"/>
        <w:rPr>
          <w:rFonts w:ascii="Times New Roman" w:hAnsi="Times New Roman"/>
          <w:szCs w:val="24"/>
          <w:lang w:val="sk-SK"/>
        </w:rPr>
      </w:pPr>
    </w:p>
    <w:p w14:paraId="3755E714" w14:textId="77777777" w:rsidR="007765C2" w:rsidRPr="00D7257E" w:rsidRDefault="007765C2">
      <w:pPr>
        <w:numPr>
          <w:ilvl w:val="12"/>
          <w:numId w:val="0"/>
        </w:numPr>
        <w:spacing w:after="0" w:line="240" w:lineRule="auto"/>
        <w:rPr>
          <w:rFonts w:ascii="Times New Roman" w:hAnsi="Times New Roman"/>
          <w:szCs w:val="24"/>
          <w:lang w:val="sk-SK"/>
        </w:rPr>
      </w:pPr>
    </w:p>
    <w:p w14:paraId="758ECAB2" w14:textId="77777777" w:rsidR="007765C2" w:rsidRPr="00D7257E" w:rsidRDefault="007765C2">
      <w:pPr>
        <w:numPr>
          <w:ilvl w:val="12"/>
          <w:numId w:val="0"/>
        </w:numPr>
        <w:spacing w:after="0" w:line="240" w:lineRule="auto"/>
        <w:ind w:left="567" w:right="-2" w:hanging="567"/>
        <w:rPr>
          <w:rFonts w:ascii="Times New Roman" w:hAnsi="Times New Roman"/>
          <w:szCs w:val="24"/>
          <w:lang w:val="sk-SK"/>
        </w:rPr>
      </w:pPr>
      <w:r>
        <w:rPr>
          <w:rFonts w:ascii="Times New Roman" w:hAnsi="Times New Roman"/>
          <w:b/>
          <w:szCs w:val="24"/>
          <w:lang w:val="sk-SK"/>
        </w:rPr>
        <w:t>4.</w:t>
      </w:r>
      <w:r>
        <w:rPr>
          <w:rFonts w:ascii="Times New Roman" w:hAnsi="Times New Roman"/>
          <w:b/>
          <w:szCs w:val="24"/>
          <w:lang w:val="sk-SK"/>
        </w:rPr>
        <w:tab/>
        <w:t>Možné vedľajšie účinky</w:t>
      </w:r>
    </w:p>
    <w:p w14:paraId="0203061B"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490DDB9A"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szCs w:val="24"/>
          <w:lang w:val="sk-SK"/>
        </w:rPr>
        <w:t>Tak ako všetky lieky, aj tento liek môže spôsobovať vedľajšie účinky, hoci sa neprejavia u každého.</w:t>
      </w:r>
    </w:p>
    <w:p w14:paraId="33AE79B7" w14:textId="77777777" w:rsidR="007765C2" w:rsidRPr="00D7257E" w:rsidRDefault="007765C2">
      <w:pPr>
        <w:numPr>
          <w:ilvl w:val="12"/>
          <w:numId w:val="0"/>
        </w:numPr>
        <w:spacing w:after="0" w:line="240" w:lineRule="auto"/>
        <w:ind w:right="-29"/>
        <w:rPr>
          <w:rFonts w:ascii="Times New Roman" w:hAnsi="Times New Roman"/>
          <w:szCs w:val="24"/>
          <w:lang w:val="sk-SK"/>
        </w:rPr>
      </w:pPr>
    </w:p>
    <w:p w14:paraId="478038FF"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szCs w:val="24"/>
          <w:lang w:val="sk-SK"/>
        </w:rPr>
        <w:t>Vedľajšie účinky závisia od dávky a trvania liečby.</w:t>
      </w:r>
    </w:p>
    <w:p w14:paraId="1D176E79"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szCs w:val="24"/>
          <w:lang w:val="sk-SK"/>
        </w:rPr>
        <w:t xml:space="preserve">Najčastejšími vedľajšími účinkami sú hyperkaliémia, poruchy reprodukčného systému a prsníkov, vrátane gynekomastie (zväčšenia prsníkov u mužov). Gynekomastia zrejme súvisí s výškou dávky ako aj s trvaním </w:t>
      </w:r>
      <w:r>
        <w:rPr>
          <w:rFonts w:ascii="Times New Roman" w:hAnsi="Times New Roman"/>
          <w:szCs w:val="24"/>
          <w:lang w:val="sk-SK"/>
        </w:rPr>
        <w:lastRenderedPageBreak/>
        <w:t xml:space="preserve">liečby a zvyčajne je vratná po ukončení liečby. Ďalšími veľmi častými vedľajšími účinkami sú bolesť hlavy, poruchy tráviaceho systému, hnačka, únava a ospalosť. </w:t>
      </w:r>
    </w:p>
    <w:p w14:paraId="26F5D7A6" w14:textId="77777777" w:rsidR="007765C2" w:rsidRPr="00D7257E" w:rsidRDefault="007765C2">
      <w:pPr>
        <w:numPr>
          <w:ilvl w:val="12"/>
          <w:numId w:val="0"/>
        </w:numPr>
        <w:spacing w:after="0" w:line="240" w:lineRule="auto"/>
        <w:ind w:right="-29"/>
        <w:rPr>
          <w:rFonts w:ascii="Times New Roman" w:hAnsi="Times New Roman"/>
          <w:szCs w:val="24"/>
          <w:lang w:val="sk-SK"/>
        </w:rPr>
      </w:pPr>
    </w:p>
    <w:p w14:paraId="405EBDEB"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t>Veľmi časté: môžu postihovať viac ako 1 z 10 osôb</w:t>
      </w:r>
    </w:p>
    <w:p w14:paraId="0DA8A635"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hyperkaliémia (zvýšené hladiny draslíka v krvi) u pacientov so závažnou renálnou dysfunkciou (poruchou funkcie obličiek), ktorí dostávajú súbežnú liečbu s doplnkami draslíka</w:t>
      </w:r>
    </w:p>
    <w:p w14:paraId="19FCFDD2"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bolesť hlavy</w:t>
      </w:r>
    </w:p>
    <w:p w14:paraId="19A22E78"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poruchy trávenia, hnačka</w:t>
      </w:r>
    </w:p>
    <w:p w14:paraId="7DDD6883"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Muži: znížené libido, erektilná dysfunkcia (porucha erekcie), impotencia, zväčšenie prsných žliaz (gynekomastia)</w:t>
      </w:r>
    </w:p>
    <w:p w14:paraId="31FF6F43"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Ženy: poruchy prsníkov, citlivosť prsníkov, menštruačné poruchy, prehĺbenie hlasu (v mnohých prípadoch nezvratné)</w:t>
      </w:r>
    </w:p>
    <w:p w14:paraId="2F5C38FA"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únava, ospalosť</w:t>
      </w:r>
    </w:p>
    <w:p w14:paraId="0002AE48" w14:textId="77777777" w:rsidR="007765C2" w:rsidRPr="00D7257E" w:rsidRDefault="007765C2">
      <w:pPr>
        <w:numPr>
          <w:ilvl w:val="12"/>
          <w:numId w:val="0"/>
        </w:numPr>
        <w:spacing w:after="0" w:line="240" w:lineRule="auto"/>
        <w:ind w:right="-29"/>
        <w:rPr>
          <w:rFonts w:ascii="Times New Roman" w:hAnsi="Times New Roman"/>
          <w:szCs w:val="24"/>
          <w:lang w:val="sk-SK"/>
        </w:rPr>
      </w:pPr>
    </w:p>
    <w:p w14:paraId="01E4C35F"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t>Časté: môžu postihovať menej ako 1 z 10 osôb</w:t>
      </w:r>
    </w:p>
    <w:p w14:paraId="4027C45E"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 xml:space="preserve">hyponatrémia (nízke hladiny sodíka v krvi, predovšetkým počas kombinovanej intenzívnej liečby s tiazidovými diuretikami), hyperkaliémia u (1) pacientov so závažnou poruchou obličiek, (2) pacientov, ktorí dostávajú liečbu s ACE inhibítormi alebo chloridom draselným, (3) starších pacientov a (4) diabetických pacientov. </w:t>
      </w:r>
    </w:p>
    <w:p w14:paraId="50A51BF2"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nevoľnosť a vracanie</w:t>
      </w:r>
    </w:p>
    <w:p w14:paraId="692DE376"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Ženy: zmeny vaginálnych sekrétov, znížené libido, absencia menštruácie (amenorea), krvácanie po menopauze</w:t>
      </w:r>
    </w:p>
    <w:p w14:paraId="207C09D3"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slabosť, ospalosť (letargia) u pacientov s cirhózou, pocity šteklenia, svrbenie alebo brnenie, pre ktoré neexistuje žiadny dôvod (parestézia)</w:t>
      </w:r>
    </w:p>
    <w:p w14:paraId="5191A2F7"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všeobecná slabosť</w:t>
      </w:r>
    </w:p>
    <w:p w14:paraId="5B25CA3A" w14:textId="77777777" w:rsidR="007765C2" w:rsidRPr="00D7257E" w:rsidRDefault="007765C2">
      <w:pPr>
        <w:numPr>
          <w:ilvl w:val="12"/>
          <w:numId w:val="0"/>
        </w:numPr>
        <w:spacing w:after="0" w:line="240" w:lineRule="auto"/>
        <w:ind w:right="-29"/>
        <w:rPr>
          <w:rFonts w:ascii="Times New Roman" w:hAnsi="Times New Roman"/>
          <w:szCs w:val="24"/>
          <w:lang w:val="sk-SK"/>
        </w:rPr>
      </w:pPr>
    </w:p>
    <w:p w14:paraId="53CBED82"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t>Menej časté: môžu postihovať menej ako 1 zo 100 osôb</w:t>
      </w:r>
    </w:p>
    <w:p w14:paraId="51637748"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kyslosť krvi (acidóza) u pacientov s problémami pečene</w:t>
      </w:r>
    </w:p>
    <w:p w14:paraId="6FE3E3F0"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zmätenosť</w:t>
      </w:r>
    </w:p>
    <w:p w14:paraId="14AC65C7"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kožná vyrážka, žihľavka, erytém a chloazma (poruchy kože), všeobecné svrbenie</w:t>
      </w:r>
    </w:p>
    <w:p w14:paraId="34C932E0"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svalové kŕče</w:t>
      </w:r>
    </w:p>
    <w:p w14:paraId="25B17BF7"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kŕče v dolných končatinách</w:t>
      </w:r>
    </w:p>
    <w:p w14:paraId="24ED7C3D" w14:textId="77777777" w:rsidR="007765C2" w:rsidRPr="00D7257E" w:rsidRDefault="007765C2">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zvýšené hladiny kreatinínu v sére</w:t>
      </w:r>
      <w:r>
        <w:rPr>
          <w:color w:val="1F497D"/>
          <w:lang w:val="sk-SK"/>
        </w:rPr>
        <w:t xml:space="preserve"> </w:t>
      </w:r>
    </w:p>
    <w:p w14:paraId="45C3EAE7" w14:textId="77777777" w:rsidR="007765C2" w:rsidRPr="00D7257E" w:rsidRDefault="007765C2">
      <w:pPr>
        <w:numPr>
          <w:ilvl w:val="12"/>
          <w:numId w:val="0"/>
        </w:numPr>
        <w:spacing w:after="0" w:line="240" w:lineRule="auto"/>
        <w:ind w:right="-29"/>
        <w:rPr>
          <w:rFonts w:ascii="Times New Roman" w:hAnsi="Times New Roman"/>
          <w:szCs w:val="24"/>
          <w:lang w:val="sk-SK"/>
        </w:rPr>
      </w:pPr>
    </w:p>
    <w:p w14:paraId="08178959"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t>Zriedkavé: môžu postihovať menej ako 1 z 1 000 osôb</w:t>
      </w:r>
    </w:p>
    <w:p w14:paraId="09FCBE41" w14:textId="77777777" w:rsidR="007765C2" w:rsidRPr="00D7257E" w:rsidRDefault="007765C2">
      <w:pPr>
        <w:numPr>
          <w:ilvl w:val="0"/>
          <w:numId w:val="7"/>
        </w:numPr>
        <w:spacing w:after="0" w:line="240" w:lineRule="auto"/>
        <w:ind w:right="-29"/>
        <w:rPr>
          <w:rFonts w:ascii="Times New Roman" w:hAnsi="Times New Roman"/>
          <w:szCs w:val="24"/>
          <w:lang w:val="sk-SK"/>
        </w:rPr>
      </w:pPr>
      <w:r>
        <w:rPr>
          <w:rFonts w:ascii="Times New Roman" w:hAnsi="Times New Roman"/>
          <w:szCs w:val="24"/>
          <w:lang w:val="sk-SK"/>
        </w:rPr>
        <w:t xml:space="preserve">veľmi závažné krvné abnormality (nedostatok bielych krviniek) sprevádzané náhlou vysokou horúčkou, závažnou bolesťou hrdla a vredmi v ústach (agranulocytóza), krvná abnormalita (nedostatok krvných doštičiek) sprevádzaná modrinami a náchylnosťou ku krvácaniu (trombocytopénia) </w:t>
      </w:r>
    </w:p>
    <w:p w14:paraId="401B6974" w14:textId="77777777" w:rsidR="007765C2" w:rsidRPr="00D7257E" w:rsidRDefault="007765C2">
      <w:pPr>
        <w:numPr>
          <w:ilvl w:val="0"/>
          <w:numId w:val="7"/>
        </w:numPr>
        <w:spacing w:after="0" w:line="240" w:lineRule="auto"/>
        <w:ind w:right="-29"/>
        <w:rPr>
          <w:rFonts w:ascii="Times New Roman" w:hAnsi="Times New Roman"/>
          <w:szCs w:val="24"/>
          <w:lang w:val="sk-SK"/>
        </w:rPr>
      </w:pPr>
      <w:r>
        <w:rPr>
          <w:rFonts w:ascii="Times New Roman" w:hAnsi="Times New Roman"/>
          <w:szCs w:val="24"/>
          <w:lang w:val="sk-SK"/>
        </w:rPr>
        <w:t>alergické reakcie</w:t>
      </w:r>
    </w:p>
    <w:p w14:paraId="76A95690" w14:textId="77777777" w:rsidR="007765C2" w:rsidRPr="00D7257E" w:rsidRDefault="007765C2">
      <w:pPr>
        <w:numPr>
          <w:ilvl w:val="0"/>
          <w:numId w:val="7"/>
        </w:numPr>
        <w:spacing w:after="0" w:line="240" w:lineRule="auto"/>
        <w:ind w:right="-29"/>
        <w:rPr>
          <w:rFonts w:ascii="Times New Roman" w:hAnsi="Times New Roman"/>
          <w:szCs w:val="24"/>
          <w:lang w:val="sk-SK"/>
        </w:rPr>
      </w:pPr>
      <w:r>
        <w:rPr>
          <w:rFonts w:ascii="Times New Roman" w:hAnsi="Times New Roman"/>
          <w:szCs w:val="24"/>
          <w:lang w:val="sk-SK"/>
        </w:rPr>
        <w:t>nedostatok tekutín v tkanivách (dehydratácia), porfýria (porucha krvi), dočasné zvýšenie hladín dusíka v krvi a moči, zvýšené hladiny kyseliny močovej v krvi (hyperurikémia), u náchylných pacientov to môže viesť k záchvatom</w:t>
      </w:r>
    </w:p>
    <w:p w14:paraId="596AC0D5" w14:textId="77777777" w:rsidR="007765C2" w:rsidRPr="00D7257E" w:rsidRDefault="007765C2">
      <w:pPr>
        <w:numPr>
          <w:ilvl w:val="0"/>
          <w:numId w:val="7"/>
        </w:numPr>
        <w:spacing w:after="0" w:line="240" w:lineRule="auto"/>
        <w:ind w:right="-29"/>
        <w:rPr>
          <w:rFonts w:ascii="Times New Roman" w:hAnsi="Times New Roman"/>
          <w:szCs w:val="24"/>
          <w:lang w:val="sk-SK"/>
        </w:rPr>
      </w:pPr>
      <w:r>
        <w:rPr>
          <w:rFonts w:ascii="Times New Roman" w:hAnsi="Times New Roman"/>
          <w:szCs w:val="24"/>
          <w:lang w:val="sk-SK"/>
        </w:rPr>
        <w:t>paralýza (ochrnutie), paraplégia (ochrnutie) dolných končatín kvôli hyperkaliémii</w:t>
      </w:r>
    </w:p>
    <w:p w14:paraId="6F748238" w14:textId="77777777" w:rsidR="007765C2" w:rsidRPr="00D7257E" w:rsidRDefault="007765C2">
      <w:pPr>
        <w:numPr>
          <w:ilvl w:val="12"/>
          <w:numId w:val="0"/>
        </w:numPr>
        <w:spacing w:after="0" w:line="240" w:lineRule="auto"/>
        <w:ind w:right="-29"/>
        <w:rPr>
          <w:rFonts w:ascii="Times New Roman" w:hAnsi="Times New Roman"/>
          <w:szCs w:val="24"/>
          <w:lang w:val="sk-SK"/>
        </w:rPr>
      </w:pPr>
    </w:p>
    <w:p w14:paraId="63B48C30"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t>Veľmi zriedkavé: môžu postihovať menej ako 1 z 10 000 osôb</w:t>
      </w:r>
    </w:p>
    <w:p w14:paraId="2072F25E"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rakovina prsníka</w:t>
      </w:r>
    </w:p>
    <w:p w14:paraId="74C8CD52"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zápal cievnych stien (vaskulitída)</w:t>
      </w:r>
    </w:p>
    <w:p w14:paraId="5679C670"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zápal žalúdka, žalúdočné vredy, krvácanie do čriev, kŕče</w:t>
      </w:r>
    </w:p>
    <w:p w14:paraId="18BE9613"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hepatitída (zápal pečene)</w:t>
      </w:r>
    </w:p>
    <w:p w14:paraId="62901325"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lastRenderedPageBreak/>
        <w:t>alopécia (vypadávanie vlasov), ekzém, anulárny centrifugálny erytém (EAC) (porucha kože)</w:t>
      </w:r>
    </w:p>
    <w:p w14:paraId="4C3B4DC7"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systémový lupus erythematosus (SLE) (porucha kože)</w:t>
      </w:r>
    </w:p>
    <w:p w14:paraId="1A23B53F"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akútne zlyhanie obličiek</w:t>
      </w:r>
    </w:p>
    <w:p w14:paraId="66ECDF37"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nadmerný rast vlasov (hypertrichóza)</w:t>
      </w:r>
    </w:p>
    <w:p w14:paraId="283C3D10"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mäknutie kostí (osteomalácia)</w:t>
      </w:r>
    </w:p>
    <w:p w14:paraId="29FF60DC" w14:textId="77777777" w:rsidR="007765C2" w:rsidRPr="00D7257E" w:rsidRDefault="007765C2">
      <w:pPr>
        <w:numPr>
          <w:ilvl w:val="12"/>
          <w:numId w:val="0"/>
        </w:numPr>
        <w:spacing w:after="0" w:line="240" w:lineRule="auto"/>
        <w:ind w:right="-29"/>
        <w:rPr>
          <w:rFonts w:ascii="Times New Roman" w:hAnsi="Times New Roman"/>
          <w:szCs w:val="24"/>
          <w:lang w:val="sk-SK"/>
        </w:rPr>
      </w:pPr>
    </w:p>
    <w:p w14:paraId="4533ADCA" w14:textId="77777777" w:rsidR="007765C2" w:rsidRPr="00D7257E" w:rsidRDefault="007765C2">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t>Neznáme: frekvenciu nemožno odhadnúť z dostupných údajov</w:t>
      </w:r>
    </w:p>
    <w:p w14:paraId="6A9EFE5D"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mierne androgénne účinky, vrátane hirzutizmu (nadmerného ochlpenia)</w:t>
      </w:r>
    </w:p>
    <w:p w14:paraId="709129C6" w14:textId="08395B0D"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vratná hyperchloremická metabolická acidóza (druh zvýšenej kyslosti krvi)– zvyčajne sprevádzaná hyperkaliémiou - bola hlásená u niektorých pacientov s poruchou pečene (dekompenzovanou cirhózou pečene) aj vtedy, keď bola funkcia obličiek normálna</w:t>
      </w:r>
    </w:p>
    <w:p w14:paraId="0BFC71AA"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závraty, ataxia (porucha koordinácie pohybov)</w:t>
      </w:r>
    </w:p>
    <w:p w14:paraId="6EA14D6A" w14:textId="77777777" w:rsidR="007765C2" w:rsidRPr="00D7257E" w:rsidRDefault="007765C2">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mierne zníženie krvného tlaku</w:t>
      </w:r>
    </w:p>
    <w:p w14:paraId="3D23C05D" w14:textId="77777777" w:rsidR="007765C2" w:rsidRPr="00D7257E" w:rsidRDefault="007765C2">
      <w:pPr>
        <w:pStyle w:val="Default"/>
        <w:numPr>
          <w:ilvl w:val="0"/>
          <w:numId w:val="6"/>
        </w:numPr>
        <w:rPr>
          <w:lang w:val="sk-SK"/>
        </w:rPr>
      </w:pPr>
      <w:r>
        <w:rPr>
          <w:sz w:val="22"/>
          <w:lang w:val="sk-SK"/>
        </w:rPr>
        <w:t xml:space="preserve">svrbenie a pľuzgiere na koži okolo úst a na zvyšnej časti tela (Stevensov-Johnsonov syndróm) </w:t>
      </w:r>
    </w:p>
    <w:p w14:paraId="1F977625" w14:textId="77777777" w:rsidR="007765C2" w:rsidRPr="00D7257E" w:rsidRDefault="007765C2">
      <w:pPr>
        <w:pStyle w:val="Default"/>
        <w:numPr>
          <w:ilvl w:val="0"/>
          <w:numId w:val="6"/>
        </w:numPr>
        <w:rPr>
          <w:lang w:val="sk-SK"/>
        </w:rPr>
      </w:pPr>
      <w:r>
        <w:rPr>
          <w:sz w:val="22"/>
          <w:lang w:val="sk-SK"/>
        </w:rPr>
        <w:t xml:space="preserve">oddelenie hornej vrstvy kože od spodných vrstiev kože, po celom tele (toxická epidermálna nekrolýza) </w:t>
      </w:r>
    </w:p>
    <w:p w14:paraId="109C326D" w14:textId="77777777" w:rsidR="007765C2" w:rsidRPr="00D7257E" w:rsidRDefault="007765C2">
      <w:pPr>
        <w:pStyle w:val="Default"/>
        <w:numPr>
          <w:ilvl w:val="0"/>
          <w:numId w:val="6"/>
        </w:numPr>
        <w:rPr>
          <w:lang w:val="sk-SK"/>
        </w:rPr>
      </w:pPr>
      <w:r>
        <w:rPr>
          <w:sz w:val="22"/>
          <w:lang w:val="sk-SK"/>
        </w:rPr>
        <w:t>kožná vyrážka, horúčka a opuchy (môžu byť príznakmi niečoho oveľa závažnejšieho), lieková vyrážka s eozinofíliou (poruchou krvi) a systémovými príznakmi</w:t>
      </w:r>
    </w:p>
    <w:p w14:paraId="53472FED" w14:textId="4D08E54C" w:rsidR="007765C2" w:rsidRPr="00D7257E" w:rsidRDefault="007765C2">
      <w:pPr>
        <w:pStyle w:val="Default"/>
        <w:numPr>
          <w:ilvl w:val="0"/>
          <w:numId w:val="6"/>
        </w:numPr>
        <w:rPr>
          <w:sz w:val="22"/>
          <w:szCs w:val="22"/>
          <w:lang w:val="sk-SK"/>
        </w:rPr>
      </w:pPr>
      <w:r>
        <w:rPr>
          <w:sz w:val="22"/>
          <w:szCs w:val="22"/>
          <w:lang w:val="sk-SK"/>
        </w:rPr>
        <w:t>pemfigoid</w:t>
      </w:r>
      <w:r w:rsidR="001B620D" w:rsidRPr="001B620D">
        <w:rPr>
          <w:sz w:val="22"/>
          <w:szCs w:val="22"/>
          <w:lang w:val="sk-SK"/>
        </w:rPr>
        <w:t xml:space="preserve"> (stav, ktorý sa prejavuje tekutinou naplnenými pľuzgiermi na koži)</w:t>
      </w:r>
      <w:r w:rsidR="001B620D" w:rsidRPr="001B620D" w:rsidDel="001B620D">
        <w:rPr>
          <w:sz w:val="22"/>
          <w:szCs w:val="22"/>
          <w:lang w:val="sk-SK"/>
        </w:rPr>
        <w:t xml:space="preserve"> </w:t>
      </w:r>
    </w:p>
    <w:p w14:paraId="6D067701" w14:textId="77777777" w:rsidR="007765C2" w:rsidRPr="00D7257E" w:rsidRDefault="007765C2">
      <w:pPr>
        <w:tabs>
          <w:tab w:val="right" w:pos="8505"/>
        </w:tabs>
        <w:spacing w:after="0" w:line="240" w:lineRule="auto"/>
        <w:ind w:left="1134"/>
        <w:rPr>
          <w:rFonts w:ascii="Times New Roman" w:hAnsi="Times New Roman"/>
          <w:szCs w:val="24"/>
          <w:lang w:val="sk-SK"/>
        </w:rPr>
      </w:pPr>
    </w:p>
    <w:p w14:paraId="2C104E63" w14:textId="77777777" w:rsidR="007765C2" w:rsidRPr="00D7257E" w:rsidRDefault="007765C2">
      <w:pPr>
        <w:tabs>
          <w:tab w:val="right" w:pos="8505"/>
        </w:tabs>
        <w:spacing w:after="0" w:line="240" w:lineRule="auto"/>
        <w:rPr>
          <w:rFonts w:ascii="Times New Roman" w:hAnsi="Times New Roman"/>
          <w:b/>
          <w:szCs w:val="24"/>
          <w:lang w:val="sk-SK"/>
        </w:rPr>
      </w:pPr>
      <w:r>
        <w:rPr>
          <w:rFonts w:ascii="Times New Roman" w:hAnsi="Times New Roman"/>
          <w:b/>
          <w:szCs w:val="24"/>
          <w:lang w:val="sk-SK"/>
        </w:rPr>
        <w:t>Hlásenie vedľajších účinkov</w:t>
      </w:r>
    </w:p>
    <w:p w14:paraId="089BEA89" w14:textId="70A2AC91" w:rsidR="007765C2" w:rsidRPr="00D7257E" w:rsidRDefault="007765C2">
      <w:pPr>
        <w:tabs>
          <w:tab w:val="right" w:pos="8505"/>
        </w:tabs>
        <w:spacing w:after="0" w:line="240" w:lineRule="auto"/>
        <w:rPr>
          <w:rFonts w:ascii="Times New Roman" w:hAnsi="Times New Roman"/>
          <w:szCs w:val="24"/>
          <w:lang w:val="sk-SK"/>
        </w:rPr>
      </w:pPr>
      <w:r>
        <w:rPr>
          <w:rFonts w:ascii="Times New Roman" w:hAnsi="Times New Roman"/>
          <w:szCs w:val="24"/>
          <w:lang w:val="sk-SK"/>
        </w:rPr>
        <w:t xml:space="preserve">Ak sa u vás vyskytne akýkoľvek vedľajší účinok, obráťte sa na svojho lekára alebo lekárnika alebo zdravotnú sestru. To sa týka aj akýchkoľvek vedľajších účinkov, ktoré nie sú uvedené v tejto písomnej informácii pre používateľa. Vedľajšie účinky môžete hlásiť aj priamo </w:t>
      </w:r>
      <w:r w:rsidR="00991F50">
        <w:rPr>
          <w:rFonts w:ascii="Times New Roman" w:hAnsi="Times New Roman"/>
          <w:szCs w:val="24"/>
          <w:lang w:val="sk-SK"/>
        </w:rPr>
        <w:t xml:space="preserve">na </w:t>
      </w:r>
      <w:r w:rsidRPr="00982B87">
        <w:rPr>
          <w:rFonts w:ascii="Times New Roman" w:hAnsi="Times New Roman"/>
          <w:noProof/>
          <w:highlight w:val="lightGray"/>
          <w:lang w:val="sk-SK"/>
        </w:rPr>
        <w:t xml:space="preserve">národné </w:t>
      </w:r>
      <w:r w:rsidR="00991F50" w:rsidRPr="00982B87">
        <w:rPr>
          <w:rFonts w:ascii="Times New Roman" w:hAnsi="Times New Roman"/>
          <w:noProof/>
          <w:highlight w:val="lightGray"/>
          <w:lang w:val="sk-SK"/>
        </w:rPr>
        <w:t xml:space="preserve">centrum </w:t>
      </w:r>
      <w:r w:rsidRPr="00982B87">
        <w:rPr>
          <w:rFonts w:ascii="Times New Roman" w:hAnsi="Times New Roman"/>
          <w:noProof/>
          <w:highlight w:val="lightGray"/>
          <w:lang w:val="sk-SK"/>
        </w:rPr>
        <w:t xml:space="preserve"> hlásenia uvedené v </w:t>
      </w:r>
      <w:hyperlink r:id="rId7" w:history="1">
        <w:r w:rsidRPr="00982B87">
          <w:rPr>
            <w:rStyle w:val="Hypertextovprepojenie"/>
            <w:rFonts w:ascii="Times New Roman" w:hAnsi="Times New Roman"/>
            <w:noProof/>
            <w:color w:val="auto"/>
            <w:highlight w:val="lightGray"/>
            <w:u w:val="none"/>
            <w:lang w:val="sk-SK"/>
          </w:rPr>
          <w:t>Prílohe V</w:t>
        </w:r>
      </w:hyperlink>
      <w:r w:rsidRPr="00D7257E">
        <w:rPr>
          <w:rFonts w:ascii="Times New Roman" w:hAnsi="Times New Roman"/>
          <w:szCs w:val="24"/>
          <w:lang w:val="sk-SK"/>
        </w:rPr>
        <w:t>.</w:t>
      </w:r>
      <w:r w:rsidRPr="001322C9">
        <w:rPr>
          <w:rFonts w:ascii="Times New Roman" w:hAnsi="Times New Roman"/>
          <w:szCs w:val="24"/>
          <w:lang w:val="sk-SK"/>
        </w:rPr>
        <w:t xml:space="preserve"> Hlásením vedľajších účinkov môžete prispieť k získaniu ďalších informácií o bezpečnosti tohto lieku.</w:t>
      </w:r>
    </w:p>
    <w:p w14:paraId="60813095" w14:textId="77777777" w:rsidR="007765C2" w:rsidRPr="00D7257E" w:rsidRDefault="007765C2">
      <w:pPr>
        <w:tabs>
          <w:tab w:val="right" w:pos="8505"/>
        </w:tabs>
        <w:spacing w:after="0" w:line="240" w:lineRule="auto"/>
        <w:ind w:left="1134" w:hanging="708"/>
        <w:rPr>
          <w:rFonts w:ascii="Times New Roman" w:hAnsi="Times New Roman"/>
          <w:szCs w:val="24"/>
          <w:lang w:val="sk-SK"/>
        </w:rPr>
      </w:pPr>
    </w:p>
    <w:p w14:paraId="5731A16A" w14:textId="77777777" w:rsidR="007765C2" w:rsidRPr="00D7257E" w:rsidRDefault="007765C2">
      <w:pPr>
        <w:spacing w:after="0" w:line="240" w:lineRule="auto"/>
        <w:ind w:right="-2"/>
        <w:rPr>
          <w:rFonts w:ascii="Times New Roman" w:hAnsi="Times New Roman"/>
          <w:b/>
          <w:szCs w:val="24"/>
          <w:lang w:val="sk-SK"/>
        </w:rPr>
      </w:pPr>
    </w:p>
    <w:p w14:paraId="260A3ED2" w14:textId="77777777" w:rsidR="007765C2" w:rsidRPr="00D7257E" w:rsidRDefault="007765C2">
      <w:pPr>
        <w:spacing w:after="0" w:line="240" w:lineRule="auto"/>
        <w:ind w:right="-2"/>
        <w:rPr>
          <w:rFonts w:ascii="Times New Roman" w:hAnsi="Times New Roman"/>
          <w:b/>
          <w:szCs w:val="24"/>
          <w:lang w:val="sk-SK"/>
        </w:rPr>
      </w:pPr>
      <w:r w:rsidRPr="001322C9">
        <w:rPr>
          <w:rFonts w:ascii="Times New Roman" w:hAnsi="Times New Roman"/>
          <w:b/>
          <w:szCs w:val="24"/>
          <w:lang w:val="sk-SK"/>
        </w:rPr>
        <w:t>5.</w:t>
      </w:r>
      <w:r w:rsidRPr="001322C9">
        <w:rPr>
          <w:rFonts w:ascii="Times New Roman" w:hAnsi="Times New Roman"/>
          <w:b/>
          <w:szCs w:val="24"/>
          <w:lang w:val="sk-SK"/>
        </w:rPr>
        <w:tab/>
        <w:t>Ako uchovávať Spironolactone Accord</w:t>
      </w:r>
    </w:p>
    <w:p w14:paraId="7218B38F" w14:textId="77777777" w:rsidR="007765C2" w:rsidRPr="00D7257E" w:rsidRDefault="007765C2">
      <w:pPr>
        <w:tabs>
          <w:tab w:val="left" w:pos="567"/>
        </w:tabs>
        <w:spacing w:after="0" w:line="240" w:lineRule="auto"/>
        <w:ind w:right="-2"/>
        <w:rPr>
          <w:rFonts w:ascii="Times New Roman" w:hAnsi="Times New Roman"/>
          <w:szCs w:val="24"/>
          <w:lang w:val="sk-SK"/>
        </w:rPr>
      </w:pPr>
    </w:p>
    <w:p w14:paraId="38AD7AC6"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1322C9">
        <w:rPr>
          <w:rFonts w:ascii="Times New Roman" w:hAnsi="Times New Roman"/>
          <w:szCs w:val="24"/>
          <w:lang w:val="sk-SK"/>
        </w:rPr>
        <w:t>Tento liek uchovávajte mimo dohľadu a dosahu detí.</w:t>
      </w:r>
    </w:p>
    <w:p w14:paraId="724BC14A"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1322C9">
        <w:rPr>
          <w:rFonts w:ascii="Times New Roman" w:hAnsi="Times New Roman"/>
          <w:szCs w:val="24"/>
          <w:lang w:val="sk-SK"/>
        </w:rPr>
        <w:t>Tento liek nevyžaduje žiadne zvláštne teplotné podmienky na uchovávanie. Uchovávajte v pôvodnom obale na ochranu pred svetlom.</w:t>
      </w:r>
    </w:p>
    <w:p w14:paraId="5F431909"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1322C9">
        <w:rPr>
          <w:rFonts w:ascii="Times New Roman" w:hAnsi="Times New Roman"/>
          <w:szCs w:val="24"/>
          <w:lang w:val="sk-SK"/>
        </w:rPr>
        <w:t>Nepoužívajte tento liek po dátume exspirácie, ktorý je uvedený na škatuľke a na blistri po „EXP“. Dátum exspirácie sa vzťahuje na posledný deň v danom mesiaci.</w:t>
      </w:r>
    </w:p>
    <w:p w14:paraId="2C245081" w14:textId="77777777" w:rsidR="007765C2" w:rsidRPr="00D7257E" w:rsidRDefault="007765C2">
      <w:pPr>
        <w:numPr>
          <w:ilvl w:val="0"/>
          <w:numId w:val="4"/>
        </w:numPr>
        <w:tabs>
          <w:tab w:val="left" w:pos="567"/>
        </w:tabs>
        <w:spacing w:after="0" w:line="240" w:lineRule="auto"/>
        <w:ind w:right="-2"/>
        <w:rPr>
          <w:rFonts w:ascii="Times New Roman" w:hAnsi="Times New Roman"/>
          <w:szCs w:val="24"/>
          <w:lang w:val="sk-SK"/>
        </w:rPr>
      </w:pPr>
      <w:r w:rsidRPr="001322C9">
        <w:rPr>
          <w:rFonts w:ascii="Times New Roman" w:hAnsi="Times New Roman"/>
          <w:szCs w:val="24"/>
          <w:lang w:val="sk-SK"/>
        </w:rPr>
        <w:t>Nelikvidujte lieky odpadovou vodou alebo domovým odpadom. Nepoužitý liek vráťte do lekárne. Tieto opatrenia pomôžu chrániť životné prostredie.</w:t>
      </w:r>
    </w:p>
    <w:p w14:paraId="08311D5D"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5F402A9C"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3BAF9ADC" w14:textId="77777777" w:rsidR="007765C2" w:rsidRPr="00D7257E" w:rsidRDefault="007765C2">
      <w:pPr>
        <w:numPr>
          <w:ilvl w:val="12"/>
          <w:numId w:val="0"/>
        </w:numPr>
        <w:spacing w:after="0" w:line="240" w:lineRule="auto"/>
        <w:ind w:right="-2"/>
        <w:rPr>
          <w:rFonts w:ascii="Times New Roman" w:hAnsi="Times New Roman"/>
          <w:b/>
          <w:szCs w:val="24"/>
          <w:lang w:val="sk-SK"/>
        </w:rPr>
      </w:pPr>
      <w:r w:rsidRPr="001322C9">
        <w:rPr>
          <w:rFonts w:ascii="Times New Roman" w:hAnsi="Times New Roman"/>
          <w:b/>
          <w:szCs w:val="24"/>
          <w:lang w:val="sk-SK"/>
        </w:rPr>
        <w:t>6.</w:t>
      </w:r>
      <w:r w:rsidRPr="001322C9">
        <w:rPr>
          <w:rFonts w:ascii="Times New Roman" w:hAnsi="Times New Roman"/>
          <w:b/>
          <w:szCs w:val="24"/>
          <w:lang w:val="sk-SK"/>
        </w:rPr>
        <w:tab/>
        <w:t xml:space="preserve"> Obsah balenia a ďalšie informácie</w:t>
      </w:r>
    </w:p>
    <w:p w14:paraId="5AD4AAE2"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2BAC8C73" w14:textId="77777777" w:rsidR="007765C2" w:rsidRPr="00D7257E" w:rsidRDefault="007765C2">
      <w:pPr>
        <w:numPr>
          <w:ilvl w:val="12"/>
          <w:numId w:val="0"/>
        </w:numPr>
        <w:spacing w:after="0" w:line="240" w:lineRule="auto"/>
        <w:ind w:right="-2"/>
        <w:rPr>
          <w:rFonts w:ascii="Times New Roman" w:hAnsi="Times New Roman"/>
          <w:b/>
          <w:szCs w:val="24"/>
          <w:lang w:val="sk-SK"/>
        </w:rPr>
      </w:pPr>
      <w:r w:rsidRPr="001322C9">
        <w:rPr>
          <w:rFonts w:ascii="Times New Roman" w:hAnsi="Times New Roman"/>
          <w:b/>
          <w:szCs w:val="24"/>
          <w:lang w:val="sk-SK"/>
        </w:rPr>
        <w:t>Čo Spironolactone Accord obsahuje</w:t>
      </w:r>
    </w:p>
    <w:p w14:paraId="1594E448"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0C066318"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lang w:val="sk-SK"/>
        </w:rPr>
        <w:t xml:space="preserve">Liečivom je spironolaktón. Spironolactone Accord obsahuje 25 mg, 50 mg alebo 100 mg spironolaktónu. </w:t>
      </w:r>
    </w:p>
    <w:p w14:paraId="6C144763"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lang w:val="sk-SK"/>
        </w:rPr>
        <w:t>Ďalšími látkami sú:</w:t>
      </w:r>
    </w:p>
    <w:p w14:paraId="61039F98"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lang w:val="sk-SK"/>
        </w:rPr>
        <w:t>Jadro tablety</w:t>
      </w:r>
    </w:p>
    <w:p w14:paraId="630E6328" w14:textId="77777777" w:rsidR="007765C2" w:rsidRPr="00D7257E" w:rsidRDefault="007765C2" w:rsidP="000F2695">
      <w:pPr>
        <w:widowControl w:val="0"/>
        <w:autoSpaceDE w:val="0"/>
        <w:autoSpaceDN w:val="0"/>
        <w:adjustRightInd w:val="0"/>
        <w:spacing w:after="0"/>
        <w:ind w:right="181"/>
        <w:rPr>
          <w:spacing w:val="-2"/>
          <w:szCs w:val="24"/>
          <w:lang w:val="sk-SK"/>
        </w:rPr>
      </w:pPr>
      <w:r w:rsidRPr="001322C9">
        <w:rPr>
          <w:rFonts w:ascii="Times New Roman" w:hAnsi="Times New Roman"/>
          <w:szCs w:val="24"/>
          <w:lang w:val="sk-SK"/>
        </w:rPr>
        <w:t xml:space="preserve">monohydrát laktózy, predželatínovaný kukuričný škrob, hydrogénfosforečnan vápenatý, bezvodý, povidón K25, pepermintový olej, čistený mastenec, oxid kremičitý koloidný, bezvodý, magnézium stearát (E470b). </w:t>
      </w:r>
    </w:p>
    <w:p w14:paraId="02E438F8"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u w:val="single"/>
          <w:lang w:val="sk-SK"/>
        </w:rPr>
        <w:lastRenderedPageBreak/>
        <w:t>Filmová vrstva</w:t>
      </w:r>
    </w:p>
    <w:p w14:paraId="086A2577"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lang w:val="sk-SK"/>
        </w:rPr>
        <w:t xml:space="preserve">hypromelóza, makrogol, oxid titaničitý (E171) </w:t>
      </w:r>
    </w:p>
    <w:p w14:paraId="6B2BEF84"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0F908F03" w14:textId="77777777" w:rsidR="007765C2" w:rsidRPr="00D7257E" w:rsidRDefault="007765C2">
      <w:pPr>
        <w:numPr>
          <w:ilvl w:val="12"/>
          <w:numId w:val="0"/>
        </w:numPr>
        <w:spacing w:after="0" w:line="240" w:lineRule="auto"/>
        <w:ind w:right="-2"/>
        <w:rPr>
          <w:rFonts w:ascii="Times New Roman" w:hAnsi="Times New Roman"/>
          <w:b/>
          <w:szCs w:val="24"/>
          <w:lang w:val="sk-SK"/>
        </w:rPr>
      </w:pPr>
      <w:r w:rsidRPr="001322C9">
        <w:rPr>
          <w:rFonts w:ascii="Times New Roman" w:hAnsi="Times New Roman"/>
          <w:b/>
          <w:szCs w:val="24"/>
          <w:lang w:val="sk-SK"/>
        </w:rPr>
        <w:t>Ako vyzerá Spironolactone Accord a obsah balenia</w:t>
      </w:r>
    </w:p>
    <w:p w14:paraId="37CB1838" w14:textId="77777777" w:rsidR="007765C2" w:rsidRPr="00D7257E" w:rsidRDefault="007765C2">
      <w:pPr>
        <w:tabs>
          <w:tab w:val="left" w:pos="567"/>
        </w:tabs>
        <w:autoSpaceDE w:val="0"/>
        <w:autoSpaceDN w:val="0"/>
        <w:adjustRightInd w:val="0"/>
        <w:spacing w:after="0" w:line="240" w:lineRule="auto"/>
        <w:jc w:val="both"/>
        <w:rPr>
          <w:rFonts w:ascii="Times New Roman" w:hAnsi="Times New Roman"/>
          <w:szCs w:val="24"/>
          <w:lang w:val="sk-SK"/>
        </w:rPr>
      </w:pPr>
      <w:r w:rsidRPr="001322C9">
        <w:rPr>
          <w:rFonts w:ascii="Times New Roman" w:hAnsi="Times New Roman"/>
          <w:szCs w:val="24"/>
          <w:lang w:val="sk-SK"/>
        </w:rPr>
        <w:t xml:space="preserve">Spironolactone Accord 25 mg, filmom obalené tablety, sú biele až takmer biele, okrúhle, obojstranne vypuklé tablety s vyrazeným nápisom „AD“ na jednej strane a bez označenia na opačnej strane. 25 mg tableta má priemer približne </w:t>
      </w:r>
      <w:smartTag w:uri="urn:schemas-microsoft-com:office:smarttags" w:element="metricconverter">
        <w:smartTagPr>
          <w:attr w:name="ProductID" w:val="8,1 mm"/>
        </w:smartTagPr>
        <w:r w:rsidRPr="001322C9">
          <w:rPr>
            <w:rFonts w:ascii="Times New Roman" w:hAnsi="Times New Roman"/>
            <w:szCs w:val="24"/>
            <w:lang w:val="sk-SK"/>
          </w:rPr>
          <w:t>8,1 mm</w:t>
        </w:r>
      </w:smartTag>
      <w:r w:rsidRPr="001322C9">
        <w:rPr>
          <w:rFonts w:ascii="Times New Roman" w:hAnsi="Times New Roman"/>
          <w:szCs w:val="24"/>
          <w:lang w:val="sk-SK"/>
        </w:rPr>
        <w:t>.</w:t>
      </w:r>
    </w:p>
    <w:p w14:paraId="056CE3AE" w14:textId="77777777" w:rsidR="007765C2" w:rsidRPr="00D7257E" w:rsidRDefault="007765C2">
      <w:pPr>
        <w:tabs>
          <w:tab w:val="left" w:pos="567"/>
        </w:tabs>
        <w:autoSpaceDE w:val="0"/>
        <w:autoSpaceDN w:val="0"/>
        <w:adjustRightInd w:val="0"/>
        <w:spacing w:after="0" w:line="260" w:lineRule="exact"/>
        <w:jc w:val="both"/>
        <w:rPr>
          <w:rFonts w:ascii="Times New Roman" w:hAnsi="Times New Roman"/>
          <w:szCs w:val="24"/>
          <w:lang w:val="sk-SK"/>
        </w:rPr>
      </w:pPr>
    </w:p>
    <w:p w14:paraId="3D673AB1" w14:textId="77777777" w:rsidR="007765C2" w:rsidRPr="00D7257E" w:rsidRDefault="007765C2">
      <w:pPr>
        <w:tabs>
          <w:tab w:val="left" w:pos="567"/>
        </w:tabs>
        <w:autoSpaceDE w:val="0"/>
        <w:autoSpaceDN w:val="0"/>
        <w:adjustRightInd w:val="0"/>
        <w:spacing w:after="0" w:line="260" w:lineRule="exact"/>
        <w:jc w:val="both"/>
        <w:rPr>
          <w:rFonts w:ascii="Times New Roman" w:hAnsi="Times New Roman"/>
          <w:szCs w:val="24"/>
          <w:lang w:val="sk-SK"/>
        </w:rPr>
      </w:pPr>
      <w:r w:rsidRPr="001322C9">
        <w:rPr>
          <w:rFonts w:ascii="Times New Roman" w:hAnsi="Times New Roman"/>
          <w:szCs w:val="24"/>
          <w:lang w:val="sk-SK"/>
        </w:rPr>
        <w:t xml:space="preserve">Spironolactone Accord 50 mg, filmom obalené tablety, sú biele až takmer biele, okrúhle, obojstranne vypuklé tablety s vyrazeným nápisom „AE“ na jednej strane a bez označenia na opačnej strane. 50 mg tableta má priemer približne </w:t>
      </w:r>
      <w:smartTag w:uri="urn:schemas-microsoft-com:office:smarttags" w:element="metricconverter">
        <w:smartTagPr>
          <w:attr w:name="ProductID" w:val="10,1 mm"/>
        </w:smartTagPr>
        <w:r w:rsidRPr="001322C9">
          <w:rPr>
            <w:rFonts w:ascii="Times New Roman" w:hAnsi="Times New Roman"/>
            <w:szCs w:val="24"/>
            <w:lang w:val="sk-SK"/>
          </w:rPr>
          <w:t>10,1 mm</w:t>
        </w:r>
      </w:smartTag>
      <w:r w:rsidRPr="001322C9">
        <w:rPr>
          <w:rFonts w:ascii="Times New Roman" w:hAnsi="Times New Roman"/>
          <w:szCs w:val="24"/>
          <w:lang w:val="sk-SK"/>
        </w:rPr>
        <w:t>.</w:t>
      </w:r>
    </w:p>
    <w:p w14:paraId="3C435FC8" w14:textId="77777777" w:rsidR="007765C2" w:rsidRPr="00D7257E" w:rsidRDefault="007765C2">
      <w:pPr>
        <w:tabs>
          <w:tab w:val="left" w:pos="567"/>
        </w:tabs>
        <w:autoSpaceDE w:val="0"/>
        <w:autoSpaceDN w:val="0"/>
        <w:adjustRightInd w:val="0"/>
        <w:spacing w:after="0" w:line="260" w:lineRule="exact"/>
        <w:jc w:val="both"/>
        <w:rPr>
          <w:rFonts w:ascii="Times New Roman" w:hAnsi="Times New Roman"/>
          <w:szCs w:val="24"/>
          <w:lang w:val="sk-SK"/>
        </w:rPr>
      </w:pPr>
    </w:p>
    <w:p w14:paraId="7FBE606E" w14:textId="77777777" w:rsidR="007765C2" w:rsidRPr="00D7257E" w:rsidRDefault="007765C2">
      <w:pPr>
        <w:spacing w:after="0" w:line="240" w:lineRule="auto"/>
        <w:rPr>
          <w:rFonts w:ascii="Times New Roman" w:hAnsi="Times New Roman"/>
          <w:szCs w:val="24"/>
          <w:lang w:val="sk-SK"/>
        </w:rPr>
      </w:pPr>
      <w:r w:rsidRPr="001322C9">
        <w:rPr>
          <w:rFonts w:ascii="Times New Roman" w:hAnsi="Times New Roman"/>
          <w:szCs w:val="24"/>
          <w:lang w:val="sk-SK"/>
        </w:rPr>
        <w:t xml:space="preserve">Spironolactone Accord 100 mg, filmom obalené tablety, sú biele až takmer biele, okrúhle, obojstranne vypuklé tablety s vyrazeným nápisom „AF“ na jednej strane a bez označenia na opačnej strane. 100 mg tableta má priemer približne </w:t>
      </w:r>
      <w:smartTag w:uri="urn:schemas-microsoft-com:office:smarttags" w:element="metricconverter">
        <w:smartTagPr>
          <w:attr w:name="ProductID" w:val="500 a"/>
        </w:smartTagPr>
        <w:r w:rsidRPr="001322C9">
          <w:rPr>
            <w:rFonts w:ascii="Times New Roman" w:hAnsi="Times New Roman"/>
            <w:szCs w:val="24"/>
            <w:lang w:val="sk-SK"/>
          </w:rPr>
          <w:t>11,2 mm</w:t>
        </w:r>
      </w:smartTag>
      <w:r w:rsidRPr="001322C9">
        <w:rPr>
          <w:rFonts w:ascii="Times New Roman" w:hAnsi="Times New Roman"/>
          <w:szCs w:val="24"/>
          <w:lang w:val="sk-SK"/>
        </w:rPr>
        <w:t>.</w:t>
      </w:r>
    </w:p>
    <w:p w14:paraId="458667ED" w14:textId="77777777" w:rsidR="007765C2" w:rsidRPr="00D7257E" w:rsidRDefault="007765C2">
      <w:pPr>
        <w:spacing w:after="0" w:line="240" w:lineRule="auto"/>
        <w:rPr>
          <w:rFonts w:ascii="Times New Roman" w:hAnsi="Times New Roman"/>
          <w:szCs w:val="24"/>
          <w:lang w:val="sk-SK"/>
        </w:rPr>
      </w:pPr>
    </w:p>
    <w:p w14:paraId="54E2DCAF" w14:textId="77777777" w:rsidR="007765C2" w:rsidRPr="00871AF8" w:rsidRDefault="007765C2">
      <w:pPr>
        <w:spacing w:after="0" w:line="240" w:lineRule="auto"/>
        <w:rPr>
          <w:rFonts w:ascii="Times New Roman" w:hAnsi="Times New Roman"/>
          <w:szCs w:val="24"/>
          <w:lang w:val="sk-SK"/>
        </w:rPr>
      </w:pPr>
      <w:r w:rsidRPr="0078615D">
        <w:rPr>
          <w:rFonts w:ascii="Times New Roman" w:hAnsi="Times New Roman"/>
          <w:szCs w:val="24"/>
          <w:lang w:val="sk-SK"/>
        </w:rPr>
        <w:t>Tablety sú balené v PVC-hliníkových blistroch a HDPE fľašiach.</w:t>
      </w:r>
    </w:p>
    <w:p w14:paraId="1E390842" w14:textId="77777777" w:rsidR="007765C2" w:rsidRPr="00871AF8" w:rsidRDefault="007765C2">
      <w:pPr>
        <w:spacing w:after="0" w:line="240" w:lineRule="auto"/>
        <w:rPr>
          <w:rFonts w:ascii="Times New Roman" w:hAnsi="Times New Roman"/>
          <w:szCs w:val="24"/>
          <w:lang w:val="sk-SK"/>
        </w:rPr>
      </w:pPr>
      <w:r w:rsidRPr="00871AF8">
        <w:rPr>
          <w:rFonts w:ascii="Times New Roman" w:hAnsi="Times New Roman"/>
          <w:szCs w:val="24"/>
          <w:lang w:val="sk-SK"/>
        </w:rPr>
        <w:br/>
        <w:t xml:space="preserve">Veľkosti balenia: </w:t>
      </w:r>
    </w:p>
    <w:p w14:paraId="0CFE87EC" w14:textId="77777777" w:rsidR="007765C2" w:rsidRPr="00871AF8" w:rsidRDefault="007765C2">
      <w:pPr>
        <w:spacing w:after="0" w:line="240" w:lineRule="auto"/>
        <w:rPr>
          <w:rFonts w:ascii="Times New Roman" w:hAnsi="Times New Roman"/>
          <w:szCs w:val="24"/>
          <w:lang w:val="sk-SK"/>
        </w:rPr>
      </w:pPr>
      <w:r w:rsidRPr="00871AF8">
        <w:rPr>
          <w:rFonts w:ascii="Times New Roman" w:hAnsi="Times New Roman"/>
          <w:szCs w:val="24"/>
          <w:lang w:val="sk-SK"/>
        </w:rPr>
        <w:t xml:space="preserve">Blistrové balenie: 20, 28, 30, 50, 60, </w:t>
      </w:r>
      <w:smartTag w:uri="urn:schemas-microsoft-com:office:smarttags" w:element="metricconverter">
        <w:smartTagPr>
          <w:attr w:name="ProductID" w:val="500 a"/>
        </w:smartTagPr>
        <w:r w:rsidRPr="00871AF8">
          <w:rPr>
            <w:rFonts w:ascii="Times New Roman" w:hAnsi="Times New Roman"/>
            <w:szCs w:val="24"/>
            <w:lang w:val="sk-SK"/>
          </w:rPr>
          <w:t>90 a</w:t>
        </w:r>
      </w:smartTag>
      <w:r w:rsidRPr="00871AF8">
        <w:rPr>
          <w:rFonts w:ascii="Times New Roman" w:hAnsi="Times New Roman"/>
          <w:szCs w:val="24"/>
          <w:lang w:val="sk-SK"/>
        </w:rPr>
        <w:t xml:space="preserve"> 100 tabliet v blistri. </w:t>
      </w:r>
    </w:p>
    <w:p w14:paraId="1BB12834" w14:textId="0999060C" w:rsidR="007765C2" w:rsidRPr="00871AF8" w:rsidRDefault="007765C2">
      <w:pPr>
        <w:spacing w:after="0" w:line="240" w:lineRule="auto"/>
        <w:rPr>
          <w:rFonts w:ascii="Times New Roman" w:hAnsi="Times New Roman"/>
          <w:szCs w:val="24"/>
          <w:lang w:val="sk-SK"/>
        </w:rPr>
      </w:pPr>
      <w:r w:rsidRPr="00871AF8">
        <w:rPr>
          <w:rFonts w:ascii="Times New Roman" w:hAnsi="Times New Roman"/>
          <w:szCs w:val="24"/>
          <w:lang w:val="sk-SK"/>
        </w:rPr>
        <w:t xml:space="preserve">HDPE fľaša: 250, </w:t>
      </w:r>
      <w:smartTag w:uri="urn:schemas-microsoft-com:office:smarttags" w:element="metricconverter">
        <w:smartTagPr>
          <w:attr w:name="ProductID" w:val="500 a"/>
        </w:smartTagPr>
        <w:r w:rsidRPr="00871AF8">
          <w:rPr>
            <w:rFonts w:ascii="Times New Roman" w:hAnsi="Times New Roman"/>
            <w:szCs w:val="24"/>
            <w:lang w:val="sk-SK"/>
          </w:rPr>
          <w:t>500 a</w:t>
        </w:r>
      </w:smartTag>
      <w:r w:rsidRPr="00871AF8">
        <w:rPr>
          <w:rFonts w:ascii="Times New Roman" w:hAnsi="Times New Roman"/>
          <w:szCs w:val="24"/>
          <w:lang w:val="sk-SK"/>
        </w:rPr>
        <w:t xml:space="preserve"> 1000 tabliet (</w:t>
      </w:r>
      <w:r w:rsidRPr="0078615D">
        <w:rPr>
          <w:rFonts w:ascii="Times New Roman" w:hAnsi="Times New Roman"/>
          <w:lang w:val="sk-SK"/>
        </w:rPr>
        <w:t xml:space="preserve">len </w:t>
      </w:r>
      <w:r w:rsidR="007E4106">
        <w:rPr>
          <w:rFonts w:ascii="Times New Roman" w:hAnsi="Times New Roman"/>
          <w:lang w:val="sk-SK"/>
        </w:rPr>
        <w:t>na</w:t>
      </w:r>
      <w:r w:rsidRPr="0078615D">
        <w:rPr>
          <w:rFonts w:ascii="Times New Roman" w:hAnsi="Times New Roman"/>
          <w:lang w:val="sk-SK"/>
        </w:rPr>
        <w:t xml:space="preserve"> použitie v nemocniciach)</w:t>
      </w:r>
    </w:p>
    <w:p w14:paraId="5C03BFC7" w14:textId="77777777" w:rsidR="007765C2" w:rsidRPr="00D7257E" w:rsidRDefault="007765C2">
      <w:pPr>
        <w:tabs>
          <w:tab w:val="right" w:pos="8505"/>
        </w:tabs>
        <w:spacing w:after="0" w:line="240" w:lineRule="auto"/>
        <w:rPr>
          <w:rFonts w:ascii="Times New Roman" w:hAnsi="Times New Roman"/>
          <w:szCs w:val="24"/>
          <w:lang w:val="sk-SK"/>
        </w:rPr>
      </w:pPr>
    </w:p>
    <w:p w14:paraId="16E1192D" w14:textId="77777777" w:rsidR="007765C2" w:rsidRPr="00D7257E" w:rsidRDefault="007765C2">
      <w:pPr>
        <w:tabs>
          <w:tab w:val="right" w:pos="8505"/>
        </w:tabs>
        <w:spacing w:after="0" w:line="240" w:lineRule="auto"/>
        <w:rPr>
          <w:rFonts w:ascii="Times New Roman" w:hAnsi="Times New Roman"/>
          <w:szCs w:val="24"/>
          <w:lang w:val="sk-SK"/>
        </w:rPr>
      </w:pPr>
      <w:r w:rsidRPr="001322C9">
        <w:rPr>
          <w:rFonts w:ascii="Times New Roman" w:hAnsi="Times New Roman"/>
          <w:szCs w:val="24"/>
          <w:lang w:val="sk-SK"/>
        </w:rPr>
        <w:t>Na trh nemusia byť uvedené všetky veľkosti balenia.</w:t>
      </w:r>
    </w:p>
    <w:p w14:paraId="548F8BB1" w14:textId="77777777" w:rsidR="007765C2" w:rsidRPr="00D7257E" w:rsidRDefault="007765C2">
      <w:pPr>
        <w:tabs>
          <w:tab w:val="right" w:pos="8505"/>
        </w:tabs>
        <w:spacing w:after="0" w:line="240" w:lineRule="auto"/>
        <w:rPr>
          <w:rFonts w:ascii="Times New Roman" w:hAnsi="Times New Roman"/>
          <w:szCs w:val="24"/>
          <w:lang w:val="sk-SK"/>
        </w:rPr>
      </w:pPr>
    </w:p>
    <w:p w14:paraId="675D126F" w14:textId="15965D1F" w:rsidR="007765C2" w:rsidRDefault="007765C2">
      <w:pPr>
        <w:numPr>
          <w:ilvl w:val="12"/>
          <w:numId w:val="0"/>
        </w:numPr>
        <w:spacing w:after="0" w:line="240" w:lineRule="auto"/>
        <w:ind w:right="-2"/>
        <w:rPr>
          <w:rFonts w:ascii="Times New Roman" w:hAnsi="Times New Roman"/>
          <w:b/>
          <w:szCs w:val="24"/>
          <w:lang w:val="sk-SK"/>
        </w:rPr>
      </w:pPr>
      <w:r w:rsidRPr="001322C9">
        <w:rPr>
          <w:rFonts w:ascii="Times New Roman" w:hAnsi="Times New Roman"/>
          <w:b/>
          <w:szCs w:val="24"/>
          <w:lang w:val="sk-SK"/>
        </w:rPr>
        <w:t>Držiteľ rozhodnutia o registrácii a výrobca</w:t>
      </w:r>
    </w:p>
    <w:p w14:paraId="789912E6" w14:textId="77777777" w:rsidR="00195287" w:rsidRPr="00383767" w:rsidRDefault="00195287">
      <w:pPr>
        <w:numPr>
          <w:ilvl w:val="12"/>
          <w:numId w:val="0"/>
        </w:numPr>
        <w:spacing w:after="0" w:line="240" w:lineRule="auto"/>
        <w:ind w:right="-2"/>
        <w:rPr>
          <w:rFonts w:ascii="Times New Roman" w:hAnsi="Times New Roman"/>
          <w:b/>
          <w:szCs w:val="24"/>
          <w:lang w:val="sk-SK"/>
        </w:rPr>
      </w:pPr>
    </w:p>
    <w:p w14:paraId="2376F4F2" w14:textId="77777777" w:rsidR="00195287" w:rsidRPr="000F2695" w:rsidRDefault="00195287" w:rsidP="000F2695">
      <w:pPr>
        <w:spacing w:after="0"/>
        <w:rPr>
          <w:rFonts w:ascii="Times New Roman" w:hAnsi="Times New Roman"/>
          <w:i/>
        </w:rPr>
      </w:pPr>
      <w:r w:rsidRPr="000F2695">
        <w:rPr>
          <w:rFonts w:ascii="Times New Roman" w:hAnsi="Times New Roman"/>
          <w:bCs/>
          <w:i/>
        </w:rPr>
        <w:t>Držiteľ rozhodnutia o registráci</w:t>
      </w:r>
    </w:p>
    <w:p w14:paraId="259FB744" w14:textId="77777777" w:rsidR="00383767" w:rsidRPr="000F2695" w:rsidRDefault="00383767" w:rsidP="000F2695">
      <w:pPr>
        <w:spacing w:after="0"/>
        <w:rPr>
          <w:rFonts w:ascii="Times New Roman" w:hAnsi="Times New Roman"/>
          <w:lang w:val="sk-SK"/>
        </w:rPr>
      </w:pPr>
      <w:r w:rsidRPr="000F2695">
        <w:rPr>
          <w:rFonts w:ascii="Times New Roman" w:hAnsi="Times New Roman"/>
        </w:rPr>
        <w:t>Accord Healthcare Polska Sp. z o.o.</w:t>
      </w:r>
    </w:p>
    <w:p w14:paraId="7B466CE3" w14:textId="77777777" w:rsidR="00383767" w:rsidRPr="000F2695" w:rsidRDefault="00383767" w:rsidP="000F2695">
      <w:pPr>
        <w:spacing w:after="0"/>
        <w:rPr>
          <w:rFonts w:ascii="Times New Roman" w:hAnsi="Times New Roman"/>
          <w:szCs w:val="24"/>
          <w:lang w:val="hu-HU" w:eastAsia="cs-CZ"/>
        </w:rPr>
      </w:pPr>
      <w:r w:rsidRPr="000F2695">
        <w:rPr>
          <w:rFonts w:ascii="Times New Roman" w:hAnsi="Times New Roman"/>
        </w:rPr>
        <w:t>Taśmowa 7</w:t>
      </w:r>
    </w:p>
    <w:p w14:paraId="57CC41B7" w14:textId="77777777" w:rsidR="00383767" w:rsidRPr="000F2695" w:rsidRDefault="00383767" w:rsidP="000F2695">
      <w:pPr>
        <w:spacing w:after="0"/>
        <w:rPr>
          <w:rFonts w:ascii="Times New Roman" w:hAnsi="Times New Roman"/>
          <w:lang w:eastAsia="en-US"/>
        </w:rPr>
      </w:pPr>
      <w:r w:rsidRPr="000F2695">
        <w:rPr>
          <w:rFonts w:ascii="Times New Roman" w:hAnsi="Times New Roman"/>
        </w:rPr>
        <w:t>02-677 Varšava</w:t>
      </w:r>
    </w:p>
    <w:p w14:paraId="5201F00E" w14:textId="77777777" w:rsidR="00383767" w:rsidRDefault="00383767" w:rsidP="000F2695">
      <w:pPr>
        <w:tabs>
          <w:tab w:val="num" w:pos="0"/>
        </w:tabs>
        <w:spacing w:after="0"/>
        <w:ind w:right="29"/>
        <w:jc w:val="both"/>
        <w:rPr>
          <w:rFonts w:ascii="Times New Roman" w:hAnsi="Times New Roman"/>
        </w:rPr>
      </w:pPr>
      <w:r w:rsidRPr="000F2695">
        <w:rPr>
          <w:rFonts w:ascii="Times New Roman" w:hAnsi="Times New Roman"/>
        </w:rPr>
        <w:t>Poľsko</w:t>
      </w:r>
    </w:p>
    <w:p w14:paraId="2F633C7A" w14:textId="77777777" w:rsidR="00383767" w:rsidRDefault="00383767" w:rsidP="000F2695">
      <w:pPr>
        <w:tabs>
          <w:tab w:val="num" w:pos="0"/>
        </w:tabs>
        <w:spacing w:after="0"/>
        <w:ind w:right="29"/>
        <w:jc w:val="both"/>
        <w:rPr>
          <w:rFonts w:ascii="Times New Roman" w:hAnsi="Times New Roman"/>
          <w:lang w:val="sk-SK"/>
        </w:rPr>
      </w:pPr>
    </w:p>
    <w:p w14:paraId="0D13E3AC" w14:textId="77777777" w:rsidR="00383767" w:rsidRPr="000F2695" w:rsidRDefault="00383767" w:rsidP="000F2695">
      <w:pPr>
        <w:tabs>
          <w:tab w:val="num" w:pos="0"/>
        </w:tabs>
        <w:spacing w:after="0"/>
        <w:ind w:right="29"/>
        <w:jc w:val="both"/>
        <w:rPr>
          <w:rFonts w:ascii="Times New Roman" w:hAnsi="Times New Roman"/>
          <w:i/>
          <w:lang w:val="sk-SK"/>
        </w:rPr>
      </w:pPr>
      <w:r w:rsidRPr="000F2695">
        <w:rPr>
          <w:rFonts w:ascii="Times New Roman" w:hAnsi="Times New Roman"/>
          <w:i/>
          <w:lang w:val="sk-SK"/>
        </w:rPr>
        <w:t>Výrobca</w:t>
      </w:r>
    </w:p>
    <w:p w14:paraId="4F11FEAC"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lang w:val="sk-SK"/>
        </w:rPr>
        <w:t xml:space="preserve">Accord Healthcare Limited </w:t>
      </w:r>
    </w:p>
    <w:p w14:paraId="0063E760"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lang w:val="sk-SK"/>
        </w:rPr>
        <w:t xml:space="preserve">Sage House, 319 Pinner Road, North Harrow, </w:t>
      </w:r>
    </w:p>
    <w:p w14:paraId="13B00E04"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lang w:val="sk-SK"/>
        </w:rPr>
        <w:t>Middlesex, HA1 4HF,</w:t>
      </w:r>
    </w:p>
    <w:p w14:paraId="64167583" w14:textId="77777777" w:rsidR="007765C2" w:rsidRPr="00D7257E" w:rsidRDefault="007765C2">
      <w:pPr>
        <w:numPr>
          <w:ilvl w:val="12"/>
          <w:numId w:val="0"/>
        </w:numPr>
        <w:spacing w:after="0" w:line="240" w:lineRule="auto"/>
        <w:ind w:right="-2"/>
        <w:rPr>
          <w:rFonts w:ascii="Times New Roman" w:hAnsi="Times New Roman"/>
          <w:szCs w:val="24"/>
          <w:lang w:val="sk-SK"/>
        </w:rPr>
      </w:pPr>
      <w:r w:rsidRPr="001322C9">
        <w:rPr>
          <w:rFonts w:ascii="Times New Roman" w:hAnsi="Times New Roman"/>
          <w:szCs w:val="24"/>
          <w:lang w:val="sk-SK"/>
        </w:rPr>
        <w:t>Veľká Británia</w:t>
      </w:r>
    </w:p>
    <w:p w14:paraId="4CA7046D" w14:textId="77777777" w:rsidR="007765C2" w:rsidRPr="00574267" w:rsidRDefault="007765C2">
      <w:pPr>
        <w:numPr>
          <w:ilvl w:val="12"/>
          <w:numId w:val="0"/>
        </w:numPr>
        <w:spacing w:after="0" w:line="240" w:lineRule="auto"/>
        <w:ind w:right="-2"/>
        <w:rPr>
          <w:rFonts w:ascii="Times New Roman" w:hAnsi="Times New Roman"/>
          <w:szCs w:val="24"/>
          <w:lang w:val="sk-SK"/>
        </w:rPr>
      </w:pPr>
    </w:p>
    <w:p w14:paraId="02CC615E" w14:textId="77777777" w:rsidR="003B3A0D" w:rsidRPr="00574267" w:rsidRDefault="003B3A0D" w:rsidP="003B3A0D">
      <w:pPr>
        <w:numPr>
          <w:ilvl w:val="12"/>
          <w:numId w:val="0"/>
        </w:numPr>
        <w:spacing w:after="0" w:line="240" w:lineRule="auto"/>
        <w:ind w:right="-2"/>
        <w:rPr>
          <w:rFonts w:ascii="Times New Roman" w:hAnsi="Times New Roman"/>
          <w:szCs w:val="24"/>
          <w:lang w:val="sk-SK"/>
        </w:rPr>
      </w:pPr>
      <w:r w:rsidRPr="00574267">
        <w:rPr>
          <w:rFonts w:ascii="Times New Roman" w:hAnsi="Times New Roman"/>
          <w:szCs w:val="24"/>
          <w:lang w:val="sk-SK"/>
        </w:rPr>
        <w:t>Accord Healthcare Polska Sp.z o.o.,</w:t>
      </w:r>
    </w:p>
    <w:p w14:paraId="0F620E30" w14:textId="23C995B3" w:rsidR="00F77C02" w:rsidRDefault="003B3A0D" w:rsidP="003B3A0D">
      <w:pPr>
        <w:numPr>
          <w:ilvl w:val="12"/>
          <w:numId w:val="0"/>
        </w:numPr>
        <w:spacing w:after="0" w:line="240" w:lineRule="auto"/>
        <w:ind w:right="-2"/>
        <w:rPr>
          <w:rFonts w:ascii="Times New Roman" w:hAnsi="Times New Roman"/>
          <w:szCs w:val="24"/>
          <w:lang w:val="sk-SK"/>
        </w:rPr>
      </w:pPr>
      <w:r w:rsidRPr="00574267">
        <w:rPr>
          <w:rFonts w:ascii="Times New Roman" w:hAnsi="Times New Roman"/>
          <w:szCs w:val="24"/>
          <w:lang w:val="sk-SK"/>
        </w:rPr>
        <w:t>ul. Lutomierska 50</w:t>
      </w:r>
      <w:r w:rsidR="00574267">
        <w:rPr>
          <w:rFonts w:ascii="Times New Roman" w:hAnsi="Times New Roman"/>
          <w:szCs w:val="24"/>
          <w:lang w:val="sk-SK"/>
        </w:rPr>
        <w:t>,</w:t>
      </w:r>
      <w:bookmarkStart w:id="0" w:name="_GoBack"/>
      <w:bookmarkEnd w:id="0"/>
      <w:r w:rsidR="00B756E3">
        <w:rPr>
          <w:rFonts w:ascii="Times New Roman" w:hAnsi="Times New Roman"/>
          <w:szCs w:val="24"/>
          <w:lang w:val="sk-SK"/>
        </w:rPr>
        <w:t xml:space="preserve"> </w:t>
      </w:r>
    </w:p>
    <w:p w14:paraId="5207587C" w14:textId="77777777" w:rsidR="00F77C02" w:rsidRDefault="003B3A0D" w:rsidP="003B3A0D">
      <w:pPr>
        <w:numPr>
          <w:ilvl w:val="12"/>
          <w:numId w:val="0"/>
        </w:numPr>
        <w:spacing w:after="0" w:line="240" w:lineRule="auto"/>
        <w:ind w:right="-2"/>
        <w:rPr>
          <w:rFonts w:ascii="Times New Roman" w:hAnsi="Times New Roman"/>
          <w:szCs w:val="24"/>
          <w:lang w:val="sk-SK"/>
        </w:rPr>
      </w:pPr>
      <w:r w:rsidRPr="00574267">
        <w:rPr>
          <w:rFonts w:ascii="Times New Roman" w:hAnsi="Times New Roman"/>
          <w:szCs w:val="24"/>
          <w:lang w:val="sk-SK"/>
        </w:rPr>
        <w:t xml:space="preserve">95-200 Pabianice, </w:t>
      </w:r>
    </w:p>
    <w:p w14:paraId="75BFF371" w14:textId="7EDA7CC3" w:rsidR="003B3A0D" w:rsidRPr="00574267" w:rsidRDefault="003B3A0D" w:rsidP="003B3A0D">
      <w:pPr>
        <w:numPr>
          <w:ilvl w:val="12"/>
          <w:numId w:val="0"/>
        </w:numPr>
        <w:spacing w:after="0" w:line="240" w:lineRule="auto"/>
        <w:ind w:right="-2"/>
        <w:rPr>
          <w:rFonts w:ascii="Times New Roman" w:hAnsi="Times New Roman"/>
          <w:szCs w:val="24"/>
          <w:lang w:val="sk-SK"/>
        </w:rPr>
      </w:pPr>
      <w:r w:rsidRPr="00574267">
        <w:rPr>
          <w:rFonts w:ascii="Times New Roman" w:hAnsi="Times New Roman"/>
          <w:szCs w:val="24"/>
          <w:lang w:val="sk-SK"/>
        </w:rPr>
        <w:t>Poľsko</w:t>
      </w:r>
    </w:p>
    <w:p w14:paraId="10B48D21" w14:textId="0163602F" w:rsidR="003B3A0D" w:rsidRPr="00574267" w:rsidRDefault="003B3A0D" w:rsidP="003B3A0D">
      <w:pPr>
        <w:numPr>
          <w:ilvl w:val="12"/>
          <w:numId w:val="0"/>
        </w:numPr>
        <w:spacing w:after="0" w:line="240" w:lineRule="auto"/>
        <w:ind w:right="-2"/>
        <w:rPr>
          <w:rFonts w:ascii="Times New Roman" w:hAnsi="Times New Roman"/>
          <w:szCs w:val="24"/>
          <w:lang w:val="sk-SK"/>
        </w:rPr>
      </w:pPr>
    </w:p>
    <w:p w14:paraId="5FEB1AE8" w14:textId="737CA37F" w:rsidR="003B3A0D" w:rsidRPr="00574267" w:rsidRDefault="003B3A0D" w:rsidP="003B3A0D">
      <w:pPr>
        <w:numPr>
          <w:ilvl w:val="12"/>
          <w:numId w:val="0"/>
        </w:numPr>
        <w:spacing w:after="0" w:line="240" w:lineRule="auto"/>
        <w:ind w:right="-2"/>
        <w:rPr>
          <w:rFonts w:ascii="Times New Roman" w:hAnsi="Times New Roman"/>
          <w:szCs w:val="24"/>
          <w:lang w:val="sk-SK"/>
        </w:rPr>
      </w:pPr>
      <w:r w:rsidRPr="00574267">
        <w:rPr>
          <w:rFonts w:ascii="Times New Roman" w:hAnsi="Times New Roman"/>
          <w:szCs w:val="24"/>
          <w:lang w:val="sk-SK"/>
        </w:rPr>
        <w:t xml:space="preserve">Accord Healthcare B.V., </w:t>
      </w:r>
    </w:p>
    <w:p w14:paraId="5974136A" w14:textId="05AC97F2" w:rsidR="003B3A0D" w:rsidRPr="00574267" w:rsidRDefault="003B3A0D" w:rsidP="003B3A0D">
      <w:pPr>
        <w:numPr>
          <w:ilvl w:val="12"/>
          <w:numId w:val="0"/>
        </w:numPr>
        <w:spacing w:after="0" w:line="240" w:lineRule="auto"/>
        <w:ind w:right="-2"/>
        <w:rPr>
          <w:rFonts w:ascii="Times New Roman" w:hAnsi="Times New Roman"/>
          <w:szCs w:val="24"/>
          <w:lang w:val="sk-SK"/>
        </w:rPr>
      </w:pPr>
      <w:r w:rsidRPr="00574267">
        <w:rPr>
          <w:rFonts w:ascii="Times New Roman" w:hAnsi="Times New Roman"/>
          <w:szCs w:val="24"/>
          <w:lang w:val="sk-SK"/>
        </w:rPr>
        <w:t xml:space="preserve">Winthontlaan 200, </w:t>
      </w:r>
    </w:p>
    <w:p w14:paraId="5519C13E" w14:textId="47F7CA3C" w:rsidR="003B3A0D" w:rsidRPr="00574267" w:rsidRDefault="003B3A0D" w:rsidP="003B3A0D">
      <w:pPr>
        <w:numPr>
          <w:ilvl w:val="12"/>
          <w:numId w:val="0"/>
        </w:numPr>
        <w:spacing w:after="0" w:line="240" w:lineRule="auto"/>
        <w:ind w:right="-2"/>
        <w:rPr>
          <w:rFonts w:ascii="Times New Roman" w:hAnsi="Times New Roman"/>
          <w:szCs w:val="24"/>
          <w:lang w:val="sk-SK"/>
        </w:rPr>
      </w:pPr>
      <w:r w:rsidRPr="00574267">
        <w:rPr>
          <w:rFonts w:ascii="Times New Roman" w:hAnsi="Times New Roman"/>
          <w:szCs w:val="24"/>
          <w:lang w:val="sk-SK"/>
        </w:rPr>
        <w:t xml:space="preserve">3526 KV Utrecht, </w:t>
      </w:r>
    </w:p>
    <w:p w14:paraId="36E5AAC8" w14:textId="435A5E04" w:rsidR="00334883" w:rsidRPr="00574267" w:rsidRDefault="003B3A0D" w:rsidP="003B3A0D">
      <w:pPr>
        <w:numPr>
          <w:ilvl w:val="12"/>
          <w:numId w:val="0"/>
        </w:numPr>
        <w:spacing w:after="0" w:line="240" w:lineRule="auto"/>
        <w:ind w:right="-2"/>
        <w:rPr>
          <w:rFonts w:ascii="Times New Roman" w:hAnsi="Times New Roman"/>
          <w:szCs w:val="24"/>
          <w:lang w:val="sk-SK"/>
        </w:rPr>
      </w:pPr>
      <w:r w:rsidRPr="00574267">
        <w:rPr>
          <w:rFonts w:ascii="Times New Roman" w:hAnsi="Times New Roman"/>
          <w:szCs w:val="24"/>
          <w:lang w:val="sk-SK"/>
        </w:rPr>
        <w:t>Holandsko</w:t>
      </w:r>
    </w:p>
    <w:p w14:paraId="7996F53D" w14:textId="77777777" w:rsidR="003B3A0D" w:rsidRPr="00D7257E" w:rsidRDefault="003B3A0D" w:rsidP="003B3A0D">
      <w:pPr>
        <w:numPr>
          <w:ilvl w:val="12"/>
          <w:numId w:val="0"/>
        </w:numPr>
        <w:spacing w:after="0" w:line="240" w:lineRule="auto"/>
        <w:ind w:right="-2"/>
        <w:rPr>
          <w:rFonts w:ascii="Times New Roman" w:hAnsi="Times New Roman"/>
          <w:b/>
          <w:szCs w:val="24"/>
          <w:lang w:val="sk-SK"/>
        </w:rPr>
      </w:pPr>
    </w:p>
    <w:p w14:paraId="3E61B3D9" w14:textId="77777777" w:rsidR="007765C2" w:rsidRDefault="00155DB8">
      <w:pPr>
        <w:numPr>
          <w:ilvl w:val="12"/>
          <w:numId w:val="0"/>
        </w:numPr>
        <w:spacing w:after="0" w:line="240" w:lineRule="auto"/>
        <w:ind w:right="-2"/>
        <w:rPr>
          <w:rFonts w:ascii="Times New Roman" w:hAnsi="Times New Roman"/>
          <w:b/>
          <w:bCs/>
        </w:rPr>
      </w:pPr>
      <w:r w:rsidRPr="00A64D40">
        <w:rPr>
          <w:rFonts w:ascii="Times New Roman" w:hAnsi="Times New Roman"/>
          <w:b/>
          <w:bCs/>
        </w:rPr>
        <w:lastRenderedPageBreak/>
        <w:t>Liek je schválený v členských štátoch Európskeho hos</w:t>
      </w:r>
      <w:r>
        <w:rPr>
          <w:rFonts w:ascii="Times New Roman" w:hAnsi="Times New Roman"/>
          <w:b/>
          <w:bCs/>
        </w:rPr>
        <w:t xml:space="preserve">podárskeho priestoru (EHP) pod </w:t>
      </w:r>
      <w:r w:rsidRPr="00A64D40">
        <w:rPr>
          <w:rFonts w:ascii="Times New Roman" w:hAnsi="Times New Roman"/>
          <w:b/>
          <w:bCs/>
        </w:rPr>
        <w:t>nasledovnými názvami</w:t>
      </w:r>
      <w:r>
        <w:rPr>
          <w:rFonts w:ascii="Times New Roman" w:hAnsi="Times New Roman"/>
          <w:b/>
          <w:bCs/>
        </w:rPr>
        <w:t>:</w:t>
      </w:r>
    </w:p>
    <w:p w14:paraId="453D5509" w14:textId="77777777" w:rsidR="001F5F00" w:rsidRDefault="001F5F00">
      <w:pPr>
        <w:numPr>
          <w:ilvl w:val="12"/>
          <w:numId w:val="0"/>
        </w:numPr>
        <w:spacing w:after="0" w:line="240" w:lineRule="auto"/>
        <w:ind w:right="-2"/>
        <w:rPr>
          <w:rFonts w:ascii="Times New Roman" w:hAnsi="Times New Roman"/>
          <w:szCs w:val="24"/>
          <w:lang w:val="sk-SK"/>
        </w:rPr>
      </w:pPr>
    </w:p>
    <w:p w14:paraId="5CF425DD" w14:textId="77777777" w:rsidR="001F5F00" w:rsidRPr="000F2695" w:rsidRDefault="001F5F00">
      <w:pPr>
        <w:numPr>
          <w:ilvl w:val="12"/>
          <w:numId w:val="0"/>
        </w:numPr>
        <w:spacing w:after="0" w:line="240" w:lineRule="auto"/>
        <w:ind w:right="-2"/>
        <w:rPr>
          <w:rFonts w:ascii="Times New Roman" w:hAnsi="Times New Roman"/>
          <w:bCs/>
        </w:rPr>
      </w:pPr>
      <w:r>
        <w:rPr>
          <w:rFonts w:ascii="Times New Roman" w:hAnsi="Times New Roman"/>
          <w:szCs w:val="20"/>
          <w:lang w:val="en-GB"/>
        </w:rPr>
        <w:t>Bulharsko</w:t>
      </w:r>
      <w:r>
        <w:rPr>
          <w:rFonts w:ascii="Times New Roman" w:hAnsi="Times New Roman"/>
          <w:szCs w:val="20"/>
          <w:lang w:val="en-GB"/>
        </w:rPr>
        <w:tab/>
      </w:r>
      <w:r w:rsidRPr="00DB6D95">
        <w:rPr>
          <w:rFonts w:ascii="Times New Roman" w:hAnsi="Times New Roman"/>
          <w:bCs/>
        </w:rPr>
        <w:t>Spironolactone Accord 25 mg</w:t>
      </w:r>
      <w:r w:rsidRPr="00DB6D95">
        <w:rPr>
          <w:rFonts w:ascii="Times New Roman" w:hAnsi="Times New Roman"/>
          <w:bCs/>
          <w:shd w:val="pct15" w:color="auto" w:fill="auto"/>
        </w:rPr>
        <w:t>/50 mg/100 mg</w:t>
      </w:r>
      <w:r w:rsidRPr="00DB6D95">
        <w:rPr>
          <w:rFonts w:ascii="Times New Roman" w:hAnsi="Times New Roman"/>
          <w:bCs/>
        </w:rPr>
        <w:t xml:space="preserve"> film-coated tablets</w:t>
      </w:r>
    </w:p>
    <w:p w14:paraId="1D5D8932" w14:textId="77777777" w:rsidR="001F5F00" w:rsidRDefault="001F5F00">
      <w:pPr>
        <w:numPr>
          <w:ilvl w:val="12"/>
          <w:numId w:val="0"/>
        </w:numPr>
        <w:spacing w:after="0" w:line="240" w:lineRule="auto"/>
        <w:ind w:right="-2"/>
        <w:rPr>
          <w:rFonts w:ascii="Times New Roman" w:hAnsi="Times New Roman"/>
          <w:bCs/>
        </w:rPr>
      </w:pPr>
      <w:r>
        <w:rPr>
          <w:rFonts w:ascii="Times New Roman" w:hAnsi="Times New Roman"/>
          <w:bCs/>
        </w:rPr>
        <w:t>Cyprus</w:t>
      </w:r>
      <w:r>
        <w:rPr>
          <w:rFonts w:ascii="Times New Roman" w:hAnsi="Times New Roman"/>
          <w:bCs/>
        </w:rPr>
        <w:tab/>
      </w:r>
      <w:r>
        <w:rPr>
          <w:rFonts w:ascii="Times New Roman" w:hAnsi="Times New Roman"/>
          <w:bCs/>
        </w:rPr>
        <w:tab/>
      </w:r>
      <w:r w:rsidRPr="00DB6D95">
        <w:rPr>
          <w:rFonts w:ascii="Times New Roman" w:hAnsi="Times New Roman"/>
          <w:bCs/>
        </w:rPr>
        <w:t>Spironolactone Accord 25 mg</w:t>
      </w:r>
      <w:r w:rsidRPr="00DB6D95">
        <w:rPr>
          <w:rFonts w:ascii="Times New Roman" w:hAnsi="Times New Roman"/>
          <w:bCs/>
          <w:shd w:val="pct15" w:color="auto" w:fill="auto"/>
        </w:rPr>
        <w:t>/100 mg</w:t>
      </w:r>
      <w:r w:rsidRPr="00DB6D95">
        <w:rPr>
          <w:rFonts w:ascii="Times New Roman" w:hAnsi="Times New Roman"/>
          <w:bCs/>
        </w:rPr>
        <w:t xml:space="preserve"> film-coated tablets</w:t>
      </w:r>
    </w:p>
    <w:p w14:paraId="28650AF2" w14:textId="77777777" w:rsidR="001F5F00" w:rsidRDefault="001F5F00">
      <w:pPr>
        <w:numPr>
          <w:ilvl w:val="12"/>
          <w:numId w:val="0"/>
        </w:numPr>
        <w:spacing w:after="0" w:line="240" w:lineRule="auto"/>
        <w:ind w:right="-2"/>
        <w:rPr>
          <w:rFonts w:ascii="Times New Roman" w:hAnsi="Times New Roman"/>
          <w:bCs/>
        </w:rPr>
      </w:pPr>
      <w:r>
        <w:rPr>
          <w:rFonts w:ascii="Times New Roman" w:hAnsi="Times New Roman"/>
        </w:rPr>
        <w:t>Dánsko</w:t>
      </w:r>
      <w:r>
        <w:rPr>
          <w:rFonts w:ascii="Times New Roman" w:hAnsi="Times New Roman"/>
        </w:rPr>
        <w:tab/>
      </w:r>
      <w:r>
        <w:rPr>
          <w:rFonts w:ascii="Times New Roman" w:hAnsi="Times New Roman"/>
        </w:rPr>
        <w:tab/>
      </w:r>
      <w:r w:rsidRPr="00DB6D95">
        <w:rPr>
          <w:rFonts w:ascii="Times New Roman" w:hAnsi="Times New Roman"/>
          <w:bCs/>
        </w:rPr>
        <w:t>Spironolactone Accord 25 mg</w:t>
      </w:r>
      <w:r w:rsidRPr="00DB6D95">
        <w:rPr>
          <w:rFonts w:ascii="Times New Roman" w:hAnsi="Times New Roman"/>
          <w:bCs/>
          <w:shd w:val="pct15" w:color="auto" w:fill="auto"/>
        </w:rPr>
        <w:t>/50 mg/100 mg</w:t>
      </w:r>
      <w:r w:rsidRPr="00DB6D95">
        <w:rPr>
          <w:rFonts w:ascii="Times New Roman" w:hAnsi="Times New Roman"/>
          <w:bCs/>
        </w:rPr>
        <w:t xml:space="preserve"> filmovertrukne tabletter</w:t>
      </w:r>
    </w:p>
    <w:p w14:paraId="4761C034" w14:textId="77777777" w:rsidR="001F5F00" w:rsidRDefault="001F5F00">
      <w:pPr>
        <w:numPr>
          <w:ilvl w:val="12"/>
          <w:numId w:val="0"/>
        </w:numPr>
        <w:spacing w:after="0" w:line="240" w:lineRule="auto"/>
        <w:ind w:right="-2"/>
        <w:rPr>
          <w:rFonts w:ascii="Times New Roman" w:hAnsi="Times New Roman"/>
          <w:bCs/>
        </w:rPr>
      </w:pPr>
      <w:r>
        <w:rPr>
          <w:rFonts w:ascii="Times New Roman" w:hAnsi="Times New Roman"/>
          <w:bCs/>
        </w:rPr>
        <w:t>Estónsko</w:t>
      </w:r>
      <w:r>
        <w:rPr>
          <w:rFonts w:ascii="Times New Roman" w:hAnsi="Times New Roman"/>
          <w:bCs/>
        </w:rPr>
        <w:tab/>
      </w:r>
      <w:r w:rsidRPr="00DB6D95">
        <w:rPr>
          <w:rFonts w:ascii="Times New Roman" w:hAnsi="Times New Roman"/>
          <w:bCs/>
        </w:rPr>
        <w:t>Spironolactone Accord</w:t>
      </w:r>
    </w:p>
    <w:p w14:paraId="0C176003" w14:textId="77777777" w:rsidR="001F5F00" w:rsidRDefault="001F5F00">
      <w:pPr>
        <w:numPr>
          <w:ilvl w:val="12"/>
          <w:numId w:val="0"/>
        </w:numPr>
        <w:spacing w:after="0" w:line="240" w:lineRule="auto"/>
        <w:ind w:right="-2"/>
        <w:rPr>
          <w:rFonts w:ascii="Times New Roman" w:hAnsi="Times New Roman"/>
          <w:szCs w:val="20"/>
          <w:lang w:val="en-GB"/>
        </w:rPr>
      </w:pPr>
      <w:r>
        <w:rPr>
          <w:rFonts w:ascii="Times New Roman" w:hAnsi="Times New Roman"/>
          <w:szCs w:val="24"/>
          <w:lang w:val="sk-SK"/>
        </w:rPr>
        <w:t>Holandsko</w:t>
      </w:r>
      <w:r>
        <w:rPr>
          <w:rFonts w:ascii="Times New Roman" w:hAnsi="Times New Roman"/>
          <w:szCs w:val="24"/>
          <w:lang w:val="sk-SK"/>
        </w:rPr>
        <w:tab/>
      </w:r>
      <w:r w:rsidRPr="00DB6D95">
        <w:rPr>
          <w:rFonts w:ascii="Times New Roman" w:hAnsi="Times New Roman"/>
          <w:szCs w:val="20"/>
          <w:lang w:val="en-GB"/>
        </w:rPr>
        <w:t>Spironolacton Accord 25mg</w:t>
      </w:r>
      <w:r w:rsidRPr="00DB6D95">
        <w:rPr>
          <w:rFonts w:ascii="Times New Roman" w:hAnsi="Times New Roman"/>
          <w:bCs/>
          <w:shd w:val="pct15" w:color="auto" w:fill="auto"/>
        </w:rPr>
        <w:t>/50 mg/100 mg</w:t>
      </w:r>
      <w:r w:rsidRPr="00DB6D95">
        <w:rPr>
          <w:rFonts w:ascii="Times New Roman" w:hAnsi="Times New Roman"/>
          <w:bCs/>
        </w:rPr>
        <w:t xml:space="preserve"> </w:t>
      </w:r>
      <w:r w:rsidRPr="00DB6D95">
        <w:rPr>
          <w:rFonts w:ascii="Times New Roman" w:hAnsi="Times New Roman"/>
          <w:szCs w:val="20"/>
          <w:lang w:val="en-GB"/>
        </w:rPr>
        <w:t>filmomhulde tabletten</w:t>
      </w:r>
    </w:p>
    <w:p w14:paraId="77CB13C0" w14:textId="77777777" w:rsidR="001F5F00" w:rsidRDefault="001F5F00">
      <w:pPr>
        <w:numPr>
          <w:ilvl w:val="12"/>
          <w:numId w:val="0"/>
        </w:numPr>
        <w:spacing w:after="0" w:line="240" w:lineRule="auto"/>
        <w:ind w:right="-2"/>
        <w:rPr>
          <w:rFonts w:ascii="Times New Roman" w:hAnsi="Times New Roman"/>
          <w:bCs/>
        </w:rPr>
      </w:pPr>
      <w:r>
        <w:rPr>
          <w:rFonts w:ascii="Times New Roman" w:hAnsi="Times New Roman"/>
          <w:bCs/>
        </w:rPr>
        <w:t>Írsko</w:t>
      </w:r>
      <w:r>
        <w:rPr>
          <w:rFonts w:ascii="Times New Roman" w:hAnsi="Times New Roman"/>
          <w:bCs/>
        </w:rPr>
        <w:tab/>
      </w:r>
      <w:r>
        <w:rPr>
          <w:rFonts w:ascii="Times New Roman" w:hAnsi="Times New Roman"/>
          <w:bCs/>
        </w:rPr>
        <w:tab/>
      </w:r>
      <w:r w:rsidRPr="00DB6D95">
        <w:rPr>
          <w:rFonts w:ascii="Times New Roman" w:hAnsi="Times New Roman"/>
          <w:bCs/>
        </w:rPr>
        <w:t>Spironolactone 25 mg</w:t>
      </w:r>
      <w:r w:rsidRPr="00DB6D95">
        <w:rPr>
          <w:rFonts w:ascii="Times New Roman" w:hAnsi="Times New Roman"/>
          <w:bCs/>
          <w:shd w:val="pct15" w:color="auto" w:fill="auto"/>
        </w:rPr>
        <w:t>/50 mg/100 mg</w:t>
      </w:r>
      <w:r w:rsidRPr="00DB6D95">
        <w:rPr>
          <w:rFonts w:ascii="Times New Roman" w:hAnsi="Times New Roman"/>
          <w:bCs/>
        </w:rPr>
        <w:t xml:space="preserve"> film-coated tablets</w:t>
      </w:r>
    </w:p>
    <w:p w14:paraId="44C1A396" w14:textId="77777777" w:rsidR="001F5F00" w:rsidRDefault="001F5F00">
      <w:pPr>
        <w:numPr>
          <w:ilvl w:val="12"/>
          <w:numId w:val="0"/>
        </w:numPr>
        <w:spacing w:after="0" w:line="240" w:lineRule="auto"/>
        <w:ind w:right="-2"/>
        <w:rPr>
          <w:rFonts w:ascii="Times New Roman" w:hAnsi="Times New Roman"/>
          <w:bCs/>
        </w:rPr>
      </w:pPr>
      <w:r>
        <w:rPr>
          <w:rFonts w:ascii="Times New Roman" w:hAnsi="Times New Roman"/>
          <w:bCs/>
        </w:rPr>
        <w:t>Litva</w:t>
      </w:r>
      <w:r>
        <w:rPr>
          <w:rFonts w:ascii="Times New Roman" w:hAnsi="Times New Roman"/>
          <w:bCs/>
        </w:rPr>
        <w:tab/>
      </w:r>
      <w:r>
        <w:rPr>
          <w:rFonts w:ascii="Times New Roman" w:hAnsi="Times New Roman"/>
          <w:bCs/>
        </w:rPr>
        <w:tab/>
      </w:r>
      <w:r w:rsidRPr="00DB6D95">
        <w:rPr>
          <w:rFonts w:ascii="Times New Roman" w:hAnsi="Times New Roman"/>
          <w:bCs/>
        </w:rPr>
        <w:t>Spironolactone Accord 25 mg</w:t>
      </w:r>
      <w:r w:rsidRPr="00DB6D95">
        <w:rPr>
          <w:rFonts w:ascii="Times New Roman" w:hAnsi="Times New Roman"/>
          <w:bCs/>
          <w:shd w:val="pct15" w:color="auto" w:fill="auto"/>
        </w:rPr>
        <w:t>/50 mg/100 mg</w:t>
      </w:r>
      <w:r w:rsidRPr="00DB6D95">
        <w:rPr>
          <w:rFonts w:ascii="Times New Roman" w:hAnsi="Times New Roman"/>
          <w:bCs/>
        </w:rPr>
        <w:t xml:space="preserve"> plėvele dengtos tabletės</w:t>
      </w:r>
    </w:p>
    <w:p w14:paraId="53AD8EA1" w14:textId="77777777" w:rsidR="001F5F00" w:rsidRDefault="001F5F00">
      <w:pPr>
        <w:numPr>
          <w:ilvl w:val="12"/>
          <w:numId w:val="0"/>
        </w:numPr>
        <w:spacing w:after="0" w:line="240" w:lineRule="auto"/>
        <w:ind w:right="-2"/>
        <w:rPr>
          <w:rFonts w:ascii="Times New Roman" w:hAnsi="Times New Roman"/>
          <w:bCs/>
        </w:rPr>
      </w:pPr>
      <w:r>
        <w:rPr>
          <w:rFonts w:ascii="Times New Roman" w:hAnsi="Times New Roman"/>
          <w:bCs/>
        </w:rPr>
        <w:t>Lotyšsko</w:t>
      </w:r>
      <w:r>
        <w:rPr>
          <w:rFonts w:ascii="Times New Roman" w:hAnsi="Times New Roman"/>
          <w:bCs/>
        </w:rPr>
        <w:tab/>
      </w:r>
      <w:r w:rsidRPr="00DB6D95">
        <w:rPr>
          <w:rFonts w:ascii="Times New Roman" w:hAnsi="Times New Roman"/>
          <w:bCs/>
        </w:rPr>
        <w:t>Spironolactone Accord 25 mg</w:t>
      </w:r>
      <w:r w:rsidRPr="00DB6D95">
        <w:rPr>
          <w:rFonts w:ascii="Times New Roman" w:hAnsi="Times New Roman"/>
          <w:bCs/>
          <w:shd w:val="pct15" w:color="auto" w:fill="auto"/>
        </w:rPr>
        <w:t>/50 mg/100 mg</w:t>
      </w:r>
      <w:r w:rsidRPr="00DB6D95">
        <w:rPr>
          <w:rFonts w:ascii="Times New Roman" w:hAnsi="Times New Roman"/>
          <w:bCs/>
        </w:rPr>
        <w:t xml:space="preserve"> apvalkotās </w:t>
      </w:r>
      <w:r>
        <w:rPr>
          <w:rFonts w:ascii="Times New Roman" w:hAnsi="Times New Roman"/>
          <w:bCs/>
        </w:rPr>
        <w:t>tablets</w:t>
      </w:r>
    </w:p>
    <w:p w14:paraId="444587DC" w14:textId="77777777" w:rsidR="001F5F00" w:rsidRDefault="001F5F00">
      <w:pPr>
        <w:numPr>
          <w:ilvl w:val="12"/>
          <w:numId w:val="0"/>
        </w:numPr>
        <w:spacing w:after="0" w:line="240" w:lineRule="auto"/>
        <w:ind w:right="-2"/>
        <w:rPr>
          <w:rFonts w:ascii="Times New Roman" w:hAnsi="Times New Roman"/>
          <w:bCs/>
        </w:rPr>
      </w:pPr>
      <w:r>
        <w:rPr>
          <w:rFonts w:ascii="Times New Roman" w:hAnsi="Times New Roman"/>
          <w:bCs/>
        </w:rPr>
        <w:t>Malta</w:t>
      </w:r>
      <w:r>
        <w:rPr>
          <w:rFonts w:ascii="Times New Roman" w:hAnsi="Times New Roman"/>
          <w:bCs/>
        </w:rPr>
        <w:tab/>
      </w:r>
      <w:r>
        <w:rPr>
          <w:rFonts w:ascii="Times New Roman" w:hAnsi="Times New Roman"/>
          <w:bCs/>
        </w:rPr>
        <w:tab/>
      </w:r>
      <w:r w:rsidRPr="00DB6D95">
        <w:rPr>
          <w:rFonts w:ascii="Times New Roman" w:hAnsi="Times New Roman"/>
          <w:bCs/>
        </w:rPr>
        <w:t>Spironolactone 25 mg</w:t>
      </w:r>
      <w:r w:rsidRPr="00DB6D95">
        <w:rPr>
          <w:rFonts w:ascii="Times New Roman" w:hAnsi="Times New Roman"/>
          <w:bCs/>
          <w:shd w:val="pct15" w:color="auto" w:fill="auto"/>
        </w:rPr>
        <w:t>/100 mg</w:t>
      </w:r>
      <w:r w:rsidRPr="00DB6D95">
        <w:rPr>
          <w:rFonts w:ascii="Times New Roman" w:hAnsi="Times New Roman"/>
          <w:bCs/>
        </w:rPr>
        <w:t xml:space="preserve"> film-coated tablets</w:t>
      </w:r>
    </w:p>
    <w:p w14:paraId="3A79E6CD" w14:textId="77777777" w:rsidR="001F5F00" w:rsidRDefault="001F5F00">
      <w:pPr>
        <w:numPr>
          <w:ilvl w:val="12"/>
          <w:numId w:val="0"/>
        </w:numPr>
        <w:spacing w:after="0" w:line="240" w:lineRule="auto"/>
        <w:ind w:right="-2"/>
        <w:rPr>
          <w:rFonts w:ascii="Times New Roman" w:hAnsi="Times New Roman"/>
        </w:rPr>
      </w:pPr>
      <w:r>
        <w:rPr>
          <w:rFonts w:ascii="Times New Roman" w:hAnsi="Times New Roman"/>
          <w:bCs/>
        </w:rPr>
        <w:t>Nemecko</w:t>
      </w:r>
      <w:r>
        <w:rPr>
          <w:rFonts w:ascii="Times New Roman" w:hAnsi="Times New Roman"/>
          <w:bCs/>
        </w:rPr>
        <w:tab/>
      </w:r>
      <w:r w:rsidRPr="00DB6D95">
        <w:rPr>
          <w:rFonts w:ascii="Times New Roman" w:hAnsi="Times New Roman"/>
          <w:bCs/>
          <w:lang w:val="de-DE"/>
        </w:rPr>
        <w:t>Spironolacton</w:t>
      </w:r>
      <w:r w:rsidRPr="00DB6D95">
        <w:rPr>
          <w:rFonts w:ascii="Times New Roman" w:hAnsi="Times New Roman"/>
          <w:bCs/>
        </w:rPr>
        <w:t xml:space="preserve"> Accord 25 mg</w:t>
      </w:r>
      <w:r w:rsidRPr="00DB6D95">
        <w:rPr>
          <w:rFonts w:ascii="Times New Roman" w:hAnsi="Times New Roman"/>
          <w:bCs/>
          <w:shd w:val="pct15" w:color="auto" w:fill="auto"/>
        </w:rPr>
        <w:t>/50 mg/100 mg</w:t>
      </w:r>
      <w:r w:rsidRPr="00DB6D95">
        <w:rPr>
          <w:rFonts w:ascii="Times New Roman" w:hAnsi="Times New Roman"/>
          <w:bCs/>
        </w:rPr>
        <w:t xml:space="preserve"> </w:t>
      </w:r>
      <w:r w:rsidRPr="00DB6D95">
        <w:rPr>
          <w:rFonts w:ascii="Times New Roman" w:hAnsi="Times New Roman"/>
        </w:rPr>
        <w:t>Filmtabletten</w:t>
      </w:r>
    </w:p>
    <w:p w14:paraId="7198252E" w14:textId="77777777" w:rsidR="001F5F00" w:rsidRDefault="001F5F00">
      <w:pPr>
        <w:numPr>
          <w:ilvl w:val="12"/>
          <w:numId w:val="0"/>
        </w:numPr>
        <w:spacing w:after="0" w:line="240" w:lineRule="auto"/>
        <w:ind w:right="-2"/>
        <w:rPr>
          <w:rFonts w:ascii="Times New Roman" w:hAnsi="Times New Roman"/>
          <w:bCs/>
          <w:lang w:val="pl-PL"/>
        </w:rPr>
      </w:pPr>
      <w:r>
        <w:rPr>
          <w:rFonts w:ascii="Times New Roman" w:hAnsi="Times New Roman"/>
          <w:szCs w:val="24"/>
          <w:lang w:val="sk-SK"/>
        </w:rPr>
        <w:t>Poľsko</w:t>
      </w:r>
      <w:r>
        <w:rPr>
          <w:rFonts w:ascii="Times New Roman" w:hAnsi="Times New Roman"/>
          <w:szCs w:val="24"/>
          <w:lang w:val="sk-SK"/>
        </w:rPr>
        <w:tab/>
      </w:r>
      <w:r>
        <w:rPr>
          <w:rFonts w:ascii="Times New Roman" w:hAnsi="Times New Roman"/>
          <w:szCs w:val="24"/>
          <w:lang w:val="sk-SK"/>
        </w:rPr>
        <w:tab/>
      </w:r>
      <w:r w:rsidRPr="00DB6D95">
        <w:rPr>
          <w:rFonts w:ascii="Times New Roman" w:hAnsi="Times New Roman"/>
          <w:bCs/>
          <w:lang w:val="pl-PL"/>
        </w:rPr>
        <w:t>Ismian</w:t>
      </w:r>
    </w:p>
    <w:p w14:paraId="74D74653" w14:textId="77777777" w:rsidR="001F5F00" w:rsidRDefault="001F5F00">
      <w:pPr>
        <w:numPr>
          <w:ilvl w:val="12"/>
          <w:numId w:val="0"/>
        </w:numPr>
        <w:spacing w:after="0" w:line="240" w:lineRule="auto"/>
        <w:ind w:right="-2"/>
        <w:rPr>
          <w:rFonts w:ascii="Times New Roman" w:hAnsi="Times New Roman"/>
          <w:bCs/>
          <w:lang w:val="pl-PL"/>
        </w:rPr>
      </w:pPr>
      <w:r>
        <w:rPr>
          <w:rFonts w:ascii="Times New Roman" w:hAnsi="Times New Roman"/>
          <w:bCs/>
          <w:lang w:val="pl-PL"/>
        </w:rPr>
        <w:t>Slovensko</w:t>
      </w:r>
      <w:r>
        <w:rPr>
          <w:rFonts w:ascii="Times New Roman" w:hAnsi="Times New Roman"/>
          <w:bCs/>
          <w:lang w:val="pl-PL"/>
        </w:rPr>
        <w:tab/>
      </w:r>
      <w:r w:rsidRPr="00DB6D95">
        <w:rPr>
          <w:rFonts w:ascii="Times New Roman" w:hAnsi="Times New Roman"/>
          <w:bCs/>
        </w:rPr>
        <w:t>Spironolactone Accord 25 mg</w:t>
      </w:r>
      <w:r w:rsidRPr="00DB6D95">
        <w:rPr>
          <w:rFonts w:ascii="Times New Roman" w:hAnsi="Times New Roman"/>
          <w:bCs/>
          <w:shd w:val="pct15" w:color="auto" w:fill="auto"/>
        </w:rPr>
        <w:t>/50 mg/100 mg</w:t>
      </w:r>
      <w:r w:rsidRPr="00DB6D95">
        <w:rPr>
          <w:rFonts w:ascii="Times New Roman" w:hAnsi="Times New Roman"/>
        </w:rPr>
        <w:t xml:space="preserve"> </w:t>
      </w:r>
      <w:r w:rsidRPr="00DB6D95">
        <w:rPr>
          <w:rFonts w:ascii="Times New Roman" w:hAnsi="Times New Roman"/>
          <w:bCs/>
          <w:lang w:val="en-IN"/>
        </w:rPr>
        <w:t>filmom obalené tablety</w:t>
      </w:r>
    </w:p>
    <w:p w14:paraId="01B1DEA9" w14:textId="77777777" w:rsidR="001F5F00" w:rsidRDefault="001F5F00">
      <w:pPr>
        <w:numPr>
          <w:ilvl w:val="12"/>
          <w:numId w:val="0"/>
        </w:numPr>
        <w:spacing w:after="0" w:line="240" w:lineRule="auto"/>
        <w:ind w:right="-2"/>
        <w:rPr>
          <w:rFonts w:ascii="Times New Roman" w:hAnsi="Times New Roman"/>
          <w:bCs/>
        </w:rPr>
      </w:pPr>
      <w:r>
        <w:rPr>
          <w:rFonts w:ascii="Times New Roman" w:hAnsi="Times New Roman"/>
          <w:bCs/>
        </w:rPr>
        <w:t>Śpanielsko</w:t>
      </w:r>
      <w:r>
        <w:rPr>
          <w:rFonts w:ascii="Times New Roman" w:hAnsi="Times New Roman"/>
          <w:bCs/>
        </w:rPr>
        <w:tab/>
      </w:r>
      <w:r w:rsidRPr="00DB6D95">
        <w:rPr>
          <w:rFonts w:ascii="Times New Roman" w:hAnsi="Times New Roman"/>
          <w:bCs/>
        </w:rPr>
        <w:t>Spironolactone Accord 25 mg</w:t>
      </w:r>
      <w:r w:rsidRPr="00DB6D95">
        <w:rPr>
          <w:rFonts w:ascii="Times New Roman" w:hAnsi="Times New Roman"/>
          <w:bCs/>
          <w:shd w:val="pct15" w:color="auto" w:fill="auto"/>
        </w:rPr>
        <w:t>/100 mg</w:t>
      </w:r>
      <w:r w:rsidRPr="00DB6D95">
        <w:rPr>
          <w:rFonts w:ascii="Times New Roman" w:hAnsi="Times New Roman"/>
          <w:bCs/>
        </w:rPr>
        <w:t xml:space="preserve"> comprimidos recubiertos con película</w:t>
      </w:r>
    </w:p>
    <w:p w14:paraId="1FB79A4A" w14:textId="77777777" w:rsidR="001F5F00" w:rsidRDefault="001F5F00">
      <w:pPr>
        <w:numPr>
          <w:ilvl w:val="12"/>
          <w:numId w:val="0"/>
        </w:numPr>
        <w:spacing w:after="0" w:line="240" w:lineRule="auto"/>
        <w:ind w:right="-2"/>
        <w:rPr>
          <w:rFonts w:ascii="Times New Roman" w:hAnsi="Times New Roman"/>
          <w:bCs/>
          <w:lang w:val="pl-PL"/>
        </w:rPr>
      </w:pPr>
      <w:r>
        <w:rPr>
          <w:rFonts w:ascii="Times New Roman" w:hAnsi="Times New Roman"/>
          <w:bCs/>
          <w:lang w:val="pl-PL"/>
        </w:rPr>
        <w:t>Švédsko</w:t>
      </w:r>
      <w:r>
        <w:rPr>
          <w:rFonts w:ascii="Times New Roman" w:hAnsi="Times New Roman"/>
          <w:bCs/>
          <w:lang w:val="pl-PL"/>
        </w:rPr>
        <w:tab/>
      </w:r>
      <w:r w:rsidRPr="00DB6D95">
        <w:rPr>
          <w:rFonts w:ascii="Times New Roman" w:hAnsi="Times New Roman"/>
          <w:bCs/>
        </w:rPr>
        <w:t>Spironolactone Accord 25 mg</w:t>
      </w:r>
      <w:r w:rsidRPr="00DB6D95">
        <w:rPr>
          <w:rFonts w:ascii="Times New Roman" w:hAnsi="Times New Roman"/>
          <w:bCs/>
          <w:shd w:val="pct15" w:color="auto" w:fill="auto"/>
        </w:rPr>
        <w:t>/50 mg/100 mg</w:t>
      </w:r>
      <w:r w:rsidRPr="00DB6D95">
        <w:rPr>
          <w:rFonts w:ascii="Times New Roman" w:hAnsi="Times New Roman"/>
        </w:rPr>
        <w:t xml:space="preserve"> filmdragerad tablet</w:t>
      </w:r>
    </w:p>
    <w:p w14:paraId="61A6D8C2" w14:textId="77777777" w:rsidR="001F5F00" w:rsidRDefault="001F5F00">
      <w:pPr>
        <w:numPr>
          <w:ilvl w:val="12"/>
          <w:numId w:val="0"/>
        </w:numPr>
        <w:spacing w:after="0" w:line="240" w:lineRule="auto"/>
        <w:ind w:right="-2"/>
        <w:rPr>
          <w:rFonts w:ascii="Times New Roman" w:hAnsi="Times New Roman"/>
          <w:bCs/>
        </w:rPr>
      </w:pPr>
      <w:r w:rsidRPr="00A64D40">
        <w:rPr>
          <w:rFonts w:ascii="Times New Roman" w:hAnsi="Times New Roman"/>
        </w:rPr>
        <w:t>Veľká Británia</w:t>
      </w:r>
      <w:r>
        <w:rPr>
          <w:rFonts w:ascii="Times New Roman" w:hAnsi="Times New Roman"/>
        </w:rPr>
        <w:tab/>
      </w:r>
      <w:r w:rsidRPr="00DB6D95">
        <w:rPr>
          <w:rFonts w:ascii="Times New Roman" w:hAnsi="Times New Roman"/>
          <w:bCs/>
        </w:rPr>
        <w:t>Spironolactone 25 mg</w:t>
      </w:r>
      <w:r w:rsidRPr="00DB6D95">
        <w:rPr>
          <w:rFonts w:ascii="Times New Roman" w:hAnsi="Times New Roman"/>
          <w:bCs/>
          <w:shd w:val="pct15" w:color="auto" w:fill="auto"/>
        </w:rPr>
        <w:t>/50 mg/100 mg</w:t>
      </w:r>
      <w:r w:rsidRPr="00DB6D95">
        <w:rPr>
          <w:rFonts w:ascii="Times New Roman" w:hAnsi="Times New Roman"/>
          <w:bCs/>
        </w:rPr>
        <w:t xml:space="preserve"> film-coated tablets</w:t>
      </w:r>
    </w:p>
    <w:p w14:paraId="58D66D15" w14:textId="77777777" w:rsidR="001F5F00" w:rsidRPr="000F2695" w:rsidRDefault="001F5F00">
      <w:pPr>
        <w:numPr>
          <w:ilvl w:val="12"/>
          <w:numId w:val="0"/>
        </w:numPr>
        <w:spacing w:after="0" w:line="240" w:lineRule="auto"/>
        <w:ind w:right="-2"/>
        <w:rPr>
          <w:rFonts w:ascii="Times New Roman" w:hAnsi="Times New Roman"/>
          <w:szCs w:val="24"/>
          <w:lang w:val="sk-SK"/>
        </w:rPr>
      </w:pPr>
    </w:p>
    <w:p w14:paraId="352399F8" w14:textId="1CDD3451" w:rsidR="007765C2" w:rsidRPr="00D7257E" w:rsidRDefault="007765C2">
      <w:pPr>
        <w:numPr>
          <w:ilvl w:val="12"/>
          <w:numId w:val="0"/>
        </w:numPr>
        <w:spacing w:after="0" w:line="240" w:lineRule="auto"/>
        <w:ind w:right="-2"/>
        <w:outlineLvl w:val="0"/>
        <w:rPr>
          <w:rFonts w:ascii="Times New Roman" w:hAnsi="Times New Roman"/>
          <w:szCs w:val="24"/>
          <w:lang w:val="sk-SK"/>
        </w:rPr>
      </w:pPr>
      <w:r w:rsidRPr="001322C9">
        <w:rPr>
          <w:rFonts w:ascii="Times New Roman" w:hAnsi="Times New Roman"/>
          <w:b/>
          <w:szCs w:val="24"/>
          <w:lang w:val="sk-SK"/>
        </w:rPr>
        <w:t>Táto písomná informácia bola naposledy aktualizovaná v</w:t>
      </w:r>
      <w:r w:rsidR="00B227AF">
        <w:rPr>
          <w:rFonts w:ascii="Times New Roman" w:hAnsi="Times New Roman"/>
          <w:b/>
          <w:szCs w:val="24"/>
          <w:lang w:val="sk-SK"/>
        </w:rPr>
        <w:t> septembri</w:t>
      </w:r>
      <w:r w:rsidR="00BA6E84">
        <w:rPr>
          <w:rFonts w:ascii="Times New Roman" w:hAnsi="Times New Roman"/>
          <w:b/>
          <w:szCs w:val="24"/>
          <w:lang w:val="sk-SK"/>
        </w:rPr>
        <w:t xml:space="preserve"> 2020</w:t>
      </w:r>
      <w:r w:rsidRPr="001322C9">
        <w:rPr>
          <w:rFonts w:ascii="Times New Roman" w:hAnsi="Times New Roman"/>
          <w:b/>
          <w:szCs w:val="24"/>
          <w:lang w:val="sk-SK"/>
        </w:rPr>
        <w:t>.</w:t>
      </w:r>
    </w:p>
    <w:p w14:paraId="31D682AE"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0D6020E9" w14:textId="77777777" w:rsidR="007765C2" w:rsidRPr="00D7257E" w:rsidRDefault="007765C2">
      <w:pPr>
        <w:numPr>
          <w:ilvl w:val="12"/>
          <w:numId w:val="0"/>
        </w:numPr>
        <w:spacing w:after="0" w:line="240" w:lineRule="auto"/>
        <w:ind w:right="-2"/>
        <w:rPr>
          <w:rFonts w:ascii="Times New Roman" w:hAnsi="Times New Roman"/>
          <w:szCs w:val="24"/>
          <w:lang w:val="sk-SK"/>
        </w:rPr>
      </w:pPr>
    </w:p>
    <w:p w14:paraId="3BDB3A00" w14:textId="77777777" w:rsidR="007765C2" w:rsidRPr="00D7257E" w:rsidRDefault="007765C2" w:rsidP="000F2695">
      <w:pPr>
        <w:spacing w:after="0"/>
        <w:rPr>
          <w:lang w:val="sk-SK"/>
        </w:rPr>
      </w:pPr>
    </w:p>
    <w:sectPr w:rsidR="007765C2" w:rsidRPr="00D7257E" w:rsidSect="000F2695">
      <w:headerReference w:type="default" r:id="rId8"/>
      <w:footerReference w:type="default" r:id="rId9"/>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48A55" w14:textId="77777777" w:rsidR="00982B87" w:rsidRDefault="00982B87" w:rsidP="00383767">
      <w:pPr>
        <w:spacing w:after="0" w:line="240" w:lineRule="auto"/>
      </w:pPr>
      <w:r>
        <w:separator/>
      </w:r>
    </w:p>
  </w:endnote>
  <w:endnote w:type="continuationSeparator" w:id="0">
    <w:p w14:paraId="5C651A42" w14:textId="77777777" w:rsidR="00982B87" w:rsidRDefault="00982B87" w:rsidP="0038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750C2" w14:textId="77777777" w:rsidR="00EB6D44" w:rsidRPr="000F2695" w:rsidRDefault="00EB6D44">
    <w:pPr>
      <w:pStyle w:val="Pta"/>
      <w:jc w:val="center"/>
      <w:rPr>
        <w:rFonts w:ascii="Times New Roman" w:hAnsi="Times New Roman"/>
        <w:sz w:val="18"/>
        <w:szCs w:val="18"/>
      </w:rPr>
    </w:pPr>
    <w:r w:rsidRPr="000F2695">
      <w:rPr>
        <w:rFonts w:ascii="Times New Roman" w:hAnsi="Times New Roman"/>
        <w:sz w:val="18"/>
        <w:szCs w:val="18"/>
      </w:rPr>
      <w:fldChar w:fldCharType="begin"/>
    </w:r>
    <w:r w:rsidRPr="000F2695">
      <w:rPr>
        <w:rFonts w:ascii="Times New Roman" w:hAnsi="Times New Roman"/>
        <w:sz w:val="18"/>
        <w:szCs w:val="18"/>
      </w:rPr>
      <w:instrText>PAGE   \* MERGEFORMAT</w:instrText>
    </w:r>
    <w:r w:rsidRPr="000F2695">
      <w:rPr>
        <w:rFonts w:ascii="Times New Roman" w:hAnsi="Times New Roman"/>
        <w:sz w:val="18"/>
        <w:szCs w:val="18"/>
      </w:rPr>
      <w:fldChar w:fldCharType="separate"/>
    </w:r>
    <w:r w:rsidR="00574267" w:rsidRPr="00574267">
      <w:rPr>
        <w:rFonts w:ascii="Times New Roman" w:hAnsi="Times New Roman"/>
        <w:noProof/>
        <w:sz w:val="18"/>
        <w:szCs w:val="18"/>
        <w:lang w:val="sk-SK"/>
      </w:rPr>
      <w:t>1</w:t>
    </w:r>
    <w:r w:rsidRPr="000F2695">
      <w:rPr>
        <w:rFonts w:ascii="Times New Roman" w:hAnsi="Times New Roman"/>
        <w:sz w:val="18"/>
        <w:szCs w:val="18"/>
      </w:rPr>
      <w:fldChar w:fldCharType="end"/>
    </w:r>
  </w:p>
  <w:p w14:paraId="68A1FCFD" w14:textId="77777777" w:rsidR="00EB6D44" w:rsidRDefault="00EB6D4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1C673" w14:textId="77777777" w:rsidR="00982B87" w:rsidRDefault="00982B87" w:rsidP="00383767">
      <w:pPr>
        <w:spacing w:after="0" w:line="240" w:lineRule="auto"/>
      </w:pPr>
      <w:r>
        <w:separator/>
      </w:r>
    </w:p>
  </w:footnote>
  <w:footnote w:type="continuationSeparator" w:id="0">
    <w:p w14:paraId="0CDE36AA" w14:textId="77777777" w:rsidR="00982B87" w:rsidRDefault="00982B87" w:rsidP="00383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B74B" w14:textId="2A96E556" w:rsidR="00EB6D44" w:rsidRPr="00275A49" w:rsidRDefault="00545987" w:rsidP="00BA6E84">
    <w:pPr>
      <w:spacing w:after="0" w:line="240" w:lineRule="auto"/>
      <w:rPr>
        <w:rFonts w:ascii="Times New Roman" w:hAnsi="Times New Roman"/>
        <w:sz w:val="18"/>
        <w:szCs w:val="18"/>
        <w:lang w:val="sk-SK"/>
      </w:rPr>
    </w:pPr>
    <w:r w:rsidRPr="00545987">
      <w:rPr>
        <w:rFonts w:ascii="Times New Roman" w:hAnsi="Times New Roman"/>
        <w:sz w:val="18"/>
        <w:szCs w:val="18"/>
        <w:lang w:val="sk-SK"/>
      </w:rPr>
      <w:t xml:space="preserve">Príloha č. </w:t>
    </w:r>
    <w:r w:rsidR="00B756E3">
      <w:rPr>
        <w:rFonts w:ascii="Times New Roman" w:hAnsi="Times New Roman"/>
        <w:sz w:val="18"/>
        <w:szCs w:val="18"/>
        <w:lang w:val="sk-SK"/>
      </w:rPr>
      <w:t>1</w:t>
    </w:r>
    <w:r w:rsidR="00EB6D44" w:rsidRPr="000F2695">
      <w:rPr>
        <w:rFonts w:ascii="Times New Roman" w:hAnsi="Times New Roman"/>
        <w:sz w:val="18"/>
        <w:szCs w:val="18"/>
        <w:lang w:val="sk-SK"/>
      </w:rPr>
      <w:t xml:space="preserve"> k notifikácii </w:t>
    </w:r>
    <w:r w:rsidR="00275A49" w:rsidRPr="00275A49">
      <w:rPr>
        <w:rFonts w:ascii="Times New Roman" w:hAnsi="Times New Roman"/>
        <w:sz w:val="18"/>
        <w:szCs w:val="18"/>
        <w:lang w:val="sk-SK"/>
      </w:rPr>
      <w:t>o zmene, ev. č.:</w:t>
    </w:r>
    <w:r w:rsidR="00EB6D44" w:rsidRPr="000F2695">
      <w:rPr>
        <w:rFonts w:ascii="Times New Roman" w:hAnsi="Times New Roman"/>
        <w:sz w:val="18"/>
        <w:szCs w:val="18"/>
        <w:lang w:val="sk-SK"/>
      </w:rPr>
      <w:t xml:space="preserve"> </w:t>
    </w:r>
    <w:r w:rsidR="00275A49" w:rsidRPr="00275A49">
      <w:rPr>
        <w:rFonts w:ascii="Times New Roman" w:hAnsi="Times New Roman"/>
        <w:sz w:val="18"/>
        <w:szCs w:val="18"/>
        <w:lang w:val="sk-SK"/>
      </w:rPr>
      <w:t>20</w:t>
    </w:r>
    <w:r w:rsidR="00B756E3">
      <w:rPr>
        <w:rFonts w:ascii="Times New Roman" w:hAnsi="Times New Roman"/>
        <w:sz w:val="18"/>
        <w:szCs w:val="18"/>
        <w:lang w:val="sk-SK"/>
      </w:rPr>
      <w:t>20/00043-Z1A</w:t>
    </w:r>
    <w:r w:rsidR="00334883">
      <w:rPr>
        <w:rFonts w:ascii="Times New Roman" w:hAnsi="Times New Roman"/>
        <w:sz w:val="18"/>
        <w:szCs w:val="18"/>
        <w:lang w:val="sk-SK"/>
      </w:rPr>
      <w:t>, 2020/01304-Z1A</w:t>
    </w:r>
  </w:p>
  <w:p w14:paraId="72539CA1" w14:textId="77777777" w:rsidR="00383767" w:rsidRDefault="00383767" w:rsidP="00574267">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33D7"/>
    <w:multiLevelType w:val="hybridMultilevel"/>
    <w:tmpl w:val="B522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3C35CB"/>
    <w:multiLevelType w:val="hybridMultilevel"/>
    <w:tmpl w:val="BDD427E2"/>
    <w:lvl w:ilvl="0" w:tplc="98FA33E8">
      <w:start w:val="1"/>
      <w:numFmt w:val="bullet"/>
      <w:lvlText w:val=""/>
      <w:lvlJc w:val="left"/>
      <w:pPr>
        <w:tabs>
          <w:tab w:val="num" w:pos="517"/>
        </w:tabs>
        <w:ind w:left="517" w:hanging="454"/>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2A716E11"/>
    <w:multiLevelType w:val="hybridMultilevel"/>
    <w:tmpl w:val="AABED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36C6B57"/>
    <w:multiLevelType w:val="hybridMultilevel"/>
    <w:tmpl w:val="F9E42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B56C73"/>
    <w:multiLevelType w:val="hybridMultilevel"/>
    <w:tmpl w:val="3D488004"/>
    <w:lvl w:ilvl="0" w:tplc="B356A200">
      <w:start w:val="2"/>
      <w:numFmt w:val="decimal"/>
      <w:lvlText w:val="%1."/>
      <w:lvlJc w:val="left"/>
      <w:pPr>
        <w:tabs>
          <w:tab w:val="num" w:pos="570"/>
        </w:tabs>
        <w:ind w:left="570" w:hanging="570"/>
      </w:pPr>
      <w:rPr>
        <w:rFonts w:cs="Times New Roman" w:hint="default"/>
        <w:b/>
      </w:rPr>
    </w:lvl>
    <w:lvl w:ilvl="1" w:tplc="98FA33E8">
      <w:start w:val="1"/>
      <w:numFmt w:val="bullet"/>
      <w:lvlText w:val=""/>
      <w:lvlJc w:val="left"/>
      <w:pPr>
        <w:tabs>
          <w:tab w:val="num" w:pos="1174"/>
        </w:tabs>
        <w:ind w:left="1174" w:hanging="454"/>
      </w:pPr>
      <w:rPr>
        <w:rFonts w:ascii="Symbol" w:hAnsi="Symbol" w:hint="default"/>
      </w:rPr>
    </w:lvl>
    <w:lvl w:ilvl="2" w:tplc="43E61D8C">
      <w:numFmt w:val="bullet"/>
      <w:lvlText w:val="-"/>
      <w:lvlJc w:val="left"/>
      <w:pPr>
        <w:tabs>
          <w:tab w:val="num" w:pos="1980"/>
        </w:tabs>
        <w:ind w:left="1980" w:hanging="360"/>
      </w:pPr>
      <w:rPr>
        <w:rFonts w:ascii="Arial" w:eastAsia="Times New Roman" w:hAnsi="Arial"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7" w15:restartNumberingAfterBreak="0">
    <w:nsid w:val="74B3411A"/>
    <w:multiLevelType w:val="hybridMultilevel"/>
    <w:tmpl w:val="93489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873DB9"/>
    <w:multiLevelType w:val="hybridMultilevel"/>
    <w:tmpl w:val="3D488004"/>
    <w:lvl w:ilvl="0" w:tplc="B356A200">
      <w:start w:val="2"/>
      <w:numFmt w:val="decimal"/>
      <w:lvlText w:val="%1."/>
      <w:lvlJc w:val="left"/>
      <w:pPr>
        <w:tabs>
          <w:tab w:val="num" w:pos="570"/>
        </w:tabs>
        <w:ind w:left="570" w:hanging="570"/>
      </w:pPr>
      <w:rPr>
        <w:rFonts w:cs="Times New Roman" w:hint="default"/>
        <w:b/>
      </w:rPr>
    </w:lvl>
    <w:lvl w:ilvl="1" w:tplc="98FA33E8">
      <w:start w:val="1"/>
      <w:numFmt w:val="bullet"/>
      <w:lvlText w:val=""/>
      <w:lvlJc w:val="left"/>
      <w:pPr>
        <w:tabs>
          <w:tab w:val="num" w:pos="1174"/>
        </w:tabs>
        <w:ind w:left="1174" w:hanging="454"/>
      </w:pPr>
      <w:rPr>
        <w:rFonts w:ascii="Symbol" w:hAnsi="Symbol" w:hint="default"/>
      </w:rPr>
    </w:lvl>
    <w:lvl w:ilvl="2" w:tplc="43E61D8C">
      <w:numFmt w:val="bullet"/>
      <w:lvlText w:val="-"/>
      <w:lvlJc w:val="left"/>
      <w:pPr>
        <w:tabs>
          <w:tab w:val="num" w:pos="1980"/>
        </w:tabs>
        <w:ind w:left="1980" w:hanging="360"/>
      </w:pPr>
      <w:rPr>
        <w:rFonts w:ascii="Arial" w:eastAsia="Times New Roman" w:hAnsi="Arial"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6AD7"/>
    <w:rsid w:val="00030293"/>
    <w:rsid w:val="00042A8C"/>
    <w:rsid w:val="00044E92"/>
    <w:rsid w:val="00046AD7"/>
    <w:rsid w:val="000665F9"/>
    <w:rsid w:val="000802BA"/>
    <w:rsid w:val="00080800"/>
    <w:rsid w:val="00085CB2"/>
    <w:rsid w:val="00087136"/>
    <w:rsid w:val="000B6D6A"/>
    <w:rsid w:val="000E4219"/>
    <w:rsid w:val="000F2695"/>
    <w:rsid w:val="001322C9"/>
    <w:rsid w:val="0015334B"/>
    <w:rsid w:val="00155DB8"/>
    <w:rsid w:val="001874C7"/>
    <w:rsid w:val="00195287"/>
    <w:rsid w:val="001B620D"/>
    <w:rsid w:val="001D29FC"/>
    <w:rsid w:val="001F5F00"/>
    <w:rsid w:val="00260B09"/>
    <w:rsid w:val="00275A49"/>
    <w:rsid w:val="002B2FAB"/>
    <w:rsid w:val="002F12C6"/>
    <w:rsid w:val="00334883"/>
    <w:rsid w:val="00357F65"/>
    <w:rsid w:val="0037713C"/>
    <w:rsid w:val="00381DF8"/>
    <w:rsid w:val="00383767"/>
    <w:rsid w:val="003B3A0D"/>
    <w:rsid w:val="00423A6D"/>
    <w:rsid w:val="00433020"/>
    <w:rsid w:val="00440380"/>
    <w:rsid w:val="00455EE2"/>
    <w:rsid w:val="00462EE7"/>
    <w:rsid w:val="00492173"/>
    <w:rsid w:val="0049759B"/>
    <w:rsid w:val="004C64E4"/>
    <w:rsid w:val="004E6FE2"/>
    <w:rsid w:val="00512CBF"/>
    <w:rsid w:val="00526354"/>
    <w:rsid w:val="00545987"/>
    <w:rsid w:val="00550102"/>
    <w:rsid w:val="0055277D"/>
    <w:rsid w:val="00574267"/>
    <w:rsid w:val="00596A2A"/>
    <w:rsid w:val="005B773A"/>
    <w:rsid w:val="005C0189"/>
    <w:rsid w:val="005C19EA"/>
    <w:rsid w:val="0062262B"/>
    <w:rsid w:val="006273AB"/>
    <w:rsid w:val="00631FDB"/>
    <w:rsid w:val="006417EE"/>
    <w:rsid w:val="00653438"/>
    <w:rsid w:val="00673BCA"/>
    <w:rsid w:val="00687F63"/>
    <w:rsid w:val="006A2784"/>
    <w:rsid w:val="006F0A33"/>
    <w:rsid w:val="00714834"/>
    <w:rsid w:val="00754C8F"/>
    <w:rsid w:val="00775F8E"/>
    <w:rsid w:val="007765C2"/>
    <w:rsid w:val="00782DEE"/>
    <w:rsid w:val="0078615D"/>
    <w:rsid w:val="007E4106"/>
    <w:rsid w:val="007E4333"/>
    <w:rsid w:val="00806CA5"/>
    <w:rsid w:val="00871AF8"/>
    <w:rsid w:val="008B1E33"/>
    <w:rsid w:val="008E190A"/>
    <w:rsid w:val="008E362A"/>
    <w:rsid w:val="00901563"/>
    <w:rsid w:val="009401B5"/>
    <w:rsid w:val="009610F2"/>
    <w:rsid w:val="00982B87"/>
    <w:rsid w:val="00991F50"/>
    <w:rsid w:val="009D43DE"/>
    <w:rsid w:val="009E009C"/>
    <w:rsid w:val="00A148EC"/>
    <w:rsid w:val="00A24B9A"/>
    <w:rsid w:val="00A52E46"/>
    <w:rsid w:val="00A816C3"/>
    <w:rsid w:val="00AA3AD4"/>
    <w:rsid w:val="00AC25B6"/>
    <w:rsid w:val="00AE6C61"/>
    <w:rsid w:val="00B227AF"/>
    <w:rsid w:val="00B37A95"/>
    <w:rsid w:val="00B756E3"/>
    <w:rsid w:val="00B830C9"/>
    <w:rsid w:val="00BA6E84"/>
    <w:rsid w:val="00C10241"/>
    <w:rsid w:val="00C23B7B"/>
    <w:rsid w:val="00C401B7"/>
    <w:rsid w:val="00C449FD"/>
    <w:rsid w:val="00C475EA"/>
    <w:rsid w:val="00C61973"/>
    <w:rsid w:val="00C710DA"/>
    <w:rsid w:val="00CA7AE0"/>
    <w:rsid w:val="00D7257E"/>
    <w:rsid w:val="00DA17C7"/>
    <w:rsid w:val="00DC5B8D"/>
    <w:rsid w:val="00E20A8B"/>
    <w:rsid w:val="00E23096"/>
    <w:rsid w:val="00E37FDB"/>
    <w:rsid w:val="00E448C5"/>
    <w:rsid w:val="00E50669"/>
    <w:rsid w:val="00E540EB"/>
    <w:rsid w:val="00E8432D"/>
    <w:rsid w:val="00EB6D44"/>
    <w:rsid w:val="00F2168B"/>
    <w:rsid w:val="00F77C02"/>
    <w:rsid w:val="00F8191C"/>
    <w:rsid w:val="00F86917"/>
    <w:rsid w:val="00FB08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C446227"/>
  <w15:docId w15:val="{26A93BDA-53A8-4E29-B0CF-17D7DCC5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46AD7"/>
    <w:pPr>
      <w:spacing w:after="200" w:line="276" w:lineRule="auto"/>
    </w:pPr>
    <w:rPr>
      <w:rFonts w:eastAsia="Times New Roman"/>
      <w:sz w:val="22"/>
      <w:szCs w:val="22"/>
      <w:lang w:val="en-US"/>
    </w:rPr>
  </w:style>
  <w:style w:type="paragraph" w:styleId="Nadpis1">
    <w:name w:val="heading 1"/>
    <w:basedOn w:val="Normlny"/>
    <w:next w:val="Normlny"/>
    <w:link w:val="Nadpis1Char"/>
    <w:uiPriority w:val="99"/>
    <w:qFormat/>
    <w:rsid w:val="00C475EA"/>
    <w:pPr>
      <w:keepNext/>
      <w:keepLines/>
      <w:spacing w:before="480" w:after="0"/>
      <w:outlineLvl w:val="0"/>
    </w:pPr>
    <w:rPr>
      <w:rFonts w:ascii="Cambria" w:eastAsia="Calibri" w:hAnsi="Cambria"/>
      <w:b/>
      <w:bCs/>
      <w:color w:val="365F91"/>
      <w:sz w:val="28"/>
      <w:szCs w:val="28"/>
      <w:lang w:val="sk-SK"/>
    </w:rPr>
  </w:style>
  <w:style w:type="paragraph" w:styleId="Nadpis2">
    <w:name w:val="heading 2"/>
    <w:basedOn w:val="Normlny"/>
    <w:link w:val="Nadpis2Char"/>
    <w:uiPriority w:val="99"/>
    <w:qFormat/>
    <w:rsid w:val="00C475EA"/>
    <w:pPr>
      <w:spacing w:before="127" w:after="0" w:line="240" w:lineRule="auto"/>
      <w:ind w:left="860" w:hanging="720"/>
      <w:outlineLvl w:val="1"/>
    </w:pPr>
    <w:rPr>
      <w:rFonts w:ascii="Verdana" w:hAnsi="Verdana"/>
      <w:b/>
      <w:bCs/>
      <w:sz w:val="32"/>
      <w:szCs w:val="32"/>
    </w:rPr>
  </w:style>
  <w:style w:type="paragraph" w:styleId="Nadpis4">
    <w:name w:val="heading 4"/>
    <w:basedOn w:val="Normlny"/>
    <w:link w:val="Nadpis4Char"/>
    <w:uiPriority w:val="99"/>
    <w:qFormat/>
    <w:rsid w:val="00C475EA"/>
    <w:pPr>
      <w:spacing w:after="0" w:line="240" w:lineRule="auto"/>
      <w:ind w:left="860" w:hanging="720"/>
      <w:outlineLvl w:val="3"/>
    </w:pPr>
    <w:rPr>
      <w:rFonts w:ascii="Verdana" w:hAnsi="Verdana"/>
      <w:b/>
      <w:bCs/>
      <w:sz w:val="24"/>
      <w:szCs w:val="24"/>
    </w:rPr>
  </w:style>
  <w:style w:type="paragraph" w:styleId="Nadpis7">
    <w:name w:val="heading 7"/>
    <w:basedOn w:val="Normlny"/>
    <w:link w:val="Nadpis7Char"/>
    <w:uiPriority w:val="99"/>
    <w:qFormat/>
    <w:rsid w:val="00C475EA"/>
    <w:pPr>
      <w:spacing w:after="0" w:line="240" w:lineRule="auto"/>
      <w:ind w:left="1580"/>
      <w:outlineLvl w:val="6"/>
    </w:pPr>
    <w:rPr>
      <w:rFonts w:ascii="Verdana" w:hAnsi="Verdana"/>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C475EA"/>
    <w:rPr>
      <w:rFonts w:ascii="Cambria" w:hAnsi="Cambria"/>
      <w:b/>
      <w:color w:val="365F91"/>
      <w:sz w:val="28"/>
    </w:rPr>
  </w:style>
  <w:style w:type="character" w:customStyle="1" w:styleId="Nadpis2Char">
    <w:name w:val="Nadpis 2 Char"/>
    <w:link w:val="Nadpis2"/>
    <w:uiPriority w:val="99"/>
    <w:locked/>
    <w:rsid w:val="00C475EA"/>
    <w:rPr>
      <w:rFonts w:ascii="Verdana" w:hAnsi="Verdana"/>
      <w:b/>
      <w:sz w:val="32"/>
      <w:lang w:val="en-US"/>
    </w:rPr>
  </w:style>
  <w:style w:type="character" w:customStyle="1" w:styleId="Nadpis4Char">
    <w:name w:val="Nadpis 4 Char"/>
    <w:link w:val="Nadpis4"/>
    <w:uiPriority w:val="99"/>
    <w:locked/>
    <w:rsid w:val="00C475EA"/>
    <w:rPr>
      <w:rFonts w:ascii="Verdana" w:hAnsi="Verdana"/>
      <w:b/>
      <w:sz w:val="24"/>
      <w:lang w:val="en-US"/>
    </w:rPr>
  </w:style>
  <w:style w:type="character" w:customStyle="1" w:styleId="Nadpis7Char">
    <w:name w:val="Nadpis 7 Char"/>
    <w:link w:val="Nadpis7"/>
    <w:uiPriority w:val="99"/>
    <w:locked/>
    <w:rsid w:val="00C475EA"/>
    <w:rPr>
      <w:rFonts w:ascii="Verdana" w:hAnsi="Verdana"/>
      <w:b/>
      <w:sz w:val="20"/>
      <w:lang w:val="en-US"/>
    </w:rPr>
  </w:style>
  <w:style w:type="paragraph" w:styleId="Obsah1">
    <w:name w:val="toc 1"/>
    <w:basedOn w:val="Normlny"/>
    <w:next w:val="Normlny"/>
    <w:autoRedefine/>
    <w:uiPriority w:val="99"/>
    <w:rsid w:val="00C475EA"/>
    <w:pPr>
      <w:spacing w:after="100"/>
    </w:pPr>
  </w:style>
  <w:style w:type="paragraph" w:styleId="Obsah2">
    <w:name w:val="toc 2"/>
    <w:basedOn w:val="Normlny"/>
    <w:next w:val="Normlny"/>
    <w:autoRedefine/>
    <w:uiPriority w:val="99"/>
    <w:semiHidden/>
    <w:rsid w:val="00C475EA"/>
    <w:pPr>
      <w:spacing w:after="100"/>
      <w:ind w:left="220"/>
    </w:pPr>
    <w:rPr>
      <w:lang w:eastAsia="cs-CZ"/>
    </w:rPr>
  </w:style>
  <w:style w:type="paragraph" w:styleId="Obsah3">
    <w:name w:val="toc 3"/>
    <w:basedOn w:val="Normlny"/>
    <w:next w:val="Normlny"/>
    <w:autoRedefine/>
    <w:uiPriority w:val="99"/>
    <w:rsid w:val="00C475EA"/>
    <w:pPr>
      <w:spacing w:after="100"/>
      <w:ind w:left="440"/>
    </w:pPr>
  </w:style>
  <w:style w:type="paragraph" w:styleId="Zkladntext">
    <w:name w:val="Body Text"/>
    <w:basedOn w:val="Normlny"/>
    <w:link w:val="ZkladntextChar"/>
    <w:uiPriority w:val="99"/>
    <w:rsid w:val="00C475EA"/>
    <w:pPr>
      <w:spacing w:after="0" w:line="240" w:lineRule="auto"/>
      <w:ind w:left="2300"/>
    </w:pPr>
    <w:rPr>
      <w:rFonts w:ascii="Verdana" w:hAnsi="Verdana"/>
      <w:sz w:val="20"/>
      <w:szCs w:val="20"/>
    </w:rPr>
  </w:style>
  <w:style w:type="character" w:customStyle="1" w:styleId="ZkladntextChar">
    <w:name w:val="Základný text Char"/>
    <w:link w:val="Zkladntext"/>
    <w:uiPriority w:val="99"/>
    <w:locked/>
    <w:rsid w:val="00C475EA"/>
    <w:rPr>
      <w:rFonts w:ascii="Verdana" w:hAnsi="Verdana"/>
      <w:sz w:val="20"/>
      <w:lang w:val="en-US"/>
    </w:rPr>
  </w:style>
  <w:style w:type="paragraph" w:styleId="Bezriadkovania">
    <w:name w:val="No Spacing"/>
    <w:uiPriority w:val="99"/>
    <w:qFormat/>
    <w:rsid w:val="00C475EA"/>
    <w:pPr>
      <w:widowControl w:val="0"/>
    </w:pPr>
    <w:rPr>
      <w:sz w:val="22"/>
      <w:szCs w:val="22"/>
      <w:lang w:val="cs-CZ" w:eastAsia="en-US"/>
    </w:rPr>
  </w:style>
  <w:style w:type="paragraph" w:styleId="Odsekzoznamu">
    <w:name w:val="List Paragraph"/>
    <w:basedOn w:val="Normlny"/>
    <w:uiPriority w:val="99"/>
    <w:qFormat/>
    <w:rsid w:val="00C475EA"/>
    <w:pPr>
      <w:ind w:left="720"/>
      <w:contextualSpacing/>
    </w:pPr>
  </w:style>
  <w:style w:type="paragraph" w:styleId="Hlavikaobsahu">
    <w:name w:val="TOC Heading"/>
    <w:basedOn w:val="Nadpis1"/>
    <w:next w:val="Normlny"/>
    <w:uiPriority w:val="99"/>
    <w:qFormat/>
    <w:rsid w:val="00C475EA"/>
    <w:pPr>
      <w:outlineLvl w:val="9"/>
    </w:pPr>
    <w:rPr>
      <w:lang w:eastAsia="cs-CZ"/>
    </w:rPr>
  </w:style>
  <w:style w:type="paragraph" w:customStyle="1" w:styleId="Default">
    <w:name w:val="Default"/>
    <w:uiPriority w:val="99"/>
    <w:rsid w:val="00046AD7"/>
    <w:pPr>
      <w:autoSpaceDE w:val="0"/>
      <w:autoSpaceDN w:val="0"/>
      <w:adjustRightInd w:val="0"/>
    </w:pPr>
    <w:rPr>
      <w:rFonts w:ascii="Times New Roman" w:eastAsia="Times New Roman" w:hAnsi="Times New Roman"/>
      <w:color w:val="000000"/>
      <w:sz w:val="24"/>
      <w:szCs w:val="24"/>
      <w:lang w:val="en-US"/>
    </w:rPr>
  </w:style>
  <w:style w:type="character" w:styleId="Hypertextovprepojenie">
    <w:name w:val="Hyperlink"/>
    <w:uiPriority w:val="99"/>
    <w:rsid w:val="0062262B"/>
    <w:rPr>
      <w:rFonts w:cs="Times New Roman"/>
      <w:color w:val="0000FF"/>
      <w:u w:val="single"/>
    </w:rPr>
  </w:style>
  <w:style w:type="paragraph" w:styleId="Textbubliny">
    <w:name w:val="Balloon Text"/>
    <w:basedOn w:val="Normlny"/>
    <w:link w:val="TextbublinyChar"/>
    <w:uiPriority w:val="99"/>
    <w:semiHidden/>
    <w:rsid w:val="00044E92"/>
    <w:pPr>
      <w:spacing w:after="0" w:line="240" w:lineRule="auto"/>
    </w:pPr>
    <w:rPr>
      <w:rFonts w:ascii="Tahoma" w:eastAsia="Calibri" w:hAnsi="Tahoma"/>
      <w:sz w:val="16"/>
      <w:szCs w:val="16"/>
    </w:rPr>
  </w:style>
  <w:style w:type="character" w:customStyle="1" w:styleId="TextbublinyChar">
    <w:name w:val="Text bubliny Char"/>
    <w:link w:val="Textbubliny"/>
    <w:uiPriority w:val="99"/>
    <w:semiHidden/>
    <w:locked/>
    <w:rsid w:val="00044E92"/>
    <w:rPr>
      <w:rFonts w:ascii="Tahoma" w:hAnsi="Tahoma"/>
      <w:sz w:val="16"/>
      <w:lang w:val="en-US" w:eastAsia="sk-SK"/>
    </w:rPr>
  </w:style>
  <w:style w:type="paragraph" w:styleId="Revzia">
    <w:name w:val="Revision"/>
    <w:hidden/>
    <w:uiPriority w:val="99"/>
    <w:semiHidden/>
    <w:rsid w:val="00085CB2"/>
    <w:rPr>
      <w:rFonts w:eastAsia="Times New Roman"/>
      <w:sz w:val="22"/>
      <w:szCs w:val="22"/>
      <w:lang w:val="en-US"/>
    </w:rPr>
  </w:style>
  <w:style w:type="character" w:customStyle="1" w:styleId="shorttext">
    <w:name w:val="short_text"/>
    <w:uiPriority w:val="99"/>
    <w:rsid w:val="0015334B"/>
  </w:style>
  <w:style w:type="paragraph" w:styleId="Hlavika">
    <w:name w:val="header"/>
    <w:basedOn w:val="Normlny"/>
    <w:link w:val="HlavikaChar"/>
    <w:unhideWhenUsed/>
    <w:rsid w:val="00383767"/>
    <w:pPr>
      <w:tabs>
        <w:tab w:val="center" w:pos="4536"/>
        <w:tab w:val="right" w:pos="9072"/>
      </w:tabs>
    </w:pPr>
  </w:style>
  <w:style w:type="character" w:customStyle="1" w:styleId="HlavikaChar">
    <w:name w:val="Hlavička Char"/>
    <w:link w:val="Hlavika"/>
    <w:rsid w:val="00383767"/>
    <w:rPr>
      <w:rFonts w:eastAsia="Times New Roman"/>
      <w:sz w:val="22"/>
      <w:szCs w:val="22"/>
      <w:lang w:val="en-US" w:eastAsia="sk-SK"/>
    </w:rPr>
  </w:style>
  <w:style w:type="paragraph" w:styleId="Pta">
    <w:name w:val="footer"/>
    <w:basedOn w:val="Normlny"/>
    <w:link w:val="PtaChar"/>
    <w:uiPriority w:val="99"/>
    <w:unhideWhenUsed/>
    <w:rsid w:val="00383767"/>
    <w:pPr>
      <w:tabs>
        <w:tab w:val="center" w:pos="4536"/>
        <w:tab w:val="right" w:pos="9072"/>
      </w:tabs>
    </w:pPr>
  </w:style>
  <w:style w:type="character" w:customStyle="1" w:styleId="PtaChar">
    <w:name w:val="Päta Char"/>
    <w:link w:val="Pta"/>
    <w:uiPriority w:val="99"/>
    <w:rsid w:val="00383767"/>
    <w:rPr>
      <w:rFonts w:eastAsia="Times New Roman"/>
      <w:sz w:val="22"/>
      <w:szCs w:val="22"/>
      <w:lang w:val="en-US" w:eastAsia="sk-SK"/>
    </w:rPr>
  </w:style>
  <w:style w:type="character" w:styleId="Odkaznakomentr">
    <w:name w:val="annotation reference"/>
    <w:uiPriority w:val="99"/>
    <w:semiHidden/>
    <w:unhideWhenUsed/>
    <w:rsid w:val="001F5F00"/>
    <w:rPr>
      <w:sz w:val="16"/>
      <w:szCs w:val="16"/>
    </w:rPr>
  </w:style>
  <w:style w:type="paragraph" w:styleId="Textkomentra">
    <w:name w:val="annotation text"/>
    <w:basedOn w:val="Normlny"/>
    <w:link w:val="TextkomentraChar"/>
    <w:uiPriority w:val="99"/>
    <w:semiHidden/>
    <w:unhideWhenUsed/>
    <w:rsid w:val="001F5F00"/>
    <w:rPr>
      <w:sz w:val="20"/>
      <w:szCs w:val="20"/>
    </w:rPr>
  </w:style>
  <w:style w:type="character" w:customStyle="1" w:styleId="TextkomentraChar">
    <w:name w:val="Text komentára Char"/>
    <w:link w:val="Textkomentra"/>
    <w:uiPriority w:val="99"/>
    <w:semiHidden/>
    <w:rsid w:val="001F5F00"/>
    <w:rPr>
      <w:rFonts w:eastAsia="Times New Roman"/>
      <w:lang w:val="en-US"/>
    </w:rPr>
  </w:style>
  <w:style w:type="paragraph" w:styleId="Predmetkomentra">
    <w:name w:val="annotation subject"/>
    <w:basedOn w:val="Textkomentra"/>
    <w:next w:val="Textkomentra"/>
    <w:link w:val="PredmetkomentraChar"/>
    <w:uiPriority w:val="99"/>
    <w:semiHidden/>
    <w:unhideWhenUsed/>
    <w:rsid w:val="001F5F00"/>
    <w:rPr>
      <w:b/>
      <w:bCs/>
    </w:rPr>
  </w:style>
  <w:style w:type="character" w:customStyle="1" w:styleId="PredmetkomentraChar">
    <w:name w:val="Predmet komentára Char"/>
    <w:link w:val="Predmetkomentra"/>
    <w:uiPriority w:val="99"/>
    <w:semiHidden/>
    <w:rsid w:val="001F5F00"/>
    <w:rPr>
      <w:rFonts w:eastAsia="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616026">
      <w:bodyDiv w:val="1"/>
      <w:marLeft w:val="0"/>
      <w:marRight w:val="0"/>
      <w:marTop w:val="0"/>
      <w:marBottom w:val="0"/>
      <w:divBdr>
        <w:top w:val="none" w:sz="0" w:space="0" w:color="auto"/>
        <w:left w:val="none" w:sz="0" w:space="0" w:color="auto"/>
        <w:bottom w:val="none" w:sz="0" w:space="0" w:color="auto"/>
        <w:right w:val="none" w:sz="0" w:space="0" w:color="auto"/>
      </w:divBdr>
    </w:div>
    <w:div w:id="15047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2733</Words>
  <Characters>15584</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Schválený text k rozhodnutiu o registrácii, ev</vt:lpstr>
    </vt:vector>
  </TitlesOfParts>
  <Company>HP</Company>
  <LinksUpToDate>false</LinksUpToDate>
  <CharactersWithSpaces>18281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subject/>
  <dc:creator>Translators &amp; Transcreators Network</dc:creator>
  <cp:keywords/>
  <dc:description/>
  <cp:lastModifiedBy>Kuziaková, Marianna</cp:lastModifiedBy>
  <cp:revision>2</cp:revision>
  <dcterms:created xsi:type="dcterms:W3CDTF">2020-09-21T08:07:00Z</dcterms:created>
  <dcterms:modified xsi:type="dcterms:W3CDTF">2020-09-21T08:07:00Z</dcterms:modified>
</cp:coreProperties>
</file>