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B5A" w:rsidRPr="00C65683" w:rsidRDefault="005A7B5A" w:rsidP="005A7B5A">
      <w:pPr>
        <w:rPr>
          <w:b/>
          <w:snapToGrid w:val="0"/>
          <w:sz w:val="22"/>
          <w:szCs w:val="22"/>
        </w:rPr>
      </w:pPr>
    </w:p>
    <w:p w:rsidR="00B36F7F" w:rsidRPr="00C65683" w:rsidRDefault="00B36F7F" w:rsidP="005A7B5A">
      <w:pPr>
        <w:rPr>
          <w:b/>
          <w:snapToGrid w:val="0"/>
          <w:sz w:val="22"/>
          <w:szCs w:val="22"/>
        </w:rPr>
      </w:pPr>
    </w:p>
    <w:p w:rsidR="005A7B5A" w:rsidRPr="00C65683" w:rsidRDefault="005A7B5A" w:rsidP="005A7B5A">
      <w:pPr>
        <w:jc w:val="center"/>
        <w:rPr>
          <w:b/>
          <w:snapToGrid w:val="0"/>
          <w:sz w:val="22"/>
          <w:szCs w:val="22"/>
        </w:rPr>
      </w:pPr>
      <w:r w:rsidRPr="00C65683">
        <w:rPr>
          <w:b/>
          <w:snapToGrid w:val="0"/>
          <w:sz w:val="22"/>
          <w:szCs w:val="22"/>
        </w:rPr>
        <w:t>Písomná informácia pre používateľa</w:t>
      </w:r>
    </w:p>
    <w:p w:rsidR="005A7B5A" w:rsidRPr="00C65683" w:rsidRDefault="005A7B5A" w:rsidP="005A7B5A">
      <w:pPr>
        <w:rPr>
          <w:sz w:val="22"/>
          <w:szCs w:val="22"/>
        </w:rPr>
      </w:pPr>
    </w:p>
    <w:p w:rsidR="005A7B5A" w:rsidRPr="00C65683" w:rsidRDefault="005A7B5A" w:rsidP="005A7B5A">
      <w:pPr>
        <w:jc w:val="center"/>
        <w:rPr>
          <w:b/>
          <w:sz w:val="22"/>
          <w:szCs w:val="22"/>
        </w:rPr>
      </w:pP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</w:p>
    <w:p w:rsidR="005A7B5A" w:rsidRPr="00C65683" w:rsidRDefault="005A7B5A" w:rsidP="005A7B5A">
      <w:pPr>
        <w:jc w:val="center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2 mg/1 mg</w:t>
      </w:r>
    </w:p>
    <w:p w:rsidR="005A7B5A" w:rsidRPr="00C65683" w:rsidRDefault="005A7B5A" w:rsidP="005A7B5A">
      <w:pPr>
        <w:jc w:val="center"/>
        <w:rPr>
          <w:b/>
          <w:bCs/>
          <w:sz w:val="22"/>
          <w:szCs w:val="22"/>
        </w:rPr>
      </w:pPr>
      <w:r w:rsidRPr="00C65683">
        <w:rPr>
          <w:b/>
          <w:bCs/>
          <w:sz w:val="22"/>
          <w:szCs w:val="22"/>
        </w:rPr>
        <w:t xml:space="preserve">tvrdé pastilky </w:t>
      </w:r>
    </w:p>
    <w:p w:rsidR="005A7B5A" w:rsidRPr="00C65683" w:rsidRDefault="005A7B5A" w:rsidP="005A7B5A">
      <w:pPr>
        <w:jc w:val="center"/>
        <w:rPr>
          <w:bCs/>
          <w:sz w:val="22"/>
          <w:szCs w:val="22"/>
        </w:rPr>
      </w:pPr>
    </w:p>
    <w:p w:rsidR="005A7B5A" w:rsidRPr="00C65683" w:rsidRDefault="005A7B5A" w:rsidP="005A7B5A">
      <w:pPr>
        <w:jc w:val="center"/>
        <w:rPr>
          <w:bCs/>
          <w:sz w:val="22"/>
          <w:szCs w:val="22"/>
        </w:rPr>
      </w:pPr>
      <w:proofErr w:type="spellStart"/>
      <w:r w:rsidRPr="00C65683">
        <w:rPr>
          <w:bCs/>
          <w:sz w:val="22"/>
          <w:szCs w:val="22"/>
        </w:rPr>
        <w:t>cetylpyridíniumchlorid</w:t>
      </w:r>
      <w:proofErr w:type="spellEnd"/>
      <w:r w:rsidRPr="00C65683">
        <w:rPr>
          <w:bCs/>
          <w:sz w:val="22"/>
          <w:szCs w:val="22"/>
        </w:rPr>
        <w:t xml:space="preserve">, </w:t>
      </w:r>
      <w:proofErr w:type="spellStart"/>
      <w:r w:rsidRPr="00C65683">
        <w:rPr>
          <w:bCs/>
          <w:sz w:val="22"/>
          <w:szCs w:val="22"/>
        </w:rPr>
        <w:t>lidokaíniumchlorid</w:t>
      </w:r>
      <w:proofErr w:type="spellEnd"/>
      <w:r w:rsidRPr="00C65683">
        <w:rPr>
          <w:bCs/>
          <w:sz w:val="22"/>
          <w:szCs w:val="22"/>
        </w:rPr>
        <w:t xml:space="preserve"> </w:t>
      </w:r>
    </w:p>
    <w:p w:rsidR="005A7B5A" w:rsidRPr="00C65683" w:rsidRDefault="005A7B5A" w:rsidP="005A7B5A">
      <w:pPr>
        <w:tabs>
          <w:tab w:val="left" w:pos="2280"/>
        </w:tabs>
        <w:rPr>
          <w:b/>
          <w:position w:val="14"/>
          <w:sz w:val="22"/>
          <w:szCs w:val="22"/>
        </w:rPr>
      </w:pPr>
    </w:p>
    <w:p w:rsidR="005A7B5A" w:rsidRPr="00C65683" w:rsidRDefault="005A7B5A" w:rsidP="005A7B5A">
      <w:pPr>
        <w:tabs>
          <w:tab w:val="left" w:pos="2280"/>
        </w:tabs>
        <w:rPr>
          <w:b/>
          <w:position w:val="14"/>
          <w:sz w:val="22"/>
          <w:szCs w:val="22"/>
        </w:rPr>
      </w:pPr>
    </w:p>
    <w:p w:rsidR="005A7B5A" w:rsidRPr="00C65683" w:rsidRDefault="005A7B5A" w:rsidP="005A7B5A">
      <w:pPr>
        <w:tabs>
          <w:tab w:val="left" w:pos="0"/>
        </w:tabs>
        <w:rPr>
          <w:b/>
          <w:sz w:val="22"/>
          <w:szCs w:val="22"/>
          <w:lang w:eastAsia="fr-FR"/>
        </w:rPr>
      </w:pPr>
      <w:r w:rsidRPr="00C65683">
        <w:rPr>
          <w:b/>
          <w:sz w:val="22"/>
          <w:szCs w:val="22"/>
          <w:lang w:eastAsia="fr-FR"/>
        </w:rPr>
        <w:t>Pozorne si prečítajte celú písomnú informáciu predtým, ako začnete používať tento liek, pretože obsahuje pre vás dôležité informácie.</w:t>
      </w:r>
    </w:p>
    <w:p w:rsidR="004048E2" w:rsidRPr="00C65683" w:rsidRDefault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Cs w:val="22"/>
        </w:rPr>
      </w:pPr>
      <w:r w:rsidRPr="00C65683">
        <w:rPr>
          <w:sz w:val="22"/>
          <w:szCs w:val="22"/>
          <w:lang w:eastAsia="fr-FR"/>
        </w:rPr>
        <w:t>Vždy používajte tento liek presne tak, ako je to uvedené v tejto informácii alebo ako vám povedal váš lekárnik.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Túto písomnú informáciu si uschovajte. Možno bude potrebné, aby ste si ju znovu prečítali.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Ak potrebujete ďalšie informácie alebo radu, obráťte sa na svojho lekárnika.</w:t>
      </w:r>
    </w:p>
    <w:p w:rsidR="005A7B5A" w:rsidRPr="00C65683" w:rsidRDefault="005A7B5A" w:rsidP="005A7B5A">
      <w:pPr>
        <w:overflowPunct/>
        <w:autoSpaceDE/>
        <w:autoSpaceDN/>
        <w:adjustRightInd/>
        <w:ind w:left="567" w:right="-2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Ak sa do 5 dní nebudete cítiť lepšie alebo sa budete cítiť horšie, musíte sa obrátiť na lekára. </w:t>
      </w:r>
    </w:p>
    <w:p w:rsidR="005A7B5A" w:rsidRPr="00C65683" w:rsidRDefault="005A7B5A" w:rsidP="005A7B5A">
      <w:pPr>
        <w:ind w:left="567" w:hanging="567"/>
        <w:rPr>
          <w:sz w:val="22"/>
          <w:szCs w:val="22"/>
          <w:lang w:eastAsia="fr-FR"/>
        </w:rPr>
      </w:pPr>
    </w:p>
    <w:p w:rsidR="005A7B5A" w:rsidRPr="00C65683" w:rsidRDefault="005A7B5A" w:rsidP="005A7B5A">
      <w:pPr>
        <w:ind w:left="567" w:hanging="567"/>
        <w:rPr>
          <w:sz w:val="22"/>
          <w:szCs w:val="22"/>
          <w:lang w:eastAsia="fr-FR"/>
        </w:rPr>
      </w:pPr>
    </w:p>
    <w:p w:rsidR="005A7B5A" w:rsidRPr="00C65683" w:rsidRDefault="005A7B5A" w:rsidP="005A7B5A">
      <w:pPr>
        <w:ind w:left="284" w:hanging="284"/>
        <w:rPr>
          <w:b/>
          <w:bCs/>
          <w:sz w:val="22"/>
          <w:szCs w:val="22"/>
        </w:rPr>
      </w:pPr>
      <w:r w:rsidRPr="00C65683">
        <w:rPr>
          <w:b/>
          <w:bCs/>
          <w:sz w:val="22"/>
          <w:szCs w:val="22"/>
        </w:rPr>
        <w:t xml:space="preserve">V tejto písomnej informácii sa dozviete: </w:t>
      </w:r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Čo je </w:t>
      </w:r>
      <w:proofErr w:type="spellStart"/>
      <w:r w:rsidRPr="00C65683">
        <w:rPr>
          <w:sz w:val="22"/>
          <w:szCs w:val="22"/>
          <w:lang w:eastAsia="fr-FR"/>
        </w:rPr>
        <w:t>Oroforte</w:t>
      </w:r>
      <w:proofErr w:type="spellEnd"/>
      <w:r w:rsidRPr="00C65683">
        <w:rPr>
          <w:sz w:val="22"/>
          <w:szCs w:val="22"/>
          <w:lang w:eastAsia="fr-FR"/>
        </w:rPr>
        <w:t xml:space="preserve"> </w:t>
      </w:r>
      <w:proofErr w:type="spellStart"/>
      <w:r w:rsidRPr="00C65683">
        <w:rPr>
          <w:sz w:val="22"/>
          <w:szCs w:val="22"/>
          <w:lang w:eastAsia="fr-FR"/>
        </w:rPr>
        <w:t>menthol</w:t>
      </w:r>
      <w:proofErr w:type="spellEnd"/>
      <w:r w:rsidRPr="00C65683">
        <w:rPr>
          <w:sz w:val="22"/>
          <w:szCs w:val="22"/>
          <w:lang w:eastAsia="fr-FR"/>
        </w:rPr>
        <w:t xml:space="preserve"> a na čo sa používa</w:t>
      </w:r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Čo potrebujete vedieť predtým, ako použijete </w:t>
      </w:r>
      <w:proofErr w:type="spellStart"/>
      <w:r w:rsidRPr="00C65683">
        <w:rPr>
          <w:sz w:val="22"/>
          <w:szCs w:val="22"/>
          <w:lang w:eastAsia="fr-FR"/>
        </w:rPr>
        <w:t>Oroforte</w:t>
      </w:r>
      <w:proofErr w:type="spellEnd"/>
      <w:r w:rsidRPr="00C65683">
        <w:rPr>
          <w:sz w:val="22"/>
          <w:szCs w:val="22"/>
          <w:lang w:eastAsia="fr-FR"/>
        </w:rPr>
        <w:t xml:space="preserve"> </w:t>
      </w:r>
      <w:proofErr w:type="spellStart"/>
      <w:r w:rsidRPr="00C65683">
        <w:rPr>
          <w:sz w:val="22"/>
          <w:szCs w:val="22"/>
          <w:lang w:eastAsia="fr-FR"/>
        </w:rPr>
        <w:t>menthol</w:t>
      </w:r>
      <w:proofErr w:type="spellEnd"/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Ako používať </w:t>
      </w:r>
      <w:proofErr w:type="spellStart"/>
      <w:r w:rsidRPr="00C65683">
        <w:rPr>
          <w:sz w:val="22"/>
          <w:szCs w:val="22"/>
          <w:lang w:eastAsia="fr-FR"/>
        </w:rPr>
        <w:t>Oroforte</w:t>
      </w:r>
      <w:proofErr w:type="spellEnd"/>
      <w:r w:rsidRPr="00C65683">
        <w:rPr>
          <w:sz w:val="22"/>
          <w:szCs w:val="22"/>
          <w:lang w:eastAsia="fr-FR"/>
        </w:rPr>
        <w:t xml:space="preserve"> </w:t>
      </w:r>
      <w:proofErr w:type="spellStart"/>
      <w:r w:rsidRPr="00C65683">
        <w:rPr>
          <w:sz w:val="22"/>
          <w:szCs w:val="22"/>
          <w:lang w:eastAsia="fr-FR"/>
        </w:rPr>
        <w:t>menthol</w:t>
      </w:r>
      <w:proofErr w:type="spellEnd"/>
      <w:r w:rsidRPr="00C65683">
        <w:rPr>
          <w:sz w:val="22"/>
          <w:szCs w:val="22"/>
          <w:lang w:eastAsia="fr-FR"/>
        </w:rPr>
        <w:t xml:space="preserve"> </w:t>
      </w:r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Možné vedľajšie účinky</w:t>
      </w:r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Ako uchovávať </w:t>
      </w:r>
      <w:proofErr w:type="spellStart"/>
      <w:r w:rsidRPr="00C65683">
        <w:rPr>
          <w:sz w:val="22"/>
          <w:szCs w:val="22"/>
          <w:lang w:eastAsia="fr-FR"/>
        </w:rPr>
        <w:t>Oroforte</w:t>
      </w:r>
      <w:proofErr w:type="spellEnd"/>
      <w:r w:rsidRPr="00C65683">
        <w:rPr>
          <w:sz w:val="22"/>
          <w:szCs w:val="22"/>
          <w:lang w:eastAsia="fr-FR"/>
        </w:rPr>
        <w:t xml:space="preserve"> </w:t>
      </w:r>
      <w:proofErr w:type="spellStart"/>
      <w:r w:rsidRPr="00C65683">
        <w:rPr>
          <w:sz w:val="22"/>
          <w:szCs w:val="22"/>
          <w:lang w:eastAsia="fr-FR"/>
        </w:rPr>
        <w:t>menthol</w:t>
      </w:r>
      <w:proofErr w:type="spellEnd"/>
    </w:p>
    <w:p w:rsidR="005A7B5A" w:rsidRPr="00C6568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Obsah balenia a ďalšie informácie</w:t>
      </w:r>
    </w:p>
    <w:p w:rsidR="005A7B5A" w:rsidRPr="00C65683" w:rsidRDefault="005A7B5A" w:rsidP="005A7B5A">
      <w:pPr>
        <w:rPr>
          <w:b/>
          <w:sz w:val="22"/>
          <w:szCs w:val="22"/>
        </w:rPr>
      </w:pPr>
    </w:p>
    <w:p w:rsidR="005A7B5A" w:rsidRPr="00C65683" w:rsidRDefault="005A7B5A" w:rsidP="005A7B5A">
      <w:pPr>
        <w:rPr>
          <w:b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1.</w:t>
      </w:r>
      <w:r w:rsidRPr="00C65683">
        <w:rPr>
          <w:b/>
          <w:sz w:val="22"/>
          <w:szCs w:val="22"/>
        </w:rPr>
        <w:tab/>
        <w:t xml:space="preserve">Čo je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 xml:space="preserve"> a na čo sa používa</w:t>
      </w:r>
    </w:p>
    <w:p w:rsidR="005A7B5A" w:rsidRPr="00C65683" w:rsidRDefault="005A7B5A" w:rsidP="005A7B5A">
      <w:pPr>
        <w:keepNext/>
        <w:rPr>
          <w:sz w:val="22"/>
          <w:szCs w:val="22"/>
        </w:rPr>
      </w:pPr>
    </w:p>
    <w:p w:rsidR="005A7B5A" w:rsidRPr="00C65683" w:rsidRDefault="005A7B5A" w:rsidP="005A7B5A">
      <w:pPr>
        <w:rPr>
          <w:sz w:val="22"/>
          <w:szCs w:val="22"/>
        </w:rPr>
      </w:pPr>
      <w:proofErr w:type="spellStart"/>
      <w:r w:rsidRPr="00C65683">
        <w:rPr>
          <w:sz w:val="22"/>
          <w:szCs w:val="22"/>
        </w:rPr>
        <w:t>Oroforte</w:t>
      </w:r>
      <w:proofErr w:type="spellEnd"/>
      <w:r w:rsidRPr="00C65683">
        <w:rPr>
          <w:sz w:val="22"/>
          <w:szCs w:val="22"/>
        </w:rPr>
        <w:t xml:space="preserve">  </w:t>
      </w:r>
      <w:proofErr w:type="spellStart"/>
      <w:r w:rsidRPr="00C65683">
        <w:rPr>
          <w:sz w:val="22"/>
          <w:szCs w:val="22"/>
        </w:rPr>
        <w:t>menthol</w:t>
      </w:r>
      <w:proofErr w:type="spellEnd"/>
      <w:r w:rsidRPr="00C65683">
        <w:rPr>
          <w:sz w:val="22"/>
          <w:szCs w:val="22"/>
        </w:rPr>
        <w:t xml:space="preserve"> obsahuje liečivo </w:t>
      </w:r>
      <w:proofErr w:type="spellStart"/>
      <w:r w:rsidRPr="00C65683">
        <w:rPr>
          <w:sz w:val="22"/>
          <w:szCs w:val="22"/>
        </w:rPr>
        <w:t>cetylpyridíniumchlorid</w:t>
      </w:r>
      <w:proofErr w:type="spellEnd"/>
      <w:r w:rsidRPr="00C65683">
        <w:rPr>
          <w:sz w:val="22"/>
          <w:szCs w:val="22"/>
        </w:rPr>
        <w:t>, ktorý patrí do skupiny liekov nazývaných antiseptiká (</w:t>
      </w:r>
      <w:r w:rsidRPr="00C65683">
        <w:rPr>
          <w:rStyle w:val="st1"/>
          <w:color w:val="222222"/>
          <w:sz w:val="22"/>
          <w:szCs w:val="22"/>
        </w:rPr>
        <w:t xml:space="preserve">liečivá zneškodňujúce patogénne </w:t>
      </w:r>
      <w:proofErr w:type="spellStart"/>
      <w:r w:rsidRPr="00C65683">
        <w:rPr>
          <w:rStyle w:val="st1"/>
          <w:color w:val="222222"/>
          <w:sz w:val="22"/>
          <w:szCs w:val="22"/>
        </w:rPr>
        <w:t>mikrooraganizmy</w:t>
      </w:r>
      <w:proofErr w:type="spellEnd"/>
      <w:r w:rsidRPr="00C65683">
        <w:rPr>
          <w:sz w:val="22"/>
          <w:szCs w:val="22"/>
        </w:rPr>
        <w:t xml:space="preserve">) a </w:t>
      </w:r>
      <w:proofErr w:type="spellStart"/>
      <w:r w:rsidRPr="00C65683">
        <w:rPr>
          <w:sz w:val="22"/>
          <w:szCs w:val="22"/>
        </w:rPr>
        <w:t>lidokaíniumchlorid</w:t>
      </w:r>
      <w:proofErr w:type="spellEnd"/>
      <w:r w:rsidRPr="00C65683">
        <w:rPr>
          <w:sz w:val="22"/>
          <w:szCs w:val="22"/>
        </w:rPr>
        <w:t>, ktorý patrí do skupiny liekov nazývaných anestetiká (liečivá spôsobujúce znecitlivenie).</w:t>
      </w:r>
    </w:p>
    <w:p w:rsidR="005A7B5A" w:rsidRPr="00C65683" w:rsidRDefault="005A7B5A" w:rsidP="005A7B5A">
      <w:pPr>
        <w:rPr>
          <w:sz w:val="22"/>
          <w:szCs w:val="22"/>
        </w:rPr>
      </w:pPr>
    </w:p>
    <w:p w:rsidR="005A7B5A" w:rsidRPr="00C65683" w:rsidRDefault="005A7B5A" w:rsidP="005A7B5A">
      <w:pPr>
        <w:rPr>
          <w:b/>
          <w:sz w:val="22"/>
          <w:szCs w:val="22"/>
        </w:rPr>
      </w:pPr>
      <w:proofErr w:type="spellStart"/>
      <w:r w:rsidRPr="00C65683">
        <w:rPr>
          <w:sz w:val="22"/>
          <w:szCs w:val="22"/>
        </w:rPr>
        <w:t>Oroforte</w:t>
      </w:r>
      <w:proofErr w:type="spellEnd"/>
      <w:r w:rsidRPr="00C65683">
        <w:rPr>
          <w:sz w:val="22"/>
          <w:szCs w:val="22"/>
        </w:rPr>
        <w:t xml:space="preserve"> </w:t>
      </w:r>
      <w:proofErr w:type="spellStart"/>
      <w:r w:rsidRPr="00C65683">
        <w:rPr>
          <w:sz w:val="22"/>
          <w:szCs w:val="22"/>
        </w:rPr>
        <w:t>menthol</w:t>
      </w:r>
      <w:proofErr w:type="spellEnd"/>
      <w:r w:rsidRPr="00C65683">
        <w:rPr>
          <w:sz w:val="22"/>
          <w:szCs w:val="22"/>
        </w:rPr>
        <w:t xml:space="preserve"> sa používa na liečbu bolesti hrdla a menej závažných infekcií  dutiny ústnej a hrdla. Má antiseptické vlastnosti. Do dvoch minút poskytne úľavu od bolesti ako aj od podráždenia, ktoré súvisí so suchým kašľom, prechladnutím a chrípkou.</w:t>
      </w:r>
    </w:p>
    <w:p w:rsidR="005A7B5A" w:rsidRPr="00C65683" w:rsidRDefault="005A7B5A" w:rsidP="005A7B5A">
      <w:pPr>
        <w:rPr>
          <w:sz w:val="22"/>
          <w:szCs w:val="22"/>
        </w:rPr>
      </w:pPr>
    </w:p>
    <w:p w:rsidR="005A7B5A" w:rsidRPr="00C65683" w:rsidRDefault="005A7B5A" w:rsidP="005A7B5A">
      <w:pPr>
        <w:rPr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2.</w:t>
      </w:r>
      <w:r w:rsidRPr="00C65683">
        <w:rPr>
          <w:b/>
          <w:sz w:val="22"/>
          <w:szCs w:val="22"/>
        </w:rPr>
        <w:tab/>
        <w:t xml:space="preserve">Čo potrebujete vedieť predtým, ako použijete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 xml:space="preserve">Nepoužívajte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ak ste alergický (precitlivený) na </w:t>
      </w:r>
      <w:proofErr w:type="spellStart"/>
      <w:r w:rsidRPr="00C65683">
        <w:rPr>
          <w:sz w:val="22"/>
          <w:szCs w:val="22"/>
          <w:lang w:eastAsia="fr-FR"/>
        </w:rPr>
        <w:t>cetypyridíniumchlorid</w:t>
      </w:r>
      <w:proofErr w:type="spellEnd"/>
      <w:r w:rsidRPr="00C65683">
        <w:rPr>
          <w:sz w:val="22"/>
          <w:szCs w:val="22"/>
          <w:lang w:eastAsia="fr-FR"/>
        </w:rPr>
        <w:t xml:space="preserve">, </w:t>
      </w:r>
      <w:proofErr w:type="spellStart"/>
      <w:r w:rsidRPr="00C65683">
        <w:rPr>
          <w:sz w:val="22"/>
          <w:szCs w:val="22"/>
          <w:lang w:eastAsia="fr-FR"/>
        </w:rPr>
        <w:t>lidokaíniumchlorid</w:t>
      </w:r>
      <w:proofErr w:type="spellEnd"/>
      <w:r w:rsidRPr="00C65683">
        <w:rPr>
          <w:sz w:val="22"/>
          <w:szCs w:val="22"/>
          <w:lang w:eastAsia="fr-FR"/>
        </w:rPr>
        <w:t xml:space="preserve">, iné lokálne anestetiká </w:t>
      </w:r>
      <w:proofErr w:type="spellStart"/>
      <w:r w:rsidRPr="00C65683">
        <w:rPr>
          <w:sz w:val="22"/>
          <w:szCs w:val="22"/>
          <w:lang w:eastAsia="fr-FR"/>
        </w:rPr>
        <w:t>amidového</w:t>
      </w:r>
      <w:proofErr w:type="spellEnd"/>
      <w:r w:rsidRPr="00C65683">
        <w:rPr>
          <w:sz w:val="22"/>
          <w:szCs w:val="22"/>
          <w:lang w:eastAsia="fr-FR"/>
        </w:rPr>
        <w:t xml:space="preserve"> typu alebo na ktorúkoľvek z ďalších zložiek tohto lieku (uvedených v časti 6 alebo na konci časti 2). </w:t>
      </w:r>
    </w:p>
    <w:p w:rsidR="005A7B5A" w:rsidRPr="00C6568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Upozornenia a opatrenia</w:t>
      </w: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C65683">
        <w:rPr>
          <w:sz w:val="22"/>
          <w:szCs w:val="22"/>
          <w:u w:val="single"/>
        </w:rPr>
        <w:t xml:space="preserve">Obráťte sa na svojho lekára alebo lekárnika predtým, ako začnete užívať </w:t>
      </w:r>
      <w:proofErr w:type="spellStart"/>
      <w:r w:rsidRPr="00C65683">
        <w:rPr>
          <w:sz w:val="22"/>
          <w:szCs w:val="22"/>
          <w:u w:val="single"/>
        </w:rPr>
        <w:t>Oroforte</w:t>
      </w:r>
      <w:proofErr w:type="spellEnd"/>
      <w:r w:rsidRPr="00C65683">
        <w:rPr>
          <w:sz w:val="22"/>
          <w:szCs w:val="22"/>
          <w:u w:val="single"/>
        </w:rPr>
        <w:t xml:space="preserve"> </w:t>
      </w:r>
      <w:proofErr w:type="spellStart"/>
      <w:r w:rsidRPr="00C65683">
        <w:rPr>
          <w:sz w:val="22"/>
          <w:szCs w:val="22"/>
          <w:u w:val="single"/>
        </w:rPr>
        <w:t>menthol</w:t>
      </w:r>
      <w:proofErr w:type="spellEnd"/>
      <w:r w:rsidRPr="00C65683">
        <w:rPr>
          <w:sz w:val="22"/>
          <w:szCs w:val="22"/>
          <w:u w:val="single"/>
        </w:rPr>
        <w:t xml:space="preserve"> ak: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máte bolesť hrdla a horúčku niekoľko dní;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bolesti hrdla pretrvávajú po 5 dňoch užívania;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ak sú bolesti hrdla sprevádzané vysokou horúčkou, závratmi alebo vracaním.</w:t>
      </w:r>
    </w:p>
    <w:p w:rsidR="005A7B5A" w:rsidRPr="00C6568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eastAsia="fr-FR"/>
        </w:rPr>
      </w:pPr>
    </w:p>
    <w:p w:rsidR="005A7B5A" w:rsidRPr="00C6568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C65683">
        <w:rPr>
          <w:noProof/>
          <w:sz w:val="22"/>
          <w:szCs w:val="22"/>
          <w:lang w:eastAsia="fr-FR"/>
        </w:rPr>
        <w:lastRenderedPageBreak/>
        <w:t>Oroforte menthol je určený na krátkodobú liečbu</w:t>
      </w:r>
      <w:r w:rsidRPr="00C65683">
        <w:rPr>
          <w:noProof/>
          <w:sz w:val="22"/>
          <w:szCs w:val="22"/>
        </w:rPr>
        <w:t xml:space="preserve"> maximálne 5 po sebe nasledujúcich dní.</w:t>
      </w:r>
    </w:p>
    <w:p w:rsidR="005A7B5A" w:rsidRPr="00C6568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Pacienti s ranami alebo léziami v ústach a hrdle majú Oroforte menthol používať s opatrnosťou.</w:t>
      </w:r>
    </w:p>
    <w:p w:rsidR="005A7B5A" w:rsidRPr="00C6568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Deti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Oroforte menthol nie je určený na liečbu detí mladších ako 6 rokov.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Iné lieky a 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</w:p>
    <w:p w:rsidR="005A7B5A" w:rsidRPr="00C65683" w:rsidRDefault="005A7B5A" w:rsidP="005A7B5A">
      <w:pPr>
        <w:pStyle w:val="Text"/>
        <w:spacing w:before="0"/>
        <w:jc w:val="left"/>
        <w:rPr>
          <w:sz w:val="22"/>
          <w:szCs w:val="22"/>
        </w:rPr>
      </w:pPr>
      <w:r w:rsidRPr="00C65683">
        <w:rPr>
          <w:sz w:val="22"/>
          <w:szCs w:val="22"/>
        </w:rPr>
        <w:t xml:space="preserve">Nepredpokladá sa žiadne vzájomné pôsobenie iných liekov s pastilkami </w:t>
      </w:r>
      <w:proofErr w:type="spellStart"/>
      <w:r w:rsidRPr="00C65683">
        <w:rPr>
          <w:sz w:val="22"/>
          <w:szCs w:val="22"/>
        </w:rPr>
        <w:t>Oroforte</w:t>
      </w:r>
      <w:proofErr w:type="spellEnd"/>
      <w:r w:rsidRPr="00C65683">
        <w:rPr>
          <w:sz w:val="22"/>
          <w:szCs w:val="22"/>
        </w:rPr>
        <w:t xml:space="preserve"> </w:t>
      </w:r>
      <w:proofErr w:type="spellStart"/>
      <w:r w:rsidRPr="00C65683">
        <w:rPr>
          <w:sz w:val="22"/>
          <w:szCs w:val="22"/>
        </w:rPr>
        <w:t>menthol</w:t>
      </w:r>
      <w:proofErr w:type="spellEnd"/>
      <w:r w:rsidRPr="00C65683">
        <w:rPr>
          <w:sz w:val="22"/>
          <w:szCs w:val="22"/>
        </w:rPr>
        <w:t>.</w:t>
      </w:r>
    </w:p>
    <w:p w:rsidR="005A7B5A" w:rsidRPr="00C65683" w:rsidRDefault="005A7B5A" w:rsidP="005A7B5A">
      <w:pPr>
        <w:pStyle w:val="Text"/>
        <w:spacing w:before="0"/>
        <w:jc w:val="left"/>
        <w:rPr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Ak užívate alebo ste v poslednom čase užívali, či práve budete užívať ďalšie lieky, vrátane liekov, ktorých výdaj je viazaný na lekársky predpis, prosím, povedzte to svojmu lekárovi alebo lekárnikovi.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>, jedlo, nápoje a alkohol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Neužívajte Oroforte menthol súbežne s jedlom alebo tesne pred jedlom.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Je potrebné vyhnúť sa alkoholu, pretože podporuje vstrebávanie cetylpyridíniumchloridu, ktorý môže viesť k predávkovaniu.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Tehotenstvo a dojčenie</w:t>
      </w:r>
    </w:p>
    <w:p w:rsidR="005A7B5A" w:rsidRPr="00C6568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Neužívajte Oroforte menthol počas tehotenstva alebo dojčenia, pokiaľ vám to váš lekár neodporučil.</w:t>
      </w:r>
    </w:p>
    <w:p w:rsidR="005A7B5A" w:rsidRPr="00C6568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5A7B5A" w:rsidRPr="00C6568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Vedenie vozidiel a obsluha strojov</w:t>
      </w:r>
    </w:p>
    <w:p w:rsidR="005A7B5A" w:rsidRPr="00C6568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Oroforte menthol nemá žiadny alebo má zanedbateľný vplyv na schopnosť viesť vozidlá a obsluhovať stroje.</w:t>
      </w:r>
    </w:p>
    <w:p w:rsidR="005A7B5A" w:rsidRPr="00C65683" w:rsidRDefault="005A7B5A" w:rsidP="005A7B5A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 xml:space="preserve"> obsahuje </w:t>
      </w:r>
      <w:proofErr w:type="spellStart"/>
      <w:r w:rsidRPr="00C65683">
        <w:rPr>
          <w:b/>
          <w:sz w:val="22"/>
          <w:szCs w:val="22"/>
        </w:rPr>
        <w:t>sorbitol</w:t>
      </w:r>
      <w:proofErr w:type="spellEnd"/>
    </w:p>
    <w:p w:rsidR="005A7B5A" w:rsidRPr="00C6568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Ak vám lekár povedal, že neznášate niektoré cukry, kontaktujte svojho lekára pred použitím tohto lieku.</w:t>
      </w:r>
    </w:p>
    <w:p w:rsidR="005A7B5A" w:rsidRPr="00C6568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3.</w:t>
      </w:r>
      <w:r w:rsidRPr="00C65683">
        <w:rPr>
          <w:b/>
          <w:sz w:val="22"/>
          <w:szCs w:val="22"/>
        </w:rPr>
        <w:tab/>
        <w:t xml:space="preserve">Ako užívať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 xml:space="preserve"> </w:t>
      </w: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Vždy používajte tento liek presne tak, ako vám povedal váš lekár alebo lekárnik. Ak si nie ste niečím istý, overte si to u svojho lekára alebo lekárnika.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2D4106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Odporúčaná dávka</w:t>
      </w: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C65683">
        <w:rPr>
          <w:sz w:val="22"/>
          <w:szCs w:val="22"/>
          <w:u w:val="single"/>
        </w:rPr>
        <w:t>Dospelí a deti staršie ako 12 rokov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Závažný akútny zápal alebo bolesť hrdla: 1 pastilka každé 1 až 2 hodiny podľa potreby.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Miernejší zápal alebo bolesť hrdla: 1 pastilka každé 2 až 3 hodiny podľa potreby.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Neprekročte dávku 6 pastiliek denne.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C65683">
        <w:rPr>
          <w:sz w:val="22"/>
          <w:szCs w:val="22"/>
          <w:u w:val="single"/>
        </w:rPr>
        <w:t>Deti vo veku 6 až 12 rokov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Užívajte jednu pastilku každé 3 až 4 hodiny podľa potreby.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Neprekročte dávku 3 pastilky denne.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C65683">
        <w:rPr>
          <w:sz w:val="22"/>
          <w:szCs w:val="22"/>
          <w:u w:val="single"/>
        </w:rPr>
        <w:t>Deti mladšie ako 6</w:t>
      </w:r>
      <w:r w:rsidRPr="00C65683">
        <w:rPr>
          <w:u w:val="single"/>
        </w:rPr>
        <w:t> </w:t>
      </w:r>
      <w:r w:rsidRPr="00C65683">
        <w:rPr>
          <w:sz w:val="22"/>
          <w:szCs w:val="22"/>
          <w:u w:val="single"/>
        </w:rPr>
        <w:t>rokov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Užívanie pastiliek Oroforte menthol sa neodporúča deťom mladším ako 6 rokov.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Spôsob použitia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Nechajte pastilku pomaly rozpustiť v ústach. Pastilku nežujte, ani n</w:t>
      </w:r>
      <w:bookmarkStart w:id="0" w:name="_GoBack"/>
      <w:bookmarkEnd w:id="0"/>
      <w:r w:rsidRPr="00C65683">
        <w:rPr>
          <w:noProof/>
          <w:sz w:val="22"/>
          <w:szCs w:val="22"/>
        </w:rPr>
        <w:t>eprehĺtajte.</w:t>
      </w:r>
    </w:p>
    <w:p w:rsidR="005A7B5A" w:rsidRPr="00C65683" w:rsidRDefault="005A7B5A" w:rsidP="005A7B5A">
      <w:pPr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Nepoužívajte pastilku počas jedla alebo tesne pred jedlom.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 xml:space="preserve">Ak užijete viac pastiliek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>, ako máte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Náhodné požitie veľkého množstva Oroforte menthol</w:t>
      </w:r>
      <w:r w:rsidRPr="00C65683">
        <w:rPr>
          <w:b/>
          <w:noProof/>
          <w:sz w:val="22"/>
          <w:szCs w:val="22"/>
        </w:rPr>
        <w:t xml:space="preserve"> </w:t>
      </w:r>
      <w:r w:rsidRPr="00C65683">
        <w:rPr>
          <w:noProof/>
          <w:sz w:val="22"/>
          <w:szCs w:val="22"/>
        </w:rPr>
        <w:t xml:space="preserve">môže spôsobiť nevoľnosť a vracanie, zníženie krvného tlaku, zmenu srdcového rytmu, abnormálne dýchanie, kŕče, kómu, zastavenie srdca alebo </w:t>
      </w:r>
      <w:r w:rsidRPr="00C65683">
        <w:rPr>
          <w:noProof/>
          <w:sz w:val="22"/>
          <w:szCs w:val="22"/>
        </w:rPr>
        <w:lastRenderedPageBreak/>
        <w:t>dýchania prípadne až smrť. Odporúča sa okamžité podanie mlieka alebo vaječných bielkov vymiešaných s vodou.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Pokiaľ ste požili náhodou väčšie množstvo lieku Oroforte menthol, okamžite informujte svojho lekára alebo lekárnika.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4.</w:t>
      </w:r>
      <w:r w:rsidRPr="00C65683">
        <w:rPr>
          <w:b/>
          <w:sz w:val="22"/>
          <w:szCs w:val="22"/>
        </w:rPr>
        <w:tab/>
        <w:t>Možné vedľajšie účinky</w:t>
      </w: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Tak ako všetky lieky, aj tento liek  môže spôsobovať vedľajšie účinky, hoci sa neprejavia u každého.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C65683">
        <w:rPr>
          <w:sz w:val="22"/>
          <w:szCs w:val="22"/>
          <w:u w:val="single"/>
        </w:rPr>
        <w:t>Niektoré vedľajšie účinky sú zriedkavé</w:t>
      </w:r>
      <w:r w:rsidRPr="00C65683">
        <w:rPr>
          <w:sz w:val="22"/>
          <w:szCs w:val="22"/>
        </w:rPr>
        <w:t xml:space="preserve"> (môžu postihovať menej ako 1 z 1 000 osôb)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nutkanie na vracanie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 xml:space="preserve">podráždenie slizníc v ústnej dutine 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podráždenie v hrdle</w:t>
      </w: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C65683">
        <w:rPr>
          <w:sz w:val="22"/>
          <w:szCs w:val="22"/>
          <w:u w:val="single"/>
        </w:rPr>
        <w:t>Niektoré vedľajšie účinky sú veľmi zriedkavé</w:t>
      </w:r>
      <w:r w:rsidRPr="00C65683">
        <w:rPr>
          <w:sz w:val="22"/>
          <w:szCs w:val="22"/>
        </w:rPr>
        <w:t xml:space="preserve"> (môžu postihovať menej ako 1 z 10 000 osôb)</w:t>
      </w:r>
    </w:p>
    <w:p w:rsidR="005A7B5A" w:rsidRPr="00C6568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kožná vyrážka</w:t>
      </w: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Ak sa vyskytnú nežiaduce účinky, ktoré vás znepokojujú (aj účinky, ktoré nie sú uvedené v tejto písomnej informácii) poraďte sa so svojím lekárom alebo lekárnikom.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Hlásenie vedľajších účinkov</w:t>
      </w:r>
    </w:p>
    <w:p w:rsidR="005A7B5A" w:rsidRPr="00C65683" w:rsidRDefault="005A7B5A" w:rsidP="005A7B5A">
      <w:pPr>
        <w:rPr>
          <w:sz w:val="22"/>
          <w:szCs w:val="22"/>
        </w:rPr>
      </w:pPr>
      <w:r w:rsidRPr="00C6568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C65683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C65683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C65683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C65683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C65683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C65683">
        <w:rPr>
          <w:noProof/>
          <w:sz w:val="22"/>
          <w:szCs w:val="22"/>
        </w:rPr>
        <w:t>.</w:t>
      </w:r>
      <w:r w:rsidRPr="00C65683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5A7B5A" w:rsidRPr="00C65683" w:rsidRDefault="005A7B5A" w:rsidP="005A7B5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5.</w:t>
      </w:r>
      <w:r w:rsidRPr="00C65683">
        <w:rPr>
          <w:b/>
          <w:sz w:val="22"/>
          <w:szCs w:val="22"/>
        </w:rPr>
        <w:tab/>
        <w:t xml:space="preserve">Ako uchovávať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Uchovávajte mimo dohľadu a dosahu detí.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 xml:space="preserve">Uchovávajte Oroforte menthol pri teplote do 30 °C. Uchovávajte v pôvodnom obale. 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6.</w:t>
      </w:r>
      <w:r w:rsidRPr="00C65683">
        <w:rPr>
          <w:b/>
          <w:sz w:val="22"/>
          <w:szCs w:val="22"/>
        </w:rPr>
        <w:tab/>
        <w:t>Obsah balenia a ďalšie informácie</w:t>
      </w: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 xml:space="preserve">Čo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 xml:space="preserve"> obsahuje</w:t>
      </w:r>
    </w:p>
    <w:p w:rsidR="005A7B5A" w:rsidRPr="00C65683" w:rsidRDefault="002D4106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L</w:t>
      </w:r>
      <w:r w:rsidR="005A7B5A" w:rsidRPr="00C65683">
        <w:rPr>
          <w:sz w:val="22"/>
          <w:szCs w:val="22"/>
          <w:lang w:eastAsia="fr-FR"/>
        </w:rPr>
        <w:t xml:space="preserve">iečivá sú </w:t>
      </w:r>
      <w:proofErr w:type="spellStart"/>
      <w:r w:rsidR="005A7B5A" w:rsidRPr="00C65683">
        <w:rPr>
          <w:sz w:val="22"/>
          <w:szCs w:val="22"/>
          <w:lang w:eastAsia="fr-FR"/>
        </w:rPr>
        <w:t>cetylpyridíniumchlorid</w:t>
      </w:r>
      <w:proofErr w:type="spellEnd"/>
      <w:r w:rsidR="005A7B5A" w:rsidRPr="00C65683">
        <w:rPr>
          <w:sz w:val="22"/>
          <w:szCs w:val="22"/>
          <w:lang w:eastAsia="fr-FR"/>
        </w:rPr>
        <w:t xml:space="preserve"> 2 mg a </w:t>
      </w:r>
      <w:proofErr w:type="spellStart"/>
      <w:r w:rsidR="005A7B5A" w:rsidRPr="00C65683">
        <w:rPr>
          <w:sz w:val="22"/>
          <w:szCs w:val="22"/>
          <w:lang w:eastAsia="fr-FR"/>
        </w:rPr>
        <w:t>lidokaíniumchlorid</w:t>
      </w:r>
      <w:proofErr w:type="spellEnd"/>
      <w:r w:rsidR="005A7B5A" w:rsidRPr="00C65683">
        <w:rPr>
          <w:sz w:val="22"/>
          <w:szCs w:val="22"/>
          <w:lang w:eastAsia="fr-FR"/>
        </w:rPr>
        <w:t xml:space="preserve"> 1 mg v jednej pastilke</w:t>
      </w:r>
      <w:r w:rsidRPr="00C65683">
        <w:rPr>
          <w:sz w:val="22"/>
          <w:szCs w:val="22"/>
          <w:lang w:eastAsia="fr-FR"/>
        </w:rPr>
        <w:t>.</w:t>
      </w:r>
    </w:p>
    <w:p w:rsidR="005A7B5A" w:rsidRPr="00C65683" w:rsidRDefault="002D4106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C65683">
        <w:rPr>
          <w:sz w:val="22"/>
          <w:szCs w:val="22"/>
          <w:lang w:eastAsia="fr-FR"/>
        </w:rPr>
        <w:t>P</w:t>
      </w:r>
      <w:r w:rsidR="005A7B5A" w:rsidRPr="00C65683">
        <w:rPr>
          <w:sz w:val="22"/>
          <w:szCs w:val="22"/>
          <w:lang w:eastAsia="fr-FR"/>
        </w:rPr>
        <w:t xml:space="preserve">omocné látky: mätová silica, </w:t>
      </w:r>
      <w:proofErr w:type="spellStart"/>
      <w:r w:rsidR="005A7B5A" w:rsidRPr="00C65683">
        <w:rPr>
          <w:sz w:val="22"/>
          <w:szCs w:val="22"/>
          <w:lang w:eastAsia="fr-FR"/>
        </w:rPr>
        <w:t>levomentol</w:t>
      </w:r>
      <w:proofErr w:type="spellEnd"/>
      <w:r w:rsidR="005A7B5A" w:rsidRPr="00C65683">
        <w:rPr>
          <w:sz w:val="22"/>
          <w:szCs w:val="22"/>
          <w:lang w:eastAsia="fr-FR"/>
        </w:rPr>
        <w:t xml:space="preserve">, </w:t>
      </w:r>
      <w:proofErr w:type="spellStart"/>
      <w:r w:rsidR="005A7B5A" w:rsidRPr="00C65683">
        <w:rPr>
          <w:rStyle w:val="st"/>
          <w:sz w:val="22"/>
          <w:szCs w:val="22"/>
        </w:rPr>
        <w:t>acesulfám</w:t>
      </w:r>
      <w:proofErr w:type="spellEnd"/>
      <w:r w:rsidR="005A7B5A" w:rsidRPr="00C65683">
        <w:rPr>
          <w:rStyle w:val="st"/>
          <w:sz w:val="22"/>
          <w:szCs w:val="22"/>
        </w:rPr>
        <w:t xml:space="preserve"> draselný</w:t>
      </w:r>
      <w:r w:rsidR="005A7B5A" w:rsidRPr="00C65683">
        <w:rPr>
          <w:sz w:val="22"/>
          <w:szCs w:val="22"/>
          <w:lang w:eastAsia="fr-FR"/>
        </w:rPr>
        <w:t xml:space="preserve">, kukuričný škrob, </w:t>
      </w:r>
      <w:proofErr w:type="spellStart"/>
      <w:r w:rsidR="005A7B5A" w:rsidRPr="00C65683">
        <w:rPr>
          <w:sz w:val="22"/>
          <w:szCs w:val="22"/>
          <w:lang w:eastAsia="fr-FR"/>
        </w:rPr>
        <w:t>monohydrát</w:t>
      </w:r>
      <w:proofErr w:type="spellEnd"/>
      <w:r w:rsidR="005A7B5A" w:rsidRPr="00C65683">
        <w:rPr>
          <w:sz w:val="22"/>
          <w:szCs w:val="22"/>
          <w:lang w:eastAsia="fr-FR"/>
        </w:rPr>
        <w:t xml:space="preserve"> kyseliny citrónovej, </w:t>
      </w:r>
      <w:proofErr w:type="spellStart"/>
      <w:r w:rsidR="005A7B5A" w:rsidRPr="00C65683">
        <w:rPr>
          <w:sz w:val="22"/>
          <w:szCs w:val="22"/>
          <w:lang w:eastAsia="fr-FR"/>
        </w:rPr>
        <w:t>makrogol</w:t>
      </w:r>
      <w:proofErr w:type="spellEnd"/>
      <w:r w:rsidR="005A7B5A" w:rsidRPr="00C65683">
        <w:rPr>
          <w:sz w:val="22"/>
          <w:szCs w:val="22"/>
          <w:lang w:eastAsia="fr-FR"/>
        </w:rPr>
        <w:t xml:space="preserve"> 6000, mikrokryštalická celulóza, </w:t>
      </w:r>
      <w:proofErr w:type="spellStart"/>
      <w:r w:rsidR="005A7B5A" w:rsidRPr="00C65683">
        <w:rPr>
          <w:sz w:val="22"/>
          <w:szCs w:val="22"/>
          <w:lang w:eastAsia="fr-FR"/>
        </w:rPr>
        <w:t>magnéziumstearát</w:t>
      </w:r>
      <w:proofErr w:type="spellEnd"/>
      <w:r w:rsidR="005A7B5A" w:rsidRPr="00C65683">
        <w:rPr>
          <w:sz w:val="22"/>
          <w:szCs w:val="22"/>
          <w:lang w:eastAsia="fr-FR"/>
        </w:rPr>
        <w:t xml:space="preserve">, </w:t>
      </w:r>
      <w:proofErr w:type="spellStart"/>
      <w:r w:rsidR="005A7B5A" w:rsidRPr="00C65683">
        <w:rPr>
          <w:sz w:val="22"/>
          <w:szCs w:val="22"/>
          <w:lang w:eastAsia="fr-FR"/>
        </w:rPr>
        <w:t>sorbitol</w:t>
      </w:r>
      <w:proofErr w:type="spellEnd"/>
      <w:r w:rsidR="005A7B5A" w:rsidRPr="00C65683">
        <w:rPr>
          <w:sz w:val="22"/>
          <w:szCs w:val="22"/>
          <w:lang w:eastAsia="fr-FR"/>
        </w:rPr>
        <w:t>, čistená voda.</w:t>
      </w: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 xml:space="preserve">Ako vyzerá </w:t>
      </w:r>
      <w:proofErr w:type="spellStart"/>
      <w:r w:rsidRPr="00C65683">
        <w:rPr>
          <w:b/>
          <w:sz w:val="22"/>
          <w:szCs w:val="22"/>
        </w:rPr>
        <w:t>Oroforte</w:t>
      </w:r>
      <w:proofErr w:type="spellEnd"/>
      <w:r w:rsidRPr="00C65683">
        <w:rPr>
          <w:b/>
          <w:sz w:val="22"/>
          <w:szCs w:val="22"/>
        </w:rPr>
        <w:t xml:space="preserve"> </w:t>
      </w:r>
      <w:proofErr w:type="spellStart"/>
      <w:r w:rsidRPr="00C65683">
        <w:rPr>
          <w:b/>
          <w:sz w:val="22"/>
          <w:szCs w:val="22"/>
        </w:rPr>
        <w:t>menthol</w:t>
      </w:r>
      <w:proofErr w:type="spellEnd"/>
      <w:r w:rsidRPr="00C65683">
        <w:rPr>
          <w:b/>
          <w:sz w:val="22"/>
          <w:szCs w:val="22"/>
        </w:rPr>
        <w:t xml:space="preserve"> a obsah balenia</w:t>
      </w:r>
    </w:p>
    <w:p w:rsidR="005A7B5A" w:rsidRPr="00C65683" w:rsidRDefault="005A7B5A" w:rsidP="005A7B5A">
      <w:pPr>
        <w:ind w:right="-2"/>
        <w:rPr>
          <w:noProof/>
          <w:sz w:val="22"/>
          <w:szCs w:val="22"/>
        </w:rPr>
      </w:pPr>
      <w:r w:rsidRPr="00C65683">
        <w:rPr>
          <w:noProof/>
          <w:sz w:val="22"/>
          <w:szCs w:val="22"/>
        </w:rPr>
        <w:t>Oroforte menthol sú biele, obdĺžnikové pastilky so skosenými hranami v PVC/PE/PCDC blistri.</w:t>
      </w:r>
    </w:p>
    <w:p w:rsidR="005A7B5A" w:rsidRPr="00C65683" w:rsidRDefault="005A7B5A" w:rsidP="005A7B5A">
      <w:pPr>
        <w:rPr>
          <w:sz w:val="22"/>
          <w:szCs w:val="22"/>
        </w:rPr>
      </w:pPr>
      <w:r w:rsidRPr="00C65683">
        <w:rPr>
          <w:sz w:val="22"/>
          <w:szCs w:val="22"/>
        </w:rPr>
        <w:t>Veľkosť balenia: 6, 10, 12, 18, 20, 2-krát 6, 3-krát 6 alebo 2-krát 10 tvrdých pastiliek.</w:t>
      </w:r>
    </w:p>
    <w:p w:rsidR="005A7B5A" w:rsidRPr="00C65683" w:rsidRDefault="005A7B5A" w:rsidP="005A7B5A">
      <w:pPr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Držiteľ rozhodnutia o registrácii</w:t>
      </w:r>
    </w:p>
    <w:p w:rsidR="00C65683" w:rsidRDefault="00C65683" w:rsidP="00C65683">
      <w:pPr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C65683" w:rsidRDefault="00C65683" w:rsidP="00C65683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C65683" w:rsidRDefault="00C65683" w:rsidP="00C65683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C65683" w:rsidRPr="00D5268A" w:rsidDel="003B7979" w:rsidRDefault="00C65683" w:rsidP="00C65683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5A7B5A" w:rsidRPr="00C6568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C65683">
        <w:rPr>
          <w:b/>
          <w:sz w:val="22"/>
          <w:szCs w:val="22"/>
        </w:rPr>
        <w:t>Výrobca</w:t>
      </w:r>
    </w:p>
    <w:p w:rsidR="002D4106" w:rsidRPr="00C65683" w:rsidRDefault="002D4106" w:rsidP="002D4106">
      <w:pPr>
        <w:pStyle w:val="TxBrp1"/>
        <w:tabs>
          <w:tab w:val="left" w:pos="567"/>
        </w:tabs>
        <w:rPr>
          <w:noProof/>
          <w:sz w:val="22"/>
          <w:szCs w:val="22"/>
          <w:lang w:val="sk-SK"/>
        </w:rPr>
      </w:pPr>
      <w:r w:rsidRPr="00C65683">
        <w:rPr>
          <w:noProof/>
          <w:sz w:val="22"/>
          <w:szCs w:val="22"/>
          <w:lang w:val="sk-SK"/>
        </w:rPr>
        <w:t>G</w:t>
      </w:r>
      <w:r w:rsidR="00D758CA" w:rsidRPr="00C65683">
        <w:rPr>
          <w:noProof/>
          <w:sz w:val="22"/>
          <w:szCs w:val="22"/>
          <w:lang w:val="sk-SK"/>
        </w:rPr>
        <w:t>laxo</w:t>
      </w:r>
      <w:r w:rsidRPr="00C65683">
        <w:rPr>
          <w:noProof/>
          <w:sz w:val="22"/>
          <w:szCs w:val="22"/>
          <w:lang w:val="sk-SK"/>
        </w:rPr>
        <w:t>S</w:t>
      </w:r>
      <w:r w:rsidR="00D758CA" w:rsidRPr="00C65683">
        <w:rPr>
          <w:noProof/>
          <w:sz w:val="22"/>
          <w:szCs w:val="22"/>
          <w:lang w:val="sk-SK"/>
        </w:rPr>
        <w:t>mith</w:t>
      </w:r>
      <w:r w:rsidRPr="00C65683">
        <w:rPr>
          <w:noProof/>
          <w:sz w:val="22"/>
          <w:szCs w:val="22"/>
          <w:lang w:val="sk-SK"/>
        </w:rPr>
        <w:t>K</w:t>
      </w:r>
      <w:r w:rsidR="00D758CA" w:rsidRPr="00C65683">
        <w:rPr>
          <w:noProof/>
          <w:sz w:val="22"/>
          <w:szCs w:val="22"/>
          <w:lang w:val="sk-SK"/>
        </w:rPr>
        <w:t>line</w:t>
      </w:r>
      <w:r w:rsidRPr="00C65683">
        <w:rPr>
          <w:noProof/>
          <w:sz w:val="22"/>
          <w:szCs w:val="22"/>
          <w:lang w:val="sk-SK"/>
        </w:rPr>
        <w:t xml:space="preserve"> Consumer Healthcare GmbH &amp; Co. KG, Barthstrasse 4, 80339 Mníchov, Nemecko</w:t>
      </w:r>
    </w:p>
    <w:p w:rsidR="005A7B5A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C65683" w:rsidRPr="00C65683" w:rsidRDefault="00C65683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C65683" w:rsidRDefault="005A7B5A" w:rsidP="005A7B5A">
      <w:pPr>
        <w:rPr>
          <w:sz w:val="22"/>
          <w:szCs w:val="22"/>
        </w:rPr>
      </w:pPr>
      <w:r w:rsidRPr="00C65683">
        <w:rPr>
          <w:b/>
          <w:noProof/>
          <w:sz w:val="22"/>
          <w:szCs w:val="22"/>
        </w:rPr>
        <w:t>Táto písomná informácia bola naposledy aktualizovaná v </w:t>
      </w:r>
      <w:r w:rsidR="00C65683">
        <w:rPr>
          <w:b/>
          <w:noProof/>
          <w:sz w:val="22"/>
          <w:szCs w:val="22"/>
        </w:rPr>
        <w:t>septembri 2020</w:t>
      </w:r>
      <w:r w:rsidR="00685866" w:rsidRPr="00C65683">
        <w:rPr>
          <w:b/>
          <w:noProof/>
          <w:sz w:val="22"/>
          <w:szCs w:val="22"/>
        </w:rPr>
        <w:t>.</w:t>
      </w:r>
    </w:p>
    <w:p w:rsidR="00093E93" w:rsidRPr="00C65683" w:rsidRDefault="00093E93"/>
    <w:sectPr w:rsidR="00093E93" w:rsidRPr="00C65683" w:rsidSect="008F7EFE">
      <w:headerReference w:type="default" r:id="rId8"/>
      <w:footerReference w:type="even" r:id="rId9"/>
      <w:footerReference w:type="default" r:id="rId10"/>
      <w:pgSz w:w="11907" w:h="16840"/>
      <w:pgMar w:top="1134" w:right="1275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57" w:rsidRDefault="005A7B57" w:rsidP="00FC3812">
      <w:r>
        <w:separator/>
      </w:r>
    </w:p>
  </w:endnote>
  <w:endnote w:type="continuationSeparator" w:id="0">
    <w:p w:rsidR="005A7B57" w:rsidRDefault="005A7B57" w:rsidP="00F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45" w:rsidRDefault="00D64125" w:rsidP="009D1B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D41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2D45" w:rsidRDefault="005A7B5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45" w:rsidRPr="009C414F" w:rsidRDefault="00D64125" w:rsidP="009D1BA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C414F">
      <w:rPr>
        <w:rStyle w:val="slostrany"/>
        <w:sz w:val="18"/>
        <w:szCs w:val="18"/>
      </w:rPr>
      <w:fldChar w:fldCharType="begin"/>
    </w:r>
    <w:r w:rsidR="002D4106" w:rsidRPr="009C414F">
      <w:rPr>
        <w:rStyle w:val="slostrany"/>
        <w:sz w:val="18"/>
        <w:szCs w:val="18"/>
      </w:rPr>
      <w:instrText xml:space="preserve">PAGE  </w:instrText>
    </w:r>
    <w:r w:rsidRPr="009C414F">
      <w:rPr>
        <w:rStyle w:val="slostrany"/>
        <w:sz w:val="18"/>
        <w:szCs w:val="18"/>
      </w:rPr>
      <w:fldChar w:fldCharType="separate"/>
    </w:r>
    <w:r w:rsidR="006023C2">
      <w:rPr>
        <w:rStyle w:val="slostrany"/>
        <w:noProof/>
        <w:sz w:val="18"/>
        <w:szCs w:val="18"/>
      </w:rPr>
      <w:t>4</w:t>
    </w:r>
    <w:r w:rsidRPr="009C414F">
      <w:rPr>
        <w:rStyle w:val="slostrany"/>
        <w:sz w:val="18"/>
        <w:szCs w:val="18"/>
      </w:rPr>
      <w:fldChar w:fldCharType="end"/>
    </w:r>
  </w:p>
  <w:p w:rsidR="00032D45" w:rsidRDefault="005A7B5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57" w:rsidRDefault="005A7B57" w:rsidP="00FC3812">
      <w:r>
        <w:separator/>
      </w:r>
    </w:p>
  </w:footnote>
  <w:footnote w:type="continuationSeparator" w:id="0">
    <w:p w:rsidR="005A7B57" w:rsidRDefault="005A7B57" w:rsidP="00FC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CA" w:rsidRPr="00685866" w:rsidRDefault="00C65683">
    <w:pPr>
      <w:pStyle w:val="Hlavika"/>
    </w:pPr>
    <w:r w:rsidRPr="002C10F5">
      <w:rPr>
        <w:bCs/>
        <w:sz w:val="18"/>
        <w:szCs w:val="18"/>
        <w:lang w:val="cs-CZ"/>
      </w:rPr>
      <w:t>Schválený text k </w:t>
    </w:r>
    <w:proofErr w:type="spellStart"/>
    <w:r w:rsidRPr="002C10F5">
      <w:rPr>
        <w:bCs/>
        <w:sz w:val="18"/>
        <w:szCs w:val="18"/>
        <w:lang w:val="cs-CZ"/>
      </w:rPr>
      <w:t>rozhodnutiu</w:t>
    </w:r>
    <w:proofErr w:type="spellEnd"/>
    <w:r w:rsidRPr="002C10F5">
      <w:rPr>
        <w:bCs/>
        <w:sz w:val="18"/>
        <w:szCs w:val="18"/>
        <w:lang w:val="cs-CZ"/>
      </w:rPr>
      <w:t xml:space="preserve"> o </w:t>
    </w:r>
    <w:proofErr w:type="spellStart"/>
    <w:r w:rsidRPr="002C10F5">
      <w:rPr>
        <w:bCs/>
        <w:sz w:val="18"/>
        <w:szCs w:val="18"/>
        <w:lang w:val="cs-CZ"/>
      </w:rPr>
      <w:t>prevode</w:t>
    </w:r>
    <w:proofErr w:type="spellEnd"/>
    <w:r w:rsidRPr="002C10F5">
      <w:rPr>
        <w:bCs/>
        <w:sz w:val="18"/>
        <w:szCs w:val="18"/>
        <w:lang w:val="cs-CZ"/>
      </w:rPr>
      <w:t xml:space="preserve">, ev. č.: </w:t>
    </w:r>
    <w:r w:rsidR="00CA28FB">
      <w:rPr>
        <w:sz w:val="18"/>
        <w:szCs w:val="18"/>
      </w:rPr>
      <w:t>2020/03974-TR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E7119"/>
    <w:multiLevelType w:val="hybridMultilevel"/>
    <w:tmpl w:val="318C5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47BB5"/>
    <w:multiLevelType w:val="hybridMultilevel"/>
    <w:tmpl w:val="5C8E3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5A"/>
    <w:rsid w:val="00093E93"/>
    <w:rsid w:val="00242A20"/>
    <w:rsid w:val="002D4106"/>
    <w:rsid w:val="003E6943"/>
    <w:rsid w:val="004048E2"/>
    <w:rsid w:val="00423670"/>
    <w:rsid w:val="004B17EB"/>
    <w:rsid w:val="005A0DC0"/>
    <w:rsid w:val="005A7B57"/>
    <w:rsid w:val="005A7B5A"/>
    <w:rsid w:val="005D4273"/>
    <w:rsid w:val="006023C2"/>
    <w:rsid w:val="006146ED"/>
    <w:rsid w:val="00685866"/>
    <w:rsid w:val="006A6BF4"/>
    <w:rsid w:val="00724E3B"/>
    <w:rsid w:val="007D0412"/>
    <w:rsid w:val="00B36F7F"/>
    <w:rsid w:val="00BB3AD7"/>
    <w:rsid w:val="00C65683"/>
    <w:rsid w:val="00C81DA3"/>
    <w:rsid w:val="00CA28FB"/>
    <w:rsid w:val="00D64125"/>
    <w:rsid w:val="00D758CA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7BD094-44E4-4A32-917D-24594AB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7B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A7B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A7B5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5A7B5A"/>
  </w:style>
  <w:style w:type="paragraph" w:customStyle="1" w:styleId="Andy">
    <w:name w:val="Andy"/>
    <w:basedOn w:val="Normlny"/>
    <w:rsid w:val="005A7B5A"/>
    <w:pPr>
      <w:widowControl w:val="0"/>
      <w:overflowPunct/>
      <w:autoSpaceDE/>
      <w:autoSpaceDN/>
      <w:adjustRightInd/>
      <w:jc w:val="both"/>
      <w:textAlignment w:val="auto"/>
    </w:pPr>
    <w:rPr>
      <w:sz w:val="22"/>
      <w:szCs w:val="24"/>
      <w:lang w:val="en-US" w:eastAsia="fr-FR"/>
    </w:rPr>
  </w:style>
  <w:style w:type="paragraph" w:customStyle="1" w:styleId="Text">
    <w:name w:val="Text"/>
    <w:basedOn w:val="Normlny"/>
    <w:link w:val="TextChar"/>
    <w:rsid w:val="005A7B5A"/>
    <w:pPr>
      <w:overflowPunct/>
      <w:autoSpaceDE/>
      <w:autoSpaceDN/>
      <w:adjustRightInd/>
      <w:spacing w:before="120"/>
      <w:jc w:val="both"/>
      <w:textAlignment w:val="auto"/>
    </w:pPr>
    <w:rPr>
      <w:rFonts w:eastAsia="MS Mincho"/>
      <w:sz w:val="24"/>
      <w:lang w:eastAsia="ja-JP"/>
    </w:rPr>
  </w:style>
  <w:style w:type="character" w:customStyle="1" w:styleId="TextChar">
    <w:name w:val="Text Char"/>
    <w:link w:val="Text"/>
    <w:rsid w:val="005A7B5A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st1">
    <w:name w:val="st1"/>
    <w:basedOn w:val="Predvolenpsmoodseku"/>
    <w:rsid w:val="005A7B5A"/>
  </w:style>
  <w:style w:type="character" w:styleId="Hypertextovprepojenie">
    <w:name w:val="Hyperlink"/>
    <w:semiHidden/>
    <w:unhideWhenUsed/>
    <w:rsid w:val="005A7B5A"/>
    <w:rPr>
      <w:color w:val="0000FF"/>
      <w:u w:val="single"/>
    </w:rPr>
  </w:style>
  <w:style w:type="character" w:customStyle="1" w:styleId="st">
    <w:name w:val="st"/>
    <w:rsid w:val="005A7B5A"/>
  </w:style>
  <w:style w:type="paragraph" w:customStyle="1" w:styleId="TxBrp1">
    <w:name w:val="TxBr_p1"/>
    <w:basedOn w:val="Normlny"/>
    <w:rsid w:val="002D4106"/>
    <w:pPr>
      <w:widowControl w:val="0"/>
      <w:tabs>
        <w:tab w:val="left" w:pos="204"/>
      </w:tabs>
      <w:overflowPunct/>
      <w:autoSpaceDE/>
      <w:autoSpaceDN/>
      <w:adjustRightInd/>
      <w:spacing w:line="277" w:lineRule="atLeast"/>
      <w:textAlignment w:val="auto"/>
    </w:pPr>
    <w:rPr>
      <w:snapToGrid w:val="0"/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2D41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10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6F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Orszaghova</dc:creator>
  <cp:lastModifiedBy>ME</cp:lastModifiedBy>
  <cp:revision>3</cp:revision>
  <dcterms:created xsi:type="dcterms:W3CDTF">2020-09-23T11:14:00Z</dcterms:created>
  <dcterms:modified xsi:type="dcterms:W3CDTF">2020-09-23T11:14:00Z</dcterms:modified>
</cp:coreProperties>
</file>