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5B2" w:rsidRPr="0023237F" w:rsidRDefault="00FA75B2" w:rsidP="0023237F">
      <w:pPr>
        <w:autoSpaceDE w:val="0"/>
        <w:autoSpaceDN w:val="0"/>
        <w:adjustRightInd w:val="0"/>
        <w:jc w:val="center"/>
        <w:rPr>
          <w:rFonts w:eastAsia="MS Mincho"/>
          <w:b/>
          <w:bCs/>
          <w:snapToGrid w:val="0"/>
          <w:szCs w:val="22"/>
          <w:lang w:val="sk-SK"/>
        </w:rPr>
      </w:pPr>
    </w:p>
    <w:p w:rsidR="00CC1A17" w:rsidRPr="00063543" w:rsidRDefault="00CC1A17" w:rsidP="00CC1A17">
      <w:pPr>
        <w:keepNext/>
        <w:jc w:val="center"/>
        <w:rPr>
          <w:szCs w:val="22"/>
        </w:rPr>
      </w:pPr>
      <w:proofErr w:type="spellStart"/>
      <w:r>
        <w:rPr>
          <w:b/>
          <w:bCs/>
          <w:szCs w:val="22"/>
        </w:rPr>
        <w:t>Písomná</w:t>
      </w:r>
      <w:proofErr w:type="spellEnd"/>
      <w:r>
        <w:rPr>
          <w:b/>
          <w:bCs/>
          <w:szCs w:val="22"/>
        </w:rPr>
        <w:t xml:space="preserve"> </w:t>
      </w:r>
      <w:proofErr w:type="spellStart"/>
      <w:r>
        <w:rPr>
          <w:b/>
          <w:bCs/>
          <w:szCs w:val="22"/>
        </w:rPr>
        <w:t>informácia</w:t>
      </w:r>
      <w:proofErr w:type="spellEnd"/>
      <w:r>
        <w:rPr>
          <w:b/>
          <w:bCs/>
          <w:szCs w:val="22"/>
        </w:rPr>
        <w:t xml:space="preserve"> pre </w:t>
      </w:r>
      <w:proofErr w:type="spellStart"/>
      <w:r>
        <w:rPr>
          <w:b/>
          <w:bCs/>
          <w:szCs w:val="22"/>
        </w:rPr>
        <w:t>používateľa</w:t>
      </w:r>
      <w:proofErr w:type="spellEnd"/>
    </w:p>
    <w:p w:rsidR="00CC1A17" w:rsidRPr="00063543" w:rsidRDefault="00CC1A17" w:rsidP="00CC1A17">
      <w:pPr>
        <w:keepNext/>
        <w:rPr>
          <w:szCs w:val="22"/>
        </w:rPr>
      </w:pPr>
    </w:p>
    <w:p w:rsidR="00FA75B2" w:rsidRPr="0023237F" w:rsidRDefault="00FA75B2" w:rsidP="0023237F">
      <w:pPr>
        <w:tabs>
          <w:tab w:val="left" w:pos="969"/>
        </w:tabs>
        <w:jc w:val="center"/>
        <w:rPr>
          <w:rFonts w:eastAsia="MS Mincho"/>
          <w:b/>
          <w:snapToGrid w:val="0"/>
          <w:szCs w:val="22"/>
          <w:lang w:val="sk-SK"/>
        </w:rPr>
      </w:pPr>
    </w:p>
    <w:p w:rsidR="00FA75B2" w:rsidRPr="0023237F" w:rsidRDefault="00FA75B2" w:rsidP="0023237F">
      <w:pPr>
        <w:tabs>
          <w:tab w:val="left" w:pos="969"/>
        </w:tabs>
        <w:jc w:val="center"/>
        <w:rPr>
          <w:rFonts w:eastAsia="MS Mincho"/>
          <w:b/>
          <w:snapToGrid w:val="0"/>
          <w:szCs w:val="22"/>
          <w:lang w:val="sk-SK"/>
        </w:rPr>
      </w:pPr>
      <w:r w:rsidRPr="0023237F">
        <w:rPr>
          <w:rFonts w:eastAsia="MS Mincho"/>
          <w:b/>
          <w:snapToGrid w:val="0"/>
          <w:szCs w:val="22"/>
          <w:lang w:val="sk-SK"/>
        </w:rPr>
        <w:t xml:space="preserve">Gemcitabine Accord 200 mg </w:t>
      </w:r>
    </w:p>
    <w:p w:rsidR="00FA75B2" w:rsidRPr="0023237F" w:rsidRDefault="00FA75B2" w:rsidP="0023237F">
      <w:pPr>
        <w:tabs>
          <w:tab w:val="left" w:pos="969"/>
        </w:tabs>
        <w:jc w:val="center"/>
        <w:rPr>
          <w:rFonts w:eastAsia="MS Mincho"/>
          <w:b/>
          <w:snapToGrid w:val="0"/>
          <w:szCs w:val="22"/>
          <w:lang w:val="sk-SK"/>
        </w:rPr>
      </w:pPr>
      <w:r w:rsidRPr="0023237F">
        <w:rPr>
          <w:rFonts w:eastAsia="MS Mincho"/>
          <w:b/>
          <w:snapToGrid w:val="0"/>
          <w:szCs w:val="22"/>
          <w:lang w:val="sk-SK"/>
        </w:rPr>
        <w:t>Gemcitabine Accord 1 g</w:t>
      </w:r>
    </w:p>
    <w:p w:rsidR="00FA75B2" w:rsidRPr="0023237F" w:rsidRDefault="00FA75B2" w:rsidP="0023237F">
      <w:pPr>
        <w:tabs>
          <w:tab w:val="left" w:pos="969"/>
        </w:tabs>
        <w:jc w:val="center"/>
        <w:rPr>
          <w:rFonts w:eastAsia="MS Mincho"/>
          <w:b/>
          <w:snapToGrid w:val="0"/>
          <w:szCs w:val="22"/>
          <w:lang w:val="sk-SK"/>
        </w:rPr>
      </w:pPr>
      <w:r w:rsidRPr="0023237F">
        <w:rPr>
          <w:rFonts w:eastAsia="MS Mincho"/>
          <w:b/>
          <w:snapToGrid w:val="0"/>
          <w:szCs w:val="22"/>
          <w:lang w:val="sk-SK"/>
        </w:rPr>
        <w:t xml:space="preserve">Gemcitabine Accord 2 g </w:t>
      </w:r>
    </w:p>
    <w:p w:rsidR="00FA75B2" w:rsidRPr="0023237F" w:rsidRDefault="00FA75B2" w:rsidP="0023237F">
      <w:pPr>
        <w:tabs>
          <w:tab w:val="left" w:pos="969"/>
        </w:tabs>
        <w:jc w:val="center"/>
        <w:rPr>
          <w:rFonts w:eastAsia="MS Mincho"/>
          <w:snapToGrid w:val="0"/>
          <w:szCs w:val="22"/>
          <w:lang w:val="sk-SK"/>
        </w:rPr>
      </w:pPr>
      <w:r w:rsidRPr="0023237F">
        <w:rPr>
          <w:rFonts w:eastAsia="MS Mincho"/>
          <w:b/>
          <w:snapToGrid w:val="0"/>
          <w:szCs w:val="22"/>
          <w:lang w:val="sk-SK"/>
        </w:rPr>
        <w:t>prášok na infúzny roztok</w:t>
      </w:r>
    </w:p>
    <w:p w:rsidR="00FA75B2" w:rsidRPr="0023237F" w:rsidRDefault="00CC1A17" w:rsidP="0023237F">
      <w:pPr>
        <w:jc w:val="center"/>
        <w:rPr>
          <w:rFonts w:eastAsia="MS Mincho"/>
          <w:b/>
          <w:bCs/>
          <w:snapToGrid w:val="0"/>
          <w:szCs w:val="22"/>
          <w:lang w:val="sk-SK"/>
        </w:rPr>
      </w:pPr>
      <w:r>
        <w:rPr>
          <w:rFonts w:eastAsia="MS Mincho"/>
          <w:snapToGrid w:val="0"/>
          <w:szCs w:val="22"/>
          <w:lang w:val="sk-SK"/>
        </w:rPr>
        <w:t>g</w:t>
      </w:r>
      <w:r w:rsidR="00FA75B2" w:rsidRPr="0023237F">
        <w:rPr>
          <w:rFonts w:eastAsia="MS Mincho"/>
          <w:snapToGrid w:val="0"/>
          <w:szCs w:val="22"/>
          <w:lang w:val="sk-SK"/>
        </w:rPr>
        <w:t>emcitabín</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p>
    <w:p w:rsidR="00CC1A17" w:rsidRDefault="00FA75B2" w:rsidP="0030527D">
      <w:pPr>
        <w:keepNext/>
        <w:tabs>
          <w:tab w:val="left" w:pos="0"/>
        </w:tabs>
        <w:autoSpaceDE w:val="0"/>
        <w:autoSpaceDN w:val="0"/>
        <w:adjustRightInd w:val="0"/>
        <w:rPr>
          <w:b/>
          <w:bCs/>
          <w:szCs w:val="22"/>
        </w:rPr>
      </w:pPr>
      <w:r w:rsidRPr="0023237F">
        <w:rPr>
          <w:rFonts w:eastAsia="MS Mincho"/>
          <w:b/>
          <w:bCs/>
          <w:snapToGrid w:val="0"/>
          <w:szCs w:val="22"/>
          <w:lang w:val="sk-SK"/>
        </w:rPr>
        <w:t xml:space="preserve">Pozorne si prečítajte celú písomnú informáciu </w:t>
      </w:r>
      <w:r w:rsidR="00CC1A17">
        <w:rPr>
          <w:rFonts w:eastAsia="MS Mincho"/>
          <w:b/>
          <w:bCs/>
          <w:snapToGrid w:val="0"/>
          <w:szCs w:val="22"/>
          <w:lang w:val="sk-SK"/>
        </w:rPr>
        <w:t>predtým</w:t>
      </w:r>
      <w:r w:rsidRPr="0023237F">
        <w:rPr>
          <w:rFonts w:eastAsia="MS Mincho"/>
          <w:b/>
          <w:bCs/>
          <w:snapToGrid w:val="0"/>
          <w:szCs w:val="22"/>
          <w:lang w:val="sk-SK"/>
        </w:rPr>
        <w:t xml:space="preserve">, ako začnete používať </w:t>
      </w:r>
      <w:r w:rsidR="00CC1A17">
        <w:rPr>
          <w:rFonts w:eastAsia="MS Mincho"/>
          <w:b/>
          <w:bCs/>
          <w:snapToGrid w:val="0"/>
          <w:szCs w:val="22"/>
          <w:lang w:val="sk-SK"/>
        </w:rPr>
        <w:t xml:space="preserve">tento </w:t>
      </w:r>
      <w:r w:rsidRPr="0023237F">
        <w:rPr>
          <w:rFonts w:eastAsia="MS Mincho"/>
          <w:b/>
          <w:bCs/>
          <w:snapToGrid w:val="0"/>
          <w:szCs w:val="22"/>
          <w:lang w:val="sk-SK"/>
        </w:rPr>
        <w:t>liek</w:t>
      </w:r>
      <w:r w:rsidR="00CC1A17">
        <w:rPr>
          <w:rFonts w:eastAsia="MS Mincho"/>
          <w:b/>
          <w:bCs/>
          <w:snapToGrid w:val="0"/>
          <w:szCs w:val="22"/>
          <w:lang w:val="sk-SK"/>
        </w:rPr>
        <w:t xml:space="preserve">, </w:t>
      </w:r>
      <w:proofErr w:type="spellStart"/>
      <w:r w:rsidR="00CC1A17">
        <w:rPr>
          <w:b/>
          <w:bCs/>
          <w:szCs w:val="22"/>
        </w:rPr>
        <w:t>pretože</w:t>
      </w:r>
      <w:proofErr w:type="spellEnd"/>
      <w:r w:rsidR="00CC1A17">
        <w:rPr>
          <w:b/>
          <w:bCs/>
          <w:szCs w:val="22"/>
        </w:rPr>
        <w:t xml:space="preserve"> </w:t>
      </w:r>
      <w:proofErr w:type="spellStart"/>
      <w:r w:rsidR="00CC1A17">
        <w:rPr>
          <w:b/>
          <w:bCs/>
          <w:szCs w:val="22"/>
        </w:rPr>
        <w:t>obsahuje</w:t>
      </w:r>
      <w:proofErr w:type="spellEnd"/>
      <w:r w:rsidR="00CC1A17">
        <w:rPr>
          <w:b/>
          <w:bCs/>
          <w:szCs w:val="22"/>
        </w:rPr>
        <w:t xml:space="preserve"> pre </w:t>
      </w:r>
      <w:proofErr w:type="spellStart"/>
      <w:r w:rsidR="00CC1A17">
        <w:rPr>
          <w:b/>
          <w:bCs/>
          <w:szCs w:val="22"/>
        </w:rPr>
        <w:t>vás</w:t>
      </w:r>
      <w:proofErr w:type="spellEnd"/>
      <w:r w:rsidR="00CC1A17">
        <w:rPr>
          <w:b/>
          <w:bCs/>
          <w:szCs w:val="22"/>
        </w:rPr>
        <w:t xml:space="preserve"> </w:t>
      </w:r>
      <w:proofErr w:type="spellStart"/>
      <w:r w:rsidR="00CC1A17">
        <w:rPr>
          <w:b/>
          <w:bCs/>
          <w:szCs w:val="22"/>
        </w:rPr>
        <w:t>dôležité</w:t>
      </w:r>
      <w:proofErr w:type="spellEnd"/>
      <w:r w:rsidR="00CC1A17">
        <w:rPr>
          <w:b/>
          <w:bCs/>
          <w:szCs w:val="22"/>
        </w:rPr>
        <w:t xml:space="preserve"> </w:t>
      </w:r>
      <w:proofErr w:type="spellStart"/>
      <w:r w:rsidR="00CC1A17">
        <w:rPr>
          <w:b/>
          <w:bCs/>
          <w:szCs w:val="22"/>
        </w:rPr>
        <w:t>informácie</w:t>
      </w:r>
      <w:proofErr w:type="spellEnd"/>
      <w:r w:rsidR="00CC1A17" w:rsidRPr="00063543">
        <w:rPr>
          <w:b/>
          <w:bCs/>
          <w:szCs w:val="22"/>
        </w:rPr>
        <w:t>.</w:t>
      </w:r>
    </w:p>
    <w:p w:rsidR="00FA75B2" w:rsidRDefault="00CC1A17" w:rsidP="0030527D">
      <w:pPr>
        <w:keepNext/>
        <w:tabs>
          <w:tab w:val="left" w:pos="0"/>
        </w:tabs>
        <w:autoSpaceDE w:val="0"/>
        <w:autoSpaceDN w:val="0"/>
        <w:adjustRightInd w:val="0"/>
        <w:rPr>
          <w:rFonts w:eastAsia="MS Mincho"/>
          <w:snapToGrid w:val="0"/>
          <w:szCs w:val="22"/>
          <w:lang w:val="sk-SK"/>
        </w:rPr>
      </w:pPr>
      <w:r>
        <w:rPr>
          <w:b/>
          <w:bCs/>
          <w:szCs w:val="22"/>
        </w:rPr>
        <w:tab/>
      </w:r>
      <w:r w:rsidR="00FA75B2" w:rsidRPr="0023237F">
        <w:rPr>
          <w:rFonts w:eastAsia="MS Mincho"/>
          <w:snapToGrid w:val="0"/>
          <w:szCs w:val="22"/>
          <w:lang w:val="sk-SK"/>
        </w:rPr>
        <w:t>- Túto písomnú informáciu si uschovajte. Možno bude potrebné, aby ste si ju znovu prečítali.</w:t>
      </w:r>
    </w:p>
    <w:p w:rsidR="00FA75B2" w:rsidRDefault="00FA75B2" w:rsidP="0030527D">
      <w:pPr>
        <w:keepNext/>
        <w:tabs>
          <w:tab w:val="left" w:pos="0"/>
        </w:tabs>
        <w:autoSpaceDE w:val="0"/>
        <w:autoSpaceDN w:val="0"/>
        <w:adjustRightInd w:val="0"/>
        <w:ind w:left="720"/>
        <w:rPr>
          <w:rFonts w:eastAsia="MS Mincho"/>
          <w:snapToGrid w:val="0"/>
          <w:szCs w:val="22"/>
          <w:lang w:val="sk-SK"/>
        </w:rPr>
      </w:pPr>
      <w:r w:rsidRPr="0023237F">
        <w:rPr>
          <w:rFonts w:eastAsia="MS Mincho"/>
          <w:snapToGrid w:val="0"/>
          <w:szCs w:val="22"/>
          <w:lang w:val="sk-SK"/>
        </w:rPr>
        <w:t>- Ak máte akékoľvek ďalšie otázky, obráťte sa na svojho lekára, zdravotnú sestru alebo lekárnika.</w:t>
      </w:r>
    </w:p>
    <w:p w:rsidR="00FA75B2" w:rsidRDefault="00FA75B2" w:rsidP="0030527D">
      <w:pPr>
        <w:keepNext/>
        <w:tabs>
          <w:tab w:val="left" w:pos="0"/>
        </w:tabs>
        <w:autoSpaceDE w:val="0"/>
        <w:autoSpaceDN w:val="0"/>
        <w:adjustRightInd w:val="0"/>
        <w:ind w:left="720"/>
        <w:rPr>
          <w:rFonts w:eastAsia="MS Mincho"/>
          <w:snapToGrid w:val="0"/>
          <w:szCs w:val="22"/>
          <w:lang w:val="sk-SK"/>
        </w:rPr>
      </w:pPr>
      <w:r w:rsidRPr="0023237F">
        <w:rPr>
          <w:rFonts w:eastAsia="MS Mincho"/>
          <w:snapToGrid w:val="0"/>
          <w:szCs w:val="22"/>
          <w:lang w:val="sk-SK"/>
        </w:rPr>
        <w:t xml:space="preserve">- Tento liek bol predpísaný </w:t>
      </w:r>
      <w:r w:rsidR="00CC1A17">
        <w:rPr>
          <w:rFonts w:eastAsia="MS Mincho"/>
          <w:snapToGrid w:val="0"/>
          <w:szCs w:val="22"/>
          <w:lang w:val="sk-SK"/>
        </w:rPr>
        <w:t>v</w:t>
      </w:r>
      <w:r w:rsidRPr="0023237F">
        <w:rPr>
          <w:rFonts w:eastAsia="MS Mincho"/>
          <w:snapToGrid w:val="0"/>
          <w:szCs w:val="22"/>
          <w:lang w:val="sk-SK"/>
        </w:rPr>
        <w:t xml:space="preserve">ám. Nedávajte ho nikomu inému. Môže mu uškodiť, dokonca aj vtedy, ak má rovnaké </w:t>
      </w:r>
      <w:r w:rsidR="00CC1A17">
        <w:rPr>
          <w:rFonts w:eastAsia="MS Mincho"/>
          <w:snapToGrid w:val="0"/>
          <w:szCs w:val="22"/>
          <w:lang w:val="sk-SK"/>
        </w:rPr>
        <w:t xml:space="preserve">prejavy </w:t>
      </w:r>
      <w:r w:rsidRPr="0023237F">
        <w:rPr>
          <w:rFonts w:eastAsia="MS Mincho"/>
          <w:snapToGrid w:val="0"/>
          <w:szCs w:val="22"/>
          <w:lang w:val="sk-SK"/>
        </w:rPr>
        <w:t xml:space="preserve">ako </w:t>
      </w:r>
      <w:r w:rsidR="00CC1A17">
        <w:rPr>
          <w:rFonts w:eastAsia="MS Mincho"/>
          <w:snapToGrid w:val="0"/>
          <w:szCs w:val="22"/>
          <w:lang w:val="sk-SK"/>
        </w:rPr>
        <w:t>v</w:t>
      </w:r>
      <w:r w:rsidRPr="0023237F">
        <w:rPr>
          <w:rFonts w:eastAsia="MS Mincho"/>
          <w:snapToGrid w:val="0"/>
          <w:szCs w:val="22"/>
          <w:lang w:val="sk-SK"/>
        </w:rPr>
        <w:t>y.</w:t>
      </w:r>
    </w:p>
    <w:p w:rsidR="00FA75B2" w:rsidRPr="0023237F" w:rsidRDefault="00FA75B2" w:rsidP="0030527D">
      <w:pPr>
        <w:autoSpaceDE w:val="0"/>
        <w:autoSpaceDN w:val="0"/>
        <w:adjustRightInd w:val="0"/>
        <w:ind w:left="720"/>
        <w:rPr>
          <w:rFonts w:eastAsia="MS Mincho"/>
          <w:snapToGrid w:val="0"/>
          <w:szCs w:val="22"/>
          <w:lang w:val="sk-SK"/>
        </w:rPr>
      </w:pPr>
      <w:r w:rsidRPr="0023237F">
        <w:rPr>
          <w:rFonts w:eastAsia="MS Mincho"/>
          <w:snapToGrid w:val="0"/>
          <w:szCs w:val="22"/>
          <w:lang w:val="sk-SK"/>
        </w:rPr>
        <w:t>- Ak začnete pociťovať akýkoľvek vedľajší účinok ako závažný alebo ak spozorujete vedľajšie účinky, ktoré nie sú uvedené v tejto písomnej informácii pre používateľ</w:t>
      </w:r>
      <w:r w:rsidR="00CC1A17">
        <w:rPr>
          <w:rFonts w:eastAsia="MS Mincho"/>
          <w:snapToGrid w:val="0"/>
          <w:szCs w:val="22"/>
          <w:lang w:val="sk-SK"/>
        </w:rPr>
        <w:t>a</w:t>
      </w:r>
      <w:r w:rsidRPr="0023237F">
        <w:rPr>
          <w:rFonts w:eastAsia="MS Mincho"/>
          <w:snapToGrid w:val="0"/>
          <w:szCs w:val="22"/>
          <w:lang w:val="sk-SK"/>
        </w:rPr>
        <w:t>, povedzte to, prosím, svojmu lekárovi, zdravotnej sestre alebo lekárnikovi.</w:t>
      </w:r>
      <w:r>
        <w:rPr>
          <w:rFonts w:eastAsia="MS Mincho"/>
          <w:snapToGrid w:val="0"/>
          <w:szCs w:val="22"/>
          <w:lang w:val="sk-SK"/>
        </w:rPr>
        <w:t xml:space="preserve"> Pozrite si časť 4.</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p>
    <w:p w:rsidR="009239E9" w:rsidRPr="00063543" w:rsidRDefault="009239E9" w:rsidP="009239E9">
      <w:pPr>
        <w:keepNext/>
        <w:autoSpaceDE w:val="0"/>
        <w:autoSpaceDN w:val="0"/>
        <w:adjustRightInd w:val="0"/>
        <w:rPr>
          <w:szCs w:val="22"/>
        </w:rPr>
      </w:pPr>
      <w:r w:rsidRPr="00063543">
        <w:rPr>
          <w:b/>
          <w:bCs/>
          <w:szCs w:val="22"/>
        </w:rPr>
        <w:t>V</w:t>
      </w:r>
      <w:r>
        <w:rPr>
          <w:b/>
          <w:bCs/>
          <w:szCs w:val="22"/>
        </w:rPr>
        <w:t> </w:t>
      </w:r>
      <w:proofErr w:type="spellStart"/>
      <w:r w:rsidRPr="00063543">
        <w:rPr>
          <w:b/>
          <w:bCs/>
          <w:szCs w:val="22"/>
        </w:rPr>
        <w:t>tejto</w:t>
      </w:r>
      <w:proofErr w:type="spellEnd"/>
      <w:r w:rsidRPr="00063543">
        <w:rPr>
          <w:b/>
          <w:bCs/>
          <w:szCs w:val="22"/>
        </w:rPr>
        <w:t xml:space="preserve"> </w:t>
      </w:r>
      <w:proofErr w:type="spellStart"/>
      <w:r w:rsidRPr="00063543">
        <w:rPr>
          <w:b/>
          <w:bCs/>
          <w:szCs w:val="22"/>
        </w:rPr>
        <w:t>písomnej</w:t>
      </w:r>
      <w:proofErr w:type="spellEnd"/>
      <w:r w:rsidRPr="00063543">
        <w:rPr>
          <w:b/>
          <w:bCs/>
          <w:szCs w:val="22"/>
        </w:rPr>
        <w:t xml:space="preserve"> </w:t>
      </w:r>
      <w:proofErr w:type="spellStart"/>
      <w:r w:rsidRPr="00063543">
        <w:rPr>
          <w:b/>
          <w:bCs/>
          <w:szCs w:val="22"/>
        </w:rPr>
        <w:t>informácii</w:t>
      </w:r>
      <w:proofErr w:type="spellEnd"/>
      <w:r w:rsidRPr="00063543">
        <w:rPr>
          <w:b/>
          <w:bCs/>
          <w:szCs w:val="22"/>
        </w:rPr>
        <w:t xml:space="preserve"> </w:t>
      </w:r>
      <w:proofErr w:type="spellStart"/>
      <w:r w:rsidRPr="00063543">
        <w:rPr>
          <w:b/>
          <w:bCs/>
          <w:szCs w:val="22"/>
        </w:rPr>
        <w:t>sa</w:t>
      </w:r>
      <w:proofErr w:type="spellEnd"/>
      <w:r w:rsidRPr="00063543">
        <w:rPr>
          <w:b/>
          <w:bCs/>
          <w:szCs w:val="22"/>
        </w:rPr>
        <w:t xml:space="preserve"> </w:t>
      </w:r>
      <w:proofErr w:type="spellStart"/>
      <w:r w:rsidRPr="00063543">
        <w:rPr>
          <w:b/>
          <w:bCs/>
          <w:szCs w:val="22"/>
        </w:rPr>
        <w:t>dozviete</w:t>
      </w:r>
      <w:proofErr w:type="spellEnd"/>
      <w:r w:rsidRPr="000D7E2E">
        <w:rPr>
          <w:b/>
          <w:szCs w:val="22"/>
        </w:rPr>
        <w:t>:</w:t>
      </w:r>
    </w:p>
    <w:p w:rsidR="009239E9" w:rsidRPr="00063543" w:rsidRDefault="009239E9" w:rsidP="009239E9">
      <w:pPr>
        <w:pStyle w:val="Odsekzoznamu"/>
        <w:numPr>
          <w:ilvl w:val="0"/>
          <w:numId w:val="2"/>
        </w:numPr>
        <w:tabs>
          <w:tab w:val="clear" w:pos="567"/>
          <w:tab w:val="left" w:pos="426"/>
        </w:tabs>
        <w:spacing w:line="240" w:lineRule="auto"/>
        <w:ind w:left="426" w:right="-29" w:hanging="420"/>
      </w:pPr>
      <w:r w:rsidRPr="00063543">
        <w:t>Čo je Gemcitabin</w:t>
      </w:r>
      <w:r>
        <w:t xml:space="preserve">e Accor </w:t>
      </w:r>
      <w:r w:rsidRPr="00063543">
        <w:t>a</w:t>
      </w:r>
      <w:r>
        <w:t> </w:t>
      </w:r>
      <w:r w:rsidRPr="00063543">
        <w:t>na čo sa používa</w:t>
      </w:r>
    </w:p>
    <w:p w:rsidR="009239E9" w:rsidRDefault="009239E9" w:rsidP="0030527D">
      <w:pPr>
        <w:pStyle w:val="Odsekzoznamu"/>
        <w:numPr>
          <w:ilvl w:val="0"/>
          <w:numId w:val="2"/>
        </w:numPr>
        <w:tabs>
          <w:tab w:val="clear" w:pos="567"/>
          <w:tab w:val="left" w:pos="426"/>
        </w:tabs>
        <w:spacing w:line="240" w:lineRule="auto"/>
        <w:ind w:left="426" w:right="-29" w:hanging="420"/>
        <w:rPr>
          <w:szCs w:val="22"/>
        </w:rPr>
      </w:pPr>
      <w:r w:rsidRPr="009239E9">
        <w:rPr>
          <w:szCs w:val="22"/>
        </w:rPr>
        <w:t xml:space="preserve">Čo potrebujete vedieť predtým, ako použijete Gemcitabine Accord </w:t>
      </w:r>
    </w:p>
    <w:p w:rsidR="009239E9" w:rsidRPr="009239E9" w:rsidRDefault="009239E9" w:rsidP="0030527D">
      <w:pPr>
        <w:pStyle w:val="Odsekzoznamu"/>
        <w:numPr>
          <w:ilvl w:val="0"/>
          <w:numId w:val="2"/>
        </w:numPr>
        <w:tabs>
          <w:tab w:val="clear" w:pos="567"/>
          <w:tab w:val="left" w:pos="426"/>
        </w:tabs>
        <w:spacing w:line="240" w:lineRule="auto"/>
        <w:ind w:left="426" w:right="-29" w:hanging="420"/>
        <w:rPr>
          <w:szCs w:val="22"/>
        </w:rPr>
      </w:pPr>
      <w:r w:rsidRPr="009239E9">
        <w:rPr>
          <w:szCs w:val="22"/>
        </w:rPr>
        <w:t>Ako používať Gemcitabin</w:t>
      </w:r>
      <w:r>
        <w:rPr>
          <w:szCs w:val="22"/>
        </w:rPr>
        <w:t>e Accord</w:t>
      </w:r>
    </w:p>
    <w:p w:rsidR="009239E9" w:rsidRPr="00063543" w:rsidRDefault="009239E9" w:rsidP="009239E9">
      <w:pPr>
        <w:pStyle w:val="Odsekzoznamu"/>
        <w:numPr>
          <w:ilvl w:val="0"/>
          <w:numId w:val="2"/>
        </w:numPr>
        <w:tabs>
          <w:tab w:val="clear" w:pos="567"/>
          <w:tab w:val="left" w:pos="426"/>
        </w:tabs>
        <w:spacing w:line="240" w:lineRule="auto"/>
        <w:ind w:left="426" w:right="-29" w:hanging="420"/>
        <w:rPr>
          <w:szCs w:val="22"/>
        </w:rPr>
      </w:pPr>
      <w:r w:rsidRPr="00063543">
        <w:rPr>
          <w:szCs w:val="22"/>
        </w:rPr>
        <w:t>Možné vedľajšie účinky</w:t>
      </w:r>
    </w:p>
    <w:p w:rsidR="009239E9" w:rsidRDefault="009239E9" w:rsidP="009239E9">
      <w:pPr>
        <w:pStyle w:val="Odsekzoznamu"/>
        <w:numPr>
          <w:ilvl w:val="0"/>
          <w:numId w:val="2"/>
        </w:numPr>
        <w:tabs>
          <w:tab w:val="clear" w:pos="567"/>
          <w:tab w:val="left" w:pos="426"/>
        </w:tabs>
        <w:spacing w:line="240" w:lineRule="auto"/>
        <w:ind w:left="426" w:right="-29" w:hanging="420"/>
        <w:rPr>
          <w:szCs w:val="22"/>
        </w:rPr>
      </w:pPr>
      <w:r w:rsidRPr="00063543">
        <w:rPr>
          <w:szCs w:val="22"/>
        </w:rPr>
        <w:t>Ako uchovávať Gemcitabin</w:t>
      </w:r>
      <w:r>
        <w:rPr>
          <w:szCs w:val="22"/>
        </w:rPr>
        <w:t>e Accord</w:t>
      </w:r>
    </w:p>
    <w:p w:rsidR="00FA75B2" w:rsidRPr="0023237F" w:rsidRDefault="009239E9" w:rsidP="0023237F">
      <w:pPr>
        <w:autoSpaceDE w:val="0"/>
        <w:autoSpaceDN w:val="0"/>
        <w:adjustRightInd w:val="0"/>
        <w:rPr>
          <w:rFonts w:eastAsia="MS Mincho"/>
          <w:b/>
          <w:bCs/>
          <w:snapToGrid w:val="0"/>
          <w:szCs w:val="22"/>
          <w:lang w:val="sk-SK"/>
        </w:rPr>
      </w:pPr>
      <w:r>
        <w:rPr>
          <w:szCs w:val="22"/>
        </w:rPr>
        <w:t>6.</w:t>
      </w:r>
      <w:r>
        <w:rPr>
          <w:szCs w:val="22"/>
        </w:rPr>
        <w:tab/>
      </w:r>
      <w:proofErr w:type="spellStart"/>
      <w:r>
        <w:rPr>
          <w:szCs w:val="22"/>
        </w:rPr>
        <w:t>Obsah</w:t>
      </w:r>
      <w:proofErr w:type="spellEnd"/>
      <w:r>
        <w:rPr>
          <w:szCs w:val="22"/>
        </w:rPr>
        <w:t xml:space="preserve"> </w:t>
      </w:r>
      <w:proofErr w:type="spellStart"/>
      <w:r>
        <w:rPr>
          <w:szCs w:val="22"/>
        </w:rPr>
        <w:t>balenia</w:t>
      </w:r>
      <w:proofErr w:type="spellEnd"/>
      <w:r>
        <w:rPr>
          <w:szCs w:val="22"/>
        </w:rPr>
        <w:t xml:space="preserve"> a </w:t>
      </w:r>
      <w:proofErr w:type="spellStart"/>
      <w:r>
        <w:rPr>
          <w:szCs w:val="22"/>
        </w:rPr>
        <w:t>ď</w:t>
      </w:r>
      <w:r w:rsidRPr="00063543">
        <w:rPr>
          <w:szCs w:val="22"/>
        </w:rPr>
        <w:t>alšie</w:t>
      </w:r>
      <w:proofErr w:type="spellEnd"/>
      <w:r w:rsidRPr="00063543">
        <w:rPr>
          <w:szCs w:val="22"/>
        </w:rPr>
        <w:t xml:space="preserve"> </w:t>
      </w:r>
      <w:proofErr w:type="spellStart"/>
      <w:r w:rsidRPr="00063543">
        <w:rPr>
          <w:szCs w:val="22"/>
        </w:rPr>
        <w:t>informácie</w:t>
      </w:r>
      <w:proofErr w:type="spellEnd"/>
    </w:p>
    <w:p w:rsidR="00FA75B2" w:rsidRPr="0023237F" w:rsidRDefault="00FA75B2" w:rsidP="0023237F">
      <w:pPr>
        <w:autoSpaceDE w:val="0"/>
        <w:autoSpaceDN w:val="0"/>
        <w:adjustRightInd w:val="0"/>
        <w:rPr>
          <w:rFonts w:eastAsia="MS Mincho"/>
          <w:b/>
          <w:bCs/>
          <w:snapToGrid w:val="0"/>
          <w:szCs w:val="22"/>
          <w:lang w:val="sk-SK"/>
        </w:rPr>
      </w:pPr>
    </w:p>
    <w:p w:rsidR="00CC1A17" w:rsidRPr="00063543" w:rsidRDefault="00CC1A17" w:rsidP="00CC1A17">
      <w:pPr>
        <w:keepNext/>
        <w:tabs>
          <w:tab w:val="left" w:pos="567"/>
        </w:tabs>
        <w:autoSpaceDE w:val="0"/>
        <w:autoSpaceDN w:val="0"/>
        <w:adjustRightInd w:val="0"/>
        <w:rPr>
          <w:b/>
          <w:bCs/>
          <w:szCs w:val="22"/>
        </w:rPr>
      </w:pPr>
      <w:r w:rsidRPr="00063543">
        <w:rPr>
          <w:b/>
          <w:bCs/>
          <w:szCs w:val="22"/>
        </w:rPr>
        <w:t>1.</w:t>
      </w:r>
      <w:r w:rsidRPr="00063543">
        <w:rPr>
          <w:b/>
          <w:bCs/>
          <w:szCs w:val="22"/>
        </w:rPr>
        <w:tab/>
      </w:r>
      <w:proofErr w:type="spellStart"/>
      <w:r>
        <w:rPr>
          <w:b/>
          <w:bCs/>
          <w:szCs w:val="22"/>
        </w:rPr>
        <w:t>Čo</w:t>
      </w:r>
      <w:proofErr w:type="spellEnd"/>
      <w:r>
        <w:rPr>
          <w:b/>
          <w:bCs/>
          <w:szCs w:val="22"/>
        </w:rPr>
        <w:t xml:space="preserve"> je Gemcitabine Accord a </w:t>
      </w:r>
      <w:proofErr w:type="spellStart"/>
      <w:r>
        <w:rPr>
          <w:b/>
          <w:bCs/>
          <w:szCs w:val="22"/>
        </w:rPr>
        <w:t>na</w:t>
      </w:r>
      <w:proofErr w:type="spellEnd"/>
      <w:r>
        <w:rPr>
          <w:b/>
          <w:bCs/>
          <w:szCs w:val="22"/>
        </w:rPr>
        <w:t xml:space="preserve"> </w:t>
      </w:r>
      <w:proofErr w:type="spellStart"/>
      <w:r>
        <w:rPr>
          <w:b/>
          <w:bCs/>
          <w:szCs w:val="22"/>
        </w:rPr>
        <w:t>čo</w:t>
      </w:r>
      <w:proofErr w:type="spellEnd"/>
      <w:r>
        <w:rPr>
          <w:b/>
          <w:bCs/>
          <w:szCs w:val="22"/>
        </w:rPr>
        <w:t xml:space="preserve"> </w:t>
      </w:r>
      <w:proofErr w:type="spellStart"/>
      <w:r>
        <w:rPr>
          <w:b/>
          <w:bCs/>
          <w:szCs w:val="22"/>
        </w:rPr>
        <w:t>sa</w:t>
      </w:r>
      <w:proofErr w:type="spellEnd"/>
      <w:r>
        <w:rPr>
          <w:b/>
          <w:bCs/>
          <w:szCs w:val="22"/>
        </w:rPr>
        <w:t xml:space="preserve"> </w:t>
      </w:r>
      <w:proofErr w:type="spellStart"/>
      <w:r>
        <w:rPr>
          <w:b/>
          <w:bCs/>
          <w:szCs w:val="22"/>
        </w:rPr>
        <w:t>používa</w:t>
      </w:r>
      <w:proofErr w:type="spellEnd"/>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patrí do skupiny liekov nazývaných „cytotoxické látky“. Tieto lieky zabíjajú deliace sa bunky</w:t>
      </w:r>
      <w:r w:rsidR="00CC1A17">
        <w:rPr>
          <w:rFonts w:eastAsia="MS Mincho"/>
          <w:snapToGrid w:val="0"/>
          <w:szCs w:val="22"/>
          <w:lang w:val="sk-SK"/>
        </w:rPr>
        <w:t>,</w:t>
      </w:r>
      <w:r w:rsidRPr="0023237F">
        <w:rPr>
          <w:rFonts w:eastAsia="MS Mincho"/>
          <w:snapToGrid w:val="0"/>
          <w:szCs w:val="22"/>
          <w:lang w:val="sk-SK"/>
        </w:rPr>
        <w:t xml:space="preserve"> vrátane rakovinových buniek.</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sa môže používať samostatne alebo v kombinácii s inými protirakovinovými liekmi, v závislosti od typu rakoviny.</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sa používa na liečbu nasledujúcich typov rakoviny:</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nemalobunkového karcinómu pľúc (NSCLC), samostatne alebo v kombinácii s cisplatinou.</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rakoviny podžalúdkovej žľazy.</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rakoviny prsníka, spolu s paklitaxelom.</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rakoviny vaječníkov, spolu s karboplatinou.</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rakoviny močového mechúra, spolu s cisplatinou.</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DA6D4F" w:rsidP="0023237F">
      <w:pPr>
        <w:autoSpaceDE w:val="0"/>
        <w:autoSpaceDN w:val="0"/>
        <w:adjustRightInd w:val="0"/>
        <w:rPr>
          <w:rFonts w:eastAsia="MS Mincho"/>
          <w:b/>
          <w:bCs/>
          <w:snapToGrid w:val="0"/>
          <w:szCs w:val="22"/>
          <w:lang w:val="sk-SK"/>
        </w:rPr>
      </w:pPr>
      <w:r w:rsidRPr="00063543">
        <w:rPr>
          <w:b/>
          <w:bCs/>
          <w:szCs w:val="22"/>
        </w:rPr>
        <w:t>2.</w:t>
      </w:r>
      <w:r w:rsidRPr="00063543">
        <w:rPr>
          <w:b/>
          <w:bCs/>
          <w:szCs w:val="22"/>
        </w:rPr>
        <w:tab/>
      </w:r>
      <w:proofErr w:type="spellStart"/>
      <w:r>
        <w:rPr>
          <w:b/>
          <w:bCs/>
          <w:szCs w:val="22"/>
        </w:rPr>
        <w:t>Čo</w:t>
      </w:r>
      <w:proofErr w:type="spellEnd"/>
      <w:r>
        <w:rPr>
          <w:b/>
          <w:bCs/>
          <w:szCs w:val="22"/>
        </w:rPr>
        <w:t xml:space="preserve"> </w:t>
      </w:r>
      <w:proofErr w:type="spellStart"/>
      <w:r>
        <w:rPr>
          <w:b/>
          <w:bCs/>
          <w:szCs w:val="22"/>
        </w:rPr>
        <w:t>potrebujete</w:t>
      </w:r>
      <w:proofErr w:type="spellEnd"/>
      <w:r>
        <w:rPr>
          <w:b/>
          <w:bCs/>
          <w:szCs w:val="22"/>
        </w:rPr>
        <w:t xml:space="preserve"> </w:t>
      </w:r>
      <w:proofErr w:type="spellStart"/>
      <w:r>
        <w:rPr>
          <w:b/>
          <w:bCs/>
          <w:szCs w:val="22"/>
        </w:rPr>
        <w:t>vedieť</w:t>
      </w:r>
      <w:proofErr w:type="spellEnd"/>
      <w:r>
        <w:rPr>
          <w:b/>
          <w:bCs/>
          <w:szCs w:val="22"/>
        </w:rPr>
        <w:t xml:space="preserve"> </w:t>
      </w:r>
      <w:proofErr w:type="spellStart"/>
      <w:r>
        <w:rPr>
          <w:b/>
          <w:bCs/>
          <w:szCs w:val="22"/>
        </w:rPr>
        <w:t>predtým</w:t>
      </w:r>
      <w:proofErr w:type="spellEnd"/>
      <w:r>
        <w:rPr>
          <w:b/>
          <w:bCs/>
          <w:szCs w:val="22"/>
        </w:rPr>
        <w:t xml:space="preserve">, </w:t>
      </w:r>
      <w:proofErr w:type="spellStart"/>
      <w:r>
        <w:rPr>
          <w:b/>
          <w:bCs/>
          <w:szCs w:val="22"/>
        </w:rPr>
        <w:t>ako</w:t>
      </w:r>
      <w:proofErr w:type="spellEnd"/>
      <w:r>
        <w:rPr>
          <w:b/>
          <w:bCs/>
          <w:szCs w:val="22"/>
        </w:rPr>
        <w:t xml:space="preserve"> </w:t>
      </w:r>
      <w:proofErr w:type="spellStart"/>
      <w:r>
        <w:rPr>
          <w:b/>
          <w:bCs/>
          <w:szCs w:val="22"/>
        </w:rPr>
        <w:t>použijete</w:t>
      </w:r>
      <w:proofErr w:type="spellEnd"/>
      <w:r>
        <w:rPr>
          <w:b/>
          <w:bCs/>
          <w:szCs w:val="22"/>
        </w:rPr>
        <w:t xml:space="preserve"> </w:t>
      </w:r>
      <w:r w:rsidRPr="0023237F">
        <w:rPr>
          <w:rFonts w:eastAsia="MS Mincho"/>
          <w:b/>
          <w:bCs/>
          <w:snapToGrid w:val="0"/>
          <w:szCs w:val="22"/>
          <w:lang w:val="sk-SK"/>
        </w:rPr>
        <w:t>Gemcitabine Accord</w:t>
      </w: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Nepoužívajte Gemcitabine Accord</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 </w:t>
      </w:r>
      <w:r w:rsidR="00093ACF">
        <w:rPr>
          <w:rFonts w:eastAsia="MS Mincho"/>
          <w:snapToGrid w:val="0"/>
          <w:szCs w:val="22"/>
          <w:lang w:val="sk-SK"/>
        </w:rPr>
        <w:t>ak</w:t>
      </w:r>
      <w:r w:rsidRPr="0023237F">
        <w:rPr>
          <w:rFonts w:eastAsia="MS Mincho"/>
          <w:snapToGrid w:val="0"/>
          <w:szCs w:val="22"/>
          <w:lang w:val="sk-SK"/>
        </w:rPr>
        <w:t xml:space="preserve"> ste alergický (precitlivený) na gemcitabín alebo na ktorúkoľvek z ďalších zložiek Gemcitabinu</w:t>
      </w:r>
      <w:r>
        <w:rPr>
          <w:rFonts w:eastAsia="MS Mincho"/>
          <w:snapToGrid w:val="0"/>
          <w:szCs w:val="22"/>
          <w:lang w:val="sk-SK"/>
        </w:rPr>
        <w:t xml:space="preserve"> (uvedené v časti 6)</w:t>
      </w:r>
      <w:r w:rsidRPr="0023237F">
        <w:rPr>
          <w:rFonts w:eastAsia="MS Mincho"/>
          <w:snapToGrid w:val="0"/>
          <w:szCs w:val="22"/>
          <w:lang w:val="sk-SK"/>
        </w:rPr>
        <w:t>.</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 </w:t>
      </w:r>
      <w:r w:rsidR="00093ACF">
        <w:rPr>
          <w:rFonts w:eastAsia="MS Mincho"/>
          <w:snapToGrid w:val="0"/>
          <w:szCs w:val="22"/>
          <w:lang w:val="sk-SK"/>
        </w:rPr>
        <w:t>ak</w:t>
      </w:r>
      <w:r w:rsidRPr="0023237F">
        <w:rPr>
          <w:rFonts w:eastAsia="MS Mincho"/>
          <w:snapToGrid w:val="0"/>
          <w:szCs w:val="22"/>
          <w:lang w:val="sk-SK"/>
        </w:rPr>
        <w:t xml:space="preserve"> dojčíte.</w:t>
      </w:r>
    </w:p>
    <w:p w:rsidR="00FA75B2" w:rsidRPr="0023237F" w:rsidRDefault="00FA75B2" w:rsidP="0023237F">
      <w:pPr>
        <w:autoSpaceDE w:val="0"/>
        <w:autoSpaceDN w:val="0"/>
        <w:adjustRightInd w:val="0"/>
        <w:rPr>
          <w:rFonts w:eastAsia="MS Mincho"/>
          <w:b/>
          <w:bCs/>
          <w:snapToGrid w:val="0"/>
          <w:szCs w:val="22"/>
          <w:lang w:val="sk-SK"/>
        </w:rPr>
      </w:pPr>
    </w:p>
    <w:p w:rsidR="00093ACF" w:rsidRPr="00063543" w:rsidRDefault="00093ACF" w:rsidP="00093ACF">
      <w:pPr>
        <w:keepNext/>
        <w:autoSpaceDE w:val="0"/>
        <w:autoSpaceDN w:val="0"/>
        <w:adjustRightInd w:val="0"/>
        <w:rPr>
          <w:b/>
          <w:bCs/>
          <w:szCs w:val="22"/>
        </w:rPr>
      </w:pPr>
      <w:proofErr w:type="spellStart"/>
      <w:r>
        <w:rPr>
          <w:b/>
          <w:bCs/>
          <w:szCs w:val="22"/>
        </w:rPr>
        <w:t>Upozornenia</w:t>
      </w:r>
      <w:proofErr w:type="spellEnd"/>
      <w:r>
        <w:rPr>
          <w:b/>
          <w:bCs/>
          <w:szCs w:val="22"/>
        </w:rPr>
        <w:t xml:space="preserve"> a </w:t>
      </w:r>
      <w:proofErr w:type="spellStart"/>
      <w:r>
        <w:rPr>
          <w:b/>
          <w:bCs/>
          <w:szCs w:val="22"/>
        </w:rPr>
        <w:t>opatrenia</w:t>
      </w:r>
      <w:proofErr w:type="spellEnd"/>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Pred prvou infúziou </w:t>
      </w:r>
      <w:r w:rsidR="00093ACF">
        <w:rPr>
          <w:rFonts w:eastAsia="MS Mincho"/>
          <w:snapToGrid w:val="0"/>
          <w:szCs w:val="22"/>
          <w:lang w:val="sk-SK"/>
        </w:rPr>
        <w:t>v</w:t>
      </w:r>
      <w:r w:rsidRPr="0023237F">
        <w:rPr>
          <w:rFonts w:eastAsia="MS Mincho"/>
          <w:snapToGrid w:val="0"/>
          <w:szCs w:val="22"/>
          <w:lang w:val="sk-SK"/>
        </w:rPr>
        <w:t xml:space="preserve">ám odoberú vzorky </w:t>
      </w:r>
      <w:r w:rsidR="00093ACF">
        <w:rPr>
          <w:rFonts w:eastAsia="MS Mincho"/>
          <w:snapToGrid w:val="0"/>
          <w:szCs w:val="22"/>
          <w:lang w:val="sk-SK"/>
        </w:rPr>
        <w:t>v</w:t>
      </w:r>
      <w:r w:rsidRPr="0023237F">
        <w:rPr>
          <w:rFonts w:eastAsia="MS Mincho"/>
          <w:snapToGrid w:val="0"/>
          <w:szCs w:val="22"/>
          <w:lang w:val="sk-SK"/>
        </w:rPr>
        <w:t xml:space="preserve">ašej krvi, aby zistili, či </w:t>
      </w:r>
      <w:r w:rsidR="00093ACF">
        <w:rPr>
          <w:rFonts w:eastAsia="MS Mincho"/>
          <w:snapToGrid w:val="0"/>
          <w:szCs w:val="22"/>
          <w:lang w:val="sk-SK"/>
        </w:rPr>
        <w:t xml:space="preserve">vaša pečeň a </w:t>
      </w:r>
      <w:r w:rsidRPr="0023237F">
        <w:rPr>
          <w:rFonts w:eastAsia="MS Mincho"/>
          <w:snapToGrid w:val="0"/>
          <w:szCs w:val="22"/>
          <w:lang w:val="sk-SK"/>
        </w:rPr>
        <w:t>oblič</w:t>
      </w:r>
      <w:r w:rsidR="00093ACF">
        <w:rPr>
          <w:rFonts w:eastAsia="MS Mincho"/>
          <w:snapToGrid w:val="0"/>
          <w:szCs w:val="22"/>
          <w:lang w:val="sk-SK"/>
        </w:rPr>
        <w:t>ky pracujú dostatočne</w:t>
      </w:r>
      <w:r w:rsidRPr="0023237F">
        <w:rPr>
          <w:rFonts w:eastAsia="MS Mincho"/>
          <w:snapToGrid w:val="0"/>
          <w:szCs w:val="22"/>
          <w:lang w:val="sk-SK"/>
        </w:rPr>
        <w:t xml:space="preserve">. Pred každou infúziou </w:t>
      </w:r>
      <w:r w:rsidR="00093ACF">
        <w:rPr>
          <w:rFonts w:eastAsia="MS Mincho"/>
          <w:snapToGrid w:val="0"/>
          <w:szCs w:val="22"/>
          <w:lang w:val="sk-SK"/>
        </w:rPr>
        <w:t>v</w:t>
      </w:r>
      <w:r w:rsidRPr="0023237F">
        <w:rPr>
          <w:rFonts w:eastAsia="MS Mincho"/>
          <w:snapToGrid w:val="0"/>
          <w:szCs w:val="22"/>
          <w:lang w:val="sk-SK"/>
        </w:rPr>
        <w:t xml:space="preserve">ám odoberú vzorky krvi na zhodnotenie, či máte dostatočné </w:t>
      </w:r>
      <w:r w:rsidRPr="0023237F">
        <w:rPr>
          <w:rFonts w:eastAsia="MS Mincho"/>
          <w:snapToGrid w:val="0"/>
          <w:szCs w:val="22"/>
          <w:lang w:val="sk-SK"/>
        </w:rPr>
        <w:lastRenderedPageBreak/>
        <w:t xml:space="preserve">množstvo krvných buniek, aby ste mohli dostávať Gemcitabine. Váš lekár sa môže rozhodnúť, že zmení dávku alebo oddiali liečbu v závislosti od </w:t>
      </w:r>
      <w:r w:rsidR="00093ACF">
        <w:rPr>
          <w:rFonts w:eastAsia="MS Mincho"/>
          <w:snapToGrid w:val="0"/>
          <w:szCs w:val="22"/>
          <w:lang w:val="sk-SK"/>
        </w:rPr>
        <w:t>v</w:t>
      </w:r>
      <w:r w:rsidRPr="0023237F">
        <w:rPr>
          <w:rFonts w:eastAsia="MS Mincho"/>
          <w:snapToGrid w:val="0"/>
          <w:szCs w:val="22"/>
          <w:lang w:val="sk-SK"/>
        </w:rPr>
        <w:t xml:space="preserve">ášho zdravotného stavu a ak máte príliš nízke množstvá krvných buniek. Vzorky krvi </w:t>
      </w:r>
      <w:r w:rsidR="00093ACF">
        <w:rPr>
          <w:rFonts w:eastAsia="MS Mincho"/>
          <w:snapToGrid w:val="0"/>
          <w:szCs w:val="22"/>
          <w:lang w:val="sk-SK"/>
        </w:rPr>
        <w:t>v</w:t>
      </w:r>
      <w:r w:rsidRPr="0023237F">
        <w:rPr>
          <w:rFonts w:eastAsia="MS Mincho"/>
          <w:snapToGrid w:val="0"/>
          <w:szCs w:val="22"/>
          <w:lang w:val="sk-SK"/>
        </w:rPr>
        <w:t xml:space="preserve">ám budú odoberať pravidelne na zhodnotenie funkcie </w:t>
      </w:r>
      <w:r w:rsidR="00093ACF">
        <w:rPr>
          <w:rFonts w:eastAsia="MS Mincho"/>
          <w:snapToGrid w:val="0"/>
          <w:szCs w:val="22"/>
          <w:lang w:val="sk-SK"/>
        </w:rPr>
        <w:t>v</w:t>
      </w:r>
      <w:r w:rsidRPr="0023237F">
        <w:rPr>
          <w:rFonts w:eastAsia="MS Mincho"/>
          <w:snapToGrid w:val="0"/>
          <w:szCs w:val="22"/>
          <w:lang w:val="sk-SK"/>
        </w:rPr>
        <w:t>ašich obličiek a pečene.</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Oznámte, prosím, svojmu lekárovi:</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ak máte alebo ste niekedy mali ochorenie pečene, srdca alebo ciev</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ak ste nedávno podstúpili rádioterapiu alebo sa na ňu chystáte</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ak ste boli nedávno očkovaný</w:t>
      </w:r>
    </w:p>
    <w:p w:rsidR="00FA75B2"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ak sa u </w:t>
      </w:r>
      <w:r w:rsidR="00093ACF">
        <w:rPr>
          <w:rFonts w:eastAsia="MS Mincho"/>
          <w:snapToGrid w:val="0"/>
          <w:szCs w:val="22"/>
          <w:lang w:val="sk-SK"/>
        </w:rPr>
        <w:t>v</w:t>
      </w:r>
      <w:r w:rsidRPr="0023237F">
        <w:rPr>
          <w:rFonts w:eastAsia="MS Mincho"/>
          <w:snapToGrid w:val="0"/>
          <w:szCs w:val="22"/>
          <w:lang w:val="sk-SK"/>
        </w:rPr>
        <w:t>ás vyskytnú problémy s dýchaním alebo pocit veľkej slabosti a ste veľmi bledý (môže to byť znak obličkového zlyhania)</w:t>
      </w:r>
    </w:p>
    <w:p w:rsidR="00FA75B2" w:rsidRDefault="00FA75B2"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 xml:space="preserve">ak sa u vás objaví </w:t>
      </w:r>
      <w:r w:rsidR="00093ACF">
        <w:rPr>
          <w:rFonts w:eastAsia="MS Mincho"/>
          <w:snapToGrid w:val="0"/>
          <w:szCs w:val="22"/>
          <w:lang w:val="sk-SK"/>
        </w:rPr>
        <w:t>celkový</w:t>
      </w:r>
      <w:r>
        <w:rPr>
          <w:rFonts w:eastAsia="MS Mincho"/>
          <w:snapToGrid w:val="0"/>
          <w:szCs w:val="22"/>
          <w:lang w:val="sk-SK"/>
        </w:rPr>
        <w:t xml:space="preserve"> opuch, dýchavičnosť alebo sa zvýši vaša telesná hmotnosť, pretože to môže byť </w:t>
      </w:r>
      <w:r w:rsidR="00093ACF">
        <w:rPr>
          <w:rFonts w:eastAsia="MS Mincho"/>
          <w:snapToGrid w:val="0"/>
          <w:szCs w:val="22"/>
          <w:lang w:val="sk-SK"/>
        </w:rPr>
        <w:t>prejav</w:t>
      </w:r>
      <w:r>
        <w:rPr>
          <w:rFonts w:eastAsia="MS Mincho"/>
          <w:snapToGrid w:val="0"/>
          <w:szCs w:val="22"/>
          <w:lang w:val="sk-SK"/>
        </w:rPr>
        <w:t xml:space="preserve"> úniku tekutiny z malých krvných ciev do tkaniva a môže ísť o príznaky vážneho stavu, ktorý sa nazýva syndróm kapilárneho úniku (Capillary Leak Syndrome – CLS)</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ak sa u vás počas liečby týmto liekom objavia príznaky, ako je bolesť hlavy so zmätenosťou, kŕče (záchvaty) alebo zmeny videnia. Mali by ste ihneď kontaktovať svojho lekára, pretože môže ísť o veľmi zriedkavý vedľajší účinok pôsobiaci na nervový systém, ktorý sa nazýva posteriórny reverzibilný encefalopatický syndróm (Posterior Reversible Encephalopathy Syndrome – PRES).</w:t>
      </w:r>
    </w:p>
    <w:p w:rsidR="00FA75B2" w:rsidRPr="0023237F" w:rsidRDefault="00FA75B2" w:rsidP="0023237F">
      <w:pPr>
        <w:autoSpaceDE w:val="0"/>
        <w:autoSpaceDN w:val="0"/>
        <w:adjustRightInd w:val="0"/>
        <w:rPr>
          <w:rFonts w:eastAsia="MS Mincho"/>
          <w:b/>
          <w:bCs/>
          <w:snapToGrid w:val="0"/>
          <w:szCs w:val="22"/>
          <w:lang w:val="sk-SK"/>
        </w:rPr>
      </w:pPr>
    </w:p>
    <w:p w:rsidR="00093ACF" w:rsidRDefault="00093ACF" w:rsidP="00093ACF">
      <w:pPr>
        <w:keepNext/>
        <w:autoSpaceDE w:val="0"/>
        <w:autoSpaceDN w:val="0"/>
        <w:adjustRightInd w:val="0"/>
        <w:rPr>
          <w:szCs w:val="22"/>
        </w:rPr>
      </w:pPr>
      <w:proofErr w:type="spellStart"/>
      <w:r>
        <w:rPr>
          <w:b/>
          <w:szCs w:val="22"/>
        </w:rPr>
        <w:t>Iné</w:t>
      </w:r>
      <w:proofErr w:type="spellEnd"/>
      <w:r>
        <w:rPr>
          <w:b/>
          <w:szCs w:val="22"/>
        </w:rPr>
        <w:t xml:space="preserve"> </w:t>
      </w:r>
      <w:proofErr w:type="spellStart"/>
      <w:r>
        <w:rPr>
          <w:b/>
          <w:szCs w:val="22"/>
        </w:rPr>
        <w:t>lieky</w:t>
      </w:r>
      <w:proofErr w:type="spellEnd"/>
      <w:r>
        <w:rPr>
          <w:b/>
          <w:szCs w:val="22"/>
        </w:rPr>
        <w:t xml:space="preserve"> a Gemcitabine Accord</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Ak užívate alebo ste v poslednom čase užívali ešte iné lieky vrátane </w:t>
      </w:r>
      <w:r w:rsidR="003571B6">
        <w:rPr>
          <w:rFonts w:eastAsia="MS Mincho"/>
          <w:snapToGrid w:val="0"/>
          <w:szCs w:val="22"/>
          <w:lang w:val="sk-SK"/>
        </w:rPr>
        <w:t>očkovacích látok</w:t>
      </w:r>
      <w:r w:rsidRPr="0023237F">
        <w:rPr>
          <w:rFonts w:eastAsia="MS Mincho"/>
          <w:snapToGrid w:val="0"/>
          <w:szCs w:val="22"/>
          <w:lang w:val="sk-SK"/>
        </w:rPr>
        <w:t xml:space="preserve"> a liekov, ktorých výdaj nie je viazaný na lekársky predpis, oznámte to, prosím, svojmu lekárovi alebo lekárnikovi.</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Tehotenstvo</w:t>
      </w:r>
      <w:r w:rsidR="003571B6">
        <w:rPr>
          <w:rFonts w:eastAsia="MS Mincho"/>
          <w:b/>
          <w:bCs/>
          <w:snapToGrid w:val="0"/>
          <w:szCs w:val="22"/>
          <w:lang w:val="sk-SK"/>
        </w:rPr>
        <w:t>, dojčenie</w:t>
      </w:r>
      <w:r w:rsidRPr="0023237F">
        <w:rPr>
          <w:rFonts w:eastAsia="MS Mincho"/>
          <w:b/>
          <w:bCs/>
          <w:snapToGrid w:val="0"/>
          <w:szCs w:val="22"/>
          <w:lang w:val="sk-SK"/>
        </w:rPr>
        <w:t xml:space="preserve"> a </w:t>
      </w:r>
      <w:r w:rsidR="003571B6">
        <w:rPr>
          <w:rFonts w:eastAsia="MS Mincho"/>
          <w:b/>
          <w:bCs/>
          <w:snapToGrid w:val="0"/>
          <w:szCs w:val="22"/>
          <w:lang w:val="sk-SK"/>
        </w:rPr>
        <w:t>plodnosť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Ak ste tehotná alebo plánujete otehotnieť, oznámte to svojmu lekárovi. Používaniu Gemcitabinu počas tehotenstva sa má vyhýbať. Váš lekár </w:t>
      </w:r>
      <w:r w:rsidR="003571B6">
        <w:rPr>
          <w:rFonts w:eastAsia="MS Mincho"/>
          <w:snapToGrid w:val="0"/>
          <w:szCs w:val="22"/>
          <w:lang w:val="sk-SK"/>
        </w:rPr>
        <w:t>v</w:t>
      </w:r>
      <w:r w:rsidRPr="0023237F">
        <w:rPr>
          <w:rFonts w:eastAsia="MS Mincho"/>
          <w:snapToGrid w:val="0"/>
          <w:szCs w:val="22"/>
          <w:lang w:val="sk-SK"/>
        </w:rPr>
        <w:t>ás oboznámi o možnom riziku podávania Gemcitabinu počas tehotenstva.</w:t>
      </w:r>
    </w:p>
    <w:p w:rsidR="00FA75B2" w:rsidRDefault="00FA75B2" w:rsidP="0023237F">
      <w:pPr>
        <w:autoSpaceDE w:val="0"/>
        <w:autoSpaceDN w:val="0"/>
        <w:adjustRightInd w:val="0"/>
        <w:rPr>
          <w:rFonts w:eastAsia="MS Mincho"/>
          <w:snapToGrid w:val="0"/>
          <w:szCs w:val="22"/>
          <w:lang w:val="sk-SK"/>
        </w:rPr>
      </w:pPr>
    </w:p>
    <w:p w:rsidR="00FA75B2" w:rsidRPr="0023237F" w:rsidRDefault="00FA75B2" w:rsidP="00BC27F0">
      <w:pPr>
        <w:autoSpaceDE w:val="0"/>
        <w:autoSpaceDN w:val="0"/>
        <w:adjustRightInd w:val="0"/>
        <w:rPr>
          <w:rFonts w:eastAsia="MS Mincho"/>
          <w:snapToGrid w:val="0"/>
          <w:szCs w:val="22"/>
          <w:lang w:val="sk-SK"/>
        </w:rPr>
      </w:pPr>
      <w:r w:rsidRPr="0023237F">
        <w:rPr>
          <w:rFonts w:eastAsia="MS Mincho"/>
          <w:snapToGrid w:val="0"/>
          <w:szCs w:val="22"/>
          <w:lang w:val="sk-SK"/>
        </w:rPr>
        <w:t>Mužom sa odporúča</w:t>
      </w:r>
      <w:r w:rsidR="003571B6">
        <w:rPr>
          <w:rFonts w:eastAsia="MS Mincho"/>
          <w:snapToGrid w:val="0"/>
          <w:szCs w:val="22"/>
          <w:lang w:val="sk-SK"/>
        </w:rPr>
        <w:t>, aby</w:t>
      </w:r>
      <w:r w:rsidRPr="0023237F">
        <w:rPr>
          <w:rFonts w:eastAsia="MS Mincho"/>
          <w:snapToGrid w:val="0"/>
          <w:szCs w:val="22"/>
          <w:lang w:val="sk-SK"/>
        </w:rPr>
        <w:t xml:space="preserve"> nesplodi</w:t>
      </w:r>
      <w:r w:rsidR="003571B6">
        <w:rPr>
          <w:rFonts w:eastAsia="MS Mincho"/>
          <w:snapToGrid w:val="0"/>
          <w:szCs w:val="22"/>
          <w:lang w:val="sk-SK"/>
        </w:rPr>
        <w:t xml:space="preserve">li </w:t>
      </w:r>
      <w:r w:rsidRPr="0023237F">
        <w:rPr>
          <w:rFonts w:eastAsia="MS Mincho"/>
          <w:snapToGrid w:val="0"/>
          <w:szCs w:val="22"/>
          <w:lang w:val="sk-SK"/>
        </w:rPr>
        <w:t xml:space="preserve">dieťa počas liečby a ešte 6 mesiacov po skončení liečby </w:t>
      </w:r>
      <w:r w:rsidR="00DA6D4F">
        <w:rPr>
          <w:rFonts w:eastAsia="MS Mincho"/>
          <w:snapToGrid w:val="0"/>
          <w:szCs w:val="22"/>
          <w:lang w:val="sk-SK"/>
        </w:rPr>
        <w:t>g</w:t>
      </w:r>
      <w:r w:rsidRPr="0023237F">
        <w:rPr>
          <w:rFonts w:eastAsia="MS Mincho"/>
          <w:snapToGrid w:val="0"/>
          <w:szCs w:val="22"/>
          <w:lang w:val="sk-SK"/>
        </w:rPr>
        <w:t>emcitabinom. Ak chcete splodiť dieťa počas liečby alebo počas 6 mesiacov po skončení liečby, poraďte sa o tom so svojím lekárom alebo lekárnikom. Možno budete mať záujem o informácie týkajúce sa uchovania spermií pred začiatkom liečby.</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3571B6" w:rsidP="0023237F">
      <w:pPr>
        <w:autoSpaceDE w:val="0"/>
        <w:autoSpaceDN w:val="0"/>
        <w:adjustRightInd w:val="0"/>
        <w:rPr>
          <w:rFonts w:eastAsia="MS Mincho"/>
          <w:snapToGrid w:val="0"/>
          <w:szCs w:val="22"/>
          <w:lang w:val="sk-SK"/>
        </w:rPr>
      </w:pPr>
      <w:proofErr w:type="spellStart"/>
      <w:r>
        <w:rPr>
          <w:szCs w:val="22"/>
        </w:rPr>
        <w:t>Počas</w:t>
      </w:r>
      <w:proofErr w:type="spellEnd"/>
      <w:r>
        <w:rPr>
          <w:szCs w:val="22"/>
        </w:rPr>
        <w:t xml:space="preserve"> </w:t>
      </w:r>
      <w:proofErr w:type="spellStart"/>
      <w:r>
        <w:rPr>
          <w:szCs w:val="22"/>
        </w:rPr>
        <w:t>liečby</w:t>
      </w:r>
      <w:proofErr w:type="spellEnd"/>
      <w:r>
        <w:rPr>
          <w:szCs w:val="22"/>
        </w:rPr>
        <w:t xml:space="preserve"> </w:t>
      </w:r>
      <w:proofErr w:type="spellStart"/>
      <w:r>
        <w:rPr>
          <w:szCs w:val="22"/>
        </w:rPr>
        <w:t>Gemcitabinom</w:t>
      </w:r>
      <w:proofErr w:type="spellEnd"/>
      <w:r>
        <w:rPr>
          <w:szCs w:val="22"/>
        </w:rPr>
        <w:t xml:space="preserve"> Accord</w:t>
      </w:r>
      <w:r w:rsidRPr="00986DBC">
        <w:rPr>
          <w:szCs w:val="22"/>
        </w:rPr>
        <w:t xml:space="preserve"> </w:t>
      </w:r>
      <w:proofErr w:type="spellStart"/>
      <w:r>
        <w:rPr>
          <w:szCs w:val="22"/>
        </w:rPr>
        <w:t>nesmiete</w:t>
      </w:r>
      <w:proofErr w:type="spellEnd"/>
      <w:r>
        <w:rPr>
          <w:szCs w:val="22"/>
        </w:rPr>
        <w:t xml:space="preserve"> </w:t>
      </w:r>
      <w:proofErr w:type="spellStart"/>
      <w:r>
        <w:rPr>
          <w:szCs w:val="22"/>
        </w:rPr>
        <w:t>dojčiť</w:t>
      </w:r>
      <w:proofErr w:type="spellEnd"/>
      <w:r>
        <w:rPr>
          <w:szCs w:val="22"/>
        </w:rPr>
        <w:t>.</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b/>
          <w:bCs/>
          <w:snapToGrid w:val="0"/>
          <w:szCs w:val="22"/>
          <w:lang w:val="sk-SK"/>
        </w:rPr>
        <w:t>Vedenie vozid</w:t>
      </w:r>
      <w:r w:rsidR="003571B6">
        <w:rPr>
          <w:rFonts w:eastAsia="MS Mincho"/>
          <w:b/>
          <w:bCs/>
          <w:snapToGrid w:val="0"/>
          <w:szCs w:val="22"/>
          <w:lang w:val="sk-SK"/>
        </w:rPr>
        <w:t>ie</w:t>
      </w:r>
      <w:r w:rsidRPr="0023237F">
        <w:rPr>
          <w:rFonts w:eastAsia="MS Mincho"/>
          <w:b/>
          <w:bCs/>
          <w:snapToGrid w:val="0"/>
          <w:szCs w:val="22"/>
          <w:lang w:val="sk-SK"/>
        </w:rPr>
        <w:t xml:space="preserve">l a obsluha strojov </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môže vyvolať pocit ospalosti, najmä ak ste požili alkohol. Neveďte vozidl</w:t>
      </w:r>
      <w:r w:rsidR="003571B6">
        <w:rPr>
          <w:rFonts w:eastAsia="MS Mincho"/>
          <w:snapToGrid w:val="0"/>
          <w:szCs w:val="22"/>
          <w:lang w:val="sk-SK"/>
        </w:rPr>
        <w:t>á</w:t>
      </w:r>
      <w:r w:rsidRPr="0023237F">
        <w:rPr>
          <w:rFonts w:eastAsia="MS Mincho"/>
          <w:snapToGrid w:val="0"/>
          <w:szCs w:val="22"/>
          <w:lang w:val="sk-SK"/>
        </w:rPr>
        <w:t xml:space="preserve"> ani neobsluhujte stroje, pokiaľ si nie ste istý, že liečba Gemcitabinom u </w:t>
      </w:r>
      <w:r w:rsidR="003571B6">
        <w:rPr>
          <w:rFonts w:eastAsia="MS Mincho"/>
          <w:snapToGrid w:val="0"/>
          <w:szCs w:val="22"/>
          <w:lang w:val="sk-SK"/>
        </w:rPr>
        <w:t>v</w:t>
      </w:r>
      <w:r w:rsidRPr="0023237F">
        <w:rPr>
          <w:rFonts w:eastAsia="MS Mincho"/>
          <w:snapToGrid w:val="0"/>
          <w:szCs w:val="22"/>
          <w:lang w:val="sk-SK"/>
        </w:rPr>
        <w:t>ás nevyvoláva pocit ospalosti.</w:t>
      </w:r>
    </w:p>
    <w:p w:rsidR="00FA75B2" w:rsidRDefault="00FA75B2" w:rsidP="0023237F">
      <w:pPr>
        <w:autoSpaceDE w:val="0"/>
        <w:autoSpaceDN w:val="0"/>
        <w:adjustRightInd w:val="0"/>
        <w:rPr>
          <w:rFonts w:eastAsia="MS Mincho"/>
          <w:snapToGrid w:val="0"/>
          <w:szCs w:val="22"/>
          <w:lang w:val="sk-SK"/>
        </w:rPr>
      </w:pPr>
    </w:p>
    <w:p w:rsidR="003571B6" w:rsidRPr="0023237F" w:rsidRDefault="003571B6" w:rsidP="0023237F">
      <w:pPr>
        <w:autoSpaceDE w:val="0"/>
        <w:autoSpaceDN w:val="0"/>
        <w:adjustRightInd w:val="0"/>
        <w:rPr>
          <w:rFonts w:eastAsia="MS Mincho"/>
          <w:snapToGrid w:val="0"/>
          <w:szCs w:val="22"/>
          <w:lang w:val="sk-SK"/>
        </w:rPr>
      </w:pPr>
      <w:r>
        <w:rPr>
          <w:b/>
          <w:szCs w:val="22"/>
        </w:rPr>
        <w:t xml:space="preserve">Gemcitabine Accord </w:t>
      </w:r>
      <w:proofErr w:type="spellStart"/>
      <w:r>
        <w:rPr>
          <w:b/>
          <w:szCs w:val="22"/>
        </w:rPr>
        <w:t>obsahuje</w:t>
      </w:r>
      <w:proofErr w:type="spellEnd"/>
      <w:r>
        <w:rPr>
          <w:b/>
          <w:szCs w:val="22"/>
        </w:rPr>
        <w:t xml:space="preserve"> </w:t>
      </w:r>
      <w:proofErr w:type="spellStart"/>
      <w:r>
        <w:rPr>
          <w:b/>
          <w:szCs w:val="22"/>
        </w:rPr>
        <w:t>sodík</w:t>
      </w:r>
      <w:proofErr w:type="spellEnd"/>
    </w:p>
    <w:p w:rsidR="00644F98" w:rsidRPr="00063543" w:rsidRDefault="00FA75B2" w:rsidP="00644F98">
      <w:pPr>
        <w:pStyle w:val="Default"/>
        <w:rPr>
          <w:sz w:val="22"/>
          <w:szCs w:val="22"/>
        </w:rPr>
      </w:pPr>
      <w:r w:rsidRPr="0023237F">
        <w:rPr>
          <w:rFonts w:eastAsia="MS Mincho"/>
          <w:snapToGrid w:val="0"/>
          <w:szCs w:val="22"/>
        </w:rPr>
        <w:t xml:space="preserve">Gemcitabine Accord obsahuje 3,5 mg (&lt; 1 mmol) sodíka v každej 200 mg injekčnej liekovke, 17,5 mg (&lt; 1 mmol) sodíka v každej 1 000 mg injekčnej liekovke a 35 mg (1,52 mmol) sodíka v každej 2 000 mg injekčnej liekovke. </w:t>
      </w:r>
      <w:r w:rsidR="00644F98">
        <w:rPr>
          <w:sz w:val="22"/>
          <w:szCs w:val="22"/>
        </w:rPr>
        <w:t>Má sa to vziať do úvahy u</w:t>
      </w:r>
      <w:r w:rsidR="00644F98" w:rsidRPr="00063543">
        <w:rPr>
          <w:sz w:val="22"/>
          <w:szCs w:val="22"/>
        </w:rPr>
        <w:t> </w:t>
      </w:r>
      <w:r w:rsidR="00644F98">
        <w:rPr>
          <w:sz w:val="22"/>
          <w:szCs w:val="22"/>
        </w:rPr>
        <w:t>pacientov na diéte s kontrolovaným obsahom sodíka.</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p>
    <w:p w:rsidR="00644F98" w:rsidRPr="00063543" w:rsidRDefault="00644F98" w:rsidP="00644F98">
      <w:pPr>
        <w:keepNext/>
        <w:tabs>
          <w:tab w:val="left" w:pos="567"/>
        </w:tabs>
        <w:autoSpaceDE w:val="0"/>
        <w:autoSpaceDN w:val="0"/>
        <w:adjustRightInd w:val="0"/>
        <w:rPr>
          <w:b/>
          <w:bCs/>
          <w:szCs w:val="22"/>
        </w:rPr>
      </w:pPr>
      <w:r w:rsidRPr="00063543">
        <w:rPr>
          <w:b/>
          <w:bCs/>
          <w:szCs w:val="22"/>
        </w:rPr>
        <w:t>3.</w:t>
      </w:r>
      <w:r w:rsidRPr="00063543">
        <w:rPr>
          <w:b/>
          <w:bCs/>
          <w:szCs w:val="22"/>
        </w:rPr>
        <w:tab/>
      </w:r>
      <w:proofErr w:type="spellStart"/>
      <w:r>
        <w:rPr>
          <w:b/>
          <w:bCs/>
          <w:szCs w:val="22"/>
        </w:rPr>
        <w:t>Ako</w:t>
      </w:r>
      <w:proofErr w:type="spellEnd"/>
      <w:r>
        <w:rPr>
          <w:b/>
          <w:bCs/>
          <w:szCs w:val="22"/>
        </w:rPr>
        <w:t xml:space="preserve"> </w:t>
      </w:r>
      <w:proofErr w:type="spellStart"/>
      <w:r>
        <w:rPr>
          <w:b/>
          <w:bCs/>
          <w:szCs w:val="22"/>
        </w:rPr>
        <w:t>používať</w:t>
      </w:r>
      <w:proofErr w:type="spellEnd"/>
      <w:r>
        <w:rPr>
          <w:b/>
          <w:bCs/>
          <w:szCs w:val="22"/>
        </w:rPr>
        <w:t xml:space="preserve"> Gemcitabine Accord</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DA6D4F" w:rsidP="0023237F">
      <w:pPr>
        <w:autoSpaceDE w:val="0"/>
        <w:autoSpaceDN w:val="0"/>
        <w:adjustRightInd w:val="0"/>
        <w:rPr>
          <w:rFonts w:eastAsia="MS Mincho"/>
          <w:snapToGrid w:val="0"/>
          <w:szCs w:val="22"/>
          <w:lang w:val="sk-SK"/>
        </w:rPr>
      </w:pPr>
      <w:r>
        <w:rPr>
          <w:rFonts w:eastAsia="MS Mincho"/>
          <w:snapToGrid w:val="0"/>
          <w:szCs w:val="22"/>
          <w:lang w:val="sk-SK"/>
        </w:rPr>
        <w:t>O</w:t>
      </w:r>
      <w:r w:rsidR="00644F98">
        <w:rPr>
          <w:rFonts w:eastAsia="MS Mincho"/>
          <w:snapToGrid w:val="0"/>
          <w:szCs w:val="22"/>
          <w:lang w:val="sk-SK"/>
        </w:rPr>
        <w:t>dporúčaná</w:t>
      </w:r>
      <w:r w:rsidR="00FA75B2" w:rsidRPr="0023237F">
        <w:rPr>
          <w:rFonts w:eastAsia="MS Mincho"/>
          <w:snapToGrid w:val="0"/>
          <w:szCs w:val="22"/>
          <w:lang w:val="sk-SK"/>
        </w:rPr>
        <w:t xml:space="preserve"> dávka Gemcitabinu je 1 000 – 1 250 mg na každý štvorcový meter povrchovej plochy </w:t>
      </w:r>
      <w:r w:rsidR="00644F98">
        <w:rPr>
          <w:rFonts w:eastAsia="MS Mincho"/>
          <w:snapToGrid w:val="0"/>
          <w:szCs w:val="22"/>
          <w:lang w:val="sk-SK"/>
        </w:rPr>
        <w:t>v</w:t>
      </w:r>
      <w:r w:rsidR="00FA75B2" w:rsidRPr="0023237F">
        <w:rPr>
          <w:rFonts w:eastAsia="MS Mincho"/>
          <w:snapToGrid w:val="0"/>
          <w:szCs w:val="22"/>
          <w:lang w:val="sk-SK"/>
        </w:rPr>
        <w:t>ášho tela. Na určenie plochy</w:t>
      </w:r>
      <w:r w:rsidR="00644F98">
        <w:rPr>
          <w:rFonts w:eastAsia="MS Mincho"/>
          <w:snapToGrid w:val="0"/>
          <w:szCs w:val="22"/>
          <w:lang w:val="sk-SK"/>
        </w:rPr>
        <w:t xml:space="preserve"> povrchu</w:t>
      </w:r>
      <w:r w:rsidR="00FA75B2" w:rsidRPr="0023237F">
        <w:rPr>
          <w:rFonts w:eastAsia="MS Mincho"/>
          <w:snapToGrid w:val="0"/>
          <w:szCs w:val="22"/>
          <w:lang w:val="sk-SK"/>
        </w:rPr>
        <w:t xml:space="preserve"> </w:t>
      </w:r>
      <w:r w:rsidR="00644F98">
        <w:rPr>
          <w:rFonts w:eastAsia="MS Mincho"/>
          <w:snapToGrid w:val="0"/>
          <w:szCs w:val="22"/>
          <w:lang w:val="sk-SK"/>
        </w:rPr>
        <w:t>v</w:t>
      </w:r>
      <w:r w:rsidR="00FA75B2" w:rsidRPr="0023237F">
        <w:rPr>
          <w:rFonts w:eastAsia="MS Mincho"/>
          <w:snapToGrid w:val="0"/>
          <w:szCs w:val="22"/>
          <w:lang w:val="sk-SK"/>
        </w:rPr>
        <w:t xml:space="preserve">ášho tela </w:t>
      </w:r>
      <w:r w:rsidR="00644F98">
        <w:rPr>
          <w:rFonts w:eastAsia="MS Mincho"/>
          <w:snapToGrid w:val="0"/>
          <w:szCs w:val="22"/>
          <w:lang w:val="sk-SK"/>
        </w:rPr>
        <w:t>v</w:t>
      </w:r>
      <w:r w:rsidR="00FA75B2" w:rsidRPr="0023237F">
        <w:rPr>
          <w:rFonts w:eastAsia="MS Mincho"/>
          <w:snapToGrid w:val="0"/>
          <w:szCs w:val="22"/>
          <w:lang w:val="sk-SK"/>
        </w:rPr>
        <w:t xml:space="preserve">ám odmerajú </w:t>
      </w:r>
      <w:r w:rsidR="00644F98">
        <w:rPr>
          <w:rFonts w:eastAsia="MS Mincho"/>
          <w:snapToGrid w:val="0"/>
          <w:szCs w:val="22"/>
          <w:lang w:val="sk-SK"/>
        </w:rPr>
        <w:t>v</w:t>
      </w:r>
      <w:r w:rsidR="00FA75B2" w:rsidRPr="0023237F">
        <w:rPr>
          <w:rFonts w:eastAsia="MS Mincho"/>
          <w:snapToGrid w:val="0"/>
          <w:szCs w:val="22"/>
          <w:lang w:val="sk-SK"/>
        </w:rPr>
        <w:t>ašu výšku a hmotnosť. Túto plochu</w:t>
      </w:r>
      <w:r w:rsidR="00644F98">
        <w:rPr>
          <w:rFonts w:eastAsia="MS Mincho"/>
          <w:snapToGrid w:val="0"/>
          <w:szCs w:val="22"/>
          <w:lang w:val="sk-SK"/>
        </w:rPr>
        <w:t xml:space="preserve"> povrchu</w:t>
      </w:r>
      <w:r w:rsidR="00FA75B2" w:rsidRPr="0023237F">
        <w:rPr>
          <w:rFonts w:eastAsia="MS Mincho"/>
          <w:snapToGrid w:val="0"/>
          <w:szCs w:val="22"/>
          <w:lang w:val="sk-SK"/>
        </w:rPr>
        <w:t xml:space="preserve"> tela použije </w:t>
      </w:r>
      <w:r w:rsidR="00644F98">
        <w:rPr>
          <w:rFonts w:eastAsia="MS Mincho"/>
          <w:snapToGrid w:val="0"/>
          <w:szCs w:val="22"/>
          <w:lang w:val="sk-SK"/>
        </w:rPr>
        <w:t>v</w:t>
      </w:r>
      <w:r w:rsidR="00FA75B2" w:rsidRPr="0023237F">
        <w:rPr>
          <w:rFonts w:eastAsia="MS Mincho"/>
          <w:snapToGrid w:val="0"/>
          <w:szCs w:val="22"/>
          <w:lang w:val="sk-SK"/>
        </w:rPr>
        <w:t xml:space="preserve">áš lekár na určenie správnej dávky pre </w:t>
      </w:r>
      <w:r w:rsidR="00644F98">
        <w:rPr>
          <w:rFonts w:eastAsia="MS Mincho"/>
          <w:snapToGrid w:val="0"/>
          <w:szCs w:val="22"/>
          <w:lang w:val="sk-SK"/>
        </w:rPr>
        <w:t>v</w:t>
      </w:r>
      <w:r w:rsidR="00FA75B2" w:rsidRPr="0023237F">
        <w:rPr>
          <w:rFonts w:eastAsia="MS Mincho"/>
          <w:snapToGrid w:val="0"/>
          <w:szCs w:val="22"/>
          <w:lang w:val="sk-SK"/>
        </w:rPr>
        <w:t xml:space="preserve">ás. Toto dávkovanie sa môže upraviť alebo sa môže oddialiť liečba v závislosti od počtu </w:t>
      </w:r>
      <w:r w:rsidR="00644F98">
        <w:rPr>
          <w:rFonts w:eastAsia="MS Mincho"/>
          <w:snapToGrid w:val="0"/>
          <w:szCs w:val="22"/>
          <w:lang w:val="sk-SK"/>
        </w:rPr>
        <w:t>v</w:t>
      </w:r>
      <w:r w:rsidR="00FA75B2" w:rsidRPr="0023237F">
        <w:rPr>
          <w:rFonts w:eastAsia="MS Mincho"/>
          <w:snapToGrid w:val="0"/>
          <w:szCs w:val="22"/>
          <w:lang w:val="sk-SK"/>
        </w:rPr>
        <w:t xml:space="preserve">ašich krvných buniek a od </w:t>
      </w:r>
      <w:r w:rsidR="00644F98">
        <w:rPr>
          <w:rFonts w:eastAsia="MS Mincho"/>
          <w:snapToGrid w:val="0"/>
          <w:szCs w:val="22"/>
          <w:lang w:val="sk-SK"/>
        </w:rPr>
        <w:t>v</w:t>
      </w:r>
      <w:r w:rsidR="00FA75B2" w:rsidRPr="0023237F">
        <w:rPr>
          <w:rFonts w:eastAsia="MS Mincho"/>
          <w:snapToGrid w:val="0"/>
          <w:szCs w:val="22"/>
          <w:lang w:val="sk-SK"/>
        </w:rPr>
        <w:t>ášho celkového zdravotného stavu.</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lastRenderedPageBreak/>
        <w:t>Ako často dostávate infúziu Gemcitabinu, závisí od typu rakoviny, na ktorú sa liečite.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Nemocničný lekárnik alebo lekár prášok Gemcitabine pred podaním rozpustí.</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budete dostávať vždy formou infúzie do jednej z </w:t>
      </w:r>
      <w:r w:rsidR="00644F98">
        <w:rPr>
          <w:rFonts w:eastAsia="MS Mincho"/>
          <w:snapToGrid w:val="0"/>
          <w:szCs w:val="22"/>
          <w:lang w:val="sk-SK"/>
        </w:rPr>
        <w:t>v</w:t>
      </w:r>
      <w:r w:rsidRPr="0023237F">
        <w:rPr>
          <w:rFonts w:eastAsia="MS Mincho"/>
          <w:snapToGrid w:val="0"/>
          <w:szCs w:val="22"/>
          <w:lang w:val="sk-SK"/>
        </w:rPr>
        <w:t>ašich žíl. Infúzia bude trvať približne 30 minút.</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Ak máte </w:t>
      </w:r>
      <w:r w:rsidR="00DA6D4F">
        <w:rPr>
          <w:rFonts w:eastAsia="MS Mincho"/>
          <w:snapToGrid w:val="0"/>
          <w:szCs w:val="22"/>
          <w:lang w:val="sk-SK"/>
        </w:rPr>
        <w:t xml:space="preserve">akékoľvek </w:t>
      </w:r>
      <w:r w:rsidRPr="0023237F">
        <w:rPr>
          <w:rFonts w:eastAsia="MS Mincho"/>
          <w:snapToGrid w:val="0"/>
          <w:szCs w:val="22"/>
          <w:lang w:val="sk-SK"/>
        </w:rPr>
        <w:t>ďalšie otázky týkajúce sa použitia tohto lieku, opýtajte sa svojho lekára alebo lekárnika.</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p>
    <w:p w:rsidR="00644F98" w:rsidRPr="00063543" w:rsidRDefault="00644F98" w:rsidP="00644F98">
      <w:pPr>
        <w:keepNext/>
        <w:tabs>
          <w:tab w:val="left" w:pos="567"/>
        </w:tabs>
        <w:autoSpaceDE w:val="0"/>
        <w:autoSpaceDN w:val="0"/>
        <w:adjustRightInd w:val="0"/>
        <w:rPr>
          <w:b/>
          <w:bCs/>
          <w:szCs w:val="22"/>
        </w:rPr>
      </w:pPr>
      <w:r w:rsidRPr="00063543">
        <w:rPr>
          <w:b/>
          <w:bCs/>
          <w:szCs w:val="22"/>
        </w:rPr>
        <w:t>4.</w:t>
      </w:r>
      <w:r w:rsidRPr="00063543">
        <w:rPr>
          <w:b/>
          <w:bCs/>
          <w:szCs w:val="22"/>
        </w:rPr>
        <w:tab/>
      </w:r>
      <w:proofErr w:type="spellStart"/>
      <w:r>
        <w:rPr>
          <w:b/>
          <w:bCs/>
          <w:szCs w:val="22"/>
        </w:rPr>
        <w:t>Možné</w:t>
      </w:r>
      <w:proofErr w:type="spellEnd"/>
      <w:r>
        <w:rPr>
          <w:b/>
          <w:bCs/>
          <w:szCs w:val="22"/>
        </w:rPr>
        <w:t xml:space="preserve"> </w:t>
      </w:r>
      <w:proofErr w:type="spellStart"/>
      <w:r>
        <w:rPr>
          <w:b/>
          <w:bCs/>
          <w:szCs w:val="22"/>
        </w:rPr>
        <w:t>vedľajšie</w:t>
      </w:r>
      <w:proofErr w:type="spellEnd"/>
      <w:r>
        <w:rPr>
          <w:b/>
          <w:bCs/>
          <w:szCs w:val="22"/>
        </w:rPr>
        <w:t xml:space="preserve"> </w:t>
      </w:r>
      <w:proofErr w:type="spellStart"/>
      <w:r>
        <w:rPr>
          <w:b/>
          <w:bCs/>
          <w:szCs w:val="22"/>
        </w:rPr>
        <w:t>účinky</w:t>
      </w:r>
      <w:proofErr w:type="spellEnd"/>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Tak ako všetky lieky, aj </w:t>
      </w:r>
      <w:r w:rsidR="00DA6D4F">
        <w:rPr>
          <w:rFonts w:eastAsia="MS Mincho"/>
          <w:snapToGrid w:val="0"/>
          <w:szCs w:val="22"/>
          <w:lang w:val="sk-SK"/>
        </w:rPr>
        <w:t>tento liek</w:t>
      </w:r>
      <w:r w:rsidR="00DA6D4F" w:rsidRPr="0023237F">
        <w:rPr>
          <w:rFonts w:eastAsia="MS Mincho"/>
          <w:snapToGrid w:val="0"/>
          <w:szCs w:val="22"/>
          <w:lang w:val="sk-SK"/>
        </w:rPr>
        <w:t xml:space="preserve"> </w:t>
      </w:r>
      <w:r w:rsidRPr="0023237F">
        <w:rPr>
          <w:rFonts w:eastAsia="MS Mincho"/>
          <w:snapToGrid w:val="0"/>
          <w:szCs w:val="22"/>
          <w:lang w:val="sk-SK"/>
        </w:rPr>
        <w:t>môže spôsobovať vedľajšie účinky, hoci sa neprejavia u každého.</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Frekvencie pozorovaných vedľajších účinkov sú definované takto:</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veľmi čast</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viac ako 1 z 10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čast</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1 až 10 zo 100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menej čast</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1 až 10 z 1 000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zriedkav</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1 až 10 z 10 000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veľmi zriedkav</w:t>
      </w:r>
      <w:r w:rsidR="00DA6D4F">
        <w:rPr>
          <w:rFonts w:eastAsia="MS Mincho"/>
          <w:snapToGrid w:val="0"/>
          <w:szCs w:val="22"/>
          <w:lang w:val="sk-SK"/>
        </w:rPr>
        <w:t>é</w:t>
      </w:r>
      <w:r w:rsidRPr="0023237F">
        <w:rPr>
          <w:rFonts w:eastAsia="MS Mincho"/>
          <w:snapToGrid w:val="0"/>
          <w:szCs w:val="22"/>
          <w:lang w:val="sk-SK"/>
        </w:rPr>
        <w:t>: hlásen</w:t>
      </w:r>
      <w:r w:rsidR="00DA6D4F">
        <w:rPr>
          <w:rFonts w:eastAsia="MS Mincho"/>
          <w:snapToGrid w:val="0"/>
          <w:szCs w:val="22"/>
          <w:lang w:val="sk-SK"/>
        </w:rPr>
        <w:t>é</w:t>
      </w:r>
      <w:r w:rsidRPr="0023237F">
        <w:rPr>
          <w:rFonts w:eastAsia="MS Mincho"/>
          <w:snapToGrid w:val="0"/>
          <w:szCs w:val="22"/>
          <w:lang w:val="sk-SK"/>
        </w:rPr>
        <w:t xml:space="preserve"> u menej ako 1 z 10 000</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neznám</w:t>
      </w:r>
      <w:r w:rsidR="00DA6D4F">
        <w:rPr>
          <w:rFonts w:eastAsia="MS Mincho"/>
          <w:snapToGrid w:val="0"/>
          <w:szCs w:val="22"/>
          <w:lang w:val="sk-SK"/>
        </w:rPr>
        <w:t>e</w:t>
      </w:r>
      <w:r w:rsidRPr="0023237F">
        <w:rPr>
          <w:rFonts w:eastAsia="MS Mincho"/>
          <w:snapToGrid w:val="0"/>
          <w:szCs w:val="22"/>
          <w:lang w:val="sk-SK"/>
        </w:rPr>
        <w:t>: z dostupných údajov</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Ak sa u </w:t>
      </w:r>
      <w:r w:rsidR="00644F98">
        <w:rPr>
          <w:rFonts w:eastAsia="MS Mincho"/>
          <w:b/>
          <w:bCs/>
          <w:snapToGrid w:val="0"/>
          <w:szCs w:val="22"/>
          <w:lang w:val="sk-SK"/>
        </w:rPr>
        <w:t>v</w:t>
      </w:r>
      <w:r w:rsidRPr="0023237F">
        <w:rPr>
          <w:rFonts w:eastAsia="MS Mincho"/>
          <w:b/>
          <w:bCs/>
          <w:snapToGrid w:val="0"/>
          <w:szCs w:val="22"/>
          <w:lang w:val="sk-SK"/>
        </w:rPr>
        <w:t>ás objaví ktorýkoľvek z nasled</w:t>
      </w:r>
      <w:r w:rsidR="00DA6D4F">
        <w:rPr>
          <w:rFonts w:eastAsia="MS Mincho"/>
          <w:b/>
          <w:bCs/>
          <w:snapToGrid w:val="0"/>
          <w:szCs w:val="22"/>
          <w:lang w:val="sk-SK"/>
        </w:rPr>
        <w:t>ovných</w:t>
      </w:r>
      <w:r w:rsidRPr="0023237F">
        <w:rPr>
          <w:rFonts w:eastAsia="MS Mincho"/>
          <w:b/>
          <w:bCs/>
          <w:snapToGrid w:val="0"/>
          <w:szCs w:val="22"/>
          <w:lang w:val="sk-SK"/>
        </w:rPr>
        <w:t xml:space="preserve"> účinkov, ihneď musíte vyhľadať svojho lekára:</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 xml:space="preserve">Horúčka alebo infekcia (často): ak máte teplotu 38 °C alebo vyššiu, potenie alebo iné </w:t>
      </w:r>
      <w:r w:rsidR="00644F98">
        <w:rPr>
          <w:rFonts w:eastAsia="MS Mincho"/>
          <w:snapToGrid w:val="0"/>
          <w:szCs w:val="22"/>
          <w:lang w:val="sk-SK"/>
        </w:rPr>
        <w:t>prejavy</w:t>
      </w:r>
      <w:r w:rsidRPr="0023237F">
        <w:rPr>
          <w:rFonts w:eastAsia="MS Mincho"/>
          <w:snapToGrid w:val="0"/>
          <w:szCs w:val="22"/>
          <w:lang w:val="sk-SK"/>
        </w:rPr>
        <w:t xml:space="preserve"> infekcie (</w:t>
      </w:r>
      <w:r w:rsidR="00644F98">
        <w:rPr>
          <w:rFonts w:eastAsia="MS Mincho"/>
          <w:snapToGrid w:val="0"/>
          <w:szCs w:val="22"/>
          <w:lang w:val="sk-SK"/>
        </w:rPr>
        <w:t>môžete</w:t>
      </w:r>
      <w:r w:rsidRPr="0023237F">
        <w:rPr>
          <w:rFonts w:eastAsia="MS Mincho"/>
          <w:snapToGrid w:val="0"/>
          <w:szCs w:val="22"/>
          <w:lang w:val="sk-SK"/>
        </w:rPr>
        <w:t xml:space="preserve"> mať menej bielych krviniek ako je normálna hodnota, čo je veľmi časté).</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Nepravidelný rytmus srdca (arytmia) (frekvencia neznáma).</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Bolesť, začervenanie, opuch alebo ranky v ústach (často).</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Alergické reakcie: ak sa u </w:t>
      </w:r>
      <w:r w:rsidR="00644F98">
        <w:rPr>
          <w:rFonts w:eastAsia="MS Mincho"/>
          <w:snapToGrid w:val="0"/>
          <w:szCs w:val="22"/>
          <w:lang w:val="sk-SK"/>
        </w:rPr>
        <w:t>v</w:t>
      </w:r>
      <w:r w:rsidRPr="0023237F">
        <w:rPr>
          <w:rFonts w:eastAsia="MS Mincho"/>
          <w:snapToGrid w:val="0"/>
          <w:szCs w:val="22"/>
          <w:lang w:val="sk-SK"/>
        </w:rPr>
        <w:t>ás objaví kožná vyrážka (veľmi často) /svrbenie (často) alebo horúčka (veľmi často).</w:t>
      </w:r>
    </w:p>
    <w:p w:rsidR="00FA75B2" w:rsidRPr="0023237F" w:rsidRDefault="00644F98"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Únava</w:t>
      </w:r>
      <w:r w:rsidR="00FA75B2" w:rsidRPr="0023237F">
        <w:rPr>
          <w:rFonts w:eastAsia="MS Mincho"/>
          <w:snapToGrid w:val="0"/>
          <w:szCs w:val="22"/>
          <w:lang w:val="sk-SK"/>
        </w:rPr>
        <w:t>, mdloby, ľahko sa zadýchate alebo vyzeráte bledý (</w:t>
      </w:r>
      <w:r>
        <w:rPr>
          <w:rFonts w:eastAsia="MS Mincho"/>
          <w:snapToGrid w:val="0"/>
          <w:szCs w:val="22"/>
          <w:lang w:val="sk-SK"/>
        </w:rPr>
        <w:t>môžete</w:t>
      </w:r>
      <w:r w:rsidR="00FA75B2" w:rsidRPr="0023237F">
        <w:rPr>
          <w:rFonts w:eastAsia="MS Mincho"/>
          <w:snapToGrid w:val="0"/>
          <w:szCs w:val="22"/>
          <w:lang w:val="sk-SK"/>
        </w:rPr>
        <w:t xml:space="preserve"> mať menej hemoglobínu ako je normálna hodnota, čo je veľmi časté).</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Krvácanie z ďasien, nosa alebo úst alebo akékoľvek krvácanie, ktoré sa nezastavuje, červenkastý alebo ružovkastý moč, nečakané sinky (</w:t>
      </w:r>
      <w:r w:rsidR="004F5AC3">
        <w:rPr>
          <w:rFonts w:eastAsia="MS Mincho"/>
          <w:snapToGrid w:val="0"/>
          <w:szCs w:val="22"/>
          <w:lang w:val="sk-SK"/>
        </w:rPr>
        <w:t>môžete</w:t>
      </w:r>
      <w:r w:rsidRPr="0023237F">
        <w:rPr>
          <w:rFonts w:eastAsia="MS Mincho"/>
          <w:snapToGrid w:val="0"/>
          <w:szCs w:val="22"/>
          <w:lang w:val="sk-SK"/>
        </w:rPr>
        <w:t xml:space="preserve"> mať </w:t>
      </w:r>
      <w:r w:rsidR="004F5AC3">
        <w:rPr>
          <w:rFonts w:eastAsia="MS Mincho"/>
          <w:snapToGrid w:val="0"/>
          <w:szCs w:val="22"/>
          <w:lang w:val="sk-SK"/>
        </w:rPr>
        <w:t>nižší počet</w:t>
      </w:r>
      <w:r w:rsidRPr="0023237F">
        <w:rPr>
          <w:rFonts w:eastAsia="MS Mincho"/>
          <w:snapToGrid w:val="0"/>
          <w:szCs w:val="22"/>
          <w:lang w:val="sk-SK"/>
        </w:rPr>
        <w:t xml:space="preserve"> krvných doštičiek ako je normálna hodnota, čo je veľmi časté).</w:t>
      </w:r>
    </w:p>
    <w:p w:rsidR="00FA75B2" w:rsidRDefault="00FA75B2" w:rsidP="0023237F">
      <w:pPr>
        <w:numPr>
          <w:ilvl w:val="0"/>
          <w:numId w:val="1"/>
        </w:numPr>
        <w:autoSpaceDE w:val="0"/>
        <w:autoSpaceDN w:val="0"/>
        <w:adjustRightInd w:val="0"/>
        <w:ind w:left="342" w:hanging="285"/>
        <w:rPr>
          <w:rFonts w:eastAsia="MS Mincho"/>
          <w:snapToGrid w:val="0"/>
          <w:szCs w:val="22"/>
          <w:lang w:val="sk-SK"/>
        </w:rPr>
      </w:pPr>
      <w:r w:rsidRPr="0023237F">
        <w:rPr>
          <w:rFonts w:eastAsia="MS Mincho"/>
          <w:snapToGrid w:val="0"/>
          <w:szCs w:val="22"/>
          <w:lang w:val="sk-SK"/>
        </w:rPr>
        <w:t>Problémy s dýchaním (mierne problémy s dýchaním sa vyskytujú veľmi často krátko po infúzii Gemcitabinu, ktoré čoskoro ustupujú, menej často alebo zriedkavo sa však môžu vyskytnúť závažnejšie problémy s pľúcami).</w:t>
      </w:r>
    </w:p>
    <w:p w:rsidR="00FA75B2" w:rsidRDefault="00FA75B2"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Všeobecný opuch, dýchavičnosť alebo sa zvýši vaša telesná hmotnosť, pretože to môže byť príznakom úniku tekutiny z malých krvných ciev do tkaniva (syndróm kapilárneho úniku - Capillary Leak Syndrome – CLS) (veľmi zriedkavé).</w:t>
      </w:r>
    </w:p>
    <w:p w:rsidR="00FA75B2" w:rsidRPr="0023237F" w:rsidRDefault="00FA75B2" w:rsidP="0023237F">
      <w:pPr>
        <w:numPr>
          <w:ilvl w:val="0"/>
          <w:numId w:val="1"/>
        </w:numPr>
        <w:autoSpaceDE w:val="0"/>
        <w:autoSpaceDN w:val="0"/>
        <w:adjustRightInd w:val="0"/>
        <w:ind w:left="342" w:hanging="285"/>
        <w:rPr>
          <w:rFonts w:eastAsia="MS Mincho"/>
          <w:snapToGrid w:val="0"/>
          <w:szCs w:val="22"/>
          <w:lang w:val="sk-SK"/>
        </w:rPr>
      </w:pPr>
      <w:r>
        <w:rPr>
          <w:rFonts w:eastAsia="MS Mincho"/>
          <w:snapToGrid w:val="0"/>
          <w:szCs w:val="22"/>
          <w:lang w:val="sk-SK"/>
        </w:rPr>
        <w:t>Bolesť hlavy so zmenami videnia, zmätenosť, kŕče alebo záchvaty (posteriórny reverzibilný encefalopatický syndróm  -Posterior Reversible Encephalopathy Syndrome – PRES) (veľmi zriedkavé).</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B00623" w:rsidP="0023237F">
      <w:pPr>
        <w:autoSpaceDE w:val="0"/>
        <w:autoSpaceDN w:val="0"/>
        <w:adjustRightInd w:val="0"/>
        <w:rPr>
          <w:rFonts w:eastAsia="MS Mincho"/>
          <w:b/>
          <w:bCs/>
          <w:snapToGrid w:val="0"/>
          <w:szCs w:val="22"/>
          <w:lang w:val="sk-SK"/>
        </w:rPr>
      </w:pPr>
      <w:r>
        <w:rPr>
          <w:rFonts w:eastAsia="MS Mincho"/>
          <w:b/>
          <w:bCs/>
          <w:snapToGrid w:val="0"/>
          <w:szCs w:val="22"/>
          <w:lang w:val="sk-SK"/>
        </w:rPr>
        <w:t>Ďalšie v</w:t>
      </w:r>
      <w:r w:rsidR="00FA75B2" w:rsidRPr="0023237F">
        <w:rPr>
          <w:rFonts w:eastAsia="MS Mincho"/>
          <w:b/>
          <w:bCs/>
          <w:snapToGrid w:val="0"/>
          <w:szCs w:val="22"/>
          <w:lang w:val="sk-SK"/>
        </w:rPr>
        <w:t>edľajšie účinky Gemcitabinu môžu zahŕňať:</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Veľmi časté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Nízka hladina hemoglobínu (anémia)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Nízky počet bielych krviniek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Nízky počet krvných doštičiek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Problémy s dýchaním</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Vracanie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Nevoľnosť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Kožná vyrážka – alergická kožná vyrážka, často svrbiaca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lastRenderedPageBreak/>
        <w:t>Strata vlasov</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Pečeňové problémy: zistené prostredníctvom nezvyčajných výsledkov krvných testov</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Krv v moči</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Nezvyčajné testy moču: bielkoviny v moči</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Príznaky podobné chrípke vrátane horúčky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Edém (opuch členkov, prstov, chodidiel, tváre)</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Časté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Horúčka sprevádzaná nízkym počtom bielych krviniek (febrilná neutropénia)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Anorexia (slabá chuť do jedla)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Bolesť hlavy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Nespavosť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Ospalosť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Kašeľ</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Nádcha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Zápcha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Hnačka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Bolesť, začervenanie, opuch alebo ranky v ústach</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Svrbenie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Potenie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Bolesť svalov</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Bolesť chrbta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Horúčka</w:t>
      </w:r>
    </w:p>
    <w:p w:rsidR="00FA75B2" w:rsidRPr="0023237F" w:rsidRDefault="00FA75B2" w:rsidP="0023237F">
      <w:pPr>
        <w:rPr>
          <w:rFonts w:eastAsia="MS Mincho"/>
          <w:snapToGrid w:val="0"/>
          <w:szCs w:val="22"/>
          <w:lang w:val="sk-SK"/>
        </w:rPr>
      </w:pPr>
      <w:r w:rsidRPr="0023237F">
        <w:rPr>
          <w:rFonts w:eastAsia="MS Mincho"/>
          <w:snapToGrid w:val="0"/>
          <w:szCs w:val="22"/>
          <w:lang w:val="sk-SK"/>
        </w:rPr>
        <w:t>Slabosť</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Zimnica</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Menej časté vedľajšie účinky</w:t>
      </w:r>
    </w:p>
    <w:p w:rsidR="00FA75B2" w:rsidRPr="0023237F" w:rsidRDefault="00FA75B2" w:rsidP="0023237F">
      <w:pPr>
        <w:autoSpaceDE w:val="0"/>
        <w:autoSpaceDN w:val="0"/>
        <w:adjustRightInd w:val="0"/>
        <w:rPr>
          <w:rFonts w:eastAsia="MS Mincho"/>
          <w:snapToGrid w:val="0"/>
          <w:szCs w:val="22"/>
          <w:lang w:val="sk-SK"/>
        </w:rPr>
      </w:pPr>
      <w:proofErr w:type="spellStart"/>
      <w:r w:rsidRPr="0023237F">
        <w:rPr>
          <w:rFonts w:eastAsia="MS Mincho"/>
          <w:snapToGrid w:val="0"/>
          <w:szCs w:val="22"/>
          <w:lang w:val="sk-SK"/>
        </w:rPr>
        <w:t>Intersticiálna</w:t>
      </w:r>
      <w:proofErr w:type="spellEnd"/>
      <w:r w:rsidRPr="0023237F">
        <w:rPr>
          <w:rFonts w:eastAsia="MS Mincho"/>
          <w:snapToGrid w:val="0"/>
          <w:szCs w:val="22"/>
          <w:lang w:val="sk-SK"/>
        </w:rPr>
        <w:t xml:space="preserve"> </w:t>
      </w:r>
      <w:proofErr w:type="spellStart"/>
      <w:r w:rsidRPr="0023237F">
        <w:rPr>
          <w:rFonts w:eastAsia="MS Mincho"/>
          <w:snapToGrid w:val="0"/>
          <w:szCs w:val="22"/>
          <w:lang w:val="sk-SK"/>
        </w:rPr>
        <w:t>pneumonitída</w:t>
      </w:r>
      <w:proofErr w:type="spellEnd"/>
      <w:r w:rsidRPr="0023237F">
        <w:rPr>
          <w:rFonts w:eastAsia="MS Mincho"/>
          <w:snapToGrid w:val="0"/>
          <w:szCs w:val="22"/>
          <w:lang w:val="sk-SK"/>
        </w:rPr>
        <w:t xml:space="preserve"> (zjazvenie </w:t>
      </w:r>
      <w:proofErr w:type="spellStart"/>
      <w:r w:rsidR="00B00623">
        <w:rPr>
          <w:szCs w:val="22"/>
        </w:rPr>
        <w:t>pľúcnych</w:t>
      </w:r>
      <w:proofErr w:type="spellEnd"/>
      <w:r w:rsidR="00B00623">
        <w:rPr>
          <w:szCs w:val="22"/>
        </w:rPr>
        <w:t xml:space="preserve"> </w:t>
      </w:r>
      <w:proofErr w:type="spellStart"/>
      <w:r w:rsidR="00B00623">
        <w:rPr>
          <w:szCs w:val="22"/>
        </w:rPr>
        <w:t>mechúrikov</w:t>
      </w:r>
      <w:proofErr w:type="spellEnd"/>
      <w:r w:rsidRPr="0023237F">
        <w:rPr>
          <w:rFonts w:eastAsia="MS Mincho"/>
          <w:snapToGrid w:val="0"/>
          <w:szCs w:val="22"/>
          <w:lang w:val="sk-SK"/>
        </w:rPr>
        <w:t>)</w:t>
      </w:r>
    </w:p>
    <w:p w:rsidR="00FA75B2" w:rsidRPr="0023237F" w:rsidRDefault="00F90696" w:rsidP="0023237F">
      <w:pPr>
        <w:autoSpaceDE w:val="0"/>
        <w:autoSpaceDN w:val="0"/>
        <w:adjustRightInd w:val="0"/>
        <w:rPr>
          <w:rFonts w:eastAsia="MS Mincho"/>
          <w:snapToGrid w:val="0"/>
          <w:szCs w:val="22"/>
          <w:lang w:val="sk-SK"/>
        </w:rPr>
      </w:pPr>
      <w:r>
        <w:rPr>
          <w:rFonts w:eastAsia="MS Mincho"/>
          <w:snapToGrid w:val="0"/>
          <w:szCs w:val="22"/>
          <w:lang w:val="sk-SK"/>
        </w:rPr>
        <w:t>Kŕč</w:t>
      </w:r>
      <w:r w:rsidR="00FA75B2" w:rsidRPr="0023237F">
        <w:rPr>
          <w:rFonts w:eastAsia="MS Mincho"/>
          <w:snapToGrid w:val="0"/>
          <w:szCs w:val="22"/>
          <w:lang w:val="sk-SK"/>
        </w:rPr>
        <w:t xml:space="preserve"> dýchacích ciest (pískanie)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Nezvyčajný röntgen/röntgenový snímok hrudníka (zjazvenie pľúc)</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Zriedkavé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Srdcový infarkt (infarkt myokardu)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Nízky krvný tlak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Tvorba šupín, vriedkov alebo pľuzgierov na koži</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Reakcie v mieste vpichu</w:t>
      </w:r>
      <w:r w:rsidR="00823551">
        <w:rPr>
          <w:rFonts w:eastAsia="MS Mincho"/>
          <w:snapToGrid w:val="0"/>
          <w:szCs w:val="22"/>
          <w:lang w:val="sk-SK"/>
        </w:rPr>
        <w:t xml:space="preserve"> injekcie</w:t>
      </w:r>
      <w:r w:rsidR="00A53331">
        <w:rPr>
          <w:rFonts w:eastAsia="MS Mincho"/>
          <w:snapToGrid w:val="0"/>
          <w:szCs w:val="22"/>
          <w:lang w:val="sk-SK"/>
        </w:rPr>
        <w:t xml:space="preserve"> </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Veľmi zriedkavé vedľajšie účinky</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Zvýšený počet krvných doštičiek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Anafylaktická reakcia (závažná hypersenzitívna/alergická reakcia)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Olupovanie kože a závažná tvorba pľuzgierov</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Vedľajšie účinky s neznámym výskytom</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Nepravidelný srdcový rytmus (arytmia)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Syndróm respiračnej tiesne u dospelých (závažný zápal pľúc vyvolávajúci zlyhanie dýchania)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Návrat reakcie z ožiarenia (kožná vyrážka podobná závažnému spáleniu), ktorá sa môže objaviť na koži, ktorá bola nedávno vystavená rádioterapii.</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Tekutina v pľúcach</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Radiačná toxicita - zjazvenie </w:t>
      </w:r>
      <w:r w:rsidR="00DA6D4F">
        <w:rPr>
          <w:rFonts w:eastAsia="MS Mincho"/>
          <w:snapToGrid w:val="0"/>
          <w:szCs w:val="22"/>
          <w:lang w:val="sk-SK"/>
        </w:rPr>
        <w:t>pľúcnych</w:t>
      </w:r>
      <w:r w:rsidR="00EE0D11">
        <w:rPr>
          <w:rFonts w:eastAsia="MS Mincho"/>
          <w:snapToGrid w:val="0"/>
          <w:szCs w:val="22"/>
          <w:lang w:val="sk-SK"/>
        </w:rPr>
        <w:t xml:space="preserve"> mechúrikov</w:t>
      </w:r>
      <w:r w:rsidRPr="0023237F">
        <w:rPr>
          <w:rFonts w:eastAsia="MS Mincho"/>
          <w:snapToGrid w:val="0"/>
          <w:szCs w:val="22"/>
          <w:lang w:val="sk-SK"/>
        </w:rPr>
        <w:t xml:space="preserve"> v súvislosti s rádioterapiou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Ischemická kolitída (zápal výstelky hrubého čreva spôsobený zníženým zásobovaním krvou)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Srdcový infarkt</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Zlyhanie obličiek</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Gangréna</w:t>
      </w:r>
      <w:r w:rsidR="00F519F8">
        <w:rPr>
          <w:rFonts w:eastAsia="MS Mincho"/>
          <w:snapToGrid w:val="0"/>
          <w:szCs w:val="22"/>
          <w:lang w:val="sk-SK"/>
        </w:rPr>
        <w:t xml:space="preserve"> (odumretie tkaniva)</w:t>
      </w:r>
      <w:r w:rsidRPr="0023237F">
        <w:rPr>
          <w:rFonts w:eastAsia="MS Mincho"/>
          <w:snapToGrid w:val="0"/>
          <w:szCs w:val="22"/>
          <w:lang w:val="sk-SK"/>
        </w:rPr>
        <w:t xml:space="preserve"> prstov na rukách alebo nohách</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Závažné poškodenie pečene vrátane zlyhania pečene</w:t>
      </w:r>
    </w:p>
    <w:p w:rsidR="00FA75B2" w:rsidRPr="0023237F" w:rsidRDefault="00F519F8" w:rsidP="0023237F">
      <w:pPr>
        <w:autoSpaceDE w:val="0"/>
        <w:autoSpaceDN w:val="0"/>
        <w:adjustRightInd w:val="0"/>
        <w:rPr>
          <w:rFonts w:eastAsia="MS Mincho"/>
          <w:snapToGrid w:val="0"/>
          <w:szCs w:val="22"/>
          <w:lang w:val="sk-SK"/>
        </w:rPr>
      </w:pPr>
      <w:r>
        <w:rPr>
          <w:rFonts w:eastAsia="MS Mincho"/>
          <w:snapToGrid w:val="0"/>
          <w:szCs w:val="22"/>
          <w:lang w:val="sk-SK"/>
        </w:rPr>
        <w:t>Cievna m</w:t>
      </w:r>
      <w:r w:rsidR="00FA75B2" w:rsidRPr="0023237F">
        <w:rPr>
          <w:rFonts w:eastAsia="MS Mincho"/>
          <w:snapToGrid w:val="0"/>
          <w:szCs w:val="22"/>
          <w:lang w:val="sk-SK"/>
        </w:rPr>
        <w:t>ozgová príhoda</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Môže sa u </w:t>
      </w:r>
      <w:r w:rsidR="00EE0D11">
        <w:rPr>
          <w:rFonts w:eastAsia="MS Mincho"/>
          <w:snapToGrid w:val="0"/>
          <w:szCs w:val="22"/>
          <w:lang w:val="sk-SK"/>
        </w:rPr>
        <w:t>v</w:t>
      </w:r>
      <w:r w:rsidRPr="0023237F">
        <w:rPr>
          <w:rFonts w:eastAsia="MS Mincho"/>
          <w:snapToGrid w:val="0"/>
          <w:szCs w:val="22"/>
          <w:lang w:val="sk-SK"/>
        </w:rPr>
        <w:t>ás objaviť ktorýkoľvek z týchto príznakov a/alebo ochorení. Ak sa ktorýkoľvek z tých vedľajších účinkov u </w:t>
      </w:r>
      <w:r w:rsidR="00EE0D11">
        <w:rPr>
          <w:rFonts w:eastAsia="MS Mincho"/>
          <w:snapToGrid w:val="0"/>
          <w:szCs w:val="22"/>
          <w:lang w:val="sk-SK"/>
        </w:rPr>
        <w:t>v</w:t>
      </w:r>
      <w:r w:rsidRPr="0023237F">
        <w:rPr>
          <w:rFonts w:eastAsia="MS Mincho"/>
          <w:snapToGrid w:val="0"/>
          <w:szCs w:val="22"/>
          <w:lang w:val="sk-SK"/>
        </w:rPr>
        <w:t>ás vyskytne, ihneď to musíte oznámiť svojmu lekárovi.</w:t>
      </w:r>
    </w:p>
    <w:p w:rsidR="00FA75B2" w:rsidRPr="0023237F" w:rsidRDefault="00FA75B2" w:rsidP="0023237F">
      <w:pPr>
        <w:autoSpaceDE w:val="0"/>
        <w:autoSpaceDN w:val="0"/>
        <w:adjustRightInd w:val="0"/>
        <w:rPr>
          <w:rFonts w:eastAsia="MS Mincho"/>
          <w:snapToGrid w:val="0"/>
          <w:szCs w:val="22"/>
          <w:lang w:val="sk-SK"/>
        </w:rPr>
      </w:pPr>
    </w:p>
    <w:p w:rsidR="00FA75B2" w:rsidRDefault="00FA75B2" w:rsidP="0023237F">
      <w:pPr>
        <w:autoSpaceDE w:val="0"/>
        <w:autoSpaceDN w:val="0"/>
        <w:adjustRightInd w:val="0"/>
        <w:rPr>
          <w:rFonts w:eastAsia="MS Mincho"/>
          <w:b/>
          <w:bCs/>
          <w:snapToGrid w:val="0"/>
          <w:szCs w:val="22"/>
          <w:lang w:val="sk-SK"/>
        </w:rPr>
      </w:pPr>
      <w:r>
        <w:rPr>
          <w:rFonts w:eastAsia="MS Mincho"/>
          <w:b/>
          <w:bCs/>
          <w:snapToGrid w:val="0"/>
          <w:szCs w:val="22"/>
          <w:lang w:val="sk-SK"/>
        </w:rPr>
        <w:t>Hlásenie nežiaducich účinkov</w:t>
      </w:r>
    </w:p>
    <w:p w:rsidR="00EE0D11" w:rsidRPr="00063543" w:rsidRDefault="00EE0D11" w:rsidP="00EE0D11">
      <w:pPr>
        <w:autoSpaceDE w:val="0"/>
        <w:autoSpaceDN w:val="0"/>
        <w:adjustRightInd w:val="0"/>
        <w:rPr>
          <w:szCs w:val="22"/>
        </w:rPr>
      </w:pPr>
      <w:proofErr w:type="spellStart"/>
      <w:r w:rsidRPr="00063543">
        <w:rPr>
          <w:szCs w:val="22"/>
        </w:rPr>
        <w:t>Ak</w:t>
      </w:r>
      <w:proofErr w:type="spellEnd"/>
      <w:r w:rsidRPr="00063543">
        <w:rPr>
          <w:szCs w:val="22"/>
        </w:rPr>
        <w:t xml:space="preserve"> </w:t>
      </w:r>
      <w:proofErr w:type="spellStart"/>
      <w:r>
        <w:rPr>
          <w:szCs w:val="22"/>
        </w:rPr>
        <w:t>sa</w:t>
      </w:r>
      <w:proofErr w:type="spellEnd"/>
      <w:r>
        <w:rPr>
          <w:szCs w:val="22"/>
        </w:rPr>
        <w:t xml:space="preserve"> u </w:t>
      </w:r>
      <w:proofErr w:type="spellStart"/>
      <w:r>
        <w:rPr>
          <w:szCs w:val="22"/>
        </w:rPr>
        <w:t>vás</w:t>
      </w:r>
      <w:proofErr w:type="spellEnd"/>
      <w:r>
        <w:rPr>
          <w:szCs w:val="22"/>
        </w:rPr>
        <w:t xml:space="preserve"> </w:t>
      </w:r>
      <w:proofErr w:type="spellStart"/>
      <w:r>
        <w:rPr>
          <w:szCs w:val="22"/>
        </w:rPr>
        <w:t>vyskytne</w:t>
      </w:r>
      <w:proofErr w:type="spellEnd"/>
      <w:r w:rsidRPr="00063543">
        <w:rPr>
          <w:szCs w:val="22"/>
        </w:rPr>
        <w:t xml:space="preserve"> </w:t>
      </w:r>
      <w:proofErr w:type="spellStart"/>
      <w:r w:rsidRPr="00063543">
        <w:rPr>
          <w:szCs w:val="22"/>
        </w:rPr>
        <w:t>akýkoľvek</w:t>
      </w:r>
      <w:proofErr w:type="spellEnd"/>
      <w:r w:rsidRPr="00063543">
        <w:rPr>
          <w:szCs w:val="22"/>
        </w:rPr>
        <w:t xml:space="preserve"> </w:t>
      </w:r>
      <w:proofErr w:type="spellStart"/>
      <w:r w:rsidRPr="00063543">
        <w:rPr>
          <w:szCs w:val="22"/>
        </w:rPr>
        <w:t>vedľajší</w:t>
      </w:r>
      <w:proofErr w:type="spellEnd"/>
      <w:r w:rsidRPr="00063543">
        <w:rPr>
          <w:szCs w:val="22"/>
        </w:rPr>
        <w:t xml:space="preserve"> </w:t>
      </w:r>
      <w:proofErr w:type="spellStart"/>
      <w:r w:rsidRPr="00063543">
        <w:rPr>
          <w:szCs w:val="22"/>
        </w:rPr>
        <w:t>účinok</w:t>
      </w:r>
      <w:proofErr w:type="spellEnd"/>
      <w:r>
        <w:rPr>
          <w:szCs w:val="22"/>
        </w:rPr>
        <w:t xml:space="preserve">, </w:t>
      </w:r>
      <w:proofErr w:type="spellStart"/>
      <w:r>
        <w:rPr>
          <w:szCs w:val="22"/>
        </w:rPr>
        <w:t>obráťte</w:t>
      </w:r>
      <w:proofErr w:type="spellEnd"/>
      <w:r>
        <w:rPr>
          <w:szCs w:val="22"/>
        </w:rPr>
        <w:t xml:space="preserve"> </w:t>
      </w:r>
      <w:proofErr w:type="spellStart"/>
      <w:r>
        <w:rPr>
          <w:szCs w:val="22"/>
        </w:rPr>
        <w:t>sa</w:t>
      </w:r>
      <w:proofErr w:type="spellEnd"/>
      <w:r>
        <w:rPr>
          <w:szCs w:val="22"/>
        </w:rPr>
        <w:t xml:space="preserve"> </w:t>
      </w:r>
      <w:proofErr w:type="spellStart"/>
      <w:r>
        <w:rPr>
          <w:szCs w:val="22"/>
        </w:rPr>
        <w:t>na</w:t>
      </w:r>
      <w:proofErr w:type="spellEnd"/>
      <w:r>
        <w:rPr>
          <w:szCs w:val="22"/>
        </w:rPr>
        <w:t xml:space="preserve"> </w:t>
      </w:r>
      <w:proofErr w:type="spellStart"/>
      <w:r>
        <w:rPr>
          <w:szCs w:val="22"/>
        </w:rPr>
        <w:t>svojho</w:t>
      </w:r>
      <w:proofErr w:type="spellEnd"/>
      <w:r>
        <w:rPr>
          <w:szCs w:val="22"/>
        </w:rPr>
        <w:t xml:space="preserve"> </w:t>
      </w:r>
      <w:proofErr w:type="spellStart"/>
      <w:r>
        <w:rPr>
          <w:szCs w:val="22"/>
        </w:rPr>
        <w:t>lekára</w:t>
      </w:r>
      <w:proofErr w:type="spellEnd"/>
      <w:r>
        <w:rPr>
          <w:szCs w:val="22"/>
        </w:rPr>
        <w:t xml:space="preserve"> </w:t>
      </w:r>
      <w:proofErr w:type="spellStart"/>
      <w:r>
        <w:rPr>
          <w:szCs w:val="22"/>
        </w:rPr>
        <w:t>alebo</w:t>
      </w:r>
      <w:proofErr w:type="spellEnd"/>
      <w:r>
        <w:rPr>
          <w:szCs w:val="22"/>
        </w:rPr>
        <w:t xml:space="preserve"> </w:t>
      </w:r>
      <w:proofErr w:type="spellStart"/>
      <w:r>
        <w:rPr>
          <w:szCs w:val="22"/>
        </w:rPr>
        <w:t>lekárnika</w:t>
      </w:r>
      <w:proofErr w:type="spellEnd"/>
      <w:r>
        <w:rPr>
          <w:szCs w:val="22"/>
        </w:rPr>
        <w:t xml:space="preserve">. To </w:t>
      </w:r>
      <w:proofErr w:type="spellStart"/>
      <w:r>
        <w:rPr>
          <w:szCs w:val="22"/>
        </w:rPr>
        <w:t>sa</w:t>
      </w:r>
      <w:proofErr w:type="spellEnd"/>
      <w:r>
        <w:rPr>
          <w:szCs w:val="22"/>
        </w:rPr>
        <w:t xml:space="preserve"> </w:t>
      </w:r>
      <w:proofErr w:type="spellStart"/>
      <w:r>
        <w:rPr>
          <w:szCs w:val="22"/>
        </w:rPr>
        <w:t>týka</w:t>
      </w:r>
      <w:proofErr w:type="spellEnd"/>
      <w:r>
        <w:rPr>
          <w:szCs w:val="22"/>
        </w:rPr>
        <w:t xml:space="preserve"> </w:t>
      </w:r>
      <w:proofErr w:type="spellStart"/>
      <w:r>
        <w:rPr>
          <w:szCs w:val="22"/>
        </w:rPr>
        <w:t>aj</w:t>
      </w:r>
      <w:proofErr w:type="spellEnd"/>
      <w:r>
        <w:rPr>
          <w:szCs w:val="22"/>
        </w:rPr>
        <w:t xml:space="preserve"> </w:t>
      </w:r>
      <w:proofErr w:type="spellStart"/>
      <w:r>
        <w:rPr>
          <w:szCs w:val="22"/>
        </w:rPr>
        <w:t>akýchkoľvek</w:t>
      </w:r>
      <w:proofErr w:type="spellEnd"/>
      <w:r>
        <w:rPr>
          <w:szCs w:val="22"/>
        </w:rPr>
        <w:t xml:space="preserve"> </w:t>
      </w:r>
      <w:proofErr w:type="spellStart"/>
      <w:r>
        <w:rPr>
          <w:szCs w:val="22"/>
        </w:rPr>
        <w:t>vedľajších</w:t>
      </w:r>
      <w:proofErr w:type="spellEnd"/>
      <w:r>
        <w:rPr>
          <w:szCs w:val="22"/>
        </w:rPr>
        <w:t xml:space="preserve"> </w:t>
      </w:r>
      <w:proofErr w:type="spellStart"/>
      <w:r>
        <w:rPr>
          <w:szCs w:val="22"/>
        </w:rPr>
        <w:t>účinkov</w:t>
      </w:r>
      <w:proofErr w:type="spellEnd"/>
      <w:r w:rsidRPr="00063543">
        <w:rPr>
          <w:szCs w:val="22"/>
        </w:rPr>
        <w:t xml:space="preserve">, </w:t>
      </w:r>
      <w:proofErr w:type="spellStart"/>
      <w:r w:rsidRPr="00063543">
        <w:rPr>
          <w:szCs w:val="22"/>
        </w:rPr>
        <w:t>ktoré</w:t>
      </w:r>
      <w:proofErr w:type="spellEnd"/>
      <w:r w:rsidRPr="00063543">
        <w:rPr>
          <w:szCs w:val="22"/>
        </w:rPr>
        <w:t xml:space="preserve"> </w:t>
      </w:r>
      <w:proofErr w:type="spellStart"/>
      <w:r w:rsidRPr="00063543">
        <w:rPr>
          <w:szCs w:val="22"/>
        </w:rPr>
        <w:t>nie</w:t>
      </w:r>
      <w:proofErr w:type="spellEnd"/>
      <w:r w:rsidRPr="00063543">
        <w:rPr>
          <w:szCs w:val="22"/>
        </w:rPr>
        <w:t xml:space="preserve"> </w:t>
      </w:r>
      <w:proofErr w:type="spellStart"/>
      <w:r w:rsidRPr="00063543">
        <w:rPr>
          <w:szCs w:val="22"/>
        </w:rPr>
        <w:t>sú</w:t>
      </w:r>
      <w:proofErr w:type="spellEnd"/>
      <w:r w:rsidRPr="00063543">
        <w:rPr>
          <w:szCs w:val="22"/>
        </w:rPr>
        <w:t xml:space="preserve"> </w:t>
      </w:r>
      <w:proofErr w:type="spellStart"/>
      <w:r w:rsidRPr="00063543">
        <w:rPr>
          <w:szCs w:val="22"/>
        </w:rPr>
        <w:t>uvedené</w:t>
      </w:r>
      <w:proofErr w:type="spellEnd"/>
      <w:r w:rsidRPr="00063543">
        <w:rPr>
          <w:szCs w:val="22"/>
        </w:rPr>
        <w:t xml:space="preserve"> v </w:t>
      </w:r>
      <w:proofErr w:type="spellStart"/>
      <w:r w:rsidRPr="00063543">
        <w:rPr>
          <w:szCs w:val="22"/>
        </w:rPr>
        <w:t>tejto</w:t>
      </w:r>
      <w:proofErr w:type="spellEnd"/>
      <w:r w:rsidRPr="00063543">
        <w:rPr>
          <w:szCs w:val="22"/>
        </w:rPr>
        <w:t xml:space="preserve"> </w:t>
      </w:r>
      <w:proofErr w:type="spellStart"/>
      <w:r w:rsidRPr="00063543">
        <w:rPr>
          <w:szCs w:val="22"/>
        </w:rPr>
        <w:t>písomnej</w:t>
      </w:r>
      <w:proofErr w:type="spellEnd"/>
      <w:r w:rsidRPr="00063543">
        <w:rPr>
          <w:szCs w:val="22"/>
        </w:rPr>
        <w:t xml:space="preserve"> </w:t>
      </w:r>
      <w:proofErr w:type="spellStart"/>
      <w:r w:rsidRPr="00063543">
        <w:rPr>
          <w:szCs w:val="22"/>
        </w:rPr>
        <w:t>informácii</w:t>
      </w:r>
      <w:proofErr w:type="spellEnd"/>
      <w:r w:rsidRPr="00063543">
        <w:rPr>
          <w:szCs w:val="22"/>
        </w:rPr>
        <w:t>.</w:t>
      </w:r>
      <w:r w:rsidRPr="000D7E2E">
        <w:rPr>
          <w:szCs w:val="22"/>
        </w:rPr>
        <w:t xml:space="preserve"> </w:t>
      </w:r>
      <w:proofErr w:type="spellStart"/>
      <w:r w:rsidRPr="000D7E2E">
        <w:rPr>
          <w:szCs w:val="22"/>
        </w:rPr>
        <w:t>Vedľajšie</w:t>
      </w:r>
      <w:proofErr w:type="spellEnd"/>
      <w:r w:rsidRPr="000D7E2E">
        <w:rPr>
          <w:szCs w:val="22"/>
        </w:rPr>
        <w:t xml:space="preserve"> </w:t>
      </w:r>
      <w:proofErr w:type="spellStart"/>
      <w:r w:rsidRPr="000D7E2E">
        <w:rPr>
          <w:szCs w:val="22"/>
        </w:rPr>
        <w:t>účinky</w:t>
      </w:r>
      <w:proofErr w:type="spellEnd"/>
      <w:r w:rsidRPr="000D7E2E">
        <w:rPr>
          <w:szCs w:val="22"/>
        </w:rPr>
        <w:t xml:space="preserve"> </w:t>
      </w:r>
      <w:proofErr w:type="spellStart"/>
      <w:r w:rsidRPr="000D7E2E">
        <w:rPr>
          <w:szCs w:val="22"/>
        </w:rPr>
        <w:t>môžete</w:t>
      </w:r>
      <w:proofErr w:type="spellEnd"/>
      <w:r w:rsidRPr="000D7E2E">
        <w:rPr>
          <w:szCs w:val="22"/>
        </w:rPr>
        <w:t xml:space="preserve"> </w:t>
      </w:r>
      <w:proofErr w:type="spellStart"/>
      <w:r w:rsidRPr="000D7E2E">
        <w:rPr>
          <w:szCs w:val="22"/>
        </w:rPr>
        <w:t>hlásiť</w:t>
      </w:r>
      <w:proofErr w:type="spellEnd"/>
      <w:r w:rsidRPr="000D7E2E">
        <w:rPr>
          <w:szCs w:val="22"/>
        </w:rPr>
        <w:t xml:space="preserve"> </w:t>
      </w:r>
      <w:proofErr w:type="spellStart"/>
      <w:r w:rsidRPr="000D7E2E">
        <w:rPr>
          <w:szCs w:val="22"/>
        </w:rPr>
        <w:t>aj</w:t>
      </w:r>
      <w:proofErr w:type="spellEnd"/>
      <w:r w:rsidRPr="000D7E2E">
        <w:rPr>
          <w:szCs w:val="22"/>
        </w:rPr>
        <w:t xml:space="preserve"> </w:t>
      </w:r>
      <w:proofErr w:type="spellStart"/>
      <w:r w:rsidRPr="000D7E2E">
        <w:rPr>
          <w:szCs w:val="22"/>
        </w:rPr>
        <w:t>priamo</w:t>
      </w:r>
      <w:proofErr w:type="spellEnd"/>
      <w:r w:rsidRPr="000D7E2E">
        <w:rPr>
          <w:szCs w:val="22"/>
        </w:rPr>
        <w:t xml:space="preserve"> </w:t>
      </w:r>
      <w:proofErr w:type="spellStart"/>
      <w:proofErr w:type="gramStart"/>
      <w:r>
        <w:t>na</w:t>
      </w:r>
      <w:proofErr w:type="spellEnd"/>
      <w:proofErr w:type="gramEnd"/>
      <w:r w:rsidRPr="00085939">
        <w:t xml:space="preserve"> </w:t>
      </w:r>
      <w:proofErr w:type="spellStart"/>
      <w:r w:rsidRPr="00085939">
        <w:rPr>
          <w:highlight w:val="lightGray"/>
        </w:rPr>
        <w:t>národn</w:t>
      </w:r>
      <w:r>
        <w:rPr>
          <w:highlight w:val="lightGray"/>
        </w:rPr>
        <w:t>é</w:t>
      </w:r>
      <w:proofErr w:type="spellEnd"/>
      <w:r w:rsidRPr="00085939">
        <w:rPr>
          <w:highlight w:val="lightGray"/>
        </w:rPr>
        <w:t xml:space="preserve"> </w:t>
      </w:r>
      <w:r>
        <w:rPr>
          <w:highlight w:val="lightGray"/>
        </w:rPr>
        <w:t>centrum</w:t>
      </w:r>
      <w:r w:rsidRPr="00085939">
        <w:rPr>
          <w:highlight w:val="lightGray"/>
        </w:rPr>
        <w:t xml:space="preserve"> </w:t>
      </w:r>
      <w:proofErr w:type="spellStart"/>
      <w:r w:rsidRPr="00085939">
        <w:rPr>
          <w:highlight w:val="lightGray"/>
        </w:rPr>
        <w:t>hlásenia</w:t>
      </w:r>
      <w:proofErr w:type="spellEnd"/>
      <w:r w:rsidRPr="00085939">
        <w:rPr>
          <w:highlight w:val="lightGray"/>
        </w:rPr>
        <w:t xml:space="preserve"> </w:t>
      </w:r>
      <w:proofErr w:type="spellStart"/>
      <w:r w:rsidRPr="00085939">
        <w:rPr>
          <w:highlight w:val="lightGray"/>
        </w:rPr>
        <w:t>uvedené</w:t>
      </w:r>
      <w:proofErr w:type="spellEnd"/>
      <w:r w:rsidRPr="00085939">
        <w:rPr>
          <w:highlight w:val="lightGray"/>
        </w:rPr>
        <w:t xml:space="preserve"> v </w:t>
      </w:r>
      <w:proofErr w:type="spellStart"/>
      <w:r w:rsidR="00082A7A">
        <w:fldChar w:fldCharType="begin"/>
      </w:r>
      <w:r w:rsidR="00082A7A">
        <w:instrText xml:space="preserve"> HYPERLINK "http://www.ema.europa.eu/docs/en_GB/document_library/Template_or_form/2013/03/WC500139752.doc" \h </w:instrText>
      </w:r>
      <w:r w:rsidR="00082A7A">
        <w:fldChar w:fldCharType="separate"/>
      </w:r>
      <w:r w:rsidRPr="00B328C1">
        <w:rPr>
          <w:rStyle w:val="Hypertextovprepojenie"/>
          <w:highlight w:val="lightGray"/>
        </w:rPr>
        <w:t>prílohe</w:t>
      </w:r>
      <w:proofErr w:type="spellEnd"/>
      <w:r w:rsidRPr="00B328C1">
        <w:rPr>
          <w:rStyle w:val="Hypertextovprepojenie"/>
          <w:highlight w:val="lightGray"/>
        </w:rPr>
        <w:t> V</w:t>
      </w:r>
      <w:r w:rsidR="00082A7A">
        <w:rPr>
          <w:rStyle w:val="Hypertextovprepojenie"/>
          <w:highlight w:val="lightGray"/>
        </w:rPr>
        <w:fldChar w:fldCharType="end"/>
      </w:r>
      <w:r>
        <w:rPr>
          <w:rStyle w:val="Hypertextovprepojenie"/>
        </w:rPr>
        <w:t xml:space="preserve">. </w:t>
      </w:r>
      <w:proofErr w:type="spellStart"/>
      <w:r w:rsidRPr="000D7E2E">
        <w:rPr>
          <w:szCs w:val="22"/>
        </w:rPr>
        <w:t>Hlásením</w:t>
      </w:r>
      <w:proofErr w:type="spellEnd"/>
      <w:r w:rsidRPr="000D7E2E">
        <w:rPr>
          <w:szCs w:val="22"/>
        </w:rPr>
        <w:t xml:space="preserve"> </w:t>
      </w:r>
      <w:proofErr w:type="spellStart"/>
      <w:r w:rsidRPr="000D7E2E">
        <w:rPr>
          <w:szCs w:val="22"/>
        </w:rPr>
        <w:t>vedľajších</w:t>
      </w:r>
      <w:proofErr w:type="spellEnd"/>
      <w:r w:rsidRPr="000D7E2E">
        <w:rPr>
          <w:szCs w:val="22"/>
        </w:rPr>
        <w:t xml:space="preserve"> </w:t>
      </w:r>
      <w:proofErr w:type="spellStart"/>
      <w:r w:rsidRPr="000D7E2E">
        <w:rPr>
          <w:szCs w:val="22"/>
        </w:rPr>
        <w:t>účinkov</w:t>
      </w:r>
      <w:proofErr w:type="spellEnd"/>
      <w:r w:rsidRPr="000D7E2E">
        <w:rPr>
          <w:szCs w:val="22"/>
        </w:rPr>
        <w:t xml:space="preserve"> </w:t>
      </w:r>
      <w:proofErr w:type="spellStart"/>
      <w:r w:rsidRPr="000D7E2E">
        <w:rPr>
          <w:szCs w:val="22"/>
        </w:rPr>
        <w:t>môžete</w:t>
      </w:r>
      <w:proofErr w:type="spellEnd"/>
      <w:r w:rsidRPr="000D7E2E">
        <w:rPr>
          <w:szCs w:val="22"/>
        </w:rPr>
        <w:t xml:space="preserve"> </w:t>
      </w:r>
      <w:proofErr w:type="spellStart"/>
      <w:r w:rsidRPr="000D7E2E">
        <w:rPr>
          <w:szCs w:val="22"/>
        </w:rPr>
        <w:t>prispieť</w:t>
      </w:r>
      <w:proofErr w:type="spellEnd"/>
      <w:r w:rsidRPr="000D7E2E">
        <w:rPr>
          <w:szCs w:val="22"/>
        </w:rPr>
        <w:t xml:space="preserve"> k</w:t>
      </w:r>
      <w:r>
        <w:rPr>
          <w:szCs w:val="22"/>
        </w:rPr>
        <w:t> </w:t>
      </w:r>
      <w:proofErr w:type="spellStart"/>
      <w:r w:rsidRPr="000D7E2E">
        <w:rPr>
          <w:szCs w:val="22"/>
        </w:rPr>
        <w:t>získaniu</w:t>
      </w:r>
      <w:proofErr w:type="spellEnd"/>
      <w:r w:rsidRPr="000D7E2E">
        <w:rPr>
          <w:szCs w:val="22"/>
        </w:rPr>
        <w:t xml:space="preserve"> </w:t>
      </w:r>
      <w:proofErr w:type="spellStart"/>
      <w:r w:rsidRPr="000D7E2E">
        <w:rPr>
          <w:szCs w:val="22"/>
        </w:rPr>
        <w:t>ďalších</w:t>
      </w:r>
      <w:proofErr w:type="spellEnd"/>
      <w:r w:rsidRPr="000D7E2E">
        <w:rPr>
          <w:szCs w:val="22"/>
        </w:rPr>
        <w:t xml:space="preserve"> </w:t>
      </w:r>
      <w:proofErr w:type="spellStart"/>
      <w:r w:rsidRPr="000D7E2E">
        <w:rPr>
          <w:szCs w:val="22"/>
        </w:rPr>
        <w:t>informácií</w:t>
      </w:r>
      <w:proofErr w:type="spellEnd"/>
      <w:r w:rsidRPr="000D7E2E">
        <w:rPr>
          <w:szCs w:val="22"/>
        </w:rPr>
        <w:t xml:space="preserve"> o </w:t>
      </w:r>
      <w:proofErr w:type="spellStart"/>
      <w:r w:rsidRPr="000D7E2E">
        <w:rPr>
          <w:szCs w:val="22"/>
        </w:rPr>
        <w:t>bezpečnosti</w:t>
      </w:r>
      <w:proofErr w:type="spellEnd"/>
      <w:r w:rsidRPr="000D7E2E">
        <w:rPr>
          <w:szCs w:val="22"/>
        </w:rPr>
        <w:t xml:space="preserve"> </w:t>
      </w:r>
      <w:proofErr w:type="spellStart"/>
      <w:r w:rsidRPr="000D7E2E">
        <w:rPr>
          <w:szCs w:val="22"/>
        </w:rPr>
        <w:t>tohto</w:t>
      </w:r>
      <w:proofErr w:type="spellEnd"/>
      <w:r w:rsidRPr="000D7E2E">
        <w:rPr>
          <w:szCs w:val="22"/>
        </w:rPr>
        <w:t xml:space="preserve"> </w:t>
      </w:r>
      <w:proofErr w:type="spellStart"/>
      <w:r w:rsidRPr="000D7E2E">
        <w:rPr>
          <w:szCs w:val="22"/>
        </w:rPr>
        <w:t>lieku</w:t>
      </w:r>
      <w:proofErr w:type="spellEnd"/>
      <w:r w:rsidRPr="000D7E2E">
        <w:rPr>
          <w:szCs w:val="22"/>
        </w:rPr>
        <w:t>.</w:t>
      </w:r>
    </w:p>
    <w:p w:rsidR="00EE0D11" w:rsidRDefault="00EE0D11" w:rsidP="0023237F">
      <w:pPr>
        <w:autoSpaceDE w:val="0"/>
        <w:autoSpaceDN w:val="0"/>
        <w:adjustRightInd w:val="0"/>
        <w:rPr>
          <w:rFonts w:eastAsia="MS Mincho"/>
          <w:bCs/>
          <w:snapToGrid w:val="0"/>
          <w:szCs w:val="22"/>
          <w:lang w:val="sk-SK"/>
        </w:rPr>
      </w:pPr>
    </w:p>
    <w:p w:rsidR="00FA75B2" w:rsidRDefault="00FA75B2" w:rsidP="0023237F">
      <w:pPr>
        <w:autoSpaceDE w:val="0"/>
        <w:autoSpaceDN w:val="0"/>
        <w:adjustRightInd w:val="0"/>
        <w:rPr>
          <w:rFonts w:eastAsia="MS Mincho"/>
          <w:b/>
          <w:bCs/>
          <w:snapToGrid w:val="0"/>
          <w:szCs w:val="22"/>
          <w:lang w:val="sk-SK"/>
        </w:rPr>
      </w:pPr>
      <w:bookmarkStart w:id="0" w:name="_GoBack"/>
      <w:bookmarkEnd w:id="0"/>
    </w:p>
    <w:p w:rsidR="00DA6D4F" w:rsidRPr="0023237F" w:rsidRDefault="00DA6D4F" w:rsidP="0023237F">
      <w:pPr>
        <w:autoSpaceDE w:val="0"/>
        <w:autoSpaceDN w:val="0"/>
        <w:adjustRightInd w:val="0"/>
        <w:rPr>
          <w:rFonts w:eastAsia="MS Mincho"/>
          <w:b/>
          <w:bCs/>
          <w:snapToGrid w:val="0"/>
          <w:szCs w:val="22"/>
          <w:lang w:val="sk-SK"/>
        </w:rPr>
      </w:pPr>
    </w:p>
    <w:p w:rsidR="00EE0D11" w:rsidRPr="00063543" w:rsidRDefault="00EE0D11" w:rsidP="00EE0D11">
      <w:pPr>
        <w:keepNext/>
        <w:tabs>
          <w:tab w:val="left" w:pos="567"/>
        </w:tabs>
        <w:autoSpaceDE w:val="0"/>
        <w:autoSpaceDN w:val="0"/>
        <w:adjustRightInd w:val="0"/>
        <w:rPr>
          <w:b/>
          <w:bCs/>
          <w:szCs w:val="22"/>
        </w:rPr>
      </w:pPr>
      <w:r w:rsidRPr="00063543">
        <w:rPr>
          <w:b/>
          <w:bCs/>
          <w:szCs w:val="22"/>
        </w:rPr>
        <w:t>5.</w:t>
      </w:r>
      <w:r w:rsidRPr="00063543">
        <w:rPr>
          <w:b/>
          <w:bCs/>
          <w:szCs w:val="22"/>
        </w:rPr>
        <w:tab/>
      </w:r>
      <w:proofErr w:type="spellStart"/>
      <w:r>
        <w:rPr>
          <w:b/>
          <w:bCs/>
          <w:szCs w:val="22"/>
        </w:rPr>
        <w:t>Ako</w:t>
      </w:r>
      <w:proofErr w:type="spellEnd"/>
      <w:r>
        <w:rPr>
          <w:b/>
          <w:bCs/>
          <w:szCs w:val="22"/>
        </w:rPr>
        <w:t xml:space="preserve"> </w:t>
      </w:r>
      <w:proofErr w:type="spellStart"/>
      <w:r>
        <w:rPr>
          <w:b/>
          <w:bCs/>
          <w:szCs w:val="22"/>
        </w:rPr>
        <w:t>uchovávať</w:t>
      </w:r>
      <w:proofErr w:type="spellEnd"/>
      <w:r>
        <w:rPr>
          <w:b/>
          <w:bCs/>
          <w:szCs w:val="22"/>
        </w:rPr>
        <w:t xml:space="preserve"> Gemcitabine Accord</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 xml:space="preserve">Uchovávajte mimo  dohľadu </w:t>
      </w:r>
      <w:r w:rsidR="00EE0D11">
        <w:rPr>
          <w:rFonts w:eastAsia="MS Mincho"/>
          <w:snapToGrid w:val="0"/>
          <w:szCs w:val="22"/>
          <w:lang w:val="sk-SK"/>
        </w:rPr>
        <w:t xml:space="preserve">a dosahu </w:t>
      </w:r>
      <w:r w:rsidRPr="0023237F">
        <w:rPr>
          <w:rFonts w:eastAsia="MS Mincho"/>
          <w:snapToGrid w:val="0"/>
          <w:szCs w:val="22"/>
          <w:lang w:val="sk-SK"/>
        </w:rPr>
        <w:t>detí.</w:t>
      </w:r>
    </w:p>
    <w:p w:rsidR="00FA75B2" w:rsidRPr="0023237F" w:rsidRDefault="00FA75B2" w:rsidP="0023237F">
      <w:pPr>
        <w:tabs>
          <w:tab w:val="left" w:pos="1638"/>
        </w:tabs>
        <w:rPr>
          <w:rFonts w:eastAsia="MS Mincho"/>
          <w:snapToGrid w:val="0"/>
          <w:szCs w:val="22"/>
          <w:lang w:val="sk-SK"/>
        </w:rPr>
      </w:pPr>
      <w:r w:rsidRPr="0023237F">
        <w:rPr>
          <w:rFonts w:eastAsia="MS Mincho"/>
          <w:snapToGrid w:val="0"/>
          <w:szCs w:val="22"/>
          <w:lang w:val="sk-SK"/>
        </w:rPr>
        <w:t xml:space="preserve">Nepoužívajte </w:t>
      </w:r>
      <w:r w:rsidR="00EE0D11">
        <w:rPr>
          <w:rFonts w:eastAsia="MS Mincho"/>
          <w:snapToGrid w:val="0"/>
          <w:szCs w:val="22"/>
          <w:lang w:val="sk-SK"/>
        </w:rPr>
        <w:t xml:space="preserve">tento liek </w:t>
      </w:r>
      <w:r w:rsidRPr="0023237F">
        <w:rPr>
          <w:rFonts w:eastAsia="MS Mincho"/>
          <w:snapToGrid w:val="0"/>
          <w:szCs w:val="22"/>
          <w:lang w:val="sk-SK"/>
        </w:rPr>
        <w:t>po dátume exspirácie (EXP), ktorý je uvedený na obale. Dátum exspirácie sa vzťahuje na posledný deň v</w:t>
      </w:r>
      <w:r w:rsidR="00EE0D11">
        <w:rPr>
          <w:rFonts w:eastAsia="MS Mincho"/>
          <w:snapToGrid w:val="0"/>
          <w:szCs w:val="22"/>
          <w:lang w:val="sk-SK"/>
        </w:rPr>
        <w:t xml:space="preserve"> danom </w:t>
      </w:r>
      <w:r w:rsidRPr="0023237F">
        <w:rPr>
          <w:rFonts w:eastAsia="MS Mincho"/>
          <w:snapToGrid w:val="0"/>
          <w:szCs w:val="22"/>
          <w:lang w:val="sk-SK"/>
        </w:rPr>
        <w:t>mesiaci.</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ind w:right="297"/>
        <w:rPr>
          <w:rFonts w:eastAsia="MS Mincho"/>
          <w:snapToGrid w:val="0"/>
          <w:szCs w:val="22"/>
          <w:lang w:val="sk-SK"/>
        </w:rPr>
      </w:pPr>
      <w:r w:rsidRPr="0023237F">
        <w:rPr>
          <w:rFonts w:eastAsia="MS Mincho"/>
          <w:snapToGrid w:val="0"/>
          <w:szCs w:val="22"/>
          <w:lang w:val="sk-SK"/>
        </w:rPr>
        <w:t>Neotvorená injekčná liekovka: Tento liek nevyžaduje žiadne zvláštne podmienky na uchovávanie.</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Rekonštituovaný roztok: Liek sa má použiť ihneď. Ak sa pripraví podľa pokynov, chemická a fyzikálna stabilita pri používaní rekonštituovaných roztokov gemcitabínu sa stanovila na 21 dní pri 25 °C. Lekár môže roztok ďalej riediť. Roztoky rekonštituovaného gemcitabínu sa nemajú uchovávať v chladničke, pretože sa môžu vytvárať kryštály.</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Tento liek je len na jednorazové použitie; nepoužitý roztok sa má zlikvidovať v súlade s národnými požiadavkami.</w:t>
      </w:r>
    </w:p>
    <w:p w:rsidR="00FA75B2" w:rsidRPr="0023237F" w:rsidRDefault="00FA75B2" w:rsidP="0023237F">
      <w:pPr>
        <w:autoSpaceDE w:val="0"/>
        <w:autoSpaceDN w:val="0"/>
        <w:adjustRightInd w:val="0"/>
        <w:rPr>
          <w:rFonts w:eastAsia="MS Mincho"/>
          <w:snapToGrid w:val="0"/>
          <w:szCs w:val="22"/>
          <w:lang w:val="sk-SK"/>
        </w:rPr>
      </w:pPr>
    </w:p>
    <w:p w:rsidR="00FA75B2" w:rsidRPr="0023237F" w:rsidRDefault="00FA75B2" w:rsidP="0023237F">
      <w:pPr>
        <w:autoSpaceDE w:val="0"/>
        <w:autoSpaceDN w:val="0"/>
        <w:adjustRightInd w:val="0"/>
        <w:rPr>
          <w:rFonts w:eastAsia="MS Mincho"/>
          <w:snapToGrid w:val="0"/>
          <w:szCs w:val="22"/>
          <w:lang w:val="sk-SK"/>
        </w:rPr>
      </w:pPr>
    </w:p>
    <w:p w:rsidR="00EE0D11" w:rsidRPr="00063543" w:rsidRDefault="00EE0D11" w:rsidP="00EE0D11">
      <w:pPr>
        <w:keepNext/>
        <w:tabs>
          <w:tab w:val="left" w:pos="567"/>
        </w:tabs>
        <w:autoSpaceDE w:val="0"/>
        <w:autoSpaceDN w:val="0"/>
        <w:adjustRightInd w:val="0"/>
        <w:rPr>
          <w:b/>
          <w:bCs/>
          <w:szCs w:val="22"/>
        </w:rPr>
      </w:pPr>
      <w:r w:rsidRPr="00063543">
        <w:rPr>
          <w:b/>
          <w:bCs/>
          <w:szCs w:val="22"/>
        </w:rPr>
        <w:t>6.</w:t>
      </w:r>
      <w:r w:rsidRPr="00063543">
        <w:rPr>
          <w:b/>
          <w:bCs/>
          <w:szCs w:val="22"/>
        </w:rPr>
        <w:tab/>
      </w:r>
      <w:proofErr w:type="spellStart"/>
      <w:r>
        <w:rPr>
          <w:b/>
          <w:bCs/>
          <w:szCs w:val="22"/>
        </w:rPr>
        <w:t>Obsah</w:t>
      </w:r>
      <w:proofErr w:type="spellEnd"/>
      <w:r>
        <w:rPr>
          <w:b/>
          <w:bCs/>
          <w:szCs w:val="22"/>
        </w:rPr>
        <w:t xml:space="preserve"> </w:t>
      </w:r>
      <w:proofErr w:type="spellStart"/>
      <w:r>
        <w:rPr>
          <w:b/>
          <w:bCs/>
          <w:szCs w:val="22"/>
        </w:rPr>
        <w:t>balenia</w:t>
      </w:r>
      <w:proofErr w:type="spellEnd"/>
      <w:r>
        <w:rPr>
          <w:b/>
          <w:bCs/>
          <w:szCs w:val="22"/>
        </w:rPr>
        <w:t xml:space="preserve"> a </w:t>
      </w:r>
      <w:proofErr w:type="spellStart"/>
      <w:r>
        <w:rPr>
          <w:b/>
          <w:bCs/>
          <w:szCs w:val="22"/>
        </w:rPr>
        <w:t>ďalšie</w:t>
      </w:r>
      <w:proofErr w:type="spellEnd"/>
      <w:r>
        <w:rPr>
          <w:b/>
          <w:bCs/>
          <w:szCs w:val="22"/>
        </w:rPr>
        <w:t xml:space="preserve"> </w:t>
      </w:r>
      <w:proofErr w:type="spellStart"/>
      <w:r>
        <w:rPr>
          <w:b/>
          <w:bCs/>
          <w:szCs w:val="22"/>
        </w:rPr>
        <w:t>informácie</w:t>
      </w:r>
      <w:proofErr w:type="spellEnd"/>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Čo Gemcitabine Accord obsahuje</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Liečivo je gemcitabín. Každá injekčná liekovka obsahuje 200 mg,  1 000 mg alebo 2 000 mg gemcitabínu (vo forme gemcitabíniumchloridu).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Ďalšie zložky sú manitol (E421), octan sodný, kyselina chlorovodíková a hydroxid sodný.</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lang w:val="sk-SK"/>
        </w:rPr>
      </w:pPr>
      <w:r w:rsidRPr="0023237F">
        <w:rPr>
          <w:rFonts w:eastAsia="MS Mincho"/>
          <w:b/>
          <w:bCs/>
          <w:snapToGrid w:val="0"/>
          <w:szCs w:val="22"/>
          <w:lang w:val="sk-SK"/>
        </w:rPr>
        <w:t>Ako vyzerá Gemcitabine Accord a obsah balenia</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Gemcitabine je biely až takmer biely prášok na infúzny roztok v injekčnej liekovke. Každá injekčná liekovka obsahuje 200 mg, 1 000 mg alebo 2 000 mg gemcitabínu. Každé balenie Gemcitabinu obsahuje 1 injekčnú liekovku.</w:t>
      </w:r>
    </w:p>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200 mg, 1 g a 2 g injekčné liekovky sa predávajú samostatne v balení po jednej injekčnej liekovke. </w:t>
      </w:r>
    </w:p>
    <w:p w:rsidR="00FA75B2" w:rsidRPr="0023237F" w:rsidRDefault="00FA75B2" w:rsidP="0023237F">
      <w:pPr>
        <w:rPr>
          <w:rFonts w:eastAsia="MS Mincho"/>
          <w:snapToGrid w:val="0"/>
          <w:szCs w:val="22"/>
          <w:lang w:val="sk-SK"/>
        </w:rPr>
      </w:pPr>
      <w:r w:rsidRPr="0023237F">
        <w:rPr>
          <w:rFonts w:eastAsia="MS Mincho"/>
          <w:snapToGrid w:val="0"/>
          <w:szCs w:val="22"/>
          <w:lang w:val="sk-SK"/>
        </w:rPr>
        <w:t>Nie všetky veľkosti musia byť uvedené na trh.</w:t>
      </w:r>
    </w:p>
    <w:p w:rsidR="00FA75B2" w:rsidRPr="0023237F" w:rsidRDefault="00FA75B2" w:rsidP="0023237F">
      <w:pPr>
        <w:rPr>
          <w:rFonts w:eastAsia="MS Mincho"/>
          <w:strike/>
          <w:snapToGrid w:val="0"/>
          <w:szCs w:val="22"/>
          <w:lang w:val="sk-SK"/>
        </w:rPr>
      </w:pPr>
    </w:p>
    <w:p w:rsidR="00FA75B2" w:rsidRPr="0023237F" w:rsidRDefault="00FA75B2" w:rsidP="0023237F">
      <w:pPr>
        <w:rPr>
          <w:rFonts w:eastAsia="MS Mincho"/>
          <w:b/>
          <w:bCs/>
          <w:snapToGrid w:val="0"/>
          <w:szCs w:val="22"/>
          <w:lang w:val="sk-SK"/>
        </w:rPr>
      </w:pPr>
      <w:r w:rsidRPr="0023237F">
        <w:rPr>
          <w:rFonts w:eastAsia="MS Mincho"/>
          <w:b/>
          <w:bCs/>
          <w:snapToGrid w:val="0"/>
          <w:szCs w:val="22"/>
          <w:lang w:val="sk-SK"/>
        </w:rPr>
        <w:t>Držiteľ rozhodnutia o registrácii</w:t>
      </w:r>
    </w:p>
    <w:p w:rsidR="00217B37" w:rsidRDefault="00217B37" w:rsidP="00217B37">
      <w:pPr>
        <w:rPr>
          <w:szCs w:val="22"/>
          <w:lang w:val="sk-SK" w:eastAsia="sk-SK"/>
        </w:rPr>
      </w:pPr>
      <w:r>
        <w:rPr>
          <w:szCs w:val="22"/>
        </w:rPr>
        <w:t xml:space="preserve">Accord Healthcare </w:t>
      </w:r>
      <w:proofErr w:type="spellStart"/>
      <w:r>
        <w:rPr>
          <w:szCs w:val="22"/>
        </w:rPr>
        <w:t>Polska</w:t>
      </w:r>
      <w:proofErr w:type="spellEnd"/>
      <w:r>
        <w:rPr>
          <w:szCs w:val="22"/>
        </w:rPr>
        <w:t xml:space="preserve"> Sp. z </w:t>
      </w:r>
      <w:proofErr w:type="spellStart"/>
      <w:r>
        <w:rPr>
          <w:szCs w:val="22"/>
        </w:rPr>
        <w:t>o.o</w:t>
      </w:r>
      <w:proofErr w:type="spellEnd"/>
      <w:r>
        <w:rPr>
          <w:szCs w:val="22"/>
        </w:rPr>
        <w:t>.</w:t>
      </w:r>
    </w:p>
    <w:p w:rsidR="00217B37" w:rsidRDefault="00217B37" w:rsidP="00217B37">
      <w:pPr>
        <w:rPr>
          <w:szCs w:val="22"/>
          <w:lang w:eastAsia="cs-CZ"/>
        </w:rPr>
      </w:pPr>
      <w:proofErr w:type="spellStart"/>
      <w:r>
        <w:rPr>
          <w:szCs w:val="22"/>
        </w:rPr>
        <w:t>Taśmowa</w:t>
      </w:r>
      <w:proofErr w:type="spellEnd"/>
      <w:r>
        <w:rPr>
          <w:szCs w:val="22"/>
        </w:rPr>
        <w:t xml:space="preserve"> 7</w:t>
      </w:r>
    </w:p>
    <w:p w:rsidR="00217B37" w:rsidRDefault="00217B37" w:rsidP="00217B37">
      <w:pPr>
        <w:rPr>
          <w:szCs w:val="22"/>
          <w:lang w:eastAsia="en-US"/>
        </w:rPr>
      </w:pPr>
      <w:r>
        <w:rPr>
          <w:szCs w:val="22"/>
        </w:rPr>
        <w:t xml:space="preserve">02-677 </w:t>
      </w:r>
      <w:proofErr w:type="spellStart"/>
      <w:r>
        <w:rPr>
          <w:szCs w:val="22"/>
        </w:rPr>
        <w:t>Varšava</w:t>
      </w:r>
      <w:proofErr w:type="spellEnd"/>
    </w:p>
    <w:p w:rsidR="00217B37" w:rsidRDefault="00217B37" w:rsidP="00217B37">
      <w:pPr>
        <w:tabs>
          <w:tab w:val="num" w:pos="0"/>
        </w:tabs>
        <w:ind w:right="29"/>
        <w:jc w:val="both"/>
        <w:rPr>
          <w:szCs w:val="22"/>
        </w:rPr>
      </w:pPr>
      <w:proofErr w:type="spellStart"/>
      <w:r>
        <w:rPr>
          <w:szCs w:val="22"/>
        </w:rPr>
        <w:t>Poľsko</w:t>
      </w:r>
      <w:proofErr w:type="spellEnd"/>
    </w:p>
    <w:p w:rsidR="00FA75B2" w:rsidRPr="0023237F" w:rsidRDefault="00FA75B2" w:rsidP="0023237F">
      <w:pPr>
        <w:tabs>
          <w:tab w:val="num" w:pos="399"/>
          <w:tab w:val="left" w:pos="2166"/>
        </w:tabs>
        <w:ind w:hanging="720"/>
        <w:rPr>
          <w:rFonts w:eastAsia="MS Mincho"/>
          <w:b/>
          <w:bCs/>
          <w:snapToGrid w:val="0"/>
          <w:szCs w:val="22"/>
          <w:lang w:val="sk-SK"/>
        </w:rPr>
      </w:pPr>
    </w:p>
    <w:p w:rsidR="00FA75B2" w:rsidRPr="0023237F" w:rsidRDefault="00FA75B2" w:rsidP="0023237F">
      <w:pPr>
        <w:tabs>
          <w:tab w:val="left" w:pos="2166"/>
        </w:tabs>
        <w:rPr>
          <w:rFonts w:eastAsia="MS Mincho"/>
          <w:snapToGrid w:val="0"/>
          <w:szCs w:val="22"/>
          <w:lang w:val="sk-SK"/>
        </w:rPr>
      </w:pPr>
      <w:r w:rsidRPr="0023237F">
        <w:rPr>
          <w:rFonts w:eastAsia="MS Mincho"/>
          <w:b/>
          <w:bCs/>
          <w:snapToGrid w:val="0"/>
          <w:szCs w:val="22"/>
          <w:lang w:val="sk-SK"/>
        </w:rPr>
        <w:t>Výrobcovia:</w:t>
      </w:r>
    </w:p>
    <w:p w:rsidR="00FA75B2" w:rsidRPr="0023237F" w:rsidRDefault="00FA75B2" w:rsidP="0023237F">
      <w:pPr>
        <w:rPr>
          <w:rFonts w:eastAsia="MS Mincho"/>
          <w:noProof/>
          <w:szCs w:val="22"/>
          <w:lang w:val="sk-SK" w:bidi="pa-IN"/>
        </w:rPr>
      </w:pPr>
      <w:r w:rsidRPr="0023237F">
        <w:rPr>
          <w:rFonts w:eastAsia="MS Mincho"/>
          <w:noProof/>
          <w:szCs w:val="22"/>
          <w:lang w:val="sk-SK" w:bidi="pa-IN"/>
        </w:rPr>
        <w:t>Accord Healthcare Limited</w:t>
      </w:r>
    </w:p>
    <w:p w:rsidR="00FA75B2" w:rsidRPr="0023237F" w:rsidRDefault="00FA75B2" w:rsidP="0023237F">
      <w:pPr>
        <w:rPr>
          <w:rFonts w:eastAsia="MS Mincho"/>
          <w:color w:val="000000"/>
          <w:szCs w:val="22"/>
          <w:lang w:val="sk-SK" w:bidi="pa-IN"/>
        </w:rPr>
      </w:pPr>
      <w:r w:rsidRPr="0023237F">
        <w:rPr>
          <w:rFonts w:eastAsia="MS Mincho"/>
          <w:noProof/>
          <w:szCs w:val="22"/>
          <w:lang w:val="sk-SK" w:bidi="pa-IN"/>
        </w:rPr>
        <w:t xml:space="preserve">Sage House, </w:t>
      </w:r>
      <w:r w:rsidRPr="0023237F">
        <w:rPr>
          <w:rFonts w:eastAsia="MS Mincho"/>
          <w:noProof/>
          <w:color w:val="000000"/>
          <w:szCs w:val="22"/>
          <w:lang w:val="sk-SK" w:bidi="pa-IN"/>
        </w:rPr>
        <w:t>319, Pinner Road,</w:t>
      </w:r>
    </w:p>
    <w:p w:rsidR="00FA75B2" w:rsidRPr="0023237F" w:rsidRDefault="00FA75B2" w:rsidP="0023237F">
      <w:pPr>
        <w:rPr>
          <w:rFonts w:eastAsia="MS Mincho"/>
          <w:color w:val="000000"/>
          <w:szCs w:val="22"/>
          <w:lang w:val="sk-SK" w:bidi="pa-IN"/>
        </w:rPr>
      </w:pPr>
      <w:r w:rsidRPr="0023237F">
        <w:rPr>
          <w:rFonts w:eastAsia="MS Mincho"/>
          <w:noProof/>
          <w:color w:val="000000"/>
          <w:szCs w:val="22"/>
          <w:lang w:val="sk-SK" w:bidi="pa-IN"/>
        </w:rPr>
        <w:t>North Harrow,</w:t>
      </w:r>
    </w:p>
    <w:p w:rsidR="00FA75B2" w:rsidRPr="0023237F" w:rsidRDefault="00FA75B2" w:rsidP="0023237F">
      <w:pPr>
        <w:rPr>
          <w:rFonts w:eastAsia="MS Mincho"/>
          <w:color w:val="000000"/>
          <w:szCs w:val="22"/>
          <w:lang w:val="sk-SK" w:bidi="pa-IN"/>
        </w:rPr>
      </w:pPr>
      <w:r w:rsidRPr="0023237F">
        <w:rPr>
          <w:rFonts w:eastAsia="MS Mincho"/>
          <w:noProof/>
          <w:color w:val="000000"/>
          <w:szCs w:val="22"/>
          <w:lang w:val="sk-SK" w:bidi="pa-IN"/>
        </w:rPr>
        <w:t>Middlesex, HA1 4HF,</w:t>
      </w:r>
    </w:p>
    <w:p w:rsidR="00FA75B2" w:rsidRPr="0023237F" w:rsidRDefault="00FA75B2" w:rsidP="0023237F">
      <w:pPr>
        <w:rPr>
          <w:rFonts w:eastAsia="MS Mincho"/>
          <w:color w:val="000000"/>
          <w:szCs w:val="22"/>
          <w:lang w:val="sk-SK" w:bidi="pa-IN"/>
        </w:rPr>
      </w:pPr>
      <w:r w:rsidRPr="0023237F">
        <w:rPr>
          <w:rFonts w:eastAsia="MS Mincho"/>
          <w:noProof/>
          <w:color w:val="000000"/>
          <w:szCs w:val="22"/>
          <w:lang w:val="sk-SK" w:bidi="pa-IN"/>
        </w:rPr>
        <w:lastRenderedPageBreak/>
        <w:t>Veľká Británia</w:t>
      </w:r>
    </w:p>
    <w:p w:rsidR="00FA75B2" w:rsidRDefault="00FA75B2" w:rsidP="0023237F">
      <w:pPr>
        <w:ind w:left="-18"/>
        <w:rPr>
          <w:rFonts w:eastAsia="MS Mincho"/>
          <w:snapToGrid w:val="0"/>
          <w:szCs w:val="22"/>
          <w:lang w:val="sk-SK"/>
        </w:rPr>
      </w:pPr>
    </w:p>
    <w:p w:rsidR="00FA75B2" w:rsidRDefault="00FA75B2" w:rsidP="0023237F">
      <w:pPr>
        <w:ind w:left="-18"/>
        <w:rPr>
          <w:rFonts w:eastAsia="MS Mincho"/>
          <w:snapToGrid w:val="0"/>
          <w:szCs w:val="22"/>
          <w:lang w:val="sk-SK"/>
        </w:rPr>
      </w:pPr>
      <w:r w:rsidRPr="0023237F">
        <w:rPr>
          <w:rFonts w:eastAsia="MS Mincho"/>
          <w:snapToGrid w:val="0"/>
          <w:szCs w:val="22"/>
          <w:lang w:val="sk-SK"/>
        </w:rPr>
        <w:t>alebo</w:t>
      </w:r>
    </w:p>
    <w:p w:rsidR="00DA6D4F" w:rsidRPr="0023237F" w:rsidRDefault="00DA6D4F" w:rsidP="0023237F">
      <w:pPr>
        <w:ind w:left="-18"/>
        <w:rPr>
          <w:rFonts w:eastAsia="MS Mincho"/>
          <w:snapToGrid w:val="0"/>
          <w:szCs w:val="22"/>
          <w:lang w:val="sk-SK"/>
        </w:rPr>
      </w:pPr>
    </w:p>
    <w:p w:rsidR="00FA75B2" w:rsidRPr="0023237F" w:rsidRDefault="00FA75B2" w:rsidP="0023237F">
      <w:pPr>
        <w:rPr>
          <w:rFonts w:eastAsia="MS Mincho"/>
          <w:noProof/>
          <w:szCs w:val="22"/>
          <w:lang w:bidi="pa-IN"/>
        </w:rPr>
      </w:pPr>
      <w:r w:rsidRPr="0023237F">
        <w:rPr>
          <w:rFonts w:eastAsia="MS Mincho"/>
          <w:noProof/>
          <w:szCs w:val="22"/>
          <w:lang w:bidi="pa-IN"/>
        </w:rPr>
        <w:t xml:space="preserve">Wessling Hungray Limited </w:t>
      </w:r>
    </w:p>
    <w:p w:rsidR="00FA75B2" w:rsidRDefault="00FA75B2" w:rsidP="0023237F">
      <w:pPr>
        <w:rPr>
          <w:rFonts w:eastAsia="MS Mincho"/>
          <w:noProof/>
          <w:szCs w:val="22"/>
          <w:lang w:val="sk-SK" w:bidi="pa-IN"/>
        </w:rPr>
      </w:pPr>
      <w:r w:rsidRPr="0023237F">
        <w:rPr>
          <w:rFonts w:eastAsia="MS Mincho"/>
          <w:noProof/>
          <w:szCs w:val="22"/>
          <w:lang w:bidi="pa-IN"/>
        </w:rPr>
        <w:t xml:space="preserve">1047 Budapest, Fóti út 56, </w:t>
      </w:r>
      <w:r w:rsidRPr="0023237F">
        <w:rPr>
          <w:rFonts w:eastAsia="MS Mincho"/>
          <w:noProof/>
          <w:szCs w:val="22"/>
          <w:lang w:val="sk-SK" w:bidi="pa-IN"/>
        </w:rPr>
        <w:t>Maďarsko</w:t>
      </w:r>
    </w:p>
    <w:p w:rsidR="006423D3" w:rsidRDefault="006423D3" w:rsidP="0023237F">
      <w:pPr>
        <w:rPr>
          <w:rFonts w:eastAsia="MS Mincho"/>
          <w:noProof/>
          <w:szCs w:val="22"/>
          <w:lang w:val="sk-SK" w:bidi="pa-IN"/>
        </w:rPr>
      </w:pPr>
    </w:p>
    <w:p w:rsidR="006423D3" w:rsidRPr="0023237F" w:rsidRDefault="006423D3" w:rsidP="0023237F">
      <w:pPr>
        <w:rPr>
          <w:rFonts w:eastAsia="MS Mincho"/>
          <w:snapToGrid w:val="0"/>
          <w:szCs w:val="22"/>
          <w:lang w:val="sk-SK"/>
        </w:rPr>
      </w:pPr>
      <w:r>
        <w:rPr>
          <w:rFonts w:eastAsia="MS Mincho"/>
          <w:noProof/>
          <w:szCs w:val="22"/>
          <w:lang w:val="sk-SK" w:bidi="pa-IN"/>
        </w:rPr>
        <w:t>alebo</w:t>
      </w:r>
    </w:p>
    <w:p w:rsidR="006423D3" w:rsidRPr="00E13B6B" w:rsidRDefault="006423D3" w:rsidP="006423D3">
      <w:pPr>
        <w:rPr>
          <w:szCs w:val="22"/>
          <w:lang w:val="en-GB"/>
        </w:rPr>
      </w:pPr>
      <w:r w:rsidRPr="00E13B6B">
        <w:rPr>
          <w:szCs w:val="22"/>
          <w:lang w:val="en-GB"/>
        </w:rPr>
        <w:t xml:space="preserve">Accord Healthcare </w:t>
      </w:r>
      <w:proofErr w:type="spellStart"/>
      <w:r w:rsidRPr="00E13B6B">
        <w:rPr>
          <w:szCs w:val="22"/>
          <w:lang w:val="en-GB"/>
        </w:rPr>
        <w:t>Polska</w:t>
      </w:r>
      <w:proofErr w:type="spellEnd"/>
      <w:r w:rsidRPr="00E13B6B">
        <w:rPr>
          <w:szCs w:val="22"/>
          <w:lang w:val="en-GB"/>
        </w:rPr>
        <w:t xml:space="preserve"> </w:t>
      </w:r>
      <w:proofErr w:type="spellStart"/>
      <w:r w:rsidRPr="00E13B6B">
        <w:rPr>
          <w:szCs w:val="22"/>
          <w:lang w:val="en-GB"/>
        </w:rPr>
        <w:t>Sp.z</w:t>
      </w:r>
      <w:proofErr w:type="spellEnd"/>
      <w:r w:rsidRPr="00E13B6B">
        <w:rPr>
          <w:szCs w:val="22"/>
          <w:lang w:val="en-GB"/>
        </w:rPr>
        <w:t xml:space="preserve"> </w:t>
      </w:r>
      <w:proofErr w:type="spellStart"/>
      <w:r w:rsidRPr="00E13B6B">
        <w:rPr>
          <w:szCs w:val="22"/>
          <w:lang w:val="en-GB"/>
        </w:rPr>
        <w:t>o.o</w:t>
      </w:r>
      <w:proofErr w:type="spellEnd"/>
      <w:proofErr w:type="gramStart"/>
      <w:r w:rsidRPr="00E13B6B">
        <w:rPr>
          <w:szCs w:val="22"/>
          <w:lang w:val="en-GB"/>
        </w:rPr>
        <w:t>.,</w:t>
      </w:r>
      <w:proofErr w:type="gramEnd"/>
    </w:p>
    <w:p w:rsidR="00FA75B2" w:rsidRDefault="006423D3" w:rsidP="006423D3">
      <w:pPr>
        <w:rPr>
          <w:rFonts w:eastAsia="MS Mincho"/>
          <w:b/>
          <w:bCs/>
          <w:snapToGrid w:val="0"/>
          <w:lang w:val="sk-SK"/>
        </w:rPr>
      </w:pPr>
      <w:proofErr w:type="spellStart"/>
      <w:proofErr w:type="gramStart"/>
      <w:r w:rsidRPr="00E13B6B">
        <w:rPr>
          <w:szCs w:val="22"/>
          <w:lang w:val="en-GB"/>
        </w:rPr>
        <w:t>ul</w:t>
      </w:r>
      <w:proofErr w:type="spellEnd"/>
      <w:proofErr w:type="gramEnd"/>
      <w:r w:rsidRPr="00E13B6B">
        <w:rPr>
          <w:szCs w:val="22"/>
          <w:lang w:val="en-GB"/>
        </w:rPr>
        <w:t xml:space="preserve">. </w:t>
      </w:r>
      <w:proofErr w:type="spellStart"/>
      <w:r w:rsidRPr="00E13B6B">
        <w:rPr>
          <w:szCs w:val="22"/>
          <w:lang w:val="en-GB"/>
        </w:rPr>
        <w:t>Lutomierska</w:t>
      </w:r>
      <w:proofErr w:type="spellEnd"/>
      <w:r w:rsidRPr="00E13B6B">
        <w:rPr>
          <w:szCs w:val="22"/>
          <w:lang w:val="en-GB"/>
        </w:rPr>
        <w:t xml:space="preserve"> 50</w:t>
      </w:r>
      <w:proofErr w:type="gramStart"/>
      <w:r w:rsidRPr="00E13B6B">
        <w:rPr>
          <w:szCs w:val="22"/>
          <w:lang w:val="en-GB"/>
        </w:rPr>
        <w:t>,95</w:t>
      </w:r>
      <w:proofErr w:type="gramEnd"/>
      <w:r w:rsidRPr="00E13B6B">
        <w:rPr>
          <w:szCs w:val="22"/>
          <w:lang w:val="en-GB"/>
        </w:rPr>
        <w:t xml:space="preserve">-200 </w:t>
      </w:r>
      <w:proofErr w:type="spellStart"/>
      <w:r w:rsidRPr="00E13B6B">
        <w:rPr>
          <w:szCs w:val="22"/>
          <w:lang w:val="en-GB"/>
        </w:rPr>
        <w:t>Pabianice</w:t>
      </w:r>
      <w:proofErr w:type="spellEnd"/>
      <w:r w:rsidRPr="00E13B6B">
        <w:rPr>
          <w:szCs w:val="22"/>
          <w:lang w:val="en-GB"/>
        </w:rPr>
        <w:t xml:space="preserve">, </w:t>
      </w:r>
      <w:proofErr w:type="spellStart"/>
      <w:r w:rsidRPr="00E13B6B">
        <w:rPr>
          <w:szCs w:val="22"/>
          <w:lang w:eastAsia="en-US"/>
        </w:rPr>
        <w:t>Poľsko</w:t>
      </w:r>
      <w:proofErr w:type="spellEnd"/>
    </w:p>
    <w:p w:rsidR="006423D3" w:rsidRPr="0023237F" w:rsidRDefault="006423D3" w:rsidP="0023237F">
      <w:pPr>
        <w:rPr>
          <w:rFonts w:eastAsia="MS Mincho"/>
          <w:b/>
          <w:bCs/>
          <w:snapToGrid w:val="0"/>
          <w:lang w:val="sk-SK"/>
        </w:rPr>
      </w:pPr>
    </w:p>
    <w:p w:rsidR="00FA75B2" w:rsidRPr="0023237F" w:rsidRDefault="00FA75B2" w:rsidP="0023237F">
      <w:pPr>
        <w:rPr>
          <w:rFonts w:eastAsia="MS Mincho"/>
          <w:b/>
          <w:bCs/>
          <w:snapToGrid w:val="0"/>
          <w:szCs w:val="22"/>
          <w:lang w:val="sk-SK"/>
        </w:rPr>
      </w:pPr>
      <w:r w:rsidRPr="0023237F">
        <w:rPr>
          <w:rFonts w:eastAsia="MS Mincho"/>
          <w:b/>
          <w:bCs/>
          <w:snapToGrid w:val="0"/>
          <w:lang w:val="sk-SK"/>
        </w:rPr>
        <w:t>Liek je schválený v členských štátoch Európskeho hospodárskeho priestoru (EHP) pod nasledovnými názvami</w:t>
      </w:r>
      <w:r w:rsidRPr="0023237F">
        <w:rPr>
          <w:rFonts w:eastAsia="MS Mincho"/>
          <w:b/>
          <w:bCs/>
          <w:snapToGrid w:val="0"/>
          <w:szCs w:val="22"/>
          <w:lang w:val="sk-SK"/>
        </w:rPr>
        <w:t>:</w:t>
      </w:r>
    </w:p>
    <w:p w:rsidR="00FA75B2" w:rsidRPr="0023237F" w:rsidRDefault="00FA75B2" w:rsidP="0023237F">
      <w:pPr>
        <w:jc w:val="both"/>
        <w:rPr>
          <w:rFonts w:eastAsia="MS Mincho"/>
          <w:b/>
          <w:bCs/>
          <w:snapToGrid w:val="0"/>
          <w:szCs w:val="22"/>
          <w:lang w:val="sk-SK"/>
        </w:rPr>
      </w:pPr>
    </w:p>
    <w:tbl>
      <w:tblPr>
        <w:tblW w:w="9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7"/>
        <w:gridCol w:w="7608"/>
      </w:tblGrid>
      <w:tr w:rsidR="00FA75B2" w:rsidRPr="0023237F" w:rsidTr="0030527D">
        <w:trPr>
          <w:trHeight w:val="144"/>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b/>
                <w:bCs/>
                <w:snapToGrid w:val="0"/>
                <w:szCs w:val="22"/>
                <w:lang w:val="sk-SK"/>
              </w:rPr>
              <w:br w:type="page"/>
              <w:t>Názov členského štátu</w:t>
            </w:r>
          </w:p>
        </w:tc>
        <w:tc>
          <w:tcPr>
            <w:tcW w:w="7608" w:type="dxa"/>
          </w:tcPr>
          <w:p w:rsidR="00FA75B2" w:rsidRPr="0023237F" w:rsidRDefault="00FA75B2" w:rsidP="0023237F">
            <w:pPr>
              <w:tabs>
                <w:tab w:val="left" w:pos="720"/>
                <w:tab w:val="center" w:pos="4320"/>
                <w:tab w:val="right" w:pos="8640"/>
              </w:tabs>
              <w:jc w:val="both"/>
              <w:rPr>
                <w:rFonts w:eastAsia="MS Mincho"/>
                <w:snapToGrid w:val="0"/>
                <w:szCs w:val="22"/>
                <w:lang w:val="sk-SK"/>
              </w:rPr>
            </w:pPr>
            <w:r w:rsidRPr="0023237F">
              <w:rPr>
                <w:rFonts w:eastAsia="MS Mincho"/>
                <w:b/>
                <w:bCs/>
                <w:snapToGrid w:val="0"/>
                <w:szCs w:val="22"/>
                <w:lang w:val="sk-SK"/>
              </w:rPr>
              <w:t>Názov lieku</w:t>
            </w:r>
          </w:p>
        </w:tc>
      </w:tr>
      <w:tr w:rsidR="00FA75B2" w:rsidRPr="004B5C3D" w:rsidTr="0030527D">
        <w:trPr>
          <w:cantSplit/>
          <w:trHeight w:val="563"/>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Rakúsko</w:t>
            </w:r>
          </w:p>
        </w:tc>
        <w:tc>
          <w:tcPr>
            <w:tcW w:w="7608"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Gemcitabine Accord 200 mg/ 1 g / 2 g Pulver zur Herstellung einer Infusionslösung</w:t>
            </w:r>
          </w:p>
        </w:tc>
      </w:tr>
      <w:tr w:rsidR="00FA75B2" w:rsidRPr="004B5C3D" w:rsidTr="0030527D">
        <w:trPr>
          <w:cantSplit/>
          <w:trHeight w:val="666"/>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Belgicko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 xml:space="preserve">Gemcitabine Hydrochloride Accord Healthcare 200 mg / 1 g / 2 g </w:t>
            </w:r>
            <w:r w:rsidRPr="0023237F">
              <w:rPr>
                <w:rFonts w:ascii="Verdana" w:eastAsia="MS Mincho" w:hAnsi="Verdana"/>
                <w:snapToGrid w:val="0"/>
                <w:sz w:val="16"/>
                <w:szCs w:val="16"/>
                <w:lang w:val="cy-GB"/>
              </w:rPr>
              <w:t>poudre pour solution pour perfusion / pulver zur Herstellung einer Infusionslösung / poeder voor oplossing voor infusie</w:t>
            </w:r>
          </w:p>
        </w:tc>
      </w:tr>
      <w:tr w:rsidR="00FA75B2" w:rsidRPr="0023237F" w:rsidTr="0030527D">
        <w:trPr>
          <w:cantSplit/>
          <w:trHeight w:val="38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Nemecko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 xml:space="preserve">Gemcitabin Accord </w:t>
            </w:r>
          </w:p>
        </w:tc>
      </w:tr>
      <w:tr w:rsidR="00FA75B2" w:rsidRPr="004B5C3D" w:rsidTr="0030527D">
        <w:trPr>
          <w:cantSplit/>
          <w:trHeight w:val="394"/>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Dánsko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Gemcitabin Accord </w:t>
            </w:r>
            <w:r w:rsidRPr="0023237F">
              <w:rPr>
                <w:rFonts w:ascii="Verdana" w:eastAsia="MS Mincho" w:hAnsi="Verdana"/>
                <w:snapToGrid w:val="0"/>
                <w:sz w:val="16"/>
                <w:szCs w:val="16"/>
                <w:lang w:val="cy-GB"/>
              </w:rPr>
              <w:t>200 mg / 1 g / 2 g pulver til infusionsvæske, opløsning</w:t>
            </w:r>
          </w:p>
        </w:tc>
      </w:tr>
      <w:tr w:rsidR="00FA75B2" w:rsidRPr="0023237F" w:rsidTr="0030527D">
        <w:trPr>
          <w:cantSplit/>
          <w:trHeight w:val="38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Estónsko</w:t>
            </w:r>
          </w:p>
        </w:tc>
        <w:tc>
          <w:tcPr>
            <w:tcW w:w="7608" w:type="dxa"/>
            <w:vAlign w:val="center"/>
          </w:tcPr>
          <w:p w:rsidR="00FA75B2" w:rsidRPr="0023237F" w:rsidRDefault="00FA75B2" w:rsidP="0023237F">
            <w:pPr>
              <w:tabs>
                <w:tab w:val="left" w:pos="720"/>
                <w:tab w:val="center" w:pos="4320"/>
                <w:tab w:val="right" w:pos="8640"/>
              </w:tabs>
              <w:jc w:val="both"/>
              <w:rPr>
                <w:rFonts w:eastAsia="MS Mincho"/>
                <w:snapToGrid w:val="0"/>
                <w:szCs w:val="22"/>
                <w:lang w:val="sk-SK"/>
              </w:rPr>
            </w:pPr>
            <w:r w:rsidRPr="0023237F">
              <w:rPr>
                <w:rFonts w:eastAsia="MS Mincho"/>
                <w:snapToGrid w:val="0"/>
                <w:szCs w:val="22"/>
                <w:lang w:val="sk-SK"/>
              </w:rPr>
              <w:t>Gemcitabine Accord 200 mg / 1000 mg / 2000 mg infusioonilahuse pulber</w:t>
            </w:r>
          </w:p>
        </w:tc>
      </w:tr>
      <w:tr w:rsidR="00FA75B2" w:rsidRPr="0023237F" w:rsidTr="0030527D">
        <w:trPr>
          <w:cantSplit/>
          <w:trHeight w:val="382"/>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Španielsko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Gemcitabina Accord 200 mg / 1 g / 2 g Polvo para solución para infusión EFG</w:t>
            </w:r>
          </w:p>
        </w:tc>
      </w:tr>
      <w:tr w:rsidR="00FA75B2" w:rsidRPr="0023237F" w:rsidTr="0030527D">
        <w:trPr>
          <w:cantSplit/>
          <w:trHeight w:val="39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Fínsko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Gemcitabine Accord </w:t>
            </w:r>
            <w:r w:rsidRPr="0023237F">
              <w:rPr>
                <w:rFonts w:ascii="Verdana" w:eastAsia="MS Mincho" w:hAnsi="Verdana"/>
                <w:snapToGrid w:val="0"/>
                <w:sz w:val="16"/>
                <w:szCs w:val="16"/>
                <w:lang w:val="cy-GB"/>
              </w:rPr>
              <w:t>200 mg / 1 g / 2 g infuusiokuiva-aine liuosta varten</w:t>
            </w:r>
          </w:p>
        </w:tc>
      </w:tr>
      <w:tr w:rsidR="00FA75B2" w:rsidRPr="0023237F" w:rsidTr="0030527D">
        <w:trPr>
          <w:cantSplit/>
          <w:trHeight w:val="392"/>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Maďarsko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Gemcitabine Accord </w:t>
            </w:r>
            <w:r w:rsidRPr="0023237F">
              <w:rPr>
                <w:rFonts w:ascii="Verdana" w:eastAsia="MS Mincho" w:hAnsi="Verdana"/>
                <w:snapToGrid w:val="0"/>
                <w:sz w:val="16"/>
                <w:szCs w:val="16"/>
                <w:lang w:val="cy-GB"/>
              </w:rPr>
              <w:t>200 mg / 1 g / 2 g por oldatos infúzióhoz</w:t>
            </w:r>
          </w:p>
        </w:tc>
      </w:tr>
      <w:tr w:rsidR="00FA75B2" w:rsidRPr="0023237F" w:rsidTr="0030527D">
        <w:trPr>
          <w:cantSplit/>
          <w:trHeight w:val="243"/>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Írsko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Gemcitabine 200mg / 1 g / 2 g Powder for Solution for Infusion</w:t>
            </w:r>
          </w:p>
        </w:tc>
      </w:tr>
      <w:tr w:rsidR="00FA75B2" w:rsidRPr="0023237F" w:rsidTr="0030527D">
        <w:trPr>
          <w:cantSplit/>
          <w:trHeight w:val="95"/>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Taliansko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 xml:space="preserve">Gemcitabina Accord Healthcare 200 mg/ 1 g / 2 g </w:t>
            </w:r>
            <w:r w:rsidRPr="0023237F">
              <w:rPr>
                <w:rFonts w:eastAsia="MS Mincho"/>
                <w:bCs/>
                <w:snapToGrid w:val="0"/>
                <w:szCs w:val="22"/>
                <w:lang w:val="sk-SK"/>
              </w:rPr>
              <w:t>polvere per soluzione per infusione</w:t>
            </w:r>
            <w:r w:rsidRPr="0023237F">
              <w:rPr>
                <w:rFonts w:eastAsia="MS Mincho"/>
                <w:snapToGrid w:val="0"/>
                <w:szCs w:val="22"/>
                <w:lang w:val="sk-SK"/>
              </w:rPr>
              <w:t xml:space="preserve"> </w:t>
            </w:r>
          </w:p>
        </w:tc>
      </w:tr>
      <w:tr w:rsidR="00FA75B2" w:rsidRPr="0023237F" w:rsidTr="0030527D">
        <w:trPr>
          <w:cantSplit/>
          <w:trHeight w:val="394"/>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Litva</w:t>
            </w:r>
          </w:p>
        </w:tc>
        <w:tc>
          <w:tcPr>
            <w:tcW w:w="7608" w:type="dxa"/>
            <w:vAlign w:val="center"/>
          </w:tcPr>
          <w:p w:rsidR="00FA75B2" w:rsidRPr="0023237F" w:rsidRDefault="00FA75B2" w:rsidP="0023237F">
            <w:pPr>
              <w:tabs>
                <w:tab w:val="left" w:pos="720"/>
                <w:tab w:val="center" w:pos="4320"/>
                <w:tab w:val="right" w:pos="8640"/>
              </w:tabs>
              <w:jc w:val="both"/>
              <w:rPr>
                <w:rFonts w:eastAsia="MS Mincho"/>
                <w:snapToGrid w:val="0"/>
                <w:szCs w:val="22"/>
                <w:lang w:val="sk-SK"/>
              </w:rPr>
            </w:pPr>
            <w:r w:rsidRPr="0023237F">
              <w:rPr>
                <w:rFonts w:eastAsia="MS Mincho"/>
                <w:snapToGrid w:val="0"/>
                <w:szCs w:val="22"/>
                <w:lang w:val="sk-SK"/>
              </w:rPr>
              <w:t>Gemcitabine Accord 200 mg / 1000 mg / 2000 mg milteliai infuziniam tirpalui</w:t>
            </w:r>
          </w:p>
        </w:tc>
      </w:tr>
      <w:tr w:rsidR="00FA75B2" w:rsidRPr="0023237F" w:rsidTr="0030527D">
        <w:trPr>
          <w:cantSplit/>
          <w:trHeight w:val="38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Lotyšsko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Gemcitabine Hydrochloride Accord</w:t>
            </w:r>
          </w:p>
        </w:tc>
      </w:tr>
      <w:tr w:rsidR="00FA75B2" w:rsidRPr="0023237F" w:rsidTr="0030527D">
        <w:trPr>
          <w:cantSplit/>
          <w:trHeight w:val="111"/>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Holandsko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Gemcitabine Accord 200 mg / 1000 mg / 2000 mg, Poeder voor oplossing voor infusie</w:t>
            </w:r>
          </w:p>
        </w:tc>
      </w:tr>
      <w:tr w:rsidR="00FA75B2" w:rsidRPr="0023237F" w:rsidTr="0030527D">
        <w:trPr>
          <w:cantSplit/>
          <w:trHeight w:val="390"/>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Nórsko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Gemcitabine Accord</w:t>
            </w:r>
          </w:p>
        </w:tc>
      </w:tr>
      <w:tr w:rsidR="00FA75B2" w:rsidRPr="0023237F" w:rsidTr="0030527D">
        <w:trPr>
          <w:cantSplit/>
          <w:trHeight w:val="71"/>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Poľsko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Gemcitabine Accord</w:t>
            </w:r>
          </w:p>
        </w:tc>
      </w:tr>
      <w:tr w:rsidR="00FA75B2" w:rsidRPr="0023237F" w:rsidTr="0030527D">
        <w:trPr>
          <w:cantSplit/>
          <w:trHeight w:val="410"/>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Portugalsko</w:t>
            </w:r>
          </w:p>
        </w:tc>
        <w:tc>
          <w:tcPr>
            <w:tcW w:w="7608" w:type="dxa"/>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Gemcitabina Accord</w:t>
            </w:r>
          </w:p>
        </w:tc>
      </w:tr>
      <w:tr w:rsidR="00FA75B2" w:rsidRPr="0023237F" w:rsidTr="0030527D">
        <w:trPr>
          <w:cantSplit/>
          <w:trHeight w:val="71"/>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Švédsko</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Gemcitabine Accord </w:t>
            </w:r>
            <w:r w:rsidRPr="00FD02B3">
              <w:rPr>
                <w:rFonts w:eastAsia="MS Mincho"/>
                <w:snapToGrid w:val="0"/>
                <w:szCs w:val="22"/>
                <w:lang w:val="cy-GB"/>
              </w:rPr>
              <w:t>200 mg / 1 g / 2 g pulver till infusionsvätska, lösning</w:t>
            </w:r>
          </w:p>
        </w:tc>
      </w:tr>
      <w:tr w:rsidR="00FA75B2" w:rsidRPr="0023237F" w:rsidTr="0030527D">
        <w:trPr>
          <w:cantSplit/>
          <w:trHeight w:val="71"/>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da-DK"/>
              </w:rPr>
              <w:t>Malta</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cy-GB"/>
              </w:rPr>
              <w:t>Gemcitabine 200 mg / 1 g Powder for solution for infusion</w:t>
            </w:r>
          </w:p>
        </w:tc>
      </w:tr>
      <w:tr w:rsidR="00FA75B2" w:rsidRPr="004B5C3D" w:rsidTr="0030527D">
        <w:trPr>
          <w:cantSplit/>
          <w:trHeight w:val="71"/>
        </w:trPr>
        <w:tc>
          <w:tcPr>
            <w:tcW w:w="2327" w:type="dxa"/>
            <w:vAlign w:val="center"/>
          </w:tcPr>
          <w:p w:rsidR="00FA75B2" w:rsidRPr="0023237F" w:rsidRDefault="00FA75B2" w:rsidP="0023237F">
            <w:pPr>
              <w:jc w:val="both"/>
              <w:rPr>
                <w:rFonts w:eastAsia="MS Mincho"/>
                <w:snapToGrid w:val="0"/>
                <w:szCs w:val="22"/>
                <w:lang w:val="sk-SK"/>
              </w:rPr>
            </w:pPr>
            <w:r>
              <w:rPr>
                <w:rFonts w:eastAsia="MS Mincho"/>
                <w:snapToGrid w:val="0"/>
                <w:szCs w:val="22"/>
                <w:lang w:val="sk-SK"/>
              </w:rPr>
              <w:t>Cyprus</w:t>
            </w:r>
          </w:p>
        </w:tc>
        <w:tc>
          <w:tcPr>
            <w:tcW w:w="7608" w:type="dxa"/>
          </w:tcPr>
          <w:p w:rsidR="00FA75B2" w:rsidRPr="0023237F" w:rsidRDefault="00FA75B2" w:rsidP="0023237F">
            <w:pPr>
              <w:rPr>
                <w:rFonts w:eastAsia="MS Mincho"/>
                <w:snapToGrid w:val="0"/>
                <w:szCs w:val="22"/>
                <w:lang w:val="sk-SK"/>
              </w:rPr>
            </w:pPr>
            <w:r w:rsidRPr="00884F25">
              <w:rPr>
                <w:lang w:val="el-GR"/>
              </w:rPr>
              <w:t>Gemcitabine Accord 200 mg</w:t>
            </w:r>
            <w:r w:rsidRPr="0030527D">
              <w:rPr>
                <w:lang w:val="sk-SK"/>
              </w:rPr>
              <w:t xml:space="preserve"> / 1 g</w:t>
            </w:r>
            <w:r w:rsidRPr="00884F25">
              <w:rPr>
                <w:lang w:val="el-GR"/>
              </w:rPr>
              <w:t xml:space="preserve"> Κόνις για διάλυμα προς έγχυση</w:t>
            </w:r>
          </w:p>
        </w:tc>
      </w:tr>
      <w:tr w:rsidR="00FA75B2" w:rsidRPr="0023237F" w:rsidTr="0030527D">
        <w:trPr>
          <w:cantSplit/>
          <w:trHeight w:val="408"/>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Slovenská republika</w:t>
            </w:r>
          </w:p>
        </w:tc>
        <w:tc>
          <w:tcPr>
            <w:tcW w:w="7608" w:type="dxa"/>
          </w:tcPr>
          <w:p w:rsidR="00FA75B2" w:rsidRPr="0023237F" w:rsidRDefault="00FA75B2" w:rsidP="0023237F">
            <w:pPr>
              <w:rPr>
                <w:rFonts w:eastAsia="MS Mincho"/>
                <w:snapToGrid w:val="0"/>
                <w:szCs w:val="22"/>
                <w:lang w:val="sk-SK"/>
              </w:rPr>
            </w:pPr>
            <w:r w:rsidRPr="0023237F">
              <w:rPr>
                <w:rFonts w:eastAsia="MS Mincho"/>
                <w:snapToGrid w:val="0"/>
                <w:szCs w:val="22"/>
                <w:lang w:val="sk-SK"/>
              </w:rPr>
              <w:t xml:space="preserve">Gemcitabine Accord 200 mg / 1 g / 2 g </w:t>
            </w:r>
            <w:r w:rsidRPr="00FD02B3">
              <w:rPr>
                <w:rFonts w:eastAsia="MS Mincho"/>
                <w:snapToGrid w:val="0"/>
                <w:szCs w:val="22"/>
                <w:lang w:val="cy-GB"/>
              </w:rPr>
              <w:t>Prášok na infúzny roztok</w:t>
            </w:r>
          </w:p>
        </w:tc>
      </w:tr>
      <w:tr w:rsidR="00FA75B2" w:rsidRPr="0023237F" w:rsidTr="0030527D">
        <w:trPr>
          <w:cantSplit/>
          <w:trHeight w:val="412"/>
        </w:trPr>
        <w:tc>
          <w:tcPr>
            <w:tcW w:w="2327" w:type="dxa"/>
            <w:vAlign w:val="center"/>
          </w:tcPr>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Veľká Británia</w:t>
            </w:r>
          </w:p>
        </w:tc>
        <w:tc>
          <w:tcPr>
            <w:tcW w:w="7608" w:type="dxa"/>
            <w:vAlign w:val="center"/>
          </w:tcPr>
          <w:p w:rsidR="00FA75B2" w:rsidRPr="0023237F" w:rsidRDefault="00FA75B2" w:rsidP="0023237F">
            <w:pPr>
              <w:tabs>
                <w:tab w:val="left" w:pos="720"/>
                <w:tab w:val="center" w:pos="4320"/>
                <w:tab w:val="right" w:pos="8640"/>
              </w:tabs>
              <w:jc w:val="both"/>
              <w:rPr>
                <w:rFonts w:eastAsia="MS Mincho"/>
                <w:snapToGrid w:val="0"/>
                <w:szCs w:val="22"/>
                <w:lang w:val="sk-SK"/>
              </w:rPr>
            </w:pPr>
            <w:r w:rsidRPr="0023237F">
              <w:rPr>
                <w:rFonts w:eastAsia="MS Mincho"/>
                <w:snapToGrid w:val="0"/>
                <w:szCs w:val="22"/>
                <w:lang w:val="sk-SK"/>
              </w:rPr>
              <w:t xml:space="preserve">Gemcitabine 200 mg / 1 g / 2 g Powder for Solution for Infusion </w:t>
            </w:r>
          </w:p>
        </w:tc>
      </w:tr>
    </w:tbl>
    <w:p w:rsidR="00FA75B2" w:rsidRPr="0023237F" w:rsidRDefault="00FA75B2" w:rsidP="0023237F">
      <w:pPr>
        <w:jc w:val="both"/>
        <w:rPr>
          <w:rFonts w:eastAsia="MS Mincho"/>
          <w:snapToGrid w:val="0"/>
          <w:szCs w:val="22"/>
          <w:highlight w:val="lightGray"/>
          <w:lang w:val="sk-SK"/>
        </w:rPr>
      </w:pPr>
    </w:p>
    <w:p w:rsidR="00FA75B2" w:rsidRPr="0023237F" w:rsidRDefault="00FA75B2" w:rsidP="0023237F">
      <w:pPr>
        <w:rPr>
          <w:rFonts w:eastAsia="MS Mincho"/>
          <w:b/>
          <w:bCs/>
          <w:snapToGrid w:val="0"/>
          <w:szCs w:val="22"/>
          <w:lang w:val="sk-SK"/>
        </w:rPr>
      </w:pPr>
      <w:r w:rsidRPr="0023237F">
        <w:rPr>
          <w:rFonts w:eastAsia="MS Mincho"/>
          <w:b/>
          <w:snapToGrid w:val="0"/>
          <w:szCs w:val="22"/>
          <w:lang w:val="sk-SK"/>
        </w:rPr>
        <w:t xml:space="preserve">Táto písomná informácia </w:t>
      </w:r>
      <w:r w:rsidR="00EE0D11" w:rsidRPr="00063543">
        <w:rPr>
          <w:b/>
          <w:szCs w:val="22"/>
        </w:rPr>
        <w:t xml:space="preserve">bola </w:t>
      </w:r>
      <w:proofErr w:type="spellStart"/>
      <w:r w:rsidR="00EE0D11" w:rsidRPr="00063543">
        <w:rPr>
          <w:b/>
          <w:szCs w:val="22"/>
        </w:rPr>
        <w:t>naposledy</w:t>
      </w:r>
      <w:proofErr w:type="spellEnd"/>
      <w:r w:rsidR="00EE0D11" w:rsidRPr="00063543">
        <w:rPr>
          <w:b/>
          <w:szCs w:val="22"/>
        </w:rPr>
        <w:t xml:space="preserve"> </w:t>
      </w:r>
      <w:proofErr w:type="spellStart"/>
      <w:r w:rsidR="00EE0D11">
        <w:rPr>
          <w:b/>
          <w:szCs w:val="22"/>
        </w:rPr>
        <w:t>aktualizovaná</w:t>
      </w:r>
      <w:proofErr w:type="spellEnd"/>
      <w:r w:rsidR="00EE0D11" w:rsidRPr="00063543">
        <w:rPr>
          <w:b/>
          <w:szCs w:val="22"/>
        </w:rPr>
        <w:t xml:space="preserve"> v</w:t>
      </w:r>
      <w:r w:rsidR="00217B37">
        <w:rPr>
          <w:b/>
          <w:szCs w:val="22"/>
        </w:rPr>
        <w:t> </w:t>
      </w:r>
      <w:r w:rsidR="004E5686">
        <w:rPr>
          <w:b/>
          <w:szCs w:val="22"/>
        </w:rPr>
        <w:t>10/2020</w:t>
      </w:r>
    </w:p>
    <w:p w:rsidR="00FA75B2" w:rsidRPr="0023237F" w:rsidRDefault="00FA75B2" w:rsidP="0023237F">
      <w:pPr>
        <w:rPr>
          <w:rFonts w:eastAsia="MS Mincho"/>
          <w:snapToGrid w:val="0"/>
          <w:szCs w:val="22"/>
          <w:lang w:val="sk-SK"/>
        </w:rPr>
      </w:pPr>
    </w:p>
    <w:p w:rsidR="00FA75B2" w:rsidRPr="0023237F" w:rsidRDefault="00FA75B2" w:rsidP="0023237F">
      <w:pPr>
        <w:autoSpaceDE w:val="0"/>
        <w:autoSpaceDN w:val="0"/>
        <w:adjustRightInd w:val="0"/>
        <w:jc w:val="center"/>
        <w:rPr>
          <w:rFonts w:eastAsia="MS Mincho"/>
          <w:snapToGrid w:val="0"/>
          <w:szCs w:val="22"/>
          <w:lang w:val="sk-SK"/>
        </w:rPr>
      </w:pPr>
      <w:r w:rsidRPr="0023237F">
        <w:rPr>
          <w:rFonts w:eastAsia="MS Mincho"/>
          <w:snapToGrid w:val="0"/>
          <w:szCs w:val="22"/>
          <w:lang w:val="sk-SK"/>
        </w:rPr>
        <w:br w:type="page"/>
      </w:r>
    </w:p>
    <w:p w:rsidR="00FA75B2" w:rsidRPr="0023237F" w:rsidRDefault="00FA75B2" w:rsidP="0030527D">
      <w:pPr>
        <w:autoSpaceDE w:val="0"/>
        <w:autoSpaceDN w:val="0"/>
        <w:adjustRightInd w:val="0"/>
        <w:jc w:val="center"/>
        <w:rPr>
          <w:rFonts w:eastAsia="MS Mincho"/>
          <w:b/>
          <w:bCs/>
          <w:snapToGrid w:val="0"/>
          <w:szCs w:val="22"/>
          <w:lang w:val="sk-SK"/>
        </w:rPr>
      </w:pPr>
      <w:bookmarkStart w:id="1" w:name="OLE_LINK1"/>
      <w:bookmarkStart w:id="2" w:name="OLE_LINK2"/>
      <w:r w:rsidRPr="0023237F">
        <w:rPr>
          <w:rFonts w:eastAsia="MS Mincho"/>
          <w:b/>
          <w:bCs/>
          <w:snapToGrid w:val="0"/>
          <w:szCs w:val="22"/>
          <w:lang w:val="sk-SK"/>
        </w:rPr>
        <w:lastRenderedPageBreak/>
        <w:t>Nasledujúca informácia je určená len pre lekárov a zdravotníckych pracovníkov:</w:t>
      </w:r>
    </w:p>
    <w:bookmarkEnd w:id="1"/>
    <w:bookmarkEnd w:id="2"/>
    <w:p w:rsidR="00FA75B2" w:rsidRPr="0023237F" w:rsidRDefault="00FA75B2" w:rsidP="0023237F">
      <w:pPr>
        <w:autoSpaceDE w:val="0"/>
        <w:autoSpaceDN w:val="0"/>
        <w:adjustRightInd w:val="0"/>
        <w:rPr>
          <w:rFonts w:eastAsia="MS Mincho"/>
          <w:b/>
          <w:bCs/>
          <w:snapToGrid w:val="0"/>
          <w:szCs w:val="22"/>
          <w:lang w:val="sk-SK"/>
        </w:rPr>
      </w:pPr>
    </w:p>
    <w:p w:rsidR="00FA75B2" w:rsidRPr="0023237F" w:rsidRDefault="00FA75B2" w:rsidP="0023237F">
      <w:pPr>
        <w:autoSpaceDE w:val="0"/>
        <w:autoSpaceDN w:val="0"/>
        <w:adjustRightInd w:val="0"/>
        <w:rPr>
          <w:rFonts w:eastAsia="MS Mincho"/>
          <w:b/>
          <w:bCs/>
          <w:snapToGrid w:val="0"/>
          <w:szCs w:val="22"/>
          <w:u w:val="single"/>
          <w:lang w:val="sk-SK"/>
        </w:rPr>
      </w:pPr>
      <w:r w:rsidRPr="0023237F">
        <w:rPr>
          <w:rFonts w:eastAsia="MS Mincho"/>
          <w:b/>
          <w:bCs/>
          <w:snapToGrid w:val="0"/>
          <w:szCs w:val="22"/>
          <w:u w:val="single"/>
          <w:lang w:val="sk-SK"/>
        </w:rPr>
        <w:t>Pokyny na použitie, zaobchádzanie s liekom a likvidáciu</w:t>
      </w:r>
    </w:p>
    <w:p w:rsidR="00FA75B2" w:rsidRPr="0023237F" w:rsidRDefault="00FA75B2" w:rsidP="0023237F">
      <w:pPr>
        <w:autoSpaceDE w:val="0"/>
        <w:autoSpaceDN w:val="0"/>
        <w:adjustRightInd w:val="0"/>
        <w:rPr>
          <w:rFonts w:eastAsia="MS Mincho"/>
          <w:snapToGrid w:val="0"/>
          <w:szCs w:val="22"/>
          <w:lang w:val="sk-SK"/>
        </w:rPr>
      </w:pPr>
      <w:r w:rsidRPr="0023237F">
        <w:rPr>
          <w:rFonts w:eastAsia="MS Mincho"/>
          <w:snapToGrid w:val="0"/>
          <w:szCs w:val="22"/>
          <w:lang w:val="sk-SK"/>
        </w:rPr>
        <w:t>1. Použite aseptickú techniku počas rekonštitúcie a následnom riedení gemcitabínu na podanie intravenóznej infúzie.</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2. Vypočítajte si potrebnú dávku a potrebný počet injekčných liekoviek Gemcitabinu.</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3. Rozpustite 200 mg injekčné liekovky v 5 ml sterilného injekčného roztoku chloridu sodného 9 mg/ml (0,9 %), bez konzervačných látok, alebo pridajte 25 ml sterilného injekčného roztoku chloridu sodného 9 mg/ml (0,9 %), bez konzervačných látok, do 1 000 mg injekčnej liekovky, alebo pridajte 50 ml sterilného injekčného roztoku chloridu sodného 9 mg/ml (0,9 %), bez konzervačných látok, do 2 000 mg injekčnej liekovky. Zatraste, aby sa prášok rozpustil. Celkový objem po rekonštitúcii je 5,26 ml (200 mg injekčná liekovka) alebo 26,3 ml (1 000 mg injekčná liekovka) alebo 52,6 ml (2 000 mg injekčná liekovka). Týmto zriedením sa získa koncentrácia gemcitabínu 38 mg/ml, ktorá zohľadňuje aj objem lyofilizovaného prášku. Roztok sa môže ďalej riediť sterilných injekčným roztokom chloridu sodného 9 mg/ml (0,9 %), bez konzervačných látok. Výsledný roztok je číry a jeho farba je bezfarebná až svetložltá.</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 xml:space="preserve">4. Parenterálne lieky sa majú pred podaním vizuálne skontrolovať, či sa v nich nevyskytujú častice alebo či nedošlo k zmene farby. Ak sa objavia častice, liek nepoužívajte. </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5. Roztoky rekonštituovaného gemcitabínu sa nemajú uchovávať v chladničke, pretože sa môžu vytvárať kryštály. Chemická a fyzikálna stabilita pri používaní sa stanovila na 21 dní pri 25 °C. Z mikrobiologického hľadiska sa liek má použiť ihneď. Ak sa nepoužije ihneď, za čas použiteľnosti a podmienky pred použitím je zodpovedný používateľ a nemali by byť za normálnych okolností dlhšie ako 24 hodín pri izbovej teplote, pokiaľ sa rekonštitúcia/riedenie nevykoná za kontrolovaných a validovaných aseptických podmienok.</w:t>
      </w:r>
    </w:p>
    <w:p w:rsidR="00FA75B2" w:rsidRPr="0023237F" w:rsidRDefault="00FA75B2" w:rsidP="0023237F">
      <w:pPr>
        <w:autoSpaceDE w:val="0"/>
        <w:autoSpaceDN w:val="0"/>
        <w:adjustRightInd w:val="0"/>
        <w:jc w:val="both"/>
        <w:rPr>
          <w:rFonts w:eastAsia="MS Mincho"/>
          <w:snapToGrid w:val="0"/>
          <w:szCs w:val="22"/>
          <w:lang w:val="sk-SK"/>
        </w:rPr>
      </w:pP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6. Roztoky gemcitabínu sú určené na jednorazové použitie. Všetky nepoužité lieky alebo odpad vzniknutý z liekov majú byť zlikvidované v súlade s národnými požiadavkami.</w:t>
      </w:r>
    </w:p>
    <w:p w:rsidR="00FA75B2" w:rsidRPr="0023237F" w:rsidRDefault="00FA75B2" w:rsidP="0023237F">
      <w:pPr>
        <w:autoSpaceDE w:val="0"/>
        <w:autoSpaceDN w:val="0"/>
        <w:adjustRightInd w:val="0"/>
        <w:jc w:val="both"/>
        <w:rPr>
          <w:rFonts w:eastAsia="MS Mincho"/>
          <w:b/>
          <w:bCs/>
          <w:snapToGrid w:val="0"/>
          <w:szCs w:val="22"/>
          <w:lang w:val="sk-SK"/>
        </w:rPr>
      </w:pPr>
    </w:p>
    <w:p w:rsidR="00FA75B2" w:rsidRPr="0023237F" w:rsidRDefault="00FA75B2" w:rsidP="0023237F">
      <w:pPr>
        <w:autoSpaceDE w:val="0"/>
        <w:autoSpaceDN w:val="0"/>
        <w:adjustRightInd w:val="0"/>
        <w:jc w:val="both"/>
        <w:rPr>
          <w:rFonts w:eastAsia="MS Mincho"/>
          <w:b/>
          <w:bCs/>
          <w:snapToGrid w:val="0"/>
          <w:szCs w:val="22"/>
          <w:u w:val="single"/>
          <w:lang w:val="sk-SK"/>
        </w:rPr>
      </w:pPr>
      <w:r w:rsidRPr="0023237F">
        <w:rPr>
          <w:rFonts w:eastAsia="MS Mincho"/>
          <w:b/>
          <w:bCs/>
          <w:snapToGrid w:val="0"/>
          <w:szCs w:val="22"/>
          <w:u w:val="single"/>
          <w:lang w:val="sk-SK"/>
        </w:rPr>
        <w:t>Opatrenia pri príprave a podávaní</w:t>
      </w: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 xml:space="preserve">Pri príprave a likvidácii infúzneho roztoku sa musí postupovať podľa obvyklých bezpečnostných pokynov pre cytotoxické látky. S infúznym roztokom sa má manipulovať v bezpečnostnom boxe a používať pri tom ochranné plášte a rukavice. Ak nie je k dispozícii bezpečnostný box, vybavenie má obsahovať tiež masku a ochranné okuliare. </w:t>
      </w:r>
    </w:p>
    <w:p w:rsidR="00FA75B2" w:rsidRPr="0023237F" w:rsidRDefault="00FA75B2" w:rsidP="0023237F">
      <w:pPr>
        <w:autoSpaceDE w:val="0"/>
        <w:autoSpaceDN w:val="0"/>
        <w:adjustRightInd w:val="0"/>
        <w:jc w:val="both"/>
        <w:rPr>
          <w:rFonts w:eastAsia="MS Mincho"/>
          <w:snapToGrid w:val="0"/>
          <w:szCs w:val="22"/>
          <w:lang w:val="sk-SK"/>
        </w:rPr>
      </w:pPr>
      <w:r w:rsidRPr="0023237F">
        <w:rPr>
          <w:rFonts w:eastAsia="MS Mincho"/>
          <w:snapToGrid w:val="0"/>
          <w:szCs w:val="22"/>
          <w:lang w:val="sk-SK"/>
        </w:rPr>
        <w:t>Ak sa roztok dostane do kontaktu s očami, môže dôjsť k závažnému podráždeniu. Oči treba ihneď a dôkladne vypláchnuť vodou. Ak podráždenie pretrváva, poraďte sa s lekárom. Ak sa roztok vyleje na kožu, dôkladne umyte kožu vodou.</w:t>
      </w:r>
    </w:p>
    <w:p w:rsidR="00FA75B2" w:rsidRPr="0023237F" w:rsidRDefault="00FA75B2" w:rsidP="0023237F">
      <w:pPr>
        <w:autoSpaceDE w:val="0"/>
        <w:autoSpaceDN w:val="0"/>
        <w:adjustRightInd w:val="0"/>
        <w:jc w:val="both"/>
        <w:rPr>
          <w:rFonts w:eastAsia="MS Mincho"/>
          <w:b/>
          <w:bCs/>
          <w:snapToGrid w:val="0"/>
          <w:szCs w:val="22"/>
          <w:lang w:val="sk-SK"/>
        </w:rPr>
      </w:pPr>
    </w:p>
    <w:p w:rsidR="00FA75B2" w:rsidRPr="0023237F" w:rsidRDefault="00FA75B2" w:rsidP="0023237F">
      <w:pPr>
        <w:autoSpaceDE w:val="0"/>
        <w:autoSpaceDN w:val="0"/>
        <w:adjustRightInd w:val="0"/>
        <w:jc w:val="both"/>
        <w:rPr>
          <w:rFonts w:eastAsia="MS Mincho"/>
          <w:b/>
          <w:bCs/>
          <w:snapToGrid w:val="0"/>
          <w:szCs w:val="22"/>
          <w:u w:val="single"/>
          <w:lang w:val="sk-SK"/>
        </w:rPr>
      </w:pPr>
      <w:r w:rsidRPr="0023237F">
        <w:rPr>
          <w:rFonts w:eastAsia="MS Mincho"/>
          <w:b/>
          <w:bCs/>
          <w:snapToGrid w:val="0"/>
          <w:szCs w:val="22"/>
          <w:u w:val="single"/>
          <w:lang w:val="sk-SK"/>
        </w:rPr>
        <w:t>Likvidácia</w:t>
      </w:r>
    </w:p>
    <w:p w:rsidR="00FA75B2" w:rsidRPr="0023237F" w:rsidRDefault="00FA75B2" w:rsidP="0023237F">
      <w:pPr>
        <w:jc w:val="both"/>
        <w:rPr>
          <w:rFonts w:eastAsia="MS Mincho"/>
          <w:snapToGrid w:val="0"/>
          <w:szCs w:val="22"/>
          <w:lang w:val="sk-SK"/>
        </w:rPr>
      </w:pPr>
      <w:r w:rsidRPr="0023237F">
        <w:rPr>
          <w:rFonts w:eastAsia="MS Mincho"/>
          <w:snapToGrid w:val="0"/>
          <w:szCs w:val="22"/>
          <w:lang w:val="sk-SK"/>
        </w:rPr>
        <w:t>Nepoužitý liek má byť zlikvidovaný v súlade s národnými požiadavkami.</w:t>
      </w:r>
    </w:p>
    <w:p w:rsidR="00FA75B2" w:rsidRPr="0030527D" w:rsidRDefault="00FA75B2">
      <w:pPr>
        <w:rPr>
          <w:lang w:val="sk-SK"/>
        </w:rPr>
      </w:pPr>
    </w:p>
    <w:sectPr w:rsidR="00FA75B2" w:rsidRPr="0030527D" w:rsidSect="0030527D">
      <w:headerReference w:type="default" r:id="rId8"/>
      <w:footerReference w:type="default" r:id="rId9"/>
      <w:pgSz w:w="11909" w:h="16834"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F6E" w:rsidRDefault="008B5F6E" w:rsidP="00154B89">
      <w:r>
        <w:separator/>
      </w:r>
    </w:p>
  </w:endnote>
  <w:endnote w:type="continuationSeparator" w:id="0">
    <w:p w:rsidR="008B5F6E" w:rsidRDefault="008B5F6E" w:rsidP="0015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5B2" w:rsidRPr="00B67028" w:rsidRDefault="001F3810">
    <w:pPr>
      <w:pStyle w:val="Pta"/>
      <w:jc w:val="center"/>
      <w:rPr>
        <w:sz w:val="18"/>
        <w:szCs w:val="18"/>
      </w:rPr>
    </w:pPr>
    <w:r w:rsidRPr="00B67028">
      <w:rPr>
        <w:sz w:val="18"/>
        <w:szCs w:val="18"/>
      </w:rPr>
      <w:fldChar w:fldCharType="begin"/>
    </w:r>
    <w:r w:rsidR="00FA75B2" w:rsidRPr="00B67028">
      <w:rPr>
        <w:sz w:val="18"/>
        <w:szCs w:val="18"/>
      </w:rPr>
      <w:instrText xml:space="preserve"> PAGE   \* MERGEFORMAT </w:instrText>
    </w:r>
    <w:r w:rsidRPr="00B67028">
      <w:rPr>
        <w:sz w:val="18"/>
        <w:szCs w:val="18"/>
      </w:rPr>
      <w:fldChar w:fldCharType="separate"/>
    </w:r>
    <w:r w:rsidR="00334D24">
      <w:rPr>
        <w:noProof/>
        <w:sz w:val="18"/>
        <w:szCs w:val="18"/>
      </w:rPr>
      <w:t>5</w:t>
    </w:r>
    <w:r w:rsidRPr="00B67028">
      <w:rPr>
        <w:sz w:val="18"/>
        <w:szCs w:val="18"/>
      </w:rPr>
      <w:fldChar w:fldCharType="end"/>
    </w:r>
  </w:p>
  <w:p w:rsidR="00FA75B2" w:rsidRDefault="00FA75B2">
    <w:pPr>
      <w:pStyle w:val="Pt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F6E" w:rsidRDefault="008B5F6E" w:rsidP="00154B89">
      <w:r>
        <w:separator/>
      </w:r>
    </w:p>
  </w:footnote>
  <w:footnote w:type="continuationSeparator" w:id="0">
    <w:p w:rsidR="008B5F6E" w:rsidRDefault="008B5F6E" w:rsidP="00154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E47" w:rsidRDefault="00742D8C" w:rsidP="00A57530">
    <w:pPr>
      <w:tabs>
        <w:tab w:val="center" w:pos="4320"/>
        <w:tab w:val="left" w:pos="5208"/>
      </w:tabs>
    </w:pPr>
    <w:proofErr w:type="spellStart"/>
    <w:r>
      <w:rPr>
        <w:rFonts w:eastAsia="MS Mincho"/>
        <w:snapToGrid w:val="0"/>
        <w:sz w:val="18"/>
        <w:szCs w:val="18"/>
      </w:rPr>
      <w:t>Príloha</w:t>
    </w:r>
    <w:proofErr w:type="spellEnd"/>
    <w:r>
      <w:rPr>
        <w:rFonts w:eastAsia="MS Mincho"/>
        <w:snapToGrid w:val="0"/>
        <w:sz w:val="18"/>
        <w:szCs w:val="18"/>
      </w:rPr>
      <w:t xml:space="preserve"> č.1 k </w:t>
    </w:r>
    <w:proofErr w:type="spellStart"/>
    <w:r>
      <w:rPr>
        <w:rFonts w:eastAsia="MS Mincho"/>
        <w:snapToGrid w:val="0"/>
        <w:sz w:val="18"/>
        <w:szCs w:val="18"/>
      </w:rPr>
      <w:t>notifikácii</w:t>
    </w:r>
    <w:proofErr w:type="spellEnd"/>
    <w:r>
      <w:rPr>
        <w:rFonts w:eastAsia="MS Mincho"/>
        <w:snapToGrid w:val="0"/>
        <w:sz w:val="18"/>
        <w:szCs w:val="18"/>
      </w:rPr>
      <w:t xml:space="preserve"> o </w:t>
    </w:r>
    <w:proofErr w:type="spellStart"/>
    <w:r>
      <w:rPr>
        <w:rFonts w:eastAsia="MS Mincho"/>
        <w:snapToGrid w:val="0"/>
        <w:sz w:val="18"/>
        <w:szCs w:val="18"/>
      </w:rPr>
      <w:t>zmene</w:t>
    </w:r>
    <w:proofErr w:type="spellEnd"/>
    <w:r>
      <w:rPr>
        <w:rFonts w:eastAsia="MS Mincho"/>
        <w:snapToGrid w:val="0"/>
        <w:sz w:val="18"/>
        <w:szCs w:val="18"/>
      </w:rPr>
      <w:t xml:space="preserve">, </w:t>
    </w:r>
    <w:proofErr w:type="spellStart"/>
    <w:proofErr w:type="gramStart"/>
    <w:r>
      <w:rPr>
        <w:rFonts w:eastAsia="MS Mincho"/>
        <w:snapToGrid w:val="0"/>
        <w:sz w:val="18"/>
        <w:szCs w:val="18"/>
      </w:rPr>
      <w:t>ev.č</w:t>
    </w:r>
    <w:proofErr w:type="spellEnd"/>
    <w:r>
      <w:rPr>
        <w:rFonts w:eastAsia="MS Mincho"/>
        <w:snapToGrid w:val="0"/>
        <w:sz w:val="18"/>
        <w:szCs w:val="18"/>
      </w:rPr>
      <w:t>.:</w:t>
    </w:r>
    <w:proofErr w:type="gramEnd"/>
    <w:r>
      <w:rPr>
        <w:rFonts w:eastAsia="MS Mincho"/>
        <w:snapToGrid w:val="0"/>
        <w:sz w:val="18"/>
        <w:szCs w:val="18"/>
      </w:rPr>
      <w:t xml:space="preserve"> 2019/01311-ZIA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90BBF"/>
    <w:multiLevelType w:val="hybridMultilevel"/>
    <w:tmpl w:val="7BA04A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F2D0472"/>
    <w:multiLevelType w:val="hybridMultilevel"/>
    <w:tmpl w:val="A2DE8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37F"/>
    <w:rsid w:val="00037A37"/>
    <w:rsid w:val="000704A3"/>
    <w:rsid w:val="00082A7A"/>
    <w:rsid w:val="00093ACF"/>
    <w:rsid w:val="000D5440"/>
    <w:rsid w:val="00120FEA"/>
    <w:rsid w:val="0012176B"/>
    <w:rsid w:val="00154B89"/>
    <w:rsid w:val="001F3810"/>
    <w:rsid w:val="00217B37"/>
    <w:rsid w:val="0023237F"/>
    <w:rsid w:val="0030527D"/>
    <w:rsid w:val="0030782E"/>
    <w:rsid w:val="00334D24"/>
    <w:rsid w:val="00340FDB"/>
    <w:rsid w:val="003571B6"/>
    <w:rsid w:val="00374612"/>
    <w:rsid w:val="0040397C"/>
    <w:rsid w:val="00443C28"/>
    <w:rsid w:val="00491591"/>
    <w:rsid w:val="004B5C3D"/>
    <w:rsid w:val="004E5686"/>
    <w:rsid w:val="004F01FC"/>
    <w:rsid w:val="004F5AC3"/>
    <w:rsid w:val="00516316"/>
    <w:rsid w:val="0056413E"/>
    <w:rsid w:val="005E2108"/>
    <w:rsid w:val="006423D3"/>
    <w:rsid w:val="00644F98"/>
    <w:rsid w:val="006577DE"/>
    <w:rsid w:val="007137E5"/>
    <w:rsid w:val="00742D8C"/>
    <w:rsid w:val="00757E72"/>
    <w:rsid w:val="00790415"/>
    <w:rsid w:val="007A2D11"/>
    <w:rsid w:val="007A571E"/>
    <w:rsid w:val="007C111B"/>
    <w:rsid w:val="00805DFE"/>
    <w:rsid w:val="00823551"/>
    <w:rsid w:val="00884F25"/>
    <w:rsid w:val="008A6A2A"/>
    <w:rsid w:val="008B5F6E"/>
    <w:rsid w:val="009239E9"/>
    <w:rsid w:val="00925D9A"/>
    <w:rsid w:val="009915B9"/>
    <w:rsid w:val="00A53331"/>
    <w:rsid w:val="00A57530"/>
    <w:rsid w:val="00B00623"/>
    <w:rsid w:val="00B67028"/>
    <w:rsid w:val="00BC27F0"/>
    <w:rsid w:val="00BF5945"/>
    <w:rsid w:val="00C31A6D"/>
    <w:rsid w:val="00CC1A17"/>
    <w:rsid w:val="00CE7301"/>
    <w:rsid w:val="00D0549F"/>
    <w:rsid w:val="00D2472D"/>
    <w:rsid w:val="00DA6D4F"/>
    <w:rsid w:val="00DC1E47"/>
    <w:rsid w:val="00DD1E52"/>
    <w:rsid w:val="00DF7195"/>
    <w:rsid w:val="00EB20F5"/>
    <w:rsid w:val="00EE0D11"/>
    <w:rsid w:val="00EF11F6"/>
    <w:rsid w:val="00F519F8"/>
    <w:rsid w:val="00F8161F"/>
    <w:rsid w:val="00F90696"/>
    <w:rsid w:val="00FA75B2"/>
    <w:rsid w:val="00FD02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semiHidden="0"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F11F6"/>
    <w:rPr>
      <w:sz w:val="22"/>
      <w:lang w:val="en-US" w:eastAsia="ja-JP"/>
    </w:rPr>
  </w:style>
  <w:style w:type="paragraph" w:styleId="Nadpis1">
    <w:name w:val="heading 1"/>
    <w:basedOn w:val="Normlny"/>
    <w:next w:val="Normlny"/>
    <w:link w:val="Nadpis1Char"/>
    <w:uiPriority w:val="99"/>
    <w:qFormat/>
    <w:rsid w:val="00EF11F6"/>
    <w:pPr>
      <w:ind w:left="567" w:hanging="567"/>
      <w:outlineLvl w:val="0"/>
    </w:pPr>
    <w:rPr>
      <w:b/>
      <w:caps/>
    </w:rPr>
  </w:style>
  <w:style w:type="paragraph" w:styleId="Nadpis2">
    <w:name w:val="heading 2"/>
    <w:basedOn w:val="Nadpis1"/>
    <w:next w:val="Normlny"/>
    <w:link w:val="Nadpis2Char"/>
    <w:uiPriority w:val="99"/>
    <w:qFormat/>
    <w:rsid w:val="00EF11F6"/>
    <w:pPr>
      <w:outlineLvl w:val="1"/>
    </w:pPr>
    <w:rPr>
      <w:caps w:val="0"/>
    </w:rPr>
  </w:style>
  <w:style w:type="paragraph" w:styleId="Nadpis3">
    <w:name w:val="heading 3"/>
    <w:basedOn w:val="Normlny"/>
    <w:next w:val="Normlny"/>
    <w:link w:val="Nadpis3Char"/>
    <w:uiPriority w:val="99"/>
    <w:qFormat/>
    <w:rsid w:val="00EF11F6"/>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EF11F6"/>
    <w:pPr>
      <w:keepNext/>
      <w:jc w:val="both"/>
      <w:outlineLvl w:val="3"/>
    </w:pPr>
    <w:rPr>
      <w:b/>
      <w:noProof/>
    </w:rPr>
  </w:style>
  <w:style w:type="paragraph" w:styleId="Nadpis5">
    <w:name w:val="heading 5"/>
    <w:basedOn w:val="Normlny"/>
    <w:next w:val="Normlny"/>
    <w:link w:val="Nadpis5Char"/>
    <w:uiPriority w:val="99"/>
    <w:qFormat/>
    <w:rsid w:val="00EF11F6"/>
    <w:pPr>
      <w:keepNext/>
      <w:jc w:val="both"/>
      <w:outlineLvl w:val="4"/>
    </w:pPr>
    <w:rPr>
      <w:noProof/>
    </w:rPr>
  </w:style>
  <w:style w:type="paragraph" w:styleId="Nadpis6">
    <w:name w:val="heading 6"/>
    <w:basedOn w:val="Normlny"/>
    <w:next w:val="Normlny"/>
    <w:link w:val="Nadpis6Char"/>
    <w:uiPriority w:val="99"/>
    <w:qFormat/>
    <w:rsid w:val="00EF11F6"/>
    <w:pPr>
      <w:keepNext/>
      <w:tabs>
        <w:tab w:val="left" w:pos="-720"/>
        <w:tab w:val="left" w:pos="4536"/>
      </w:tabs>
      <w:suppressAutoHyphens/>
      <w:outlineLvl w:val="5"/>
    </w:pPr>
    <w:rPr>
      <w:i/>
    </w:rPr>
  </w:style>
  <w:style w:type="paragraph" w:styleId="Nadpis7">
    <w:name w:val="heading 7"/>
    <w:basedOn w:val="Normlny"/>
    <w:next w:val="Normlny"/>
    <w:link w:val="Nadpis7Char"/>
    <w:uiPriority w:val="99"/>
    <w:qFormat/>
    <w:rsid w:val="00EF11F6"/>
    <w:pPr>
      <w:keepNext/>
      <w:tabs>
        <w:tab w:val="left" w:pos="-720"/>
        <w:tab w:val="left" w:pos="4536"/>
      </w:tabs>
      <w:suppressAutoHyphens/>
      <w:jc w:val="both"/>
      <w:outlineLvl w:val="6"/>
    </w:pPr>
    <w:rPr>
      <w:i/>
    </w:rPr>
  </w:style>
  <w:style w:type="paragraph" w:styleId="Nadpis8">
    <w:name w:val="heading 8"/>
    <w:basedOn w:val="Normlny"/>
    <w:next w:val="Normlny"/>
    <w:link w:val="Nadpis8Char"/>
    <w:uiPriority w:val="99"/>
    <w:qFormat/>
    <w:rsid w:val="00EF11F6"/>
    <w:pPr>
      <w:keepNext/>
      <w:ind w:left="567" w:hanging="567"/>
      <w:jc w:val="both"/>
      <w:outlineLvl w:val="7"/>
    </w:pPr>
    <w:rPr>
      <w:b/>
      <w:i/>
    </w:rPr>
  </w:style>
  <w:style w:type="paragraph" w:styleId="Nadpis9">
    <w:name w:val="heading 9"/>
    <w:basedOn w:val="Normlny"/>
    <w:next w:val="Normlny"/>
    <w:link w:val="Nadpis9Char"/>
    <w:uiPriority w:val="99"/>
    <w:qFormat/>
    <w:rsid w:val="00EF11F6"/>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805DFE"/>
    <w:rPr>
      <w:rFonts w:cs="Times New Roman"/>
      <w:b/>
      <w:caps/>
      <w:sz w:val="22"/>
      <w:lang w:eastAsia="ja-JP"/>
    </w:rPr>
  </w:style>
  <w:style w:type="character" w:customStyle="1" w:styleId="Nadpis2Char">
    <w:name w:val="Nadpis 2 Char"/>
    <w:basedOn w:val="Predvolenpsmoodseku"/>
    <w:link w:val="Nadpis2"/>
    <w:uiPriority w:val="99"/>
    <w:locked/>
    <w:rsid w:val="00805DFE"/>
    <w:rPr>
      <w:rFonts w:cs="Times New Roman"/>
      <w:b/>
      <w:sz w:val="22"/>
      <w:lang w:eastAsia="ja-JP"/>
    </w:rPr>
  </w:style>
  <w:style w:type="character" w:customStyle="1" w:styleId="Nadpis3Char">
    <w:name w:val="Nadpis 3 Char"/>
    <w:basedOn w:val="Predvolenpsmoodseku"/>
    <w:link w:val="Nadpis3"/>
    <w:uiPriority w:val="99"/>
    <w:locked/>
    <w:rsid w:val="00805DFE"/>
    <w:rPr>
      <w:rFonts w:ascii="Arial" w:hAnsi="Arial" w:cs="Arial"/>
      <w:b/>
      <w:bCs/>
      <w:sz w:val="26"/>
      <w:szCs w:val="26"/>
      <w:lang w:eastAsia="ja-JP"/>
    </w:rPr>
  </w:style>
  <w:style w:type="character" w:customStyle="1" w:styleId="Nadpis4Char">
    <w:name w:val="Nadpis 4 Char"/>
    <w:basedOn w:val="Predvolenpsmoodseku"/>
    <w:link w:val="Nadpis4"/>
    <w:uiPriority w:val="99"/>
    <w:locked/>
    <w:rsid w:val="00805DFE"/>
    <w:rPr>
      <w:rFonts w:cs="Times New Roman"/>
      <w:b/>
      <w:noProof/>
      <w:sz w:val="22"/>
      <w:lang w:eastAsia="ja-JP"/>
    </w:rPr>
  </w:style>
  <w:style w:type="character" w:customStyle="1" w:styleId="Nadpis5Char">
    <w:name w:val="Nadpis 5 Char"/>
    <w:basedOn w:val="Predvolenpsmoodseku"/>
    <w:link w:val="Nadpis5"/>
    <w:uiPriority w:val="99"/>
    <w:locked/>
    <w:rsid w:val="00805DFE"/>
    <w:rPr>
      <w:rFonts w:cs="Times New Roman"/>
      <w:noProof/>
      <w:sz w:val="22"/>
      <w:lang w:eastAsia="ja-JP"/>
    </w:rPr>
  </w:style>
  <w:style w:type="character" w:customStyle="1" w:styleId="Nadpis6Char">
    <w:name w:val="Nadpis 6 Char"/>
    <w:basedOn w:val="Predvolenpsmoodseku"/>
    <w:link w:val="Nadpis6"/>
    <w:uiPriority w:val="99"/>
    <w:locked/>
    <w:rsid w:val="00805DFE"/>
    <w:rPr>
      <w:rFonts w:cs="Times New Roman"/>
      <w:i/>
      <w:sz w:val="22"/>
      <w:lang w:eastAsia="ja-JP"/>
    </w:rPr>
  </w:style>
  <w:style w:type="character" w:customStyle="1" w:styleId="Nadpis7Char">
    <w:name w:val="Nadpis 7 Char"/>
    <w:basedOn w:val="Predvolenpsmoodseku"/>
    <w:link w:val="Nadpis7"/>
    <w:uiPriority w:val="99"/>
    <w:locked/>
    <w:rsid w:val="00805DFE"/>
    <w:rPr>
      <w:rFonts w:cs="Times New Roman"/>
      <w:i/>
      <w:sz w:val="22"/>
      <w:lang w:eastAsia="ja-JP"/>
    </w:rPr>
  </w:style>
  <w:style w:type="character" w:customStyle="1" w:styleId="Nadpis8Char">
    <w:name w:val="Nadpis 8 Char"/>
    <w:basedOn w:val="Predvolenpsmoodseku"/>
    <w:link w:val="Nadpis8"/>
    <w:uiPriority w:val="99"/>
    <w:locked/>
    <w:rsid w:val="00805DFE"/>
    <w:rPr>
      <w:rFonts w:cs="Times New Roman"/>
      <w:b/>
      <w:i/>
      <w:sz w:val="22"/>
      <w:lang w:eastAsia="ja-JP"/>
    </w:rPr>
  </w:style>
  <w:style w:type="character" w:customStyle="1" w:styleId="Nadpis9Char">
    <w:name w:val="Nadpis 9 Char"/>
    <w:basedOn w:val="Predvolenpsmoodseku"/>
    <w:link w:val="Nadpis9"/>
    <w:uiPriority w:val="99"/>
    <w:locked/>
    <w:rsid w:val="00805DFE"/>
    <w:rPr>
      <w:rFonts w:cs="Times New Roman"/>
      <w:b/>
      <w:i/>
      <w:sz w:val="22"/>
      <w:lang w:eastAsia="ja-JP"/>
    </w:rPr>
  </w:style>
  <w:style w:type="paragraph" w:styleId="Popis">
    <w:name w:val="caption"/>
    <w:basedOn w:val="Normlny"/>
    <w:next w:val="Normlny"/>
    <w:uiPriority w:val="99"/>
    <w:qFormat/>
    <w:rsid w:val="00EF11F6"/>
    <w:pPr>
      <w:spacing w:before="120" w:after="120"/>
    </w:pPr>
    <w:rPr>
      <w:b/>
      <w:bCs/>
      <w:sz w:val="20"/>
      <w:lang w:val="de-DE"/>
    </w:rPr>
  </w:style>
  <w:style w:type="paragraph" w:styleId="Nzov">
    <w:name w:val="Title"/>
    <w:basedOn w:val="Normlny"/>
    <w:link w:val="NzovChar"/>
    <w:uiPriority w:val="99"/>
    <w:qFormat/>
    <w:rsid w:val="00805DFE"/>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99"/>
    <w:locked/>
    <w:rsid w:val="00805DFE"/>
    <w:rPr>
      <w:rFonts w:ascii="Cambria" w:hAnsi="Cambria" w:cs="Times New Roman"/>
      <w:b/>
      <w:bCs/>
      <w:kern w:val="28"/>
      <w:sz w:val="32"/>
      <w:szCs w:val="32"/>
      <w:lang w:eastAsia="ja-JP"/>
    </w:rPr>
  </w:style>
  <w:style w:type="paragraph" w:styleId="Podtitul">
    <w:name w:val="Subtitle"/>
    <w:basedOn w:val="Normlny"/>
    <w:link w:val="PodtitulChar"/>
    <w:uiPriority w:val="99"/>
    <w:qFormat/>
    <w:rsid w:val="00805DFE"/>
    <w:pPr>
      <w:spacing w:after="60"/>
      <w:jc w:val="center"/>
      <w:outlineLvl w:val="1"/>
    </w:pPr>
    <w:rPr>
      <w:rFonts w:ascii="Cambria" w:hAnsi="Cambria"/>
      <w:sz w:val="24"/>
      <w:szCs w:val="24"/>
    </w:rPr>
  </w:style>
  <w:style w:type="character" w:customStyle="1" w:styleId="PodtitulChar">
    <w:name w:val="Podtitul Char"/>
    <w:basedOn w:val="Predvolenpsmoodseku"/>
    <w:link w:val="Podtitul"/>
    <w:uiPriority w:val="99"/>
    <w:locked/>
    <w:rsid w:val="00805DFE"/>
    <w:rPr>
      <w:rFonts w:ascii="Cambria" w:hAnsi="Cambria" w:cs="Times New Roman"/>
      <w:sz w:val="24"/>
      <w:szCs w:val="24"/>
      <w:lang w:eastAsia="ja-JP"/>
    </w:rPr>
  </w:style>
  <w:style w:type="character" w:styleId="Zvraznenie">
    <w:name w:val="Emphasis"/>
    <w:basedOn w:val="Predvolenpsmoodseku"/>
    <w:uiPriority w:val="99"/>
    <w:qFormat/>
    <w:rsid w:val="00EF11F6"/>
    <w:rPr>
      <w:rFonts w:cs="Times New Roman"/>
      <w:i/>
      <w:lang w:val="de-DE"/>
    </w:rPr>
  </w:style>
  <w:style w:type="paragraph" w:customStyle="1" w:styleId="BodytextAgency">
    <w:name w:val="Body text (Agency)"/>
    <w:basedOn w:val="Normlny"/>
    <w:link w:val="BodytextAgencyChar"/>
    <w:uiPriority w:val="99"/>
    <w:rsid w:val="00EF11F6"/>
    <w:pPr>
      <w:spacing w:after="140" w:line="280" w:lineRule="atLeast"/>
    </w:pPr>
    <w:rPr>
      <w:rFonts w:ascii="Verdana" w:hAnsi="Verdana"/>
      <w:sz w:val="18"/>
      <w:lang w:val="en-GB" w:eastAsia="en-GB"/>
    </w:rPr>
  </w:style>
  <w:style w:type="character" w:customStyle="1" w:styleId="BodytextAgencyChar">
    <w:name w:val="Body text (Agency) Char"/>
    <w:link w:val="BodytextAgency"/>
    <w:uiPriority w:val="99"/>
    <w:locked/>
    <w:rsid w:val="00EF11F6"/>
    <w:rPr>
      <w:rFonts w:ascii="Verdana" w:eastAsia="Times New Roman" w:hAnsi="Verdana"/>
      <w:sz w:val="18"/>
      <w:lang w:val="en-GB" w:eastAsia="en-GB"/>
    </w:rPr>
  </w:style>
  <w:style w:type="paragraph" w:styleId="Pta">
    <w:name w:val="footer"/>
    <w:basedOn w:val="Normlny"/>
    <w:link w:val="PtaChar"/>
    <w:uiPriority w:val="99"/>
    <w:semiHidden/>
    <w:rsid w:val="0023237F"/>
    <w:pPr>
      <w:tabs>
        <w:tab w:val="center" w:pos="4680"/>
        <w:tab w:val="right" w:pos="9360"/>
      </w:tabs>
    </w:pPr>
  </w:style>
  <w:style w:type="character" w:customStyle="1" w:styleId="PtaChar">
    <w:name w:val="Päta Char"/>
    <w:basedOn w:val="Predvolenpsmoodseku"/>
    <w:link w:val="Pta"/>
    <w:uiPriority w:val="99"/>
    <w:semiHidden/>
    <w:locked/>
    <w:rsid w:val="0023237F"/>
    <w:rPr>
      <w:rFonts w:cs="Times New Roman"/>
      <w:sz w:val="22"/>
      <w:lang w:eastAsia="ja-JP"/>
    </w:rPr>
  </w:style>
  <w:style w:type="paragraph" w:styleId="Textbubliny">
    <w:name w:val="Balloon Text"/>
    <w:basedOn w:val="Normlny"/>
    <w:link w:val="TextbublinyChar"/>
    <w:uiPriority w:val="99"/>
    <w:semiHidden/>
    <w:rsid w:val="0023237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3237F"/>
    <w:rPr>
      <w:rFonts w:ascii="Tahoma" w:hAnsi="Tahoma" w:cs="Tahoma"/>
      <w:sz w:val="16"/>
      <w:szCs w:val="16"/>
      <w:lang w:eastAsia="ja-JP"/>
    </w:rPr>
  </w:style>
  <w:style w:type="paragraph" w:styleId="Odsekzoznamu">
    <w:name w:val="List Paragraph"/>
    <w:basedOn w:val="Normlny"/>
    <w:uiPriority w:val="34"/>
    <w:qFormat/>
    <w:rsid w:val="00CC1A17"/>
    <w:pPr>
      <w:tabs>
        <w:tab w:val="left" w:pos="567"/>
      </w:tabs>
      <w:spacing w:line="260" w:lineRule="exact"/>
      <w:ind w:left="720"/>
      <w:contextualSpacing/>
    </w:pPr>
    <w:rPr>
      <w:lang w:val="sk-SK" w:eastAsia="sk-SK" w:bidi="sk-SK"/>
    </w:rPr>
  </w:style>
  <w:style w:type="paragraph" w:customStyle="1" w:styleId="Default">
    <w:name w:val="Default"/>
    <w:rsid w:val="00644F98"/>
    <w:pPr>
      <w:autoSpaceDE w:val="0"/>
      <w:autoSpaceDN w:val="0"/>
      <w:adjustRightInd w:val="0"/>
    </w:pPr>
    <w:rPr>
      <w:color w:val="000000"/>
      <w:sz w:val="24"/>
      <w:szCs w:val="24"/>
      <w:lang w:val="sk-SK" w:eastAsia="sk-SK"/>
    </w:rPr>
  </w:style>
  <w:style w:type="character" w:styleId="Hypertextovprepojenie">
    <w:name w:val="Hyperlink"/>
    <w:rsid w:val="00EE0D11"/>
    <w:rPr>
      <w:color w:val="0000FF"/>
      <w:u w:val="single"/>
    </w:rPr>
  </w:style>
  <w:style w:type="paragraph" w:styleId="Hlavika">
    <w:name w:val="header"/>
    <w:basedOn w:val="Normlny"/>
    <w:link w:val="HlavikaChar"/>
    <w:uiPriority w:val="99"/>
    <w:unhideWhenUsed/>
    <w:rsid w:val="00DC1E47"/>
    <w:pPr>
      <w:tabs>
        <w:tab w:val="center" w:pos="4536"/>
        <w:tab w:val="right" w:pos="9072"/>
      </w:tabs>
    </w:pPr>
  </w:style>
  <w:style w:type="character" w:customStyle="1" w:styleId="HlavikaChar">
    <w:name w:val="Hlavička Char"/>
    <w:basedOn w:val="Predvolenpsmoodseku"/>
    <w:link w:val="Hlavika"/>
    <w:uiPriority w:val="99"/>
    <w:rsid w:val="00DC1E47"/>
    <w:rPr>
      <w:sz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qFormat="1"/>
    <w:lsdException w:name="heading 8" w:locked="1" w:semiHidden="0"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semiHidden="0" w:uiPriority="0" w:qFormat="1"/>
    <w:lsdException w:name="Title" w:locked="1" w:semiHidden="0" w:uiPriority="0" w:unhideWhenUsed="0" w:qFormat="1"/>
    <w:lsdException w:name="Default Paragraph Font" w:locked="1" w:semiHidden="0"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F11F6"/>
    <w:rPr>
      <w:sz w:val="22"/>
      <w:lang w:val="en-US" w:eastAsia="ja-JP"/>
    </w:rPr>
  </w:style>
  <w:style w:type="paragraph" w:styleId="Nadpis1">
    <w:name w:val="heading 1"/>
    <w:basedOn w:val="Normlny"/>
    <w:next w:val="Normlny"/>
    <w:link w:val="Nadpis1Char"/>
    <w:uiPriority w:val="99"/>
    <w:qFormat/>
    <w:rsid w:val="00EF11F6"/>
    <w:pPr>
      <w:ind w:left="567" w:hanging="567"/>
      <w:outlineLvl w:val="0"/>
    </w:pPr>
    <w:rPr>
      <w:b/>
      <w:caps/>
    </w:rPr>
  </w:style>
  <w:style w:type="paragraph" w:styleId="Nadpis2">
    <w:name w:val="heading 2"/>
    <w:basedOn w:val="Nadpis1"/>
    <w:next w:val="Normlny"/>
    <w:link w:val="Nadpis2Char"/>
    <w:uiPriority w:val="99"/>
    <w:qFormat/>
    <w:rsid w:val="00EF11F6"/>
    <w:pPr>
      <w:outlineLvl w:val="1"/>
    </w:pPr>
    <w:rPr>
      <w:caps w:val="0"/>
    </w:rPr>
  </w:style>
  <w:style w:type="paragraph" w:styleId="Nadpis3">
    <w:name w:val="heading 3"/>
    <w:basedOn w:val="Normlny"/>
    <w:next w:val="Normlny"/>
    <w:link w:val="Nadpis3Char"/>
    <w:uiPriority w:val="99"/>
    <w:qFormat/>
    <w:rsid w:val="00EF11F6"/>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EF11F6"/>
    <w:pPr>
      <w:keepNext/>
      <w:jc w:val="both"/>
      <w:outlineLvl w:val="3"/>
    </w:pPr>
    <w:rPr>
      <w:b/>
      <w:noProof/>
    </w:rPr>
  </w:style>
  <w:style w:type="paragraph" w:styleId="Nadpis5">
    <w:name w:val="heading 5"/>
    <w:basedOn w:val="Normlny"/>
    <w:next w:val="Normlny"/>
    <w:link w:val="Nadpis5Char"/>
    <w:uiPriority w:val="99"/>
    <w:qFormat/>
    <w:rsid w:val="00EF11F6"/>
    <w:pPr>
      <w:keepNext/>
      <w:jc w:val="both"/>
      <w:outlineLvl w:val="4"/>
    </w:pPr>
    <w:rPr>
      <w:noProof/>
    </w:rPr>
  </w:style>
  <w:style w:type="paragraph" w:styleId="Nadpis6">
    <w:name w:val="heading 6"/>
    <w:basedOn w:val="Normlny"/>
    <w:next w:val="Normlny"/>
    <w:link w:val="Nadpis6Char"/>
    <w:uiPriority w:val="99"/>
    <w:qFormat/>
    <w:rsid w:val="00EF11F6"/>
    <w:pPr>
      <w:keepNext/>
      <w:tabs>
        <w:tab w:val="left" w:pos="-720"/>
        <w:tab w:val="left" w:pos="4536"/>
      </w:tabs>
      <w:suppressAutoHyphens/>
      <w:outlineLvl w:val="5"/>
    </w:pPr>
    <w:rPr>
      <w:i/>
    </w:rPr>
  </w:style>
  <w:style w:type="paragraph" w:styleId="Nadpis7">
    <w:name w:val="heading 7"/>
    <w:basedOn w:val="Normlny"/>
    <w:next w:val="Normlny"/>
    <w:link w:val="Nadpis7Char"/>
    <w:uiPriority w:val="99"/>
    <w:qFormat/>
    <w:rsid w:val="00EF11F6"/>
    <w:pPr>
      <w:keepNext/>
      <w:tabs>
        <w:tab w:val="left" w:pos="-720"/>
        <w:tab w:val="left" w:pos="4536"/>
      </w:tabs>
      <w:suppressAutoHyphens/>
      <w:jc w:val="both"/>
      <w:outlineLvl w:val="6"/>
    </w:pPr>
    <w:rPr>
      <w:i/>
    </w:rPr>
  </w:style>
  <w:style w:type="paragraph" w:styleId="Nadpis8">
    <w:name w:val="heading 8"/>
    <w:basedOn w:val="Normlny"/>
    <w:next w:val="Normlny"/>
    <w:link w:val="Nadpis8Char"/>
    <w:uiPriority w:val="99"/>
    <w:qFormat/>
    <w:rsid w:val="00EF11F6"/>
    <w:pPr>
      <w:keepNext/>
      <w:ind w:left="567" w:hanging="567"/>
      <w:jc w:val="both"/>
      <w:outlineLvl w:val="7"/>
    </w:pPr>
    <w:rPr>
      <w:b/>
      <w:i/>
    </w:rPr>
  </w:style>
  <w:style w:type="paragraph" w:styleId="Nadpis9">
    <w:name w:val="heading 9"/>
    <w:basedOn w:val="Normlny"/>
    <w:next w:val="Normlny"/>
    <w:link w:val="Nadpis9Char"/>
    <w:uiPriority w:val="99"/>
    <w:qFormat/>
    <w:rsid w:val="00EF11F6"/>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805DFE"/>
    <w:rPr>
      <w:rFonts w:cs="Times New Roman"/>
      <w:b/>
      <w:caps/>
      <w:sz w:val="22"/>
      <w:lang w:eastAsia="ja-JP"/>
    </w:rPr>
  </w:style>
  <w:style w:type="character" w:customStyle="1" w:styleId="Nadpis2Char">
    <w:name w:val="Nadpis 2 Char"/>
    <w:basedOn w:val="Predvolenpsmoodseku"/>
    <w:link w:val="Nadpis2"/>
    <w:uiPriority w:val="99"/>
    <w:locked/>
    <w:rsid w:val="00805DFE"/>
    <w:rPr>
      <w:rFonts w:cs="Times New Roman"/>
      <w:b/>
      <w:sz w:val="22"/>
      <w:lang w:eastAsia="ja-JP"/>
    </w:rPr>
  </w:style>
  <w:style w:type="character" w:customStyle="1" w:styleId="Nadpis3Char">
    <w:name w:val="Nadpis 3 Char"/>
    <w:basedOn w:val="Predvolenpsmoodseku"/>
    <w:link w:val="Nadpis3"/>
    <w:uiPriority w:val="99"/>
    <w:locked/>
    <w:rsid w:val="00805DFE"/>
    <w:rPr>
      <w:rFonts w:ascii="Arial" w:hAnsi="Arial" w:cs="Arial"/>
      <w:b/>
      <w:bCs/>
      <w:sz w:val="26"/>
      <w:szCs w:val="26"/>
      <w:lang w:eastAsia="ja-JP"/>
    </w:rPr>
  </w:style>
  <w:style w:type="character" w:customStyle="1" w:styleId="Nadpis4Char">
    <w:name w:val="Nadpis 4 Char"/>
    <w:basedOn w:val="Predvolenpsmoodseku"/>
    <w:link w:val="Nadpis4"/>
    <w:uiPriority w:val="99"/>
    <w:locked/>
    <w:rsid w:val="00805DFE"/>
    <w:rPr>
      <w:rFonts w:cs="Times New Roman"/>
      <w:b/>
      <w:noProof/>
      <w:sz w:val="22"/>
      <w:lang w:eastAsia="ja-JP"/>
    </w:rPr>
  </w:style>
  <w:style w:type="character" w:customStyle="1" w:styleId="Nadpis5Char">
    <w:name w:val="Nadpis 5 Char"/>
    <w:basedOn w:val="Predvolenpsmoodseku"/>
    <w:link w:val="Nadpis5"/>
    <w:uiPriority w:val="99"/>
    <w:locked/>
    <w:rsid w:val="00805DFE"/>
    <w:rPr>
      <w:rFonts w:cs="Times New Roman"/>
      <w:noProof/>
      <w:sz w:val="22"/>
      <w:lang w:eastAsia="ja-JP"/>
    </w:rPr>
  </w:style>
  <w:style w:type="character" w:customStyle="1" w:styleId="Nadpis6Char">
    <w:name w:val="Nadpis 6 Char"/>
    <w:basedOn w:val="Predvolenpsmoodseku"/>
    <w:link w:val="Nadpis6"/>
    <w:uiPriority w:val="99"/>
    <w:locked/>
    <w:rsid w:val="00805DFE"/>
    <w:rPr>
      <w:rFonts w:cs="Times New Roman"/>
      <w:i/>
      <w:sz w:val="22"/>
      <w:lang w:eastAsia="ja-JP"/>
    </w:rPr>
  </w:style>
  <w:style w:type="character" w:customStyle="1" w:styleId="Nadpis7Char">
    <w:name w:val="Nadpis 7 Char"/>
    <w:basedOn w:val="Predvolenpsmoodseku"/>
    <w:link w:val="Nadpis7"/>
    <w:uiPriority w:val="99"/>
    <w:locked/>
    <w:rsid w:val="00805DFE"/>
    <w:rPr>
      <w:rFonts w:cs="Times New Roman"/>
      <w:i/>
      <w:sz w:val="22"/>
      <w:lang w:eastAsia="ja-JP"/>
    </w:rPr>
  </w:style>
  <w:style w:type="character" w:customStyle="1" w:styleId="Nadpis8Char">
    <w:name w:val="Nadpis 8 Char"/>
    <w:basedOn w:val="Predvolenpsmoodseku"/>
    <w:link w:val="Nadpis8"/>
    <w:uiPriority w:val="99"/>
    <w:locked/>
    <w:rsid w:val="00805DFE"/>
    <w:rPr>
      <w:rFonts w:cs="Times New Roman"/>
      <w:b/>
      <w:i/>
      <w:sz w:val="22"/>
      <w:lang w:eastAsia="ja-JP"/>
    </w:rPr>
  </w:style>
  <w:style w:type="character" w:customStyle="1" w:styleId="Nadpis9Char">
    <w:name w:val="Nadpis 9 Char"/>
    <w:basedOn w:val="Predvolenpsmoodseku"/>
    <w:link w:val="Nadpis9"/>
    <w:uiPriority w:val="99"/>
    <w:locked/>
    <w:rsid w:val="00805DFE"/>
    <w:rPr>
      <w:rFonts w:cs="Times New Roman"/>
      <w:b/>
      <w:i/>
      <w:sz w:val="22"/>
      <w:lang w:eastAsia="ja-JP"/>
    </w:rPr>
  </w:style>
  <w:style w:type="paragraph" w:styleId="Popis">
    <w:name w:val="caption"/>
    <w:basedOn w:val="Normlny"/>
    <w:next w:val="Normlny"/>
    <w:uiPriority w:val="99"/>
    <w:qFormat/>
    <w:rsid w:val="00EF11F6"/>
    <w:pPr>
      <w:spacing w:before="120" w:after="120"/>
    </w:pPr>
    <w:rPr>
      <w:b/>
      <w:bCs/>
      <w:sz w:val="20"/>
      <w:lang w:val="de-DE"/>
    </w:rPr>
  </w:style>
  <w:style w:type="paragraph" w:styleId="Nzov">
    <w:name w:val="Title"/>
    <w:basedOn w:val="Normlny"/>
    <w:link w:val="NzovChar"/>
    <w:uiPriority w:val="99"/>
    <w:qFormat/>
    <w:rsid w:val="00805DFE"/>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uiPriority w:val="99"/>
    <w:locked/>
    <w:rsid w:val="00805DFE"/>
    <w:rPr>
      <w:rFonts w:ascii="Cambria" w:hAnsi="Cambria" w:cs="Times New Roman"/>
      <w:b/>
      <w:bCs/>
      <w:kern w:val="28"/>
      <w:sz w:val="32"/>
      <w:szCs w:val="32"/>
      <w:lang w:eastAsia="ja-JP"/>
    </w:rPr>
  </w:style>
  <w:style w:type="paragraph" w:styleId="Podtitul">
    <w:name w:val="Subtitle"/>
    <w:basedOn w:val="Normlny"/>
    <w:link w:val="PodtitulChar"/>
    <w:uiPriority w:val="99"/>
    <w:qFormat/>
    <w:rsid w:val="00805DFE"/>
    <w:pPr>
      <w:spacing w:after="60"/>
      <w:jc w:val="center"/>
      <w:outlineLvl w:val="1"/>
    </w:pPr>
    <w:rPr>
      <w:rFonts w:ascii="Cambria" w:hAnsi="Cambria"/>
      <w:sz w:val="24"/>
      <w:szCs w:val="24"/>
    </w:rPr>
  </w:style>
  <w:style w:type="character" w:customStyle="1" w:styleId="PodtitulChar">
    <w:name w:val="Podtitul Char"/>
    <w:basedOn w:val="Predvolenpsmoodseku"/>
    <w:link w:val="Podtitul"/>
    <w:uiPriority w:val="99"/>
    <w:locked/>
    <w:rsid w:val="00805DFE"/>
    <w:rPr>
      <w:rFonts w:ascii="Cambria" w:hAnsi="Cambria" w:cs="Times New Roman"/>
      <w:sz w:val="24"/>
      <w:szCs w:val="24"/>
      <w:lang w:eastAsia="ja-JP"/>
    </w:rPr>
  </w:style>
  <w:style w:type="character" w:styleId="Zvraznenie">
    <w:name w:val="Emphasis"/>
    <w:basedOn w:val="Predvolenpsmoodseku"/>
    <w:uiPriority w:val="99"/>
    <w:qFormat/>
    <w:rsid w:val="00EF11F6"/>
    <w:rPr>
      <w:rFonts w:cs="Times New Roman"/>
      <w:i/>
      <w:lang w:val="de-DE"/>
    </w:rPr>
  </w:style>
  <w:style w:type="paragraph" w:customStyle="1" w:styleId="BodytextAgency">
    <w:name w:val="Body text (Agency)"/>
    <w:basedOn w:val="Normlny"/>
    <w:link w:val="BodytextAgencyChar"/>
    <w:uiPriority w:val="99"/>
    <w:rsid w:val="00EF11F6"/>
    <w:pPr>
      <w:spacing w:after="140" w:line="280" w:lineRule="atLeast"/>
    </w:pPr>
    <w:rPr>
      <w:rFonts w:ascii="Verdana" w:hAnsi="Verdana"/>
      <w:sz w:val="18"/>
      <w:lang w:val="en-GB" w:eastAsia="en-GB"/>
    </w:rPr>
  </w:style>
  <w:style w:type="character" w:customStyle="1" w:styleId="BodytextAgencyChar">
    <w:name w:val="Body text (Agency) Char"/>
    <w:link w:val="BodytextAgency"/>
    <w:uiPriority w:val="99"/>
    <w:locked/>
    <w:rsid w:val="00EF11F6"/>
    <w:rPr>
      <w:rFonts w:ascii="Verdana" w:eastAsia="Times New Roman" w:hAnsi="Verdana"/>
      <w:sz w:val="18"/>
      <w:lang w:val="en-GB" w:eastAsia="en-GB"/>
    </w:rPr>
  </w:style>
  <w:style w:type="paragraph" w:styleId="Pta">
    <w:name w:val="footer"/>
    <w:basedOn w:val="Normlny"/>
    <w:link w:val="PtaChar"/>
    <w:uiPriority w:val="99"/>
    <w:semiHidden/>
    <w:rsid w:val="0023237F"/>
    <w:pPr>
      <w:tabs>
        <w:tab w:val="center" w:pos="4680"/>
        <w:tab w:val="right" w:pos="9360"/>
      </w:tabs>
    </w:pPr>
  </w:style>
  <w:style w:type="character" w:customStyle="1" w:styleId="PtaChar">
    <w:name w:val="Päta Char"/>
    <w:basedOn w:val="Predvolenpsmoodseku"/>
    <w:link w:val="Pta"/>
    <w:uiPriority w:val="99"/>
    <w:semiHidden/>
    <w:locked/>
    <w:rsid w:val="0023237F"/>
    <w:rPr>
      <w:rFonts w:cs="Times New Roman"/>
      <w:sz w:val="22"/>
      <w:lang w:eastAsia="ja-JP"/>
    </w:rPr>
  </w:style>
  <w:style w:type="paragraph" w:styleId="Textbubliny">
    <w:name w:val="Balloon Text"/>
    <w:basedOn w:val="Normlny"/>
    <w:link w:val="TextbublinyChar"/>
    <w:uiPriority w:val="99"/>
    <w:semiHidden/>
    <w:rsid w:val="0023237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23237F"/>
    <w:rPr>
      <w:rFonts w:ascii="Tahoma" w:hAnsi="Tahoma" w:cs="Tahoma"/>
      <w:sz w:val="16"/>
      <w:szCs w:val="16"/>
      <w:lang w:eastAsia="ja-JP"/>
    </w:rPr>
  </w:style>
  <w:style w:type="paragraph" w:styleId="Odsekzoznamu">
    <w:name w:val="List Paragraph"/>
    <w:basedOn w:val="Normlny"/>
    <w:uiPriority w:val="34"/>
    <w:qFormat/>
    <w:rsid w:val="00CC1A17"/>
    <w:pPr>
      <w:tabs>
        <w:tab w:val="left" w:pos="567"/>
      </w:tabs>
      <w:spacing w:line="260" w:lineRule="exact"/>
      <w:ind w:left="720"/>
      <w:contextualSpacing/>
    </w:pPr>
    <w:rPr>
      <w:lang w:val="sk-SK" w:eastAsia="sk-SK" w:bidi="sk-SK"/>
    </w:rPr>
  </w:style>
  <w:style w:type="paragraph" w:customStyle="1" w:styleId="Default">
    <w:name w:val="Default"/>
    <w:rsid w:val="00644F98"/>
    <w:pPr>
      <w:autoSpaceDE w:val="0"/>
      <w:autoSpaceDN w:val="0"/>
      <w:adjustRightInd w:val="0"/>
    </w:pPr>
    <w:rPr>
      <w:color w:val="000000"/>
      <w:sz w:val="24"/>
      <w:szCs w:val="24"/>
      <w:lang w:val="sk-SK" w:eastAsia="sk-SK"/>
    </w:rPr>
  </w:style>
  <w:style w:type="character" w:styleId="Hypertextovprepojenie">
    <w:name w:val="Hyperlink"/>
    <w:rsid w:val="00EE0D11"/>
    <w:rPr>
      <w:color w:val="0000FF"/>
      <w:u w:val="single"/>
    </w:rPr>
  </w:style>
  <w:style w:type="paragraph" w:styleId="Hlavika">
    <w:name w:val="header"/>
    <w:basedOn w:val="Normlny"/>
    <w:link w:val="HlavikaChar"/>
    <w:uiPriority w:val="99"/>
    <w:unhideWhenUsed/>
    <w:rsid w:val="00DC1E47"/>
    <w:pPr>
      <w:tabs>
        <w:tab w:val="center" w:pos="4536"/>
        <w:tab w:val="right" w:pos="9072"/>
      </w:tabs>
    </w:pPr>
  </w:style>
  <w:style w:type="character" w:customStyle="1" w:styleId="HlavikaChar">
    <w:name w:val="Hlavička Char"/>
    <w:basedOn w:val="Predvolenpsmoodseku"/>
    <w:link w:val="Hlavika"/>
    <w:uiPriority w:val="99"/>
    <w:rsid w:val="00DC1E47"/>
    <w:rPr>
      <w:sz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05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2493</Words>
  <Characters>14215</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Schválený text k rozhodnutiu o registrácii lieku, ev</vt:lpstr>
    </vt:vector>
  </TitlesOfParts>
  <Company/>
  <LinksUpToDate>false</LinksUpToDate>
  <CharactersWithSpaces>16675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lieku, ev</dc:title>
  <dc:creator>Ravi Sharma</dc:creator>
  <cp:lastModifiedBy>Kubáčková, Jaroslava</cp:lastModifiedBy>
  <cp:revision>6</cp:revision>
  <cp:lastPrinted>2020-10-07T08:08:00Z</cp:lastPrinted>
  <dcterms:created xsi:type="dcterms:W3CDTF">2020-10-07T07:35:00Z</dcterms:created>
  <dcterms:modified xsi:type="dcterms:W3CDTF">2020-10-07T08:08:00Z</dcterms:modified>
</cp:coreProperties>
</file>