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DA28F" w14:textId="77777777" w:rsidR="00ED16E6" w:rsidRPr="00CD0C72" w:rsidRDefault="00ED16E6" w:rsidP="00ED16E6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Písomná informácia pre používateľku</w:t>
      </w:r>
    </w:p>
    <w:p w14:paraId="0EF23F8A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E7C40B5" w14:textId="73649295" w:rsidR="00ED16E6" w:rsidRDefault="00ED16E6" w:rsidP="00ED16E6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>
        <w:rPr>
          <w:rFonts w:ascii="Times New Roman" w:hAnsi="Times New Roman"/>
          <w:b/>
          <w:bCs/>
          <w:lang w:val="sk-SK"/>
        </w:rPr>
        <w:t xml:space="preserve">Vipharm </w:t>
      </w:r>
      <w:r w:rsidRPr="00CD0C72">
        <w:rPr>
          <w:rFonts w:ascii="Times New Roman" w:hAnsi="Times New Roman"/>
          <w:b/>
          <w:bCs/>
          <w:lang w:val="sk-SK"/>
        </w:rPr>
        <w:t xml:space="preserve">250 mg </w:t>
      </w:r>
    </w:p>
    <w:p w14:paraId="7FCB6D11" w14:textId="2CD32306" w:rsidR="00ED16E6" w:rsidRPr="00CD0C72" w:rsidRDefault="00ED16E6" w:rsidP="00ED16E6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CD0C72">
        <w:rPr>
          <w:rFonts w:ascii="Times New Roman" w:hAnsi="Times New Roman"/>
          <w:b/>
          <w:lang w:val="sk-SK"/>
        </w:rPr>
        <w:t xml:space="preserve">injekčný </w:t>
      </w:r>
      <w:r w:rsidRPr="00D04504">
        <w:rPr>
          <w:rFonts w:ascii="Times New Roman" w:hAnsi="Times New Roman"/>
          <w:b/>
          <w:lang w:val="sk-SK"/>
        </w:rPr>
        <w:t xml:space="preserve">roztok </w:t>
      </w:r>
      <w:r w:rsidR="00D04504" w:rsidRPr="00535DCF">
        <w:rPr>
          <w:rFonts w:ascii="Times New Roman" w:hAnsi="Times New Roman"/>
          <w:b/>
          <w:lang w:val="sk-SK"/>
        </w:rPr>
        <w:t>v naplnenej injekčnej striekačke</w:t>
      </w:r>
    </w:p>
    <w:p w14:paraId="3A241532" w14:textId="77777777" w:rsidR="00ED16E6" w:rsidRPr="00CD0C72" w:rsidRDefault="00ED16E6" w:rsidP="00ED16E6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</w:p>
    <w:p w14:paraId="154DE7EC" w14:textId="5099561D" w:rsidR="00ED16E6" w:rsidRPr="00CD0C72" w:rsidRDefault="00ED16E6" w:rsidP="00ED16E6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fulvestrant</w:t>
      </w:r>
      <w:r w:rsidR="00C110FC">
        <w:rPr>
          <w:rFonts w:ascii="Times New Roman" w:hAnsi="Times New Roman"/>
          <w:lang w:val="sk-SK"/>
        </w:rPr>
        <w:t xml:space="preserve"> </w:t>
      </w:r>
    </w:p>
    <w:p w14:paraId="68C70A85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6EB7C97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14:paraId="03177265" w14:textId="77777777" w:rsidR="00ED16E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obsahuje pre vás dôležité informácie.</w:t>
      </w:r>
    </w:p>
    <w:p w14:paraId="358C2F62" w14:textId="77777777" w:rsidR="00ED16E6" w:rsidRDefault="00ED16E6" w:rsidP="00ED16E6">
      <w:pPr>
        <w:pStyle w:val="Odsekzoznamu"/>
        <w:numPr>
          <w:ilvl w:val="0"/>
          <w:numId w:val="8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14:paraId="5E02A043" w14:textId="77777777" w:rsidR="00ED16E6" w:rsidRPr="0056733A" w:rsidRDefault="00ED16E6" w:rsidP="00ED16E6">
      <w:pPr>
        <w:pStyle w:val="Odsekzoznamu"/>
        <w:numPr>
          <w:ilvl w:val="0"/>
          <w:numId w:val="8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14:paraId="25CB1D22" w14:textId="77777777" w:rsidR="00ED16E6" w:rsidRPr="00CD0C72" w:rsidRDefault="00ED16E6" w:rsidP="00ED16E6">
      <w:pPr>
        <w:pStyle w:val="Odsekzoznamu"/>
        <w:numPr>
          <w:ilvl w:val="0"/>
          <w:numId w:val="8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prejavy ochorenia ako vy. </w:t>
      </w:r>
    </w:p>
    <w:p w14:paraId="7C295F50" w14:textId="77777777" w:rsidR="00ED16E6" w:rsidRPr="00CD0C72" w:rsidRDefault="00ED16E6" w:rsidP="00ED16E6">
      <w:pPr>
        <w:pStyle w:val="Odsekzoznamu"/>
        <w:numPr>
          <w:ilvl w:val="0"/>
          <w:numId w:val="8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5A3A8895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1296942C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5BF1FD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 tejto písomnej informácii  sa dozviete:</w:t>
      </w:r>
    </w:p>
    <w:p w14:paraId="00367739" w14:textId="0CBCEEA7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1. </w:t>
      </w:r>
      <w:r w:rsidRPr="00CD0C72">
        <w:rPr>
          <w:rFonts w:ascii="Times New Roman" w:hAnsi="Times New Roman"/>
          <w:lang w:val="sk-SK"/>
        </w:rPr>
        <w:tab/>
        <w:t xml:space="preserve">Čo je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a na čo sa používa</w:t>
      </w:r>
    </w:p>
    <w:p w14:paraId="44886494" w14:textId="5B557100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2. </w:t>
      </w:r>
      <w:r w:rsidRPr="00CD0C72">
        <w:rPr>
          <w:rFonts w:ascii="Times New Roman" w:hAnsi="Times New Roman"/>
          <w:lang w:val="sk-SK"/>
        </w:rPr>
        <w:tab/>
        <w:t xml:space="preserve">Čo potrebujete vedieť predtým, ako použijete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</w:t>
      </w:r>
    </w:p>
    <w:p w14:paraId="3F875550" w14:textId="20E57C4E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3. </w:t>
      </w:r>
      <w:r w:rsidRPr="00CD0C72">
        <w:rPr>
          <w:rFonts w:ascii="Times New Roman" w:hAnsi="Times New Roman"/>
          <w:lang w:val="sk-SK"/>
        </w:rPr>
        <w:tab/>
        <w:t xml:space="preserve">Ako používať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</w:t>
      </w:r>
    </w:p>
    <w:p w14:paraId="45E0B43B" w14:textId="77777777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4. </w:t>
      </w:r>
      <w:r w:rsidRPr="00CD0C72">
        <w:rPr>
          <w:rFonts w:ascii="Times New Roman" w:hAnsi="Times New Roman"/>
          <w:lang w:val="sk-SK"/>
        </w:rPr>
        <w:tab/>
        <w:t>Možné vedľajšie účinky</w:t>
      </w:r>
    </w:p>
    <w:p w14:paraId="586F10ED" w14:textId="1EDE70B7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5. </w:t>
      </w:r>
      <w:r w:rsidRPr="00CD0C72">
        <w:rPr>
          <w:rFonts w:ascii="Times New Roman" w:hAnsi="Times New Roman"/>
          <w:lang w:val="sk-SK"/>
        </w:rPr>
        <w:tab/>
        <w:t xml:space="preserve">Ako uchovávať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</w:t>
      </w:r>
    </w:p>
    <w:p w14:paraId="37E9379A" w14:textId="77777777" w:rsidR="00ED16E6" w:rsidRPr="00CD0C72" w:rsidRDefault="00ED16E6" w:rsidP="00ED16E6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6. </w:t>
      </w:r>
      <w:r w:rsidRPr="00CD0C72">
        <w:rPr>
          <w:rFonts w:ascii="Times New Roman" w:hAnsi="Times New Roman"/>
          <w:lang w:val="sk-SK"/>
        </w:rPr>
        <w:tab/>
        <w:t>Obsah balenia a ďalšie informácie</w:t>
      </w:r>
    </w:p>
    <w:p w14:paraId="0906F12E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6A5F2A34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5FE30B71" w14:textId="5696CEAE" w:rsidR="00ED16E6" w:rsidRPr="00CD0C72" w:rsidRDefault="00ED16E6" w:rsidP="00ED16E6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je Fulvestrant </w:t>
      </w:r>
      <w:r w:rsidR="00694D63">
        <w:rPr>
          <w:rFonts w:ascii="Times New Roman" w:hAnsi="Times New Roman"/>
          <w:b/>
          <w:lang w:val="sk-SK"/>
        </w:rPr>
        <w:t>Vipharm</w:t>
      </w:r>
      <w:r w:rsidRPr="00CD0C72">
        <w:rPr>
          <w:rFonts w:ascii="Times New Roman" w:hAnsi="Times New Roman"/>
          <w:b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a na čo sa používa</w:t>
      </w:r>
    </w:p>
    <w:p w14:paraId="243AE63D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029F7321" w14:textId="7283DDDF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obsahuje liečivo fulvestrant, ktoré patrí do skupiny blokátorov estrogénov. Estrogény, ktoré patria medzi ženské pohlavné hormóny, sa môžu v niektorých prípadoch podieľať na raste karcinómu prsníka.</w:t>
      </w:r>
    </w:p>
    <w:p w14:paraId="3A10589C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024252E" w14:textId="47E3AD18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>sa používa buď:</w:t>
      </w:r>
    </w:p>
    <w:p w14:paraId="25B30B49" w14:textId="00683960" w:rsidR="00ED16E6" w:rsidRPr="00CD0C72" w:rsidRDefault="00ED16E6" w:rsidP="00E144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samotný</w:t>
      </w:r>
      <w:r w:rsidR="00EF4B8F">
        <w:rPr>
          <w:rFonts w:ascii="Times New Roman" w:hAnsi="Times New Roman"/>
          <w:lang w:val="sk-SK" w:eastAsia="sk-SK"/>
        </w:rPr>
        <w:t>,</w:t>
      </w:r>
      <w:r w:rsidRPr="00CD0C72">
        <w:rPr>
          <w:rFonts w:ascii="Times New Roman" w:hAnsi="Times New Roman"/>
          <w:lang w:val="sk-SK" w:eastAsia="sk-SK"/>
        </w:rPr>
        <w:t xml:space="preserve"> na liečbu postmenopauzálnych žien s typom rakoviny prsníka, nazývanej karcinóm</w:t>
      </w:r>
    </w:p>
    <w:p w14:paraId="60C4C47D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estrogénových receptorov, ktorý je lokálne pokročilý (rakovina sa začala</w:t>
      </w:r>
    </w:p>
    <w:p w14:paraId="77B2C87F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14:paraId="20C2AF38" w14:textId="77777777" w:rsidR="00ED16E6" w:rsidRPr="00CD0C72" w:rsidRDefault="00ED16E6" w:rsidP="00E144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 kombinácií s palbociklibom na liečbu žien s typom rakoviny prsníka, nazývanej karcinóm</w:t>
      </w:r>
    </w:p>
    <w:p w14:paraId="67C8AD37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prsníka s pozitivitou hormonálnych receptorov a negativitou receptora 2 pre ľudský</w:t>
      </w:r>
    </w:p>
    <w:p w14:paraId="18AA07D3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epidermálny rastový faktor, ktorý je lokálne pokročilý alebo sa rozšíril do iných častí tela</w:t>
      </w:r>
    </w:p>
    <w:p w14:paraId="4DFAF242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(metastatický). Ženy, ktoré ešte nie sú v menopauze, budú tiež liečené agonistom hormónu</w:t>
      </w:r>
    </w:p>
    <w:p w14:paraId="2F2CA831" w14:textId="77777777" w:rsidR="00ED16E6" w:rsidRPr="00CD0C72" w:rsidRDefault="00ED16E6" w:rsidP="00E14413">
      <w:p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uvoľňujúceho luteinizačný hormón (LHRH).</w:t>
      </w:r>
    </w:p>
    <w:p w14:paraId="5F3D2DF3" w14:textId="77777777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14:paraId="4918AE6D" w14:textId="04745FF1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Ak sa </w:t>
      </w:r>
      <w:r w:rsidRPr="00CD0C72">
        <w:rPr>
          <w:rFonts w:ascii="Times New Roman" w:hAnsi="Times New Roman"/>
          <w:lang w:val="sk-SK"/>
        </w:rPr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>podáva v kombinácii s palbociklibom, je dôležité, aby ste si prečítali aj písomnú informáciu pre používateľa palbociklibu. Ak máte akékoľvek otázky týkajúce sa palbociklibu, opýtajte sa svojho lekára.</w:t>
      </w:r>
    </w:p>
    <w:p w14:paraId="52E85BB2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 w:eastAsia="sk-SK"/>
        </w:rPr>
      </w:pPr>
    </w:p>
    <w:p w14:paraId="37129C2C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5FFE1C06" w14:textId="6423B66F" w:rsidR="00ED16E6" w:rsidRPr="00E80A91" w:rsidRDefault="00ED16E6" w:rsidP="00ED16E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potrebujete vedieť </w:t>
      </w:r>
      <w:r w:rsidRPr="00E80A91">
        <w:rPr>
          <w:rFonts w:ascii="Times New Roman" w:hAnsi="Times New Roman"/>
          <w:b/>
          <w:bCs/>
          <w:lang w:val="sk-SK"/>
        </w:rPr>
        <w:t xml:space="preserve">predtým, ako použijete Fulvestrant </w:t>
      </w:r>
      <w:r w:rsidR="00694D63" w:rsidRPr="00E80A91">
        <w:rPr>
          <w:rFonts w:ascii="Times New Roman" w:hAnsi="Times New Roman"/>
          <w:b/>
          <w:bCs/>
          <w:lang w:val="sk-SK"/>
        </w:rPr>
        <w:t xml:space="preserve">Vipharm </w:t>
      </w:r>
    </w:p>
    <w:p w14:paraId="3285FC6E" w14:textId="77777777" w:rsidR="00ED16E6" w:rsidRPr="00E80A91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931D12A" w14:textId="2454CB39" w:rsidR="00ED16E6" w:rsidRPr="00E80A91" w:rsidRDefault="0067182E" w:rsidP="0067182E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60E32">
        <w:rPr>
          <w:rFonts w:ascii="Times New Roman" w:hAnsi="Times New Roman"/>
          <w:b/>
          <w:bCs/>
          <w:lang w:val="sk-SK"/>
        </w:rPr>
        <w:t>NEPOUŽÍVAJTE</w:t>
      </w:r>
      <w:r w:rsidR="00ED16E6" w:rsidRPr="00E80A91">
        <w:rPr>
          <w:rFonts w:ascii="Times New Roman" w:hAnsi="Times New Roman"/>
          <w:b/>
          <w:bCs/>
          <w:lang w:val="sk-SK"/>
        </w:rPr>
        <w:t xml:space="preserve"> Fulvestrant </w:t>
      </w:r>
      <w:r w:rsidR="00694D63" w:rsidRPr="00E80A91">
        <w:rPr>
          <w:rFonts w:ascii="Times New Roman" w:hAnsi="Times New Roman"/>
          <w:b/>
          <w:bCs/>
          <w:lang w:val="sk-SK"/>
        </w:rPr>
        <w:t xml:space="preserve">Vipharm </w:t>
      </w:r>
    </w:p>
    <w:p w14:paraId="673223DA" w14:textId="77777777" w:rsidR="00ED16E6" w:rsidRPr="00CD0C72" w:rsidRDefault="00ED16E6" w:rsidP="00ED16E6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alergická na fulvestrant alebo na ktorúkoľvek z ďalších zložiek tohto lieku (uvedených v časti 6),</w:t>
      </w:r>
    </w:p>
    <w:p w14:paraId="09965C1B" w14:textId="77777777" w:rsidR="00ED16E6" w:rsidRPr="00CD0C72" w:rsidRDefault="00ED16E6" w:rsidP="00ED16E6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ak ste tehotná, alebo dojčíte,</w:t>
      </w:r>
    </w:p>
    <w:p w14:paraId="68583F96" w14:textId="77777777" w:rsidR="00ED16E6" w:rsidRPr="00CD0C72" w:rsidRDefault="00ED16E6" w:rsidP="00ED16E6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závažné problémy s pečeňou.</w:t>
      </w:r>
    </w:p>
    <w:p w14:paraId="1C8C5E26" w14:textId="77777777" w:rsidR="00ED16E6" w:rsidRPr="00CD0C72" w:rsidRDefault="00ED16E6" w:rsidP="00ED16E6">
      <w:pPr>
        <w:pStyle w:val="Odsekzoznamu"/>
        <w:spacing w:after="0" w:line="240" w:lineRule="auto"/>
        <w:contextualSpacing w:val="0"/>
        <w:rPr>
          <w:rFonts w:ascii="Times New Roman" w:hAnsi="Times New Roman"/>
          <w:lang w:val="sk-SK"/>
        </w:rPr>
      </w:pPr>
    </w:p>
    <w:p w14:paraId="5004868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Upozornenia a opatrenia</w:t>
      </w:r>
    </w:p>
    <w:p w14:paraId="58AB02F9" w14:textId="614DDD03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Predtým, ako začnete používať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Pr="00CD0C72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14:paraId="339E014B" w14:textId="77777777" w:rsidR="00ED16E6" w:rsidRPr="00CD0C72" w:rsidRDefault="00ED16E6" w:rsidP="00ED16E6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obličkami alebo pečeňou,</w:t>
      </w:r>
    </w:p>
    <w:p w14:paraId="4FA4773B" w14:textId="77777777" w:rsidR="00ED16E6" w:rsidRPr="00CD0C72" w:rsidRDefault="00ED16E6" w:rsidP="00ED16E6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14:paraId="737EFC3B" w14:textId="77777777" w:rsidR="00ED16E6" w:rsidRPr="00CD0C72" w:rsidRDefault="00ED16E6" w:rsidP="00ED16E6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krvnými zrazeninami v minulosti,</w:t>
      </w:r>
    </w:p>
    <w:p w14:paraId="699F4F8E" w14:textId="77777777" w:rsidR="00ED16E6" w:rsidRPr="00CD0C72" w:rsidRDefault="00ED16E6" w:rsidP="00ED16E6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osteoporóza (úbytok kostnej hmoty),</w:t>
      </w:r>
    </w:p>
    <w:p w14:paraId="1FBBD8A0" w14:textId="77777777" w:rsidR="00ED16E6" w:rsidRPr="00CD0C72" w:rsidRDefault="00ED16E6" w:rsidP="00ED16E6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alkoholizmus.</w:t>
      </w:r>
    </w:p>
    <w:p w14:paraId="04722408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9DCF95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Deti a dospievajúci</w:t>
      </w:r>
    </w:p>
    <w:p w14:paraId="1D561516" w14:textId="79A713C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nie je </w:t>
      </w:r>
      <w:r w:rsidR="00A52864">
        <w:rPr>
          <w:rFonts w:ascii="Times New Roman" w:hAnsi="Times New Roman"/>
          <w:lang w:val="sk-SK"/>
        </w:rPr>
        <w:t>určený</w:t>
      </w:r>
      <w:r w:rsidRPr="00CD0C72">
        <w:rPr>
          <w:rFonts w:ascii="Times New Roman" w:hAnsi="Times New Roman"/>
          <w:lang w:val="sk-SK"/>
        </w:rPr>
        <w:t xml:space="preserve"> na liečbu detí a dospievajúcich do 18 rokov.</w:t>
      </w:r>
    </w:p>
    <w:p w14:paraId="0A73B35A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13B44CAE" w14:textId="2D875DE9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Iné lieky a Fulvestrant </w:t>
      </w:r>
      <w:r w:rsidR="00694D63" w:rsidRPr="000065BC">
        <w:rPr>
          <w:rFonts w:ascii="Times New Roman" w:hAnsi="Times New Roman"/>
          <w:b/>
          <w:bCs/>
          <w:lang w:val="sk-SK"/>
        </w:rPr>
        <w:t xml:space="preserve">Vipharm </w:t>
      </w:r>
    </w:p>
    <w:p w14:paraId="06EE5F8B" w14:textId="2E12AC86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teraz používate alebo ste v poslednom čase používali, či práve budete používať ďalšie lieky, povedzte to svojmu lekárovi alebo lekárnikovi.</w:t>
      </w:r>
    </w:p>
    <w:p w14:paraId="01D4110C" w14:textId="19AEAB09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Pr="00CD0C72">
        <w:rPr>
          <w:rFonts w:ascii="Times New Roman" w:hAnsi="Times New Roman"/>
          <w:lang w:val="sk-SK"/>
        </w:rPr>
        <w:t>vojho lekára</w:t>
      </w:r>
      <w:r>
        <w:rPr>
          <w:rFonts w:ascii="Times New Roman" w:hAnsi="Times New Roman"/>
          <w:lang w:val="sk-SK"/>
        </w:rPr>
        <w:t xml:space="preserve"> </w:t>
      </w:r>
      <w:r w:rsidR="00A52864">
        <w:rPr>
          <w:rFonts w:ascii="Times New Roman" w:hAnsi="Times New Roman"/>
          <w:lang w:val="sk-SK"/>
        </w:rPr>
        <w:t>máte</w:t>
      </w:r>
      <w:r w:rsidRPr="00CD0C72">
        <w:rPr>
          <w:rFonts w:ascii="Times New Roman" w:hAnsi="Times New Roman"/>
          <w:lang w:val="sk-SK"/>
        </w:rPr>
        <w:t xml:space="preserve"> informovať predovšetkým vtedy, keď užívate antikoagulanciá (lieky na</w:t>
      </w:r>
    </w:p>
    <w:p w14:paraId="3F9E99A7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zabránenie vzniku krvných zrazenín).</w:t>
      </w:r>
    </w:p>
    <w:p w14:paraId="4279808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4A4471E4" w14:textId="763CF5EE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Tehotenstvo</w:t>
      </w:r>
      <w:r w:rsidR="00FE1E9E">
        <w:rPr>
          <w:rFonts w:ascii="Times New Roman" w:hAnsi="Times New Roman"/>
          <w:b/>
          <w:bCs/>
          <w:lang w:val="sk-SK"/>
        </w:rPr>
        <w:t xml:space="preserve"> a </w:t>
      </w:r>
      <w:r w:rsidRPr="00CD0C72">
        <w:rPr>
          <w:rFonts w:ascii="Times New Roman" w:hAnsi="Times New Roman"/>
          <w:b/>
          <w:bCs/>
          <w:lang w:val="sk-SK"/>
        </w:rPr>
        <w:t>dojčenie</w:t>
      </w:r>
      <w:r>
        <w:rPr>
          <w:rFonts w:ascii="Times New Roman" w:hAnsi="Times New Roman"/>
          <w:b/>
          <w:bCs/>
          <w:lang w:val="sk-SK"/>
        </w:rPr>
        <w:t xml:space="preserve"> </w:t>
      </w:r>
    </w:p>
    <w:p w14:paraId="000FE7E4" w14:textId="5CE447EB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ste tehotná, nesmiete používať Fulvestrant </w:t>
      </w:r>
      <w:r w:rsidR="00694D63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>. V prípade, že by ste mohli otehotnieť</w:t>
      </w:r>
      <w:r w:rsidR="007121E2">
        <w:rPr>
          <w:rFonts w:ascii="Times New Roman" w:hAnsi="Times New Roman"/>
          <w:lang w:val="sk-SK"/>
        </w:rPr>
        <w:t>, používajte</w:t>
      </w:r>
      <w:r w:rsidRPr="00CD0C72">
        <w:rPr>
          <w:rFonts w:ascii="Times New Roman" w:hAnsi="Times New Roman"/>
          <w:lang w:val="sk-SK"/>
        </w:rPr>
        <w:t xml:space="preserve"> počas liečby</w:t>
      </w:r>
      <w:r w:rsidR="002E20D9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Fulvestrantom </w:t>
      </w:r>
      <w:r w:rsidR="00034986">
        <w:rPr>
          <w:rFonts w:ascii="Times New Roman" w:hAnsi="Times New Roman"/>
          <w:lang w:val="sk-SK"/>
        </w:rPr>
        <w:t>Vipharm</w:t>
      </w:r>
      <w:r w:rsidRPr="00CD0C72">
        <w:rPr>
          <w:rFonts w:ascii="Times New Roman" w:hAnsi="Times New Roman"/>
          <w:lang w:val="sk-SK"/>
        </w:rPr>
        <w:t xml:space="preserve"> </w:t>
      </w:r>
      <w:r w:rsidR="007121E2">
        <w:rPr>
          <w:rFonts w:ascii="Times New Roman" w:hAnsi="Times New Roman"/>
          <w:lang w:val="sk-SK"/>
        </w:rPr>
        <w:t>a</w:t>
      </w:r>
      <w:r w:rsidR="00F5343D">
        <w:rPr>
          <w:rFonts w:ascii="Times New Roman" w:hAnsi="Times New Roman"/>
          <w:lang w:val="sk-SK"/>
        </w:rPr>
        <w:t xml:space="preserve"> počas </w:t>
      </w:r>
      <w:r w:rsidR="007121E2">
        <w:rPr>
          <w:rFonts w:ascii="Times New Roman" w:hAnsi="Times New Roman"/>
          <w:lang w:val="sk-SK"/>
        </w:rPr>
        <w:t>2 rok</w:t>
      </w:r>
      <w:r w:rsidR="00F5343D">
        <w:rPr>
          <w:rFonts w:ascii="Times New Roman" w:hAnsi="Times New Roman"/>
          <w:lang w:val="sk-SK"/>
        </w:rPr>
        <w:t>ov</w:t>
      </w:r>
      <w:r w:rsidR="007121E2">
        <w:rPr>
          <w:rFonts w:ascii="Times New Roman" w:hAnsi="Times New Roman"/>
          <w:lang w:val="sk-SK"/>
        </w:rPr>
        <w:t xml:space="preserve"> </w:t>
      </w:r>
      <w:r w:rsidR="0074578A">
        <w:rPr>
          <w:rFonts w:ascii="Times New Roman" w:hAnsi="Times New Roman"/>
          <w:lang w:val="sk-SK"/>
        </w:rPr>
        <w:t>po</w:t>
      </w:r>
      <w:r w:rsidR="007121E2">
        <w:rPr>
          <w:rFonts w:ascii="Times New Roman" w:hAnsi="Times New Roman"/>
          <w:lang w:val="sk-SK"/>
        </w:rPr>
        <w:t xml:space="preserve"> poslednej dávk</w:t>
      </w:r>
      <w:r w:rsidR="00750CFE">
        <w:rPr>
          <w:rFonts w:ascii="Times New Roman" w:hAnsi="Times New Roman"/>
          <w:lang w:val="sk-SK"/>
        </w:rPr>
        <w:t>e</w:t>
      </w:r>
      <w:r w:rsidR="007121E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účinnú antikoncepciu.</w:t>
      </w:r>
    </w:p>
    <w:p w14:paraId="615E9096" w14:textId="77777777" w:rsidR="002E20D9" w:rsidRDefault="002E20D9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100CAA30" w14:textId="576BE4B3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Počas liečby Fulvestrantom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nesmiete dojčiť.</w:t>
      </w:r>
    </w:p>
    <w:p w14:paraId="50E9BCA4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1F6CB2D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Vedenie vozidiel a obsluha strojov</w:t>
      </w:r>
    </w:p>
    <w:p w14:paraId="63DD50E4" w14:textId="55B9B498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Neočakáva sa, že by Fulvestrant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ovplyvňoval vašu schopnosť viesť vozidlá alebo obsluhovať stroje. Ak sa však počas liečby cítite unavená, neveďte vozidlá a neobsluhujte stroje.</w:t>
      </w:r>
    </w:p>
    <w:p w14:paraId="3C7528F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6954F94" w14:textId="13641D2C" w:rsidR="00A92DC8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960E32">
        <w:rPr>
          <w:rFonts w:ascii="Times New Roman" w:hAnsi="Times New Roman"/>
          <w:b/>
          <w:bCs/>
          <w:lang w:val="sk-SK"/>
        </w:rPr>
        <w:t xml:space="preserve">Fulvestrant </w:t>
      </w:r>
      <w:r w:rsidR="00694D63" w:rsidRPr="00960E32">
        <w:rPr>
          <w:rFonts w:ascii="Times New Roman" w:hAnsi="Times New Roman"/>
          <w:b/>
          <w:bCs/>
          <w:lang w:val="sk-SK"/>
        </w:rPr>
        <w:t>Vipharm</w:t>
      </w:r>
      <w:r w:rsidR="00694D63" w:rsidRPr="00960E32">
        <w:rPr>
          <w:rFonts w:ascii="Times New Roman" w:hAnsi="Times New Roman"/>
          <w:b/>
          <w:lang w:val="sk-SK"/>
        </w:rPr>
        <w:t xml:space="preserve"> </w:t>
      </w:r>
      <w:r w:rsidRPr="00960E32">
        <w:rPr>
          <w:rFonts w:ascii="Times New Roman" w:hAnsi="Times New Roman"/>
          <w:b/>
          <w:bCs/>
          <w:lang w:val="sk-SK"/>
        </w:rPr>
        <w:t xml:space="preserve">obsahuje </w:t>
      </w:r>
      <w:r w:rsidR="00A92DC8">
        <w:rPr>
          <w:rFonts w:ascii="Times New Roman" w:hAnsi="Times New Roman"/>
          <w:b/>
          <w:bCs/>
          <w:lang w:val="sk-SK"/>
        </w:rPr>
        <w:t xml:space="preserve">500 mg alkoholu (etanol) </w:t>
      </w:r>
      <w:r w:rsidR="00A92DC8">
        <w:rPr>
          <w:rFonts w:ascii="Times New Roman" w:hAnsi="Times New Roman"/>
          <w:lang w:val="sk-SK"/>
        </w:rPr>
        <w:t xml:space="preserve">v jednej injekcii, čo zodpovedá 100 mg/ml (10% w/v). </w:t>
      </w:r>
      <w:r w:rsidR="00A92DC8" w:rsidRPr="003C065E">
        <w:rPr>
          <w:rFonts w:ascii="Times New Roman" w:hAnsi="Times New Roman"/>
          <w:lang w:val="sk-SK"/>
        </w:rPr>
        <w:t>Množstvo v jednej injekcii tohto lieku zodpovedá 13 ml piva alebo 5 ml vína.</w:t>
      </w:r>
    </w:p>
    <w:p w14:paraId="02BFE71F" w14:textId="17124457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2D47A4D" w14:textId="3CA7DF6F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Nie je pravdepodobné, že množstvo alkoholu v tomto lieku bude mať </w:t>
      </w:r>
      <w:r w:rsidR="00F6129E">
        <w:rPr>
          <w:rFonts w:ascii="Times New Roman" w:hAnsi="Times New Roman"/>
          <w:lang w:val="sk-SK"/>
        </w:rPr>
        <w:t>vplyv</w:t>
      </w:r>
      <w:r>
        <w:rPr>
          <w:rFonts w:ascii="Times New Roman" w:hAnsi="Times New Roman"/>
          <w:lang w:val="sk-SK"/>
        </w:rPr>
        <w:t xml:space="preserve"> na dospelých a dospievajúcich.</w:t>
      </w:r>
    </w:p>
    <w:p w14:paraId="00860AC9" w14:textId="6854C0CF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Alkohol v tomto lieku môže zmeniť účinky iných liekov. Ak používate iné lieky, povedzte</w:t>
      </w:r>
      <w:r w:rsidR="00434051">
        <w:rPr>
          <w:rFonts w:ascii="Times New Roman" w:hAnsi="Times New Roman"/>
          <w:lang w:val="sk-SK"/>
        </w:rPr>
        <w:t xml:space="preserve"> to</w:t>
      </w:r>
      <w:r>
        <w:rPr>
          <w:rFonts w:ascii="Times New Roman" w:hAnsi="Times New Roman"/>
          <w:lang w:val="sk-SK"/>
        </w:rPr>
        <w:t xml:space="preserve"> svojmu lekárovi alebo lekárnikovi</w:t>
      </w:r>
    </w:p>
    <w:p w14:paraId="3E0B96F6" w14:textId="5DAB2A57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41275D0E" w14:textId="77777777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ste tehotná alebo dojčíte, pred použitím tohto lieku sa poraďte so svojim lekárom alebo lekárnikom.</w:t>
      </w:r>
    </w:p>
    <w:p w14:paraId="3F35A623" w14:textId="77777777" w:rsidR="00A92DC8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2BD4F3D" w14:textId="498F9559" w:rsidR="00A92DC8" w:rsidRPr="00535DCF" w:rsidRDefault="00A92DC8" w:rsidP="00ED16E6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ste závislá od alkoholu, pred použitím tohto lieku sa poraďte so svojim lekárom alebo lekárnikom.  </w:t>
      </w:r>
    </w:p>
    <w:p w14:paraId="0E5EF84E" w14:textId="77777777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C687EF5" w14:textId="19A89412" w:rsidR="00ED16E6" w:rsidRPr="00530C59" w:rsidRDefault="00ED16E6" w:rsidP="00ED16E6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r w:rsidRPr="00530C59">
        <w:rPr>
          <w:rFonts w:ascii="Times New Roman" w:hAnsi="Times New Roman"/>
          <w:b/>
          <w:bCs/>
          <w:lang w:val="sk-SK"/>
        </w:rPr>
        <w:t xml:space="preserve">Fulvestrant </w:t>
      </w:r>
      <w:r w:rsidR="00694D63" w:rsidRPr="000065BC">
        <w:rPr>
          <w:rFonts w:ascii="Times New Roman" w:hAnsi="Times New Roman"/>
          <w:b/>
          <w:bCs/>
          <w:lang w:val="sk-SK"/>
        </w:rPr>
        <w:t xml:space="preserve">Vipharm </w:t>
      </w:r>
      <w:r w:rsidRPr="00530C59">
        <w:rPr>
          <w:rFonts w:ascii="Times New Roman" w:hAnsi="Times New Roman"/>
          <w:b/>
          <w:lang w:val="sk-SK"/>
        </w:rPr>
        <w:t xml:space="preserve">obsahuje 500 mg benzylalkoholu </w:t>
      </w:r>
      <w:r w:rsidR="00007EA0">
        <w:rPr>
          <w:rFonts w:ascii="Times New Roman" w:hAnsi="Times New Roman"/>
          <w:b/>
          <w:lang w:val="sk-SK"/>
        </w:rPr>
        <w:t>na injekciu</w:t>
      </w:r>
      <w:r w:rsidR="00007EA0" w:rsidRPr="00007EA0">
        <w:rPr>
          <w:rFonts w:ascii="Times New Roman" w:hAnsi="Times New Roman"/>
          <w:bCs/>
          <w:lang w:val="sk-SK"/>
        </w:rPr>
        <w:t xml:space="preserve">, </w:t>
      </w:r>
      <w:r w:rsidR="00007EA0">
        <w:rPr>
          <w:rFonts w:ascii="Times New Roman" w:hAnsi="Times New Roman"/>
          <w:bCs/>
          <w:lang w:val="sk-SK"/>
        </w:rPr>
        <w:t>čo zodpovedá 100 mg/ml</w:t>
      </w:r>
      <w:r w:rsidRPr="00007EA0">
        <w:rPr>
          <w:rFonts w:ascii="Times New Roman" w:hAnsi="Times New Roman"/>
          <w:bCs/>
          <w:lang w:val="sk-SK"/>
        </w:rPr>
        <w:t>.</w:t>
      </w:r>
      <w:r w:rsidRPr="00530C59">
        <w:rPr>
          <w:rFonts w:ascii="Times New Roman" w:hAnsi="Times New Roman"/>
          <w:b/>
          <w:lang w:val="sk-SK"/>
        </w:rPr>
        <w:t xml:space="preserve"> </w:t>
      </w:r>
    </w:p>
    <w:p w14:paraId="7FDB66CD" w14:textId="77777777" w:rsidR="00ED16E6" w:rsidRDefault="00ED16E6" w:rsidP="00ED16E6">
      <w:pPr>
        <w:spacing w:after="0" w:line="240" w:lineRule="auto"/>
        <w:contextualSpacing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Benzylalkohol môže spôsobiť alergické reakcie. </w:t>
      </w:r>
    </w:p>
    <w:p w14:paraId="6BE74F40" w14:textId="77777777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3D848E2" w14:textId="38C2A7FA" w:rsidR="00ED16E6" w:rsidRPr="00530C59" w:rsidRDefault="00ED16E6" w:rsidP="00ED16E6">
      <w:pPr>
        <w:spacing w:after="0" w:line="240" w:lineRule="auto"/>
        <w:contextualSpacing/>
        <w:rPr>
          <w:rFonts w:ascii="Times New Roman" w:hAnsi="Times New Roman"/>
          <w:b/>
          <w:lang w:val="sk-SK"/>
        </w:rPr>
      </w:pPr>
      <w:r w:rsidRPr="00530C59">
        <w:rPr>
          <w:rFonts w:ascii="Times New Roman" w:hAnsi="Times New Roman"/>
          <w:b/>
          <w:bCs/>
          <w:lang w:val="sk-SK"/>
        </w:rPr>
        <w:t>Fulvestrant</w:t>
      </w:r>
      <w:r w:rsidRPr="000065BC">
        <w:rPr>
          <w:rFonts w:ascii="Times New Roman" w:hAnsi="Times New Roman"/>
          <w:b/>
          <w:bCs/>
          <w:lang w:val="sk-SK"/>
        </w:rPr>
        <w:t xml:space="preserve"> </w:t>
      </w:r>
      <w:r w:rsidR="00694D63" w:rsidRPr="000065BC">
        <w:rPr>
          <w:rFonts w:ascii="Times New Roman" w:hAnsi="Times New Roman"/>
          <w:b/>
          <w:bCs/>
          <w:lang w:val="sk-SK"/>
        </w:rPr>
        <w:t>Vipharm</w:t>
      </w:r>
      <w:r w:rsidR="00694D63" w:rsidRPr="00530C59">
        <w:rPr>
          <w:rFonts w:ascii="Times New Roman" w:hAnsi="Times New Roman"/>
          <w:b/>
          <w:lang w:val="sk-SK"/>
        </w:rPr>
        <w:t xml:space="preserve"> </w:t>
      </w:r>
      <w:r w:rsidRPr="00530C59">
        <w:rPr>
          <w:rFonts w:ascii="Times New Roman" w:hAnsi="Times New Roman"/>
          <w:b/>
          <w:lang w:val="sk-SK"/>
        </w:rPr>
        <w:t>obsahuje 750 mg benzyl</w:t>
      </w:r>
      <w:r w:rsidR="00A90C22">
        <w:rPr>
          <w:rFonts w:ascii="Times New Roman" w:hAnsi="Times New Roman"/>
          <w:b/>
          <w:lang w:val="sk-SK"/>
        </w:rPr>
        <w:t>-</w:t>
      </w:r>
      <w:r w:rsidRPr="00530C59">
        <w:rPr>
          <w:rFonts w:ascii="Times New Roman" w:hAnsi="Times New Roman"/>
          <w:b/>
          <w:lang w:val="sk-SK"/>
        </w:rPr>
        <w:t xml:space="preserve">benzoátu </w:t>
      </w:r>
      <w:r w:rsidR="00007EA0">
        <w:rPr>
          <w:rFonts w:ascii="Times New Roman" w:hAnsi="Times New Roman"/>
          <w:b/>
          <w:lang w:val="sk-SK"/>
        </w:rPr>
        <w:t>na injekciu</w:t>
      </w:r>
      <w:r w:rsidR="00007EA0" w:rsidRPr="00007EA0">
        <w:rPr>
          <w:rFonts w:ascii="Times New Roman" w:hAnsi="Times New Roman"/>
          <w:bCs/>
          <w:lang w:val="sk-SK"/>
        </w:rPr>
        <w:t xml:space="preserve">, </w:t>
      </w:r>
      <w:r w:rsidR="00007EA0">
        <w:rPr>
          <w:rFonts w:ascii="Times New Roman" w:hAnsi="Times New Roman"/>
          <w:bCs/>
          <w:lang w:val="sk-SK"/>
        </w:rPr>
        <w:t>čo zodpovedá 150 mg/ml.</w:t>
      </w:r>
    </w:p>
    <w:p w14:paraId="3B70B8AE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6E69B5FD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68778F63" w14:textId="14B38F40" w:rsidR="00ED16E6" w:rsidRPr="00CD0C72" w:rsidRDefault="00ED16E6" w:rsidP="00ED16E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Ako používať Fulvestrant </w:t>
      </w:r>
      <w:r w:rsidR="00694D63" w:rsidRPr="000065BC">
        <w:rPr>
          <w:rFonts w:ascii="Times New Roman" w:hAnsi="Times New Roman"/>
          <w:b/>
          <w:bCs/>
          <w:lang w:val="sk-SK"/>
        </w:rPr>
        <w:t>Vipharm</w:t>
      </w:r>
      <w:r w:rsidR="00694D63" w:rsidRPr="00CD0C72">
        <w:rPr>
          <w:rFonts w:ascii="Times New Roman" w:hAnsi="Times New Roman"/>
          <w:b/>
          <w:lang w:val="sk-SK"/>
        </w:rPr>
        <w:t xml:space="preserve"> </w:t>
      </w:r>
    </w:p>
    <w:p w14:paraId="4DC4B922" w14:textId="25B8AF95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3526FAEF" w14:textId="337577F2" w:rsidR="00797381" w:rsidRPr="00CD0C72" w:rsidRDefault="00797381" w:rsidP="00797381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Váš lekár alebo zdravotná sestra vám podá Fulvestra</w:t>
      </w:r>
      <w:r w:rsidRPr="003A19C7">
        <w:rPr>
          <w:rFonts w:ascii="Times New Roman" w:hAnsi="Times New Roman"/>
          <w:lang w:val="sk-SK"/>
        </w:rPr>
        <w:t>nt Vipharm ako pomalú vnútrosvalovú injekciu do sedacieho svalu.</w:t>
      </w:r>
    </w:p>
    <w:p w14:paraId="3934AEE9" w14:textId="77777777" w:rsidR="00797381" w:rsidRPr="00CD0C72" w:rsidRDefault="00797381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0358CEFE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Odporúčaná dávka je 500 mg fulvestrantu (dve 250 mg/5 ml injekcie) podávané jedenkrát mesačne</w:t>
      </w:r>
    </w:p>
    <w:p w14:paraId="01099795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 ďalšou 500 mg dávkou podávanou 2 týždne po začiatočnej dávke.</w:t>
      </w:r>
    </w:p>
    <w:p w14:paraId="351631E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F867AF6" w14:textId="77777777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14:paraId="552800BD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7AB1368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7B862AD7" w14:textId="77777777" w:rsidR="00ED16E6" w:rsidRPr="00CD0C72" w:rsidRDefault="00ED16E6" w:rsidP="00ED16E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Možné vedľajšie účinky</w:t>
      </w:r>
    </w:p>
    <w:p w14:paraId="65266AB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0DD9155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14:paraId="5C14BE83" w14:textId="52BD6FDF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4879A962" w14:textId="192C8301" w:rsidR="00764F8D" w:rsidRPr="00764F8D" w:rsidRDefault="00764F8D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A19C7">
        <w:rPr>
          <w:rFonts w:ascii="Times New Roman" w:hAnsi="Times New Roman"/>
          <w:b/>
          <w:bCs/>
          <w:lang w:val="sk-SK"/>
        </w:rPr>
        <w:t>Závažné vedľajšie účinky</w:t>
      </w:r>
    </w:p>
    <w:p w14:paraId="5BAA77F5" w14:textId="77777777" w:rsidR="00764F8D" w:rsidRPr="00CD0C72" w:rsidRDefault="00764F8D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2DD96DC" w14:textId="77777777" w:rsidR="00ED16E6" w:rsidRPr="00117C9A" w:rsidRDefault="00ED16E6" w:rsidP="00ED16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Ak spozorujete niektorý z nasledujúcich vedľajších účinkov, </w:t>
      </w:r>
      <w:r w:rsidRPr="00117C9A">
        <w:rPr>
          <w:rFonts w:ascii="Times New Roman" w:hAnsi="Times New Roman"/>
          <w:b/>
          <w:bCs/>
          <w:sz w:val="24"/>
          <w:szCs w:val="24"/>
          <w:lang w:val="sk-SK"/>
        </w:rPr>
        <w:t>môžete potrebovať okamžitú</w:t>
      </w:r>
    </w:p>
    <w:p w14:paraId="29F145A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117C9A">
        <w:rPr>
          <w:rFonts w:ascii="Times New Roman" w:hAnsi="Times New Roman"/>
          <w:b/>
          <w:bCs/>
          <w:sz w:val="24"/>
          <w:szCs w:val="24"/>
          <w:lang w:val="sk-SK"/>
        </w:rPr>
        <w:t>lekársku starostlivosť</w:t>
      </w:r>
      <w:r w:rsidRPr="00CD0C72">
        <w:rPr>
          <w:rFonts w:ascii="Times New Roman" w:hAnsi="Times New Roman"/>
          <w:b/>
          <w:bCs/>
          <w:lang w:val="sk-SK"/>
        </w:rPr>
        <w:t>:</w:t>
      </w:r>
    </w:p>
    <w:p w14:paraId="2809AEF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168A4CBE" w14:textId="0078713F" w:rsidR="00ED16E6" w:rsidRPr="00CD0C72" w:rsidRDefault="00ED16E6" w:rsidP="00ED16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1B59F5">
        <w:rPr>
          <w:rFonts w:ascii="Times New Roman" w:hAnsi="Times New Roman"/>
          <w:lang w:val="sk-SK"/>
        </w:rPr>
        <w:t>,</w:t>
      </w:r>
      <w:r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>môžu to byť prejavy anafylaktickej reakcie</w:t>
      </w:r>
    </w:p>
    <w:p w14:paraId="52AED709" w14:textId="77777777" w:rsidR="00ED16E6" w:rsidRPr="00CD0C72" w:rsidRDefault="00ED16E6" w:rsidP="00ED16E6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14:paraId="187C4F16" w14:textId="77777777" w:rsidR="00ED16E6" w:rsidRPr="00CD0C72" w:rsidRDefault="00ED16E6" w:rsidP="00ED16E6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Zápal pečene (hepatitída)</w:t>
      </w:r>
    </w:p>
    <w:p w14:paraId="73F2B829" w14:textId="77777777" w:rsidR="00ED16E6" w:rsidRPr="00CD0C72" w:rsidRDefault="00ED16E6" w:rsidP="00ED16E6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Zlyhanie pečene</w:t>
      </w:r>
    </w:p>
    <w:p w14:paraId="418FED70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4994B4E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Informujte svojho lekára, lekárnika alebo zdravotnú sestru, ak spozorujete niektorý z nasledujúcich vedľajších účinkov:</w:t>
      </w:r>
    </w:p>
    <w:p w14:paraId="68EE0718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E930E7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CD0C72">
        <w:rPr>
          <w:rFonts w:ascii="Times New Roman" w:hAnsi="Times New Roman"/>
          <w:lang w:val="sk-SK"/>
        </w:rPr>
        <w:t>(môžu postihovať viac ako 1 z 10 osôb)</w:t>
      </w:r>
    </w:p>
    <w:p w14:paraId="3A9FCB65" w14:textId="279D2201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Reakcie v mieste podania injekcie</w:t>
      </w:r>
      <w:r w:rsidR="001B59F5">
        <w:rPr>
          <w:rFonts w:ascii="Times New Roman" w:hAnsi="Times New Roman"/>
          <w:lang w:val="sk-SK"/>
        </w:rPr>
        <w:t>,</w:t>
      </w:r>
      <w:r w:rsidRPr="00CD0C72">
        <w:rPr>
          <w:rFonts w:ascii="Times New Roman" w:hAnsi="Times New Roman"/>
          <w:lang w:val="sk-SK"/>
        </w:rPr>
        <w:t xml:space="preserve"> ako je bolesť a/alebo zápal</w:t>
      </w:r>
    </w:p>
    <w:p w14:paraId="1F4AB072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Abnormálne hladiny pečeňových enzýmov (v krvných testoch)*</w:t>
      </w:r>
    </w:p>
    <w:p w14:paraId="0F5FB539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Nauzea (pocit na vracanie)</w:t>
      </w:r>
    </w:p>
    <w:p w14:paraId="65B7FAD6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Slabosť, únava*</w:t>
      </w:r>
    </w:p>
    <w:p w14:paraId="5E1EC73F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kĺbov, svalov a kostí</w:t>
      </w:r>
    </w:p>
    <w:p w14:paraId="5DCE9E1E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Návaly tepla</w:t>
      </w:r>
    </w:p>
    <w:p w14:paraId="5A94C3C2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Kožná vyrážka</w:t>
      </w:r>
    </w:p>
    <w:p w14:paraId="1826C1AB" w14:textId="77777777" w:rsidR="00ED16E6" w:rsidRPr="00CD0C72" w:rsidRDefault="00ED16E6" w:rsidP="00ED16E6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14:paraId="21E08EF2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ED89AE1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14:paraId="16BA6FB9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95CD8B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Pr="00CD0C72">
        <w:rPr>
          <w:rFonts w:ascii="Times New Roman" w:hAnsi="Times New Roman"/>
          <w:lang w:val="sk-SK"/>
        </w:rPr>
        <w:t>(môžu postihovať menej ako 1 z 10 osôb)</w:t>
      </w:r>
    </w:p>
    <w:p w14:paraId="49F2830D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hlavy</w:t>
      </w:r>
    </w:p>
    <w:p w14:paraId="779A67C1" w14:textId="6AA35056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Vracanie, hnačka alebo strata chuti do jedla</w:t>
      </w:r>
      <w:r w:rsidR="0073681E" w:rsidRPr="00CD0C72">
        <w:rPr>
          <w:rFonts w:ascii="Times New Roman" w:hAnsi="Times New Roman"/>
          <w:lang w:val="sk-SK"/>
        </w:rPr>
        <w:t>*</w:t>
      </w:r>
      <w:r w:rsidR="0073681E">
        <w:rPr>
          <w:rFonts w:ascii="Times New Roman" w:hAnsi="Times New Roman"/>
          <w:lang w:val="sk-SK"/>
        </w:rPr>
        <w:t xml:space="preserve"> </w:t>
      </w:r>
    </w:p>
    <w:p w14:paraId="798B55BD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Infekcie močových ciest</w:t>
      </w:r>
    </w:p>
    <w:p w14:paraId="716532F6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chrbta*</w:t>
      </w:r>
    </w:p>
    <w:p w14:paraId="5260F895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Zvýšenie hodnôt bilirubínu (žlčové farbivo, ktoré sa tvorí v pečeni)</w:t>
      </w:r>
    </w:p>
    <w:p w14:paraId="6D2D57A6" w14:textId="77777777" w:rsidR="00ED16E6" w:rsidRPr="00CD0C72" w:rsidRDefault="00ED16E6" w:rsidP="00ED16E6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Tromboembólia (zvýšené riziko vzniku krvných zrazenín)*</w:t>
      </w:r>
    </w:p>
    <w:p w14:paraId="7F886E3E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Znížené hladiny krvných doštičiek (trombocytopénia)</w:t>
      </w:r>
    </w:p>
    <w:p w14:paraId="2FFA32F1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Vaginálne krvácanie</w:t>
      </w:r>
    </w:p>
    <w:p w14:paraId="2C81091D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v dolnej časti chrbta vyžarujúca do dolnej končatiny na jednej strane (ischias)</w:t>
      </w:r>
    </w:p>
    <w:p w14:paraId="6D4774E6" w14:textId="77777777" w:rsidR="00ED16E6" w:rsidRPr="00CD0C72" w:rsidRDefault="00ED16E6" w:rsidP="00ED16E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Náhla slabosť, znecitlivenie, mravčenie alebo nepohyblivosť nohy, obzvlášť iba na jednej strane tela, náhle problémy s chôdzou alebo rovnováhou (periférna neuropatia)</w:t>
      </w:r>
    </w:p>
    <w:p w14:paraId="695C93D0" w14:textId="77777777" w:rsidR="00ED16E6" w:rsidRPr="00CD0C72" w:rsidRDefault="00ED16E6" w:rsidP="00ED16E6">
      <w:pPr>
        <w:spacing w:after="0" w:line="240" w:lineRule="auto"/>
        <w:ind w:left="720"/>
        <w:rPr>
          <w:rFonts w:ascii="Times New Roman" w:hAnsi="Times New Roman"/>
          <w:b/>
          <w:bCs/>
          <w:lang w:val="sk-SK"/>
        </w:rPr>
      </w:pPr>
    </w:p>
    <w:p w14:paraId="1F9F80EF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Pr="00CD0C72">
        <w:rPr>
          <w:rFonts w:ascii="Times New Roman" w:hAnsi="Times New Roman"/>
          <w:lang w:val="sk-SK"/>
        </w:rPr>
        <w:t>(môžu postihovať menej ako 1 zo 100 osôb)</w:t>
      </w:r>
    </w:p>
    <w:p w14:paraId="452219A8" w14:textId="77777777" w:rsidR="00ED16E6" w:rsidRPr="00CD0C72" w:rsidRDefault="00ED16E6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>Hustý belavý výtok z pošvy a kandidóza (infekcia)</w:t>
      </w:r>
    </w:p>
    <w:p w14:paraId="483F0AC9" w14:textId="77777777" w:rsidR="00ED16E6" w:rsidRPr="00CD0C72" w:rsidRDefault="00ED16E6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Podliatina a krvácanie v mieste vpichu injekcie</w:t>
      </w:r>
    </w:p>
    <w:p w14:paraId="358DA92C" w14:textId="77777777" w:rsidR="00ED16E6" w:rsidRPr="00CD0C72" w:rsidRDefault="00ED16E6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Zvýšenie gama-GT pečeňového enzýmu, pozorovaného pri kontrole krvi</w:t>
      </w:r>
    </w:p>
    <w:p w14:paraId="169FC2E5" w14:textId="77777777" w:rsidR="00ED16E6" w:rsidRDefault="00ED16E6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Zápal pečene (hepatitída)</w:t>
      </w:r>
    </w:p>
    <w:p w14:paraId="690C3E4F" w14:textId="15BF41B5" w:rsidR="00955DBC" w:rsidRPr="00CD0C72" w:rsidRDefault="00955DBC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>
        <w:rPr>
          <w:rFonts w:ascii="Times New Roman" w:hAnsi="Times New Roman"/>
          <w:lang w:val="sk-SK" w:eastAsia="sk-SK"/>
        </w:rPr>
        <w:t>Zlyhanie pečene</w:t>
      </w:r>
      <w:bookmarkStart w:id="0" w:name="_GoBack"/>
      <w:bookmarkEnd w:id="0"/>
    </w:p>
    <w:p w14:paraId="6C30F89F" w14:textId="77777777" w:rsidR="00ED16E6" w:rsidRPr="00CD0C72" w:rsidRDefault="00ED16E6" w:rsidP="00ED16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Znecitlivenie, mravčenie a bolesť</w:t>
      </w:r>
    </w:p>
    <w:p w14:paraId="2DBEEFC9" w14:textId="77777777" w:rsidR="00ED16E6" w:rsidRPr="00CD0C72" w:rsidRDefault="00ED16E6" w:rsidP="00ED16E6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Anafylaktické reakcie</w:t>
      </w:r>
    </w:p>
    <w:p w14:paraId="1101CDF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0D4704FA" w14:textId="4E9AA7AC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*Zahŕňa vedľajšie účinky, pri ktorých sa </w:t>
      </w:r>
      <w:r w:rsidR="0073681E">
        <w:rPr>
          <w:rFonts w:ascii="Times New Roman" w:hAnsi="Times New Roman"/>
          <w:lang w:val="sk-SK" w:eastAsia="sk-SK"/>
        </w:rPr>
        <w:t>zavinenie</w:t>
      </w:r>
      <w:r w:rsidRPr="00CD0C72">
        <w:rPr>
          <w:rFonts w:ascii="Times New Roman" w:hAnsi="Times New Roman"/>
          <w:lang w:val="sk-SK" w:eastAsia="sk-SK"/>
        </w:rPr>
        <w:t xml:space="preserve"> Fulvestrantom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 w:eastAsia="sk-SK"/>
        </w:rPr>
        <w:t xml:space="preserve"> </w:t>
      </w:r>
      <w:r w:rsidRPr="00CD0C72">
        <w:rPr>
          <w:rFonts w:ascii="Times New Roman" w:hAnsi="Times New Roman"/>
          <w:lang w:val="sk-SK" w:eastAsia="sk-SK"/>
        </w:rPr>
        <w:t>nemôže posudzovať vzhľadom na základné ochorenie.</w:t>
      </w:r>
    </w:p>
    <w:p w14:paraId="78969D8B" w14:textId="77777777" w:rsidR="00ED16E6" w:rsidRPr="00577FE3" w:rsidRDefault="00ED16E6" w:rsidP="00ED16E6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4526DC93" w14:textId="77777777" w:rsidR="00ED16E6" w:rsidRPr="00577FE3" w:rsidRDefault="00ED16E6" w:rsidP="00ED16E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Hlásenie vedľajších účinkov</w:t>
      </w:r>
    </w:p>
    <w:p w14:paraId="7EE8CFA3" w14:textId="3FD23160" w:rsidR="00ED16E6" w:rsidRPr="00577FE3" w:rsidRDefault="00ED16E6" w:rsidP="00ED16E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lang w:val="sk-SK"/>
        </w:rPr>
        <w:t>Ak sa u vás vyskytne akýkoľvek vedľajší účinok, obráťte sa na svojho lekára</w:t>
      </w:r>
      <w:r w:rsidR="00C61954">
        <w:rPr>
          <w:rFonts w:ascii="Times New Roman" w:hAnsi="Times New Roman"/>
          <w:lang w:val="sk-SK"/>
        </w:rPr>
        <w:t>,</w:t>
      </w:r>
      <w:r w:rsidRPr="00577FE3">
        <w:rPr>
          <w:rFonts w:ascii="Times New Roman" w:hAnsi="Times New Roman"/>
          <w:lang w:val="sk-SK"/>
        </w:rPr>
        <w:t xml:space="preserve"> lekárnika</w:t>
      </w:r>
      <w:r w:rsidR="00C61954">
        <w:rPr>
          <w:rFonts w:ascii="Times New Roman" w:hAnsi="Times New Roman"/>
          <w:lang w:val="sk-SK"/>
        </w:rPr>
        <w:t xml:space="preserve"> alebo zdravotnú sestru</w:t>
      </w:r>
      <w:r w:rsidRPr="00577FE3">
        <w:rPr>
          <w:rFonts w:ascii="Times New Roman" w:hAnsi="Times New Roman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577FE3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7" w:history="1">
        <w:r w:rsidRPr="00577FE3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577FE3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14:paraId="4472910F" w14:textId="77777777" w:rsidR="00ED16E6" w:rsidRPr="00577FE3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7A33B534" w14:textId="77777777" w:rsidR="00ED16E6" w:rsidRPr="00577FE3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CBB740B" w14:textId="307523E1" w:rsidR="00ED16E6" w:rsidRPr="00577FE3" w:rsidRDefault="00ED16E6" w:rsidP="00ED16E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 xml:space="preserve">Ako uchovávať Fulvestrant </w:t>
      </w:r>
      <w:r w:rsidR="00694D63" w:rsidRPr="00DF2D69">
        <w:rPr>
          <w:rFonts w:ascii="Times New Roman" w:hAnsi="Times New Roman"/>
          <w:b/>
          <w:bCs/>
          <w:lang w:val="sk-SK"/>
        </w:rPr>
        <w:t xml:space="preserve">Vipharm </w:t>
      </w:r>
    </w:p>
    <w:p w14:paraId="2E5F900E" w14:textId="77777777" w:rsidR="00ED16E6" w:rsidRPr="00577FE3" w:rsidRDefault="00ED16E6" w:rsidP="00ED16E6">
      <w:pPr>
        <w:pStyle w:val="Odsekzoznamu"/>
        <w:spacing w:after="0" w:line="240" w:lineRule="auto"/>
        <w:contextualSpacing w:val="0"/>
        <w:rPr>
          <w:rFonts w:ascii="Times New Roman" w:hAnsi="Times New Roman"/>
          <w:b/>
          <w:bCs/>
          <w:lang w:val="sk-SK"/>
        </w:rPr>
      </w:pPr>
    </w:p>
    <w:p w14:paraId="23263C8F" w14:textId="1E2A99E2" w:rsidR="00ED16E6" w:rsidRDefault="00ED16E6" w:rsidP="00ED16E6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lang w:val="sk-SK"/>
        </w:rPr>
        <w:t>Tento liek uchovávajte mimo dohľadu a dosahu detí.</w:t>
      </w:r>
    </w:p>
    <w:p w14:paraId="635E2946" w14:textId="2E6248C8" w:rsidR="00981EFD" w:rsidRDefault="00981EFD" w:rsidP="00ED16E6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</w:p>
    <w:p w14:paraId="1FF9317C" w14:textId="77777777" w:rsidR="00981EFD" w:rsidRDefault="00981EFD" w:rsidP="00981EFD">
      <w:pPr>
        <w:spacing w:after="0" w:line="240" w:lineRule="auto"/>
        <w:rPr>
          <w:rFonts w:ascii="Times New Roman" w:hAnsi="Times New Roman"/>
          <w:lang w:val="sk-SK"/>
        </w:rPr>
      </w:pPr>
      <w:r w:rsidRPr="00981EFD">
        <w:rPr>
          <w:rFonts w:ascii="Times New Roman" w:hAnsi="Times New Roman"/>
          <w:lang w:val="sk-SK"/>
        </w:rPr>
        <w:t>Nepoužívajte tento liek po dátume exspirácie, ktorý je uvedený na škatuli alebo na štítkoch na</w:t>
      </w:r>
      <w:r>
        <w:rPr>
          <w:rFonts w:ascii="Times New Roman" w:hAnsi="Times New Roman"/>
          <w:lang w:val="sk-SK"/>
        </w:rPr>
        <w:t xml:space="preserve"> </w:t>
      </w:r>
      <w:r w:rsidRPr="00981EFD">
        <w:rPr>
          <w:rFonts w:ascii="Times New Roman" w:hAnsi="Times New Roman"/>
          <w:lang w:val="sk-SK"/>
        </w:rPr>
        <w:t xml:space="preserve">injekčnej striekačke po EXP. </w:t>
      </w:r>
    </w:p>
    <w:p w14:paraId="1AC554DB" w14:textId="0C8D3364" w:rsidR="00981EFD" w:rsidRPr="00981EFD" w:rsidRDefault="00981EFD" w:rsidP="00981EFD">
      <w:pPr>
        <w:spacing w:after="0" w:line="240" w:lineRule="auto"/>
        <w:rPr>
          <w:rFonts w:ascii="Times New Roman" w:hAnsi="Times New Roman"/>
          <w:lang w:val="sk-SK"/>
        </w:rPr>
      </w:pPr>
      <w:r w:rsidRPr="00981EFD">
        <w:rPr>
          <w:rFonts w:ascii="Times New Roman" w:hAnsi="Times New Roman"/>
          <w:lang w:val="sk-SK"/>
        </w:rPr>
        <w:t>Dátum exspirácie sa vzťahuje na posledný deň v danom mesiaci.</w:t>
      </w:r>
    </w:p>
    <w:p w14:paraId="0CEDFAC4" w14:textId="77777777" w:rsidR="00ED16E6" w:rsidRPr="00981EFD" w:rsidRDefault="00ED16E6" w:rsidP="00ED16E6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</w:p>
    <w:p w14:paraId="20B9E940" w14:textId="7DBCFDA6" w:rsidR="00ED16E6" w:rsidRPr="000C254D" w:rsidRDefault="00ED16E6" w:rsidP="00ED16E6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Uchovávajte a prepravujte v chlad</w:t>
      </w:r>
      <w:r w:rsidR="00C61954">
        <w:rPr>
          <w:rFonts w:ascii="Times New Roman" w:hAnsi="Times New Roman"/>
          <w:lang w:val="sk-SK"/>
        </w:rPr>
        <w:t>e</w:t>
      </w:r>
      <w:r w:rsidRPr="000C254D">
        <w:rPr>
          <w:rFonts w:ascii="Times New Roman" w:hAnsi="Times New Roman"/>
          <w:lang w:val="sk-SK"/>
        </w:rPr>
        <w:t xml:space="preserve"> (2°C – 8°C). </w:t>
      </w:r>
    </w:p>
    <w:p w14:paraId="1036CAD3" w14:textId="77777777" w:rsidR="00ED16E6" w:rsidRPr="000C254D" w:rsidRDefault="00ED16E6" w:rsidP="00ED16E6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686D16EE" w14:textId="565BB7F9" w:rsidR="00EE6DD7" w:rsidRPr="000C254D" w:rsidRDefault="00EE6DD7" w:rsidP="00EE6DD7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3A19C7">
        <w:rPr>
          <w:rFonts w:ascii="Times New Roman" w:hAnsi="Times New Roman"/>
          <w:lang w:val="sk-SK"/>
        </w:rPr>
        <w:t xml:space="preserve">Má sa zamedziť teplotným odchýlkam mimo rozsahu 2°C </w:t>
      </w:r>
      <w:r w:rsidR="009E59AD" w:rsidRPr="003A19C7">
        <w:rPr>
          <w:rFonts w:ascii="Times New Roman" w:hAnsi="Times New Roman"/>
          <w:lang w:val="sk-SK"/>
        </w:rPr>
        <w:t>až</w:t>
      </w:r>
      <w:r w:rsidRPr="003A19C7">
        <w:rPr>
          <w:rFonts w:ascii="Times New Roman" w:hAnsi="Times New Roman"/>
          <w:lang w:val="sk-SK"/>
        </w:rPr>
        <w:t xml:space="preserve"> 8°C. </w:t>
      </w:r>
      <w:r w:rsidRPr="003A19C7">
        <w:rPr>
          <w:rFonts w:ascii="Times New Roman" w:eastAsia="Times New Roman" w:hAnsi="Times New Roman"/>
          <w:lang w:val="sk-SK" w:bidi="sk-SK"/>
        </w:rPr>
        <w:t>Vyhnite sa uchovávaniu pri teplote prevyšujúcej 30°C a</w:t>
      </w:r>
      <w:r w:rsidRPr="00E56382">
        <w:rPr>
          <w:rFonts w:ascii="Times New Roman" w:eastAsia="Times New Roman" w:hAnsi="Times New Roman"/>
          <w:lang w:val="sk-SK" w:bidi="sk-SK"/>
        </w:rPr>
        <w:t xml:space="preserve"> presahujúcej 28-dňové obdobie, kedy priemerná teplota uchovávania pre tento liek je nižšia ako 25°C (ale nad rozsah 2°C </w:t>
      </w:r>
      <w:r w:rsidR="00D87B26">
        <w:rPr>
          <w:rFonts w:ascii="Times New Roman" w:hAnsi="Times New Roman"/>
          <w:lang w:val="sk-SK"/>
        </w:rPr>
        <w:t>až</w:t>
      </w:r>
      <w:r w:rsidRPr="00E56382">
        <w:rPr>
          <w:rFonts w:ascii="Times New Roman" w:eastAsia="Times New Roman" w:hAnsi="Times New Roman"/>
          <w:lang w:val="sk-SK" w:bidi="sk-SK"/>
        </w:rPr>
        <w:t xml:space="preserve"> 8°C). </w:t>
      </w:r>
      <w:r w:rsidRPr="00E56382">
        <w:rPr>
          <w:rFonts w:ascii="Times New Roman" w:hAnsi="Times New Roman"/>
          <w:lang w:val="sk-SK"/>
        </w:rPr>
        <w:t>Po teplotných odchýlkach sa má liek ihneď vrátiť do odporúčaných podmienok uchovávania (uchovávanie a preprava v chlad</w:t>
      </w:r>
      <w:r w:rsidR="00C61954">
        <w:rPr>
          <w:rFonts w:ascii="Times New Roman" w:hAnsi="Times New Roman"/>
          <w:lang w:val="sk-SK"/>
        </w:rPr>
        <w:t>e</w:t>
      </w:r>
      <w:r w:rsidRPr="00E56382">
        <w:rPr>
          <w:rFonts w:ascii="Times New Roman" w:hAnsi="Times New Roman"/>
          <w:lang w:val="sk-SK"/>
        </w:rPr>
        <w:t xml:space="preserve"> 2°C </w:t>
      </w:r>
      <w:r w:rsidR="00286928">
        <w:rPr>
          <w:rFonts w:ascii="Times New Roman" w:hAnsi="Times New Roman"/>
          <w:lang w:val="sk-SK"/>
        </w:rPr>
        <w:t>až</w:t>
      </w:r>
      <w:r w:rsidRPr="00E56382">
        <w:rPr>
          <w:rFonts w:ascii="Times New Roman" w:hAnsi="Times New Roman"/>
          <w:lang w:val="sk-SK"/>
        </w:rPr>
        <w:t xml:space="preserve"> 8°C). Teplotné odchýlky majú kumulatívny účinok na kvalitu lieku a 28-dňová lehota sa nesmie prekročiť počas </w:t>
      </w:r>
      <w:r w:rsidR="00A52864">
        <w:rPr>
          <w:rFonts w:ascii="Times New Roman" w:hAnsi="Times New Roman"/>
          <w:lang w:val="sk-SK"/>
        </w:rPr>
        <w:t xml:space="preserve">trvania </w:t>
      </w:r>
      <w:r w:rsidRPr="00E56382">
        <w:rPr>
          <w:rFonts w:ascii="Times New Roman" w:hAnsi="Times New Roman"/>
          <w:lang w:val="sk-SK"/>
        </w:rPr>
        <w:t xml:space="preserve">času použiteľnosti </w:t>
      </w:r>
      <w:r w:rsidR="00CC0385">
        <w:rPr>
          <w:rFonts w:ascii="Times New Roman" w:hAnsi="Times New Roman"/>
          <w:lang w:val="sk-SK"/>
        </w:rPr>
        <w:t>F</w:t>
      </w:r>
      <w:r w:rsidRPr="00E56382">
        <w:rPr>
          <w:rFonts w:ascii="Times New Roman" w:hAnsi="Times New Roman"/>
          <w:lang w:val="sk-SK"/>
        </w:rPr>
        <w:t xml:space="preserve">ulvestrantu </w:t>
      </w:r>
      <w:r w:rsidR="00CC0385">
        <w:rPr>
          <w:rFonts w:ascii="Times New Roman" w:hAnsi="Times New Roman"/>
          <w:lang w:val="sk-SK"/>
        </w:rPr>
        <w:t xml:space="preserve">Vipharm </w:t>
      </w:r>
      <w:r w:rsidRPr="00E56382">
        <w:rPr>
          <w:rFonts w:ascii="Times New Roman" w:hAnsi="Times New Roman"/>
          <w:lang w:val="sk-SK"/>
        </w:rPr>
        <w:t>(pozri časť 6.3). Vystavením teplotám nižším ako 2°C nedôjde k poškodeniu lieku za predpokladu, že nie je uchovávaný pod -20°C.</w:t>
      </w:r>
      <w:r>
        <w:rPr>
          <w:rFonts w:ascii="Times New Roman" w:hAnsi="Times New Roman"/>
          <w:lang w:val="sk-SK"/>
        </w:rPr>
        <w:t xml:space="preserve"> </w:t>
      </w:r>
      <w:r w:rsidR="009E59AD">
        <w:rPr>
          <w:rFonts w:ascii="Times New Roman" w:hAnsi="Times New Roman"/>
          <w:lang w:val="sk-SK"/>
        </w:rPr>
        <w:t xml:space="preserve"> </w:t>
      </w:r>
    </w:p>
    <w:p w14:paraId="7E80B5DB" w14:textId="39FB33AE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45F57765" w14:textId="77777777" w:rsidR="00981EFD" w:rsidRPr="000C254D" w:rsidRDefault="00981EFD" w:rsidP="00981EF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 xml:space="preserve">Naplnenú injekčnú striekačku uchovávajte v pôvodnom </w:t>
      </w:r>
      <w:r>
        <w:rPr>
          <w:rFonts w:ascii="Times New Roman" w:hAnsi="Times New Roman"/>
          <w:lang w:val="sk-SK"/>
        </w:rPr>
        <w:t>obale</w:t>
      </w:r>
      <w:r w:rsidRPr="000C254D">
        <w:rPr>
          <w:rFonts w:ascii="Times New Roman" w:hAnsi="Times New Roman"/>
          <w:lang w:val="sk-SK"/>
        </w:rPr>
        <w:t xml:space="preserve"> na ochranu pred svetlom.</w:t>
      </w:r>
    </w:p>
    <w:p w14:paraId="74FA6B5B" w14:textId="77777777" w:rsidR="00981EFD" w:rsidRPr="00CD0C72" w:rsidRDefault="00981EFD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B5056EB" w14:textId="43EB8989" w:rsidR="00ED16E6" w:rsidRPr="000C254D" w:rsidRDefault="00ED16E6" w:rsidP="00ED16E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3A19C7">
        <w:rPr>
          <w:rFonts w:ascii="Times New Roman" w:hAnsi="Times New Roman"/>
          <w:lang w:val="sk-SK" w:eastAsia="sk-SK"/>
        </w:rPr>
        <w:t xml:space="preserve">Váš </w:t>
      </w:r>
      <w:r w:rsidR="008D35AC" w:rsidRPr="003A19C7">
        <w:rPr>
          <w:rFonts w:ascii="Times New Roman" w:hAnsi="Times New Roman"/>
          <w:lang w:val="sk-SK" w:eastAsia="sk-SK"/>
        </w:rPr>
        <w:t>zdravotník</w:t>
      </w:r>
      <w:r w:rsidRPr="003A19C7">
        <w:rPr>
          <w:rFonts w:ascii="Times New Roman" w:hAnsi="Times New Roman"/>
          <w:lang w:val="sk-SK" w:eastAsia="sk-SK"/>
        </w:rPr>
        <w:t xml:space="preserve"> bude</w:t>
      </w:r>
      <w:r w:rsidRPr="00CD0C72">
        <w:rPr>
          <w:rFonts w:ascii="Times New Roman" w:hAnsi="Times New Roman"/>
          <w:lang w:val="sk-SK" w:eastAsia="sk-SK"/>
        </w:rPr>
        <w:t xml:space="preserve"> zodpovedný za riadne uchovávanie, použitie a likvidáciu Fulvestrantu </w:t>
      </w:r>
      <w:r w:rsidR="00694D63">
        <w:rPr>
          <w:rFonts w:ascii="Times New Roman" w:hAnsi="Times New Roman"/>
          <w:lang w:val="sk-SK"/>
        </w:rPr>
        <w:t>Vipharm</w:t>
      </w:r>
      <w:r w:rsidR="008D35AC">
        <w:rPr>
          <w:rFonts w:ascii="Times New Roman" w:hAnsi="Times New Roman"/>
          <w:lang w:val="sk-SK"/>
        </w:rPr>
        <w:t>.</w:t>
      </w:r>
    </w:p>
    <w:p w14:paraId="44232CD1" w14:textId="77777777" w:rsidR="00ED16E6" w:rsidRPr="00CD0C72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14:paraId="5612C075" w14:textId="1991D5DD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prostredie.</w:t>
      </w:r>
      <w:r w:rsidR="00716755">
        <w:rPr>
          <w:rFonts w:ascii="Times New Roman" w:hAnsi="Times New Roman"/>
          <w:lang w:val="sk-SK" w:eastAsia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Nelikvidujte lieky odpadovou vodou alebo domovým </w:t>
      </w:r>
      <w:r w:rsidRPr="003A19C7">
        <w:rPr>
          <w:rFonts w:ascii="Times New Roman" w:hAnsi="Times New Roman"/>
          <w:lang w:val="sk-SK"/>
        </w:rPr>
        <w:t>odpadom. Nepoužitý liek vráťte do lekárne.</w:t>
      </w:r>
      <w:r w:rsidRPr="00CD0C72">
        <w:rPr>
          <w:rFonts w:ascii="Times New Roman" w:hAnsi="Times New Roman"/>
          <w:lang w:val="sk-SK"/>
        </w:rPr>
        <w:t xml:space="preserve"> Tieto opatrenia pomôžu chrániť životné prostredie.</w:t>
      </w:r>
    </w:p>
    <w:p w14:paraId="286E2A9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5648D6B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1D91FBF1" w14:textId="77777777" w:rsidR="00ED16E6" w:rsidRPr="00CD0C72" w:rsidRDefault="00ED16E6" w:rsidP="00ED16E6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 balenia a ďalšie informácie</w:t>
      </w:r>
    </w:p>
    <w:p w14:paraId="047B1DA1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22C4B23" w14:textId="060C2ADF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Čo Fulvestrant</w:t>
      </w:r>
      <w:r w:rsidRPr="00577B14">
        <w:rPr>
          <w:rFonts w:ascii="Times New Roman" w:hAnsi="Times New Roman"/>
          <w:b/>
          <w:bCs/>
          <w:lang w:val="sk-SK"/>
        </w:rPr>
        <w:t xml:space="preserve"> </w:t>
      </w:r>
      <w:r w:rsidR="00694D63" w:rsidRPr="00577B14">
        <w:rPr>
          <w:rFonts w:ascii="Times New Roman" w:hAnsi="Times New Roman"/>
          <w:b/>
          <w:bCs/>
          <w:lang w:val="sk-SK"/>
        </w:rPr>
        <w:t>Vipharm</w:t>
      </w:r>
      <w:r w:rsidR="00694D63" w:rsidRPr="00CD0C72">
        <w:rPr>
          <w:rFonts w:ascii="Times New Roman" w:hAnsi="Times New Roman"/>
          <w:b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</w:p>
    <w:p w14:paraId="751E73D4" w14:textId="4DC2BAF1" w:rsidR="00ED16E6" w:rsidRPr="00577B14" w:rsidRDefault="00ED16E6" w:rsidP="00577B14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Liečivo je fulvestrant. </w:t>
      </w:r>
      <w:r w:rsidRPr="00577B14">
        <w:rPr>
          <w:rFonts w:ascii="Times New Roman" w:hAnsi="Times New Roman"/>
          <w:lang w:val="sk-SK"/>
        </w:rPr>
        <w:t xml:space="preserve">Každá naplnená injekčná striekačka (5 ml) obsahuje 250 mg fulvestrantu. </w:t>
      </w:r>
    </w:p>
    <w:p w14:paraId="2C4E8B2C" w14:textId="1EB2FE36" w:rsidR="00ED16E6" w:rsidRPr="00CD0C72" w:rsidRDefault="00ED16E6" w:rsidP="00ED16E6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Ďalšie zložky sú etanol </w:t>
      </w:r>
      <w:r w:rsidR="00577B14">
        <w:rPr>
          <w:rFonts w:ascii="Times New Roman" w:hAnsi="Times New Roman"/>
          <w:lang w:val="sk-SK"/>
        </w:rPr>
        <w:t>(</w:t>
      </w:r>
      <w:r w:rsidRPr="00CD0C72">
        <w:rPr>
          <w:rFonts w:ascii="Times New Roman" w:hAnsi="Times New Roman"/>
          <w:lang w:val="sk-SK"/>
        </w:rPr>
        <w:t>96</w:t>
      </w:r>
      <w:r w:rsidR="00577B14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%</w:t>
      </w:r>
      <w:r w:rsidR="00577B14">
        <w:rPr>
          <w:rFonts w:ascii="Times New Roman" w:hAnsi="Times New Roman"/>
          <w:lang w:val="sk-SK"/>
        </w:rPr>
        <w:t>)</w:t>
      </w:r>
      <w:r w:rsidRPr="00CD0C72">
        <w:rPr>
          <w:rFonts w:ascii="Times New Roman" w:hAnsi="Times New Roman"/>
          <w:lang w:val="sk-SK"/>
        </w:rPr>
        <w:t>, benzylakohol</w:t>
      </w:r>
      <w:r w:rsidR="00577B14">
        <w:rPr>
          <w:rFonts w:ascii="Times New Roman" w:hAnsi="Times New Roman"/>
          <w:lang w:val="sk-SK"/>
        </w:rPr>
        <w:t xml:space="preserve"> (E1519)</w:t>
      </w:r>
      <w:r w:rsidRPr="00CD0C72">
        <w:rPr>
          <w:rFonts w:ascii="Times New Roman" w:hAnsi="Times New Roman"/>
          <w:lang w:val="sk-SK"/>
        </w:rPr>
        <w:t>, benzyl</w:t>
      </w:r>
      <w:r w:rsidR="00A90C22">
        <w:rPr>
          <w:rFonts w:ascii="Times New Roman" w:hAnsi="Times New Roman"/>
          <w:lang w:val="sk-SK"/>
        </w:rPr>
        <w:t>-</w:t>
      </w:r>
      <w:r w:rsidRPr="00CD0C72">
        <w:rPr>
          <w:rFonts w:ascii="Times New Roman" w:hAnsi="Times New Roman"/>
          <w:lang w:val="sk-SK"/>
        </w:rPr>
        <w:t>benzoát a</w:t>
      </w:r>
      <w:r>
        <w:rPr>
          <w:rFonts w:ascii="Times New Roman" w:hAnsi="Times New Roman"/>
          <w:lang w:val="sk-SK"/>
        </w:rPr>
        <w:t xml:space="preserve"> rafinovaný</w:t>
      </w:r>
      <w:r w:rsidRPr="00CD0C72">
        <w:rPr>
          <w:rFonts w:ascii="Times New Roman" w:hAnsi="Times New Roman"/>
          <w:lang w:val="sk-SK"/>
        </w:rPr>
        <w:t xml:space="preserve"> ricínový olej.</w:t>
      </w:r>
    </w:p>
    <w:p w14:paraId="5C3DD3E6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4AF7123E" w14:textId="47A60C1D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Ako vyzerá Fulvestrant </w:t>
      </w:r>
      <w:r w:rsidR="00694D63" w:rsidRPr="00C87BD4">
        <w:rPr>
          <w:rFonts w:ascii="Times New Roman" w:hAnsi="Times New Roman"/>
          <w:b/>
          <w:bCs/>
          <w:lang w:val="sk-SK"/>
        </w:rPr>
        <w:t>Vipharm</w:t>
      </w:r>
      <w:r w:rsidR="00694D63" w:rsidRPr="00CD0C72">
        <w:rPr>
          <w:rFonts w:ascii="Times New Roman" w:hAnsi="Times New Roman"/>
          <w:b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a obsah balenia</w:t>
      </w:r>
    </w:p>
    <w:p w14:paraId="0383BFC0" w14:textId="77777777" w:rsidR="00ED16E6" w:rsidRPr="00CD0C72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05FD973" w14:textId="24DE93C4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="00694D6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je číry, bezfarebný až žltý</w:t>
      </w:r>
      <w:r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viskózny roztok naplnen</w:t>
      </w:r>
      <w:r w:rsidR="00474A08">
        <w:rPr>
          <w:rFonts w:ascii="Times New Roman" w:hAnsi="Times New Roman"/>
          <w:lang w:val="sk-SK"/>
        </w:rPr>
        <w:t xml:space="preserve">ý v </w:t>
      </w:r>
      <w:r w:rsidRPr="00CD0C72">
        <w:rPr>
          <w:rFonts w:ascii="Times New Roman" w:hAnsi="Times New Roman"/>
          <w:lang w:val="sk-SK"/>
        </w:rPr>
        <w:t>injekčnej striekačke</w:t>
      </w:r>
      <w:r w:rsidR="00C315D3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obsahu</w:t>
      </w:r>
      <w:r w:rsidR="00474A08">
        <w:rPr>
          <w:rFonts w:ascii="Times New Roman" w:hAnsi="Times New Roman"/>
          <w:lang w:val="sk-SK"/>
        </w:rPr>
        <w:t>júci</w:t>
      </w:r>
      <w:r w:rsidRPr="00526D05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5 ml injekčného roztoku</w:t>
      </w:r>
      <w:r>
        <w:rPr>
          <w:rFonts w:ascii="Times New Roman" w:hAnsi="Times New Roman"/>
          <w:lang w:val="sk-SK"/>
        </w:rPr>
        <w:t>.</w:t>
      </w:r>
      <w:r w:rsidR="00474A08">
        <w:rPr>
          <w:rFonts w:ascii="Times New Roman" w:hAnsi="Times New Roman"/>
          <w:lang w:val="sk-SK"/>
        </w:rPr>
        <w:t xml:space="preserve"> Odporúčaná mesačná dávka 500 mg sa dosiahne podaním 2 injekcií. </w:t>
      </w:r>
    </w:p>
    <w:p w14:paraId="28261387" w14:textId="77777777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46094A9E" w14:textId="77777777" w:rsidR="00B73657" w:rsidRPr="004E3F03" w:rsidRDefault="00B73657" w:rsidP="00B73657">
      <w:pPr>
        <w:spacing w:after="0" w:line="240" w:lineRule="auto"/>
        <w:rPr>
          <w:rFonts w:ascii="Times New Roman" w:hAnsi="Times New Roman"/>
          <w:lang w:val="sk-SK"/>
        </w:rPr>
      </w:pPr>
      <w:r w:rsidRPr="004E3F03">
        <w:rPr>
          <w:rFonts w:ascii="Times New Roman" w:hAnsi="Times New Roman"/>
          <w:lang w:val="sk-SK"/>
        </w:rPr>
        <w:t>Fulvestrant Vipharm je dostupný v 3 baleniach, v balení obsahujúcom 1 sklenenú</w:t>
      </w:r>
      <w:r>
        <w:rPr>
          <w:rFonts w:ascii="Times New Roman" w:hAnsi="Times New Roman"/>
          <w:lang w:val="sk-SK"/>
        </w:rPr>
        <w:t xml:space="preserve"> </w:t>
      </w:r>
      <w:r w:rsidRPr="004E3F03">
        <w:rPr>
          <w:rFonts w:ascii="Times New Roman" w:hAnsi="Times New Roman"/>
          <w:lang w:val="sk-SK"/>
        </w:rPr>
        <w:t>naplnenú injekčnú striekačku, v balení obsahujúcom 2 sklenené</w:t>
      </w:r>
      <w:r>
        <w:rPr>
          <w:rFonts w:ascii="Times New Roman" w:hAnsi="Times New Roman"/>
          <w:lang w:val="sk-SK"/>
        </w:rPr>
        <w:t xml:space="preserve"> naplnené</w:t>
      </w:r>
      <w:r w:rsidRPr="004E3F03">
        <w:rPr>
          <w:rFonts w:ascii="Times New Roman" w:hAnsi="Times New Roman"/>
          <w:lang w:val="sk-SK"/>
        </w:rPr>
        <w:t xml:space="preserve"> injekčné striekačky a v balení obsahujúcom 6</w:t>
      </w:r>
      <w:r>
        <w:rPr>
          <w:rFonts w:ascii="Times New Roman" w:hAnsi="Times New Roman"/>
          <w:lang w:val="sk-SK"/>
        </w:rPr>
        <w:t xml:space="preserve"> sklenených naplnených</w:t>
      </w:r>
      <w:r w:rsidRPr="004E3F03">
        <w:rPr>
          <w:rFonts w:ascii="Times New Roman" w:hAnsi="Times New Roman"/>
          <w:lang w:val="sk-SK"/>
        </w:rPr>
        <w:t xml:space="preserve"> injekčných striekačiek. </w:t>
      </w:r>
      <w:r>
        <w:rPr>
          <w:rFonts w:ascii="Times New Roman" w:hAnsi="Times New Roman"/>
          <w:lang w:val="sk-SK"/>
        </w:rPr>
        <w:t>Priložené sú j</w:t>
      </w:r>
      <w:r w:rsidRPr="004E3F03">
        <w:rPr>
          <w:rFonts w:ascii="Times New Roman" w:hAnsi="Times New Roman"/>
          <w:lang w:val="sk-SK"/>
        </w:rPr>
        <w:t xml:space="preserve">edna, dve alebo šesť bezpečnostných ihiel (BD SafetyGlide) na pripojenie ku každej nádobke injekčnej striekačky. </w:t>
      </w:r>
      <w:r>
        <w:rPr>
          <w:rFonts w:ascii="Times New Roman" w:hAnsi="Times New Roman"/>
          <w:lang w:val="sk-SK"/>
        </w:rPr>
        <w:t xml:space="preserve"> </w:t>
      </w:r>
    </w:p>
    <w:p w14:paraId="66E1BBB6" w14:textId="77777777" w:rsidR="00ED16E6" w:rsidRPr="000C254D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CEB28A7" w14:textId="77777777" w:rsidR="00ED16E6" w:rsidRPr="000C254D" w:rsidRDefault="00ED16E6" w:rsidP="00ED16E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0C254D">
        <w:rPr>
          <w:rFonts w:ascii="Times New Roman" w:hAnsi="Times New Roman"/>
          <w:lang w:val="sk-SK"/>
        </w:rPr>
        <w:t>Na trh nemusia byť uvedené všetky veľkosti balenia.</w:t>
      </w:r>
    </w:p>
    <w:p w14:paraId="64839251" w14:textId="77777777" w:rsidR="00ED16E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26910CD0" w14:textId="16C57C28" w:rsidR="00ED16E6" w:rsidRPr="00CD0C72" w:rsidRDefault="00ED16E6" w:rsidP="00ED16E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Držiteľ rozhodnutia o registrácii </w:t>
      </w:r>
    </w:p>
    <w:p w14:paraId="7B6FDC41" w14:textId="4AC4ED6C" w:rsidR="00E072C8" w:rsidRPr="008D13E9" w:rsidRDefault="00E072C8" w:rsidP="00E072C8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8D13E9">
        <w:rPr>
          <w:rFonts w:ascii="Times New Roman" w:hAnsi="Times New Roman"/>
          <w:color w:val="222222"/>
          <w:shd w:val="clear" w:color="auto" w:fill="FFFFFF"/>
          <w:lang w:val="sk-SK"/>
        </w:rPr>
        <w:t xml:space="preserve">Vipharm S.A </w:t>
      </w:r>
    </w:p>
    <w:p w14:paraId="0D61A95F" w14:textId="77777777" w:rsidR="00E072C8" w:rsidRPr="008D13E9" w:rsidRDefault="00E072C8" w:rsidP="00E072C8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8D13E9">
        <w:rPr>
          <w:rFonts w:ascii="Times New Roman" w:hAnsi="Times New Roman"/>
          <w:color w:val="222222"/>
          <w:shd w:val="clear" w:color="auto" w:fill="FFFFFF"/>
          <w:lang w:val="sk-SK"/>
        </w:rPr>
        <w:t xml:space="preserve">ul. A. i F. Radziwiłłów 9 </w:t>
      </w:r>
    </w:p>
    <w:p w14:paraId="76AB4972" w14:textId="77777777" w:rsidR="00E072C8" w:rsidRPr="008D13E9" w:rsidRDefault="00E072C8" w:rsidP="00E072C8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8D13E9">
        <w:rPr>
          <w:rFonts w:ascii="Times New Roman" w:hAnsi="Times New Roman"/>
          <w:color w:val="222222"/>
          <w:shd w:val="clear" w:color="auto" w:fill="FFFFFF"/>
          <w:lang w:val="sk-SK"/>
        </w:rPr>
        <w:t>05-850 Ożarów Mazowiecki</w:t>
      </w:r>
    </w:p>
    <w:p w14:paraId="242D9380" w14:textId="77777777" w:rsidR="00E072C8" w:rsidRPr="00684B36" w:rsidRDefault="00E072C8" w:rsidP="00E072C8">
      <w:pPr>
        <w:spacing w:after="0" w:line="240" w:lineRule="auto"/>
        <w:rPr>
          <w:rFonts w:ascii="Times New Roman" w:hAnsi="Times New Roman"/>
          <w:color w:val="222222"/>
          <w:shd w:val="clear" w:color="auto" w:fill="FFFFFF"/>
          <w:lang w:val="sk-SK"/>
        </w:rPr>
      </w:pPr>
      <w:r w:rsidRPr="008D13E9">
        <w:rPr>
          <w:rFonts w:ascii="Times New Roman" w:hAnsi="Times New Roman"/>
          <w:color w:val="222222"/>
          <w:shd w:val="clear" w:color="auto" w:fill="FFFFFF"/>
          <w:lang w:val="sk-SK"/>
        </w:rPr>
        <w:t>Poľsko</w:t>
      </w:r>
    </w:p>
    <w:p w14:paraId="7D9BBE4A" w14:textId="77777777" w:rsidR="00ED16E6" w:rsidRPr="007343C5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AE0233A" w14:textId="77777777" w:rsidR="00ED16E6" w:rsidRPr="007343C5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343C5">
        <w:rPr>
          <w:rFonts w:ascii="Times New Roman" w:hAnsi="Times New Roman"/>
          <w:b/>
          <w:bCs/>
          <w:lang w:val="sk-SK"/>
        </w:rPr>
        <w:t>Výrobca</w:t>
      </w:r>
    </w:p>
    <w:p w14:paraId="00B03714" w14:textId="77777777" w:rsidR="00EC5C05" w:rsidRPr="00EC5C05" w:rsidRDefault="00EC5C05" w:rsidP="00EC5C05">
      <w:pPr>
        <w:spacing w:after="0" w:line="240" w:lineRule="auto"/>
        <w:ind w:left="-5"/>
        <w:rPr>
          <w:rFonts w:ascii="Times New Roman" w:hAnsi="Times New Roman"/>
          <w:bCs/>
        </w:rPr>
      </w:pPr>
      <w:r w:rsidRPr="00EC5C05">
        <w:rPr>
          <w:rFonts w:ascii="Times New Roman" w:hAnsi="Times New Roman"/>
          <w:bCs/>
        </w:rPr>
        <w:t xml:space="preserve">Laboratorios Farmalán, S.A. </w:t>
      </w:r>
    </w:p>
    <w:p w14:paraId="033DA50E" w14:textId="77777777" w:rsidR="00EC5C05" w:rsidRPr="00EC5C05" w:rsidRDefault="00EC5C05" w:rsidP="00EC5C05">
      <w:pPr>
        <w:spacing w:after="0" w:line="240" w:lineRule="auto"/>
        <w:ind w:left="-5"/>
        <w:rPr>
          <w:rFonts w:ascii="Times New Roman" w:hAnsi="Times New Roman"/>
          <w:bCs/>
        </w:rPr>
      </w:pPr>
      <w:r w:rsidRPr="00EC5C05">
        <w:rPr>
          <w:rFonts w:ascii="Times New Roman" w:hAnsi="Times New Roman"/>
          <w:bCs/>
        </w:rPr>
        <w:t>Calle La Vallina s/n, Edificio 2</w:t>
      </w:r>
    </w:p>
    <w:p w14:paraId="6EF1B2B2" w14:textId="77777777" w:rsidR="00EC5C05" w:rsidRPr="00EC5C05" w:rsidRDefault="00EC5C05" w:rsidP="00EC5C05">
      <w:pPr>
        <w:spacing w:after="0" w:line="240" w:lineRule="auto"/>
        <w:ind w:left="-5"/>
        <w:rPr>
          <w:rFonts w:ascii="Times New Roman" w:hAnsi="Times New Roman"/>
          <w:bCs/>
        </w:rPr>
      </w:pPr>
      <w:r w:rsidRPr="00EC5C05">
        <w:rPr>
          <w:rFonts w:ascii="Times New Roman" w:hAnsi="Times New Roman"/>
          <w:bCs/>
        </w:rPr>
        <w:t>Polígono Industrial Navatejera</w:t>
      </w:r>
    </w:p>
    <w:p w14:paraId="49614D3C" w14:textId="77777777" w:rsidR="00EC5C05" w:rsidRPr="00EC5C05" w:rsidRDefault="00EC5C05" w:rsidP="00EC5C05">
      <w:pPr>
        <w:spacing w:after="0" w:line="240" w:lineRule="auto"/>
        <w:ind w:left="-5"/>
        <w:rPr>
          <w:rFonts w:ascii="Times New Roman" w:hAnsi="Times New Roman"/>
          <w:bCs/>
        </w:rPr>
      </w:pPr>
      <w:r w:rsidRPr="00EC5C05">
        <w:rPr>
          <w:rFonts w:ascii="Times New Roman" w:hAnsi="Times New Roman"/>
          <w:bCs/>
        </w:rPr>
        <w:t>24193, Villaquilambre, León</w:t>
      </w:r>
    </w:p>
    <w:p w14:paraId="26895012" w14:textId="49C37920" w:rsidR="00ED16E6" w:rsidRPr="00B43CDA" w:rsidRDefault="003336AA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>
        <w:rPr>
          <w:rStyle w:val="tlid-translation"/>
          <w:rFonts w:ascii="Times New Roman" w:hAnsi="Times New Roman"/>
          <w:lang w:val="sk-SK"/>
        </w:rPr>
        <w:t>Š</w:t>
      </w:r>
      <w:r w:rsidR="00B43CDA" w:rsidRPr="00B43CDA">
        <w:rPr>
          <w:rStyle w:val="tlid-translation"/>
          <w:rFonts w:ascii="Times New Roman" w:hAnsi="Times New Roman"/>
          <w:lang w:val="sk-SK"/>
        </w:rPr>
        <w:t>panielsko</w:t>
      </w:r>
    </w:p>
    <w:p w14:paraId="3F909CE5" w14:textId="77777777" w:rsidR="00E072C8" w:rsidRDefault="00E072C8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67C19133" w14:textId="77777777" w:rsidR="007343C5" w:rsidRPr="007A2388" w:rsidRDefault="007343C5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F859073" w14:textId="77777777" w:rsidR="00E072C8" w:rsidRDefault="00E072C8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CD18EF6" w14:textId="349E7F47" w:rsidR="00ED16E6" w:rsidRPr="007A2388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69B17F02" w14:textId="77777777" w:rsidR="00ED16E6" w:rsidRPr="00373896" w:rsidRDefault="00ED16E6" w:rsidP="00ED16E6">
      <w:pPr>
        <w:spacing w:after="0" w:line="240" w:lineRule="auto"/>
        <w:rPr>
          <w:rFonts w:ascii="Times New Roman" w:hAnsi="Times New Roman"/>
          <w:lang w:val="sk-SK"/>
        </w:rPr>
      </w:pPr>
    </w:p>
    <w:p w14:paraId="54CBEDAF" w14:textId="29DFC2E0" w:rsidR="00E072C8" w:rsidRDefault="00E072C8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6442FAD1" w14:textId="3F07F808" w:rsidR="00EC5C05" w:rsidRPr="00243846" w:rsidRDefault="00243846" w:rsidP="00EC5C05">
      <w:pPr>
        <w:pStyle w:val="Default"/>
        <w:rPr>
          <w:sz w:val="22"/>
          <w:szCs w:val="22"/>
        </w:rPr>
      </w:pPr>
      <w:r w:rsidRPr="00243846">
        <w:rPr>
          <w:rStyle w:val="tlid-translation"/>
          <w:sz w:val="22"/>
          <w:szCs w:val="22"/>
          <w:lang w:val="sk-SK"/>
        </w:rPr>
        <w:t>Holandsko</w:t>
      </w:r>
      <w:r w:rsidR="00EC5C05" w:rsidRPr="00243846">
        <w:rPr>
          <w:sz w:val="22"/>
          <w:szCs w:val="22"/>
          <w:lang w:val="en-GB"/>
        </w:rPr>
        <w:t xml:space="preserve">  </w:t>
      </w:r>
      <w:r w:rsidR="00EC5C05" w:rsidRPr="00243846">
        <w:rPr>
          <w:sz w:val="22"/>
          <w:szCs w:val="22"/>
          <w:lang w:val="en-GB"/>
        </w:rPr>
        <w:tab/>
      </w:r>
      <w:r w:rsidR="00EC5C05" w:rsidRPr="00243846">
        <w:rPr>
          <w:sz w:val="22"/>
          <w:szCs w:val="22"/>
          <w:lang w:val="en-GB"/>
        </w:rPr>
        <w:tab/>
      </w:r>
      <w:r w:rsidR="00EC5C05" w:rsidRPr="00243846">
        <w:rPr>
          <w:sz w:val="22"/>
          <w:szCs w:val="22"/>
        </w:rPr>
        <w:t>Fulvefar 250 mg oplossing voor injectie in een voorgevulde spuit</w:t>
      </w:r>
    </w:p>
    <w:p w14:paraId="789D1391" w14:textId="29E0DD95" w:rsidR="00EC5C05" w:rsidRPr="00243846" w:rsidRDefault="00925487" w:rsidP="00EC5C05">
      <w:pPr>
        <w:pStyle w:val="Default"/>
        <w:rPr>
          <w:sz w:val="22"/>
          <w:szCs w:val="22"/>
        </w:rPr>
      </w:pPr>
      <w:r w:rsidRPr="00925487">
        <w:rPr>
          <w:sz w:val="22"/>
          <w:szCs w:val="22"/>
        </w:rPr>
        <w:t>Rakúsko</w:t>
      </w:r>
      <w:r w:rsidR="00EC5C05" w:rsidRPr="00243846">
        <w:rPr>
          <w:sz w:val="22"/>
          <w:szCs w:val="22"/>
        </w:rPr>
        <w:tab/>
      </w:r>
      <w:r w:rsidR="00EC5C05" w:rsidRPr="00243846">
        <w:rPr>
          <w:sz w:val="22"/>
          <w:szCs w:val="22"/>
        </w:rPr>
        <w:tab/>
        <w:t>Fulvestrant +pharma 250 mg Injektionslösung in einer Fertigspritze</w:t>
      </w:r>
    </w:p>
    <w:p w14:paraId="3D04943E" w14:textId="3888797D" w:rsidR="00EC5C05" w:rsidRPr="00243846" w:rsidRDefault="00243846" w:rsidP="00EC5C05">
      <w:pPr>
        <w:pStyle w:val="Default"/>
        <w:rPr>
          <w:sz w:val="22"/>
          <w:szCs w:val="22"/>
        </w:rPr>
      </w:pPr>
      <w:r w:rsidRPr="00243846">
        <w:rPr>
          <w:rStyle w:val="tlid-translation"/>
          <w:sz w:val="22"/>
          <w:szCs w:val="22"/>
          <w:lang w:val="sk-SK"/>
        </w:rPr>
        <w:t>Česká republika</w:t>
      </w:r>
      <w:r w:rsidR="00EC5C05" w:rsidRPr="00243846">
        <w:rPr>
          <w:sz w:val="22"/>
          <w:szCs w:val="22"/>
          <w:lang w:val="en-GB"/>
        </w:rPr>
        <w:tab/>
      </w:r>
      <w:r w:rsidR="00EC5C05" w:rsidRPr="00243846">
        <w:rPr>
          <w:sz w:val="22"/>
          <w:szCs w:val="22"/>
          <w:lang w:val="en-GB"/>
        </w:rPr>
        <w:tab/>
      </w:r>
      <w:r w:rsidR="00EC5C05" w:rsidRPr="00243846">
        <w:rPr>
          <w:sz w:val="22"/>
          <w:szCs w:val="22"/>
        </w:rPr>
        <w:t>Fulvestrant Vipharm</w:t>
      </w:r>
    </w:p>
    <w:p w14:paraId="73B7DE05" w14:textId="4FA2C684" w:rsidR="00EC5C05" w:rsidRPr="00243846" w:rsidRDefault="00243846" w:rsidP="00EC5C05">
      <w:pPr>
        <w:pStyle w:val="Default"/>
        <w:rPr>
          <w:sz w:val="22"/>
          <w:szCs w:val="22"/>
        </w:rPr>
      </w:pPr>
      <w:r w:rsidRPr="00243846">
        <w:rPr>
          <w:rStyle w:val="tlid-translation"/>
          <w:sz w:val="22"/>
          <w:szCs w:val="22"/>
          <w:lang w:val="sk-SK"/>
        </w:rPr>
        <w:t>Maďarsko</w:t>
      </w:r>
      <w:r w:rsidR="00EC5C05" w:rsidRPr="00243846">
        <w:rPr>
          <w:sz w:val="22"/>
          <w:szCs w:val="22"/>
        </w:rPr>
        <w:tab/>
      </w:r>
      <w:r w:rsidR="00EC5C05" w:rsidRPr="00243846">
        <w:rPr>
          <w:sz w:val="22"/>
          <w:szCs w:val="22"/>
        </w:rPr>
        <w:tab/>
        <w:t>Fulvestrant Vipharm 250 mg oldatos injekció előretöltött fecskendőben</w:t>
      </w:r>
    </w:p>
    <w:p w14:paraId="6FCD5B4D" w14:textId="57C872A5" w:rsidR="00EC5C05" w:rsidRPr="00243846" w:rsidRDefault="00243846" w:rsidP="00EC5C05">
      <w:pPr>
        <w:pStyle w:val="Default"/>
        <w:rPr>
          <w:sz w:val="22"/>
          <w:szCs w:val="22"/>
        </w:rPr>
      </w:pPr>
      <w:r w:rsidRPr="00243846">
        <w:rPr>
          <w:rStyle w:val="tlid-translation"/>
          <w:sz w:val="22"/>
          <w:szCs w:val="22"/>
          <w:lang w:val="sk-SK"/>
        </w:rPr>
        <w:t>Poľsko</w:t>
      </w:r>
      <w:r w:rsidR="00EC5C05" w:rsidRPr="00243846">
        <w:rPr>
          <w:sz w:val="22"/>
          <w:szCs w:val="22"/>
          <w:lang w:val="pl-PL"/>
        </w:rPr>
        <w:tab/>
      </w:r>
      <w:r w:rsidR="00EC5C05" w:rsidRPr="00243846">
        <w:rPr>
          <w:sz w:val="22"/>
          <w:szCs w:val="22"/>
          <w:lang w:val="pl-PL"/>
        </w:rPr>
        <w:tab/>
      </w:r>
      <w:r w:rsidRPr="00243846">
        <w:rPr>
          <w:sz w:val="22"/>
          <w:szCs w:val="22"/>
          <w:lang w:val="pl-PL"/>
        </w:rPr>
        <w:tab/>
      </w:r>
      <w:r w:rsidR="00EC5C05" w:rsidRPr="00243846">
        <w:rPr>
          <w:sz w:val="22"/>
          <w:szCs w:val="22"/>
          <w:lang w:val="pl-PL"/>
        </w:rPr>
        <w:t>Fulvestrant Vipharm</w:t>
      </w:r>
    </w:p>
    <w:p w14:paraId="343491FC" w14:textId="008DB795" w:rsidR="00EC5C05" w:rsidRPr="00243846" w:rsidRDefault="00243846" w:rsidP="00EC5C05">
      <w:pPr>
        <w:pStyle w:val="Default"/>
        <w:rPr>
          <w:sz w:val="22"/>
          <w:szCs w:val="22"/>
        </w:rPr>
      </w:pPr>
      <w:r w:rsidRPr="00243846">
        <w:rPr>
          <w:rStyle w:val="tlid-translation"/>
          <w:sz w:val="22"/>
          <w:szCs w:val="22"/>
          <w:lang w:val="sk-SK"/>
        </w:rPr>
        <w:t>Slovensko</w:t>
      </w:r>
      <w:r w:rsidR="00EC5C05" w:rsidRPr="00243846">
        <w:rPr>
          <w:sz w:val="22"/>
          <w:szCs w:val="22"/>
          <w:lang w:val="pl-PL"/>
        </w:rPr>
        <w:tab/>
      </w:r>
      <w:r w:rsidR="00EC5C05" w:rsidRPr="00243846">
        <w:rPr>
          <w:sz w:val="22"/>
          <w:szCs w:val="22"/>
          <w:lang w:val="pl-PL"/>
        </w:rPr>
        <w:tab/>
        <w:t>Fulvestrant Vipharm</w:t>
      </w:r>
      <w:r w:rsidR="00EC5C05" w:rsidRPr="00243846">
        <w:rPr>
          <w:sz w:val="22"/>
          <w:szCs w:val="22"/>
        </w:rPr>
        <w:t xml:space="preserve"> 250 mg</w:t>
      </w:r>
    </w:p>
    <w:p w14:paraId="0843E25F" w14:textId="2F500591" w:rsidR="00E072C8" w:rsidRDefault="00E072C8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BF26837" w14:textId="4A0B8AEF" w:rsidR="00E072C8" w:rsidRDefault="00E072C8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7DDCEC3" w14:textId="77777777" w:rsidR="00B73657" w:rsidRDefault="00B7365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96267C3" w14:textId="09D7897E" w:rsidR="00ED16E6" w:rsidRPr="0037389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t>Táto písomná informácia bola naposledy aktualizovaná</w:t>
      </w:r>
      <w:r w:rsidR="007343C5">
        <w:rPr>
          <w:rFonts w:ascii="Times New Roman" w:hAnsi="Times New Roman"/>
          <w:b/>
          <w:bCs/>
          <w:lang w:val="sk-SK"/>
        </w:rPr>
        <w:t xml:space="preserve"> v</w:t>
      </w:r>
      <w:r w:rsidR="00F63A6C">
        <w:rPr>
          <w:rFonts w:ascii="Times New Roman" w:hAnsi="Times New Roman"/>
          <w:b/>
          <w:bCs/>
          <w:lang w:val="sk-SK"/>
        </w:rPr>
        <w:t> novembri 2020.</w:t>
      </w:r>
    </w:p>
    <w:p w14:paraId="2F337D3B" w14:textId="77777777" w:rsidR="00ED16E6" w:rsidRPr="0037389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C869E6D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340846B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60B9B898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1B58BA8A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F2CE53A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D121F5D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0BF5FB9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0E368537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508CB70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2949FC1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496E50C0" w14:textId="77777777" w:rsidR="0039105F" w:rsidRDefault="0039105F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81CB06A" w14:textId="77777777" w:rsidR="0039105F" w:rsidRDefault="0039105F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D08D5E7" w14:textId="77777777" w:rsidR="000A28C7" w:rsidRDefault="000A28C7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7E373525" w14:textId="636E99D1" w:rsidR="00ED16E6" w:rsidRPr="0037389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373896">
        <w:rPr>
          <w:rFonts w:ascii="Times New Roman" w:hAnsi="Times New Roman"/>
          <w:b/>
          <w:bCs/>
          <w:lang w:val="sk-SK"/>
        </w:rPr>
        <w:lastRenderedPageBreak/>
        <w:t>Nasledujúca informácia je určená len pre zdravotníckych pracovníkov</w:t>
      </w:r>
    </w:p>
    <w:p w14:paraId="26FEBEC9" w14:textId="77777777" w:rsidR="00ED16E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15E9DFB1" w14:textId="232DD040" w:rsidR="00ED16E6" w:rsidRDefault="00ED16E6" w:rsidP="00ED16E6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 xml:space="preserve">Fulvestrant </w:t>
      </w:r>
      <w:r w:rsidR="00694D63">
        <w:rPr>
          <w:rFonts w:ascii="Times New Roman" w:hAnsi="Times New Roman"/>
          <w:lang w:val="sk-SK"/>
        </w:rPr>
        <w:t>Vipharm</w:t>
      </w:r>
      <w:r w:rsidR="00694D63" w:rsidRPr="000C254D">
        <w:rPr>
          <w:rFonts w:ascii="Times New Roman" w:eastAsia="TimesNewRoman" w:hAnsi="Times New Roman"/>
          <w:lang w:val="sk-SK"/>
        </w:rPr>
        <w:t xml:space="preserve"> </w:t>
      </w:r>
      <w:r w:rsidR="00B71C7B">
        <w:rPr>
          <w:rFonts w:ascii="Times New Roman" w:eastAsia="TimesNewRoman" w:hAnsi="Times New Roman"/>
          <w:lang w:val="sk-SK"/>
        </w:rPr>
        <w:t>500</w:t>
      </w:r>
      <w:r w:rsidRPr="000C254D">
        <w:rPr>
          <w:rFonts w:ascii="Times New Roman" w:eastAsia="TimesNewRoman" w:hAnsi="Times New Roman"/>
          <w:lang w:val="sk-SK"/>
        </w:rPr>
        <w:t xml:space="preserve"> mg</w:t>
      </w:r>
      <w:r>
        <w:rPr>
          <w:rFonts w:ascii="Times New Roman" w:eastAsia="TimesNewRoman" w:hAnsi="Times New Roman"/>
          <w:lang w:val="sk-SK"/>
        </w:rPr>
        <w:t xml:space="preserve"> </w:t>
      </w:r>
      <w:r w:rsidR="00B71C7B">
        <w:rPr>
          <w:rFonts w:ascii="Times New Roman" w:eastAsia="TimesNewRoman" w:hAnsi="Times New Roman"/>
          <w:lang w:val="sk-SK"/>
        </w:rPr>
        <w:t xml:space="preserve">(2 x 250 mg/ 5 ml injekčný roztok) </w:t>
      </w:r>
      <w:r>
        <w:rPr>
          <w:rFonts w:ascii="Times New Roman" w:eastAsia="TimesNewRoman" w:hAnsi="Times New Roman"/>
          <w:lang w:val="sk-SK"/>
        </w:rPr>
        <w:t>sa má podávať s použitím dvoch naplnených injekčných striekačiek, pozri časť 3.</w:t>
      </w:r>
    </w:p>
    <w:p w14:paraId="48374565" w14:textId="77777777" w:rsidR="00ED16E6" w:rsidRPr="000C254D" w:rsidRDefault="00ED16E6" w:rsidP="00ED16E6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</w:p>
    <w:p w14:paraId="0B6E0119" w14:textId="495E7248" w:rsidR="00ED16E6" w:rsidRDefault="00ED16E6" w:rsidP="00ED16E6">
      <w:pPr>
        <w:pStyle w:val="Odsekzoznamu"/>
        <w:spacing w:after="0" w:line="240" w:lineRule="auto"/>
        <w:ind w:left="0"/>
        <w:rPr>
          <w:rFonts w:ascii="Times New Roman" w:eastAsia="TimesNewRoman" w:hAnsi="Times New Roman"/>
          <w:u w:val="single"/>
          <w:lang w:val="sk-SK"/>
        </w:rPr>
      </w:pPr>
      <w:r w:rsidRPr="000C254D">
        <w:rPr>
          <w:rFonts w:ascii="Times New Roman" w:eastAsia="TimesNewRoman" w:hAnsi="Times New Roman"/>
          <w:u w:val="single"/>
          <w:lang w:val="sk-SK"/>
        </w:rPr>
        <w:t>Pokyny na podávanie</w:t>
      </w:r>
    </w:p>
    <w:p w14:paraId="475322D3" w14:textId="77777777" w:rsidR="00B71C7B" w:rsidRPr="000C254D" w:rsidRDefault="00B71C7B" w:rsidP="00ED16E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</w:p>
    <w:p w14:paraId="4C5C7470" w14:textId="6FD7A9CD" w:rsidR="00B71C7B" w:rsidRPr="000C254D" w:rsidRDefault="00B71C7B" w:rsidP="00B71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Upozornenie</w:t>
      </w:r>
      <w:r w:rsidR="009E1D28">
        <w:rPr>
          <w:rFonts w:ascii="Times New Roman" w:eastAsia="TimesNewRoman" w:hAnsi="Times New Roman"/>
          <w:lang w:val="sk-SK"/>
        </w:rPr>
        <w:t xml:space="preserve"> -</w:t>
      </w:r>
      <w:r w:rsidRPr="000C254D">
        <w:rPr>
          <w:rFonts w:ascii="Times New Roman" w:eastAsia="TimesNewRoman" w:hAnsi="Times New Roman"/>
          <w:lang w:val="sk-SK"/>
        </w:rPr>
        <w:t xml:space="preserve"> Bezpečnostnú ihlu (BD SafetyGlide chránená hypodermická ihla) pred použitím</w:t>
      </w:r>
    </w:p>
    <w:p w14:paraId="11EBDD75" w14:textId="77777777" w:rsidR="00B71C7B" w:rsidRPr="000C254D" w:rsidRDefault="00B71C7B" w:rsidP="00B71C7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0C254D">
        <w:rPr>
          <w:rFonts w:ascii="Times New Roman" w:eastAsia="TimesNewRoman" w:hAnsi="Times New Roman"/>
          <w:lang w:val="sk-SK"/>
        </w:rPr>
        <w:t>neautoklávujte. Počas použitia aj pri likvidácii musia byť ruky stále za ihlou.</w:t>
      </w:r>
    </w:p>
    <w:p w14:paraId="6D81BD98" w14:textId="5417CAB1" w:rsidR="00ED16E6" w:rsidRDefault="00ED16E6" w:rsidP="00ED16E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14:paraId="25CFDCFD" w14:textId="052BFE59" w:rsidR="00B71C7B" w:rsidRPr="00B71C7B" w:rsidRDefault="00B71C7B" w:rsidP="00B71C7B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B0077D">
        <w:rPr>
          <w:rFonts w:ascii="Times New Roman" w:eastAsia="TimesNewRoman" w:hAnsi="Times New Roman"/>
          <w:lang w:val="sk-SK"/>
        </w:rPr>
        <w:t>Pre každú z oboch injekčných striekačiek:</w:t>
      </w:r>
    </w:p>
    <w:p w14:paraId="325DA436" w14:textId="5A5E95BD" w:rsidR="00B71C7B" w:rsidRPr="00B71C7B" w:rsidRDefault="00B71C7B" w:rsidP="00B71C7B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sk-SK"/>
        </w:rPr>
      </w:pPr>
      <w:r w:rsidRPr="00B71C7B">
        <w:rPr>
          <w:rFonts w:ascii="Times New Roman" w:hAnsi="Times New Roman"/>
          <w:lang w:val="sk-SK"/>
        </w:rPr>
        <w:t xml:space="preserve">Vyberte sklenenú injekčnú </w:t>
      </w:r>
      <w:r w:rsidRPr="00A52C4F">
        <w:rPr>
          <w:rFonts w:ascii="Times New Roman" w:hAnsi="Times New Roman"/>
          <w:lang w:val="sk-SK"/>
        </w:rPr>
        <w:t>striekačku z puzdra a</w:t>
      </w:r>
      <w:r w:rsidRPr="00B71C7B">
        <w:rPr>
          <w:rFonts w:ascii="Times New Roman" w:hAnsi="Times New Roman"/>
          <w:lang w:val="sk-SK"/>
        </w:rPr>
        <w:t xml:space="preserve"> skontrolujte, či nie je poškodená.</w:t>
      </w:r>
    </w:p>
    <w:p w14:paraId="4D717E56" w14:textId="77777777" w:rsidR="00B71C7B" w:rsidRPr="00B71C7B" w:rsidRDefault="00B71C7B" w:rsidP="00B71C7B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lang w:val="sk-SK"/>
        </w:rPr>
      </w:pPr>
      <w:r w:rsidRPr="00B71C7B">
        <w:rPr>
          <w:rFonts w:ascii="Times New Roman" w:hAnsi="Times New Roman"/>
          <w:lang w:val="sk-SK"/>
        </w:rPr>
        <w:t>Opatrne vyberte bezpečnostnú ihlu (SafetyGlide) z vonkajšieho obalu.</w:t>
      </w:r>
    </w:p>
    <w:p w14:paraId="16089777" w14:textId="77777777" w:rsidR="00B71C7B" w:rsidRPr="00B71C7B" w:rsidRDefault="00B71C7B" w:rsidP="00B71C7B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u w:val="single"/>
          <w:lang w:val="sk-SK"/>
        </w:rPr>
      </w:pPr>
      <w:r w:rsidRPr="00B71C7B">
        <w:rPr>
          <w:rFonts w:ascii="Times New Roman" w:hAnsi="Times New Roman"/>
          <w:lang w:val="sk-SK"/>
        </w:rPr>
        <w:t>Parenterálne roztoky sa musia pred podávaním vizuálne skontrolovať, či neobsahujú častice a či nedošlo k zmene ich zafarbenia.</w:t>
      </w:r>
    </w:p>
    <w:p w14:paraId="62A76B1F" w14:textId="415DAA4B" w:rsidR="00B71C7B" w:rsidRPr="00B71C7B" w:rsidRDefault="00B71C7B" w:rsidP="00B71C7B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lang w:val="sk-SK"/>
        </w:rPr>
      </w:pPr>
      <w:r w:rsidRPr="00B71C7B">
        <w:rPr>
          <w:rFonts w:ascii="Times New Roman" w:eastAsia="TimesNewRoman" w:hAnsi="Times New Roman"/>
          <w:lang w:val="sk-SK"/>
        </w:rPr>
        <w:t xml:space="preserve">Injekčnú </w:t>
      </w:r>
      <w:r w:rsidRPr="00A52C4F">
        <w:rPr>
          <w:rFonts w:ascii="Times New Roman" w:eastAsia="TimesNewRoman" w:hAnsi="Times New Roman"/>
          <w:lang w:val="sk-SK"/>
        </w:rPr>
        <w:t>striekačku držte vo zvislej polohe na rebrovanej časti (C). Druhou rukou držte kryt (A) a opatrne otáčajte plastovým krytom hrotu proti smeru hodinových ručičiek (pozri</w:t>
      </w:r>
      <w:r w:rsidRPr="00B71C7B">
        <w:rPr>
          <w:rFonts w:ascii="Times New Roman" w:eastAsia="TimesNewRoman" w:hAnsi="Times New Roman"/>
          <w:lang w:val="sk-SK"/>
        </w:rPr>
        <w:t xml:space="preserve"> obrázok 1)</w:t>
      </w:r>
      <w:r w:rsidR="00DA1199">
        <w:rPr>
          <w:rFonts w:ascii="Times New Roman" w:eastAsia="TimesNewRoman" w:hAnsi="Times New Roman"/>
          <w:lang w:val="sk-SK"/>
        </w:rPr>
        <w:t>:</w:t>
      </w:r>
    </w:p>
    <w:p w14:paraId="4BC57B9F" w14:textId="677DA7AB" w:rsidR="00B71C7B" w:rsidRPr="000C254D" w:rsidRDefault="00214C99" w:rsidP="00B71C7B">
      <w:pPr>
        <w:spacing w:after="0" w:line="240" w:lineRule="auto"/>
        <w:contextualSpacing/>
        <w:rPr>
          <w:rFonts w:ascii="Times New Roman" w:hAnsi="Times New Roman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35C05749" wp14:editId="79A4DFE7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2301240" cy="2206625"/>
            <wp:effectExtent l="0" t="0" r="3810" b="317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401" cy="221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46A29" w14:textId="0B12B385" w:rsidR="00B71C7B" w:rsidRPr="000C254D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br w:type="textWrapping" w:clear="all"/>
      </w:r>
      <w:r w:rsidRPr="000C254D">
        <w:rPr>
          <w:rFonts w:ascii="Times New Roman" w:hAnsi="Times New Roman"/>
          <w:lang w:val="sk-SK"/>
        </w:rPr>
        <w:t>Obrázok 1</w:t>
      </w:r>
    </w:p>
    <w:p w14:paraId="7A099A35" w14:textId="77777777" w:rsidR="00B71C7B" w:rsidRPr="000C254D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5920EF41" w14:textId="273493E0" w:rsidR="00B71C7B" w:rsidRPr="00DA1199" w:rsidRDefault="00B71C7B" w:rsidP="00DA1199">
      <w:pPr>
        <w:pStyle w:val="Odsekzoznamu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A52C4F">
        <w:rPr>
          <w:rFonts w:ascii="Times New Roman" w:hAnsi="Times New Roman"/>
          <w:lang w:val="sk-SK"/>
        </w:rPr>
        <w:t xml:space="preserve">Odstráňte </w:t>
      </w:r>
      <w:r w:rsidR="00D36E50" w:rsidRPr="00A52C4F">
        <w:rPr>
          <w:rFonts w:ascii="Times New Roman" w:hAnsi="Times New Roman"/>
          <w:lang w:val="sk-SK"/>
        </w:rPr>
        <w:t xml:space="preserve">plastový </w:t>
      </w:r>
      <w:r w:rsidRPr="00A52C4F">
        <w:rPr>
          <w:rFonts w:ascii="Times New Roman" w:hAnsi="Times New Roman"/>
          <w:lang w:val="sk-SK"/>
        </w:rPr>
        <w:t>kryt</w:t>
      </w:r>
      <w:r w:rsidR="002A1C5F" w:rsidRPr="00A52C4F">
        <w:rPr>
          <w:rFonts w:ascii="Times New Roman" w:hAnsi="Times New Roman"/>
          <w:lang w:val="sk-SK"/>
        </w:rPr>
        <w:t xml:space="preserve"> hrotu</w:t>
      </w:r>
      <w:r w:rsidRPr="00A52C4F">
        <w:rPr>
          <w:rFonts w:ascii="Times New Roman" w:hAnsi="Times New Roman"/>
          <w:lang w:val="sk-SK"/>
        </w:rPr>
        <w:t xml:space="preserve"> (A)</w:t>
      </w:r>
      <w:r>
        <w:rPr>
          <w:rFonts w:ascii="Times New Roman" w:hAnsi="Times New Roman"/>
          <w:lang w:val="sk-SK"/>
        </w:rPr>
        <w:t xml:space="preserve"> priamo smerom nahor. Kvôli zachovaniu sterility sa nedotýkajte hrotu injekčnej striekačky (B) (pozri obrázok 2).</w:t>
      </w:r>
    </w:p>
    <w:p w14:paraId="5F876DF9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16C0FA31" wp14:editId="788DE304">
            <wp:extent cx="2225040" cy="2268883"/>
            <wp:effectExtent l="0" t="0" r="381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1562" cy="231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CFBB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Obrázok 2</w:t>
      </w:r>
    </w:p>
    <w:p w14:paraId="403836D0" w14:textId="77777777" w:rsidR="00B71C7B" w:rsidRPr="000C254D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14:paraId="479BA965" w14:textId="77777777" w:rsidR="00B71C7B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 xml:space="preserve">Pripojte bezpečnostnú ihlu </w:t>
      </w:r>
      <w:r w:rsidRPr="00A52C4F">
        <w:rPr>
          <w:rFonts w:eastAsia="Calibri"/>
          <w:sz w:val="22"/>
          <w:szCs w:val="22"/>
          <w:lang w:val="sk-SK" w:eastAsia="en-US"/>
        </w:rPr>
        <w:t>k luer-lock koncovke injekčnej striekačky a</w:t>
      </w:r>
      <w:r>
        <w:rPr>
          <w:rFonts w:eastAsia="Calibri"/>
          <w:sz w:val="22"/>
          <w:szCs w:val="22"/>
          <w:lang w:val="sk-SK" w:eastAsia="en-US"/>
        </w:rPr>
        <w:t xml:space="preserve"> otáčajte ňou, kým nezapadne </w:t>
      </w:r>
      <w:r>
        <w:rPr>
          <w:rFonts w:eastAsia="Calibri"/>
          <w:sz w:val="22"/>
          <w:szCs w:val="22"/>
          <w:lang w:val="sk-SK" w:eastAsia="en-US"/>
        </w:rPr>
        <w:lastRenderedPageBreak/>
        <w:t>(pozri obrázok 3).</w:t>
      </w:r>
    </w:p>
    <w:p w14:paraId="39BE6DBF" w14:textId="77777777" w:rsidR="00B71C7B" w:rsidRPr="00AB4DFF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>Skontrolujte, či je ihla zafixovaná k luerovému konektoru predtým, ako ju otočíte z vertikálnej roviny.</w:t>
      </w:r>
    </w:p>
    <w:p w14:paraId="5984FAFF" w14:textId="77777777" w:rsidR="00B71C7B" w:rsidRPr="000C254D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Priamym pohybom stiahnite z ihly kryt tak, aby sa nepoškodil hrot ihly. </w:t>
      </w:r>
    </w:p>
    <w:p w14:paraId="5D9DF4D5" w14:textId="77777777" w:rsidR="00B71C7B" w:rsidRPr="000C254D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Preneste naplnenú injekčnú striekačku na miesto podania. </w:t>
      </w:r>
    </w:p>
    <w:p w14:paraId="0FC67450" w14:textId="77777777" w:rsidR="00B71C7B" w:rsidRPr="000C254D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 xml:space="preserve">Odstráňte kryt z ihly. </w:t>
      </w:r>
    </w:p>
    <w:p w14:paraId="4B68C7E0" w14:textId="77777777" w:rsidR="00B71C7B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14:paraId="0DC8B9AA" w14:textId="77777777" w:rsidR="00B71C7B" w:rsidRDefault="00B71C7B" w:rsidP="00B71C7B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</w:p>
    <w:p w14:paraId="688767B3" w14:textId="77777777" w:rsidR="00B71C7B" w:rsidRDefault="00B71C7B" w:rsidP="00B71C7B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>
        <w:rPr>
          <w:noProof/>
          <w:lang w:val="sk-SK" w:eastAsia="sk-SK"/>
        </w:rPr>
        <w:drawing>
          <wp:inline distT="0" distB="0" distL="0" distR="0" wp14:anchorId="4B19F04C" wp14:editId="251951F6">
            <wp:extent cx="2026920" cy="2616721"/>
            <wp:effectExtent l="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9872" cy="263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24008" w14:textId="77777777" w:rsidR="00B71C7B" w:rsidRDefault="00B71C7B" w:rsidP="00B71C7B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>
        <w:rPr>
          <w:rFonts w:eastAsia="Calibri"/>
          <w:sz w:val="22"/>
          <w:szCs w:val="22"/>
          <w:lang w:val="sk-SK" w:eastAsia="en-US"/>
        </w:rPr>
        <w:t>Obrázok 3</w:t>
      </w:r>
    </w:p>
    <w:p w14:paraId="447F2C00" w14:textId="77777777" w:rsidR="00B71C7B" w:rsidRDefault="00B71C7B" w:rsidP="00B71C7B">
      <w:pPr>
        <w:pStyle w:val="TableText"/>
        <w:widowControl w:val="0"/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</w:p>
    <w:p w14:paraId="5DC7E593" w14:textId="77777777" w:rsidR="00B71C7B" w:rsidRDefault="00B71C7B" w:rsidP="00B71C7B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rPr>
          <w:rFonts w:eastAsia="Calibri"/>
          <w:sz w:val="22"/>
          <w:szCs w:val="22"/>
          <w:lang w:val="sk-SK" w:eastAsia="en-US"/>
        </w:rPr>
      </w:pPr>
      <w:r w:rsidRPr="000C254D">
        <w:rPr>
          <w:rFonts w:eastAsia="Calibri"/>
          <w:sz w:val="22"/>
          <w:szCs w:val="22"/>
          <w:lang w:val="sk-SK" w:eastAsia="en-US"/>
        </w:rPr>
        <w:t>Podávajte pomaly</w:t>
      </w:r>
      <w:r>
        <w:rPr>
          <w:rFonts w:eastAsia="Calibri"/>
          <w:sz w:val="22"/>
          <w:szCs w:val="22"/>
          <w:lang w:val="sk-SK" w:eastAsia="en-US"/>
        </w:rPr>
        <w:t>,</w:t>
      </w:r>
      <w:r w:rsidRPr="000C254D">
        <w:rPr>
          <w:rFonts w:eastAsia="Calibri"/>
          <w:sz w:val="22"/>
          <w:szCs w:val="22"/>
          <w:lang w:val="sk-SK" w:eastAsia="en-US"/>
        </w:rPr>
        <w:t xml:space="preserve"> intramuskulárne (1-2 minúty/injekcia) do sedacieho svalu (gluteálna oblasť). Na uľahčenie podávania je skosená strana ihly orientovaná k ramenu páčky (pozri obrázok </w:t>
      </w:r>
      <w:r>
        <w:rPr>
          <w:rFonts w:eastAsia="Calibri"/>
          <w:sz w:val="22"/>
          <w:szCs w:val="22"/>
          <w:lang w:val="sk-SK" w:eastAsia="en-US"/>
        </w:rPr>
        <w:t>4</w:t>
      </w:r>
      <w:r w:rsidRPr="000C254D">
        <w:rPr>
          <w:rFonts w:eastAsia="Calibri"/>
          <w:sz w:val="22"/>
          <w:szCs w:val="22"/>
          <w:lang w:val="sk-SK" w:eastAsia="en-US"/>
        </w:rPr>
        <w:t>).</w:t>
      </w:r>
    </w:p>
    <w:p w14:paraId="58BF0F9E" w14:textId="77777777" w:rsidR="00B71C7B" w:rsidRDefault="00B71C7B" w:rsidP="00B71C7B">
      <w:pPr>
        <w:pStyle w:val="TableText"/>
        <w:widowControl w:val="0"/>
        <w:tabs>
          <w:tab w:val="left" w:pos="567"/>
        </w:tabs>
        <w:ind w:left="142"/>
        <w:rPr>
          <w:rFonts w:eastAsia="Calibri"/>
          <w:sz w:val="22"/>
          <w:szCs w:val="22"/>
          <w:lang w:val="sk-SK" w:eastAsia="en-US"/>
        </w:rPr>
      </w:pPr>
    </w:p>
    <w:p w14:paraId="34C70AB9" w14:textId="77777777" w:rsidR="00B71C7B" w:rsidRPr="000C254D" w:rsidRDefault="00B71C7B" w:rsidP="00B71C7B">
      <w:pPr>
        <w:pStyle w:val="TableText"/>
        <w:widowControl w:val="0"/>
        <w:tabs>
          <w:tab w:val="left" w:pos="567"/>
        </w:tabs>
        <w:ind w:left="142"/>
        <w:rPr>
          <w:rFonts w:eastAsia="Calibri"/>
          <w:sz w:val="22"/>
          <w:szCs w:val="22"/>
          <w:lang w:val="sk-SK" w:eastAsia="en-US"/>
        </w:rPr>
      </w:pPr>
      <w:r>
        <w:rPr>
          <w:noProof/>
          <w:lang w:val="sk-SK" w:eastAsia="sk-SK"/>
        </w:rPr>
        <w:drawing>
          <wp:inline distT="0" distB="0" distL="0" distR="0" wp14:anchorId="3773DE60" wp14:editId="1608F43C">
            <wp:extent cx="2585629" cy="1712879"/>
            <wp:effectExtent l="0" t="0" r="571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9165" cy="17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32B61" w14:textId="77777777" w:rsidR="00B71C7B" w:rsidRPr="000C254D" w:rsidRDefault="00B71C7B" w:rsidP="00B71C7B">
      <w:pPr>
        <w:pStyle w:val="TableText"/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4</w:t>
      </w:r>
    </w:p>
    <w:p w14:paraId="55D40FB7" w14:textId="77777777" w:rsidR="00B71C7B" w:rsidRPr="000C254D" w:rsidRDefault="00B71C7B" w:rsidP="00B71C7B">
      <w:pPr>
        <w:pStyle w:val="TableText"/>
        <w:widowControl w:val="0"/>
        <w:tabs>
          <w:tab w:val="left" w:pos="567"/>
        </w:tabs>
        <w:jc w:val="center"/>
        <w:rPr>
          <w:sz w:val="22"/>
          <w:szCs w:val="22"/>
          <w:lang w:val="sk-SK" w:eastAsia="en-US"/>
        </w:rPr>
      </w:pPr>
    </w:p>
    <w:p w14:paraId="436BB366" w14:textId="77777777" w:rsidR="00B71C7B" w:rsidRPr="00214C99" w:rsidRDefault="00B71C7B" w:rsidP="00214C9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  <w:r w:rsidRPr="00214C99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obrázok 5). </w:t>
      </w:r>
    </w:p>
    <w:p w14:paraId="15CE3AAE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23ADEAE5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  <w:r w:rsidRPr="00446DE6">
        <w:rPr>
          <w:rFonts w:ascii="Times New Roman" w:eastAsia="Times New Roman" w:hAnsi="Times New Roman"/>
          <w:lang w:val="sk-SK"/>
        </w:rPr>
        <w:t>POZNÁMKA: Aktivujte mechanizmus smerom od seba a</w:t>
      </w:r>
      <w:r>
        <w:rPr>
          <w:rFonts w:ascii="Times New Roman" w:eastAsia="Times New Roman" w:hAnsi="Times New Roman"/>
          <w:lang w:val="sk-SK"/>
        </w:rPr>
        <w:t> </w:t>
      </w:r>
      <w:r w:rsidRPr="00446DE6">
        <w:rPr>
          <w:rFonts w:ascii="Times New Roman" w:eastAsia="Times New Roman" w:hAnsi="Times New Roman"/>
          <w:lang w:val="sk-SK"/>
        </w:rPr>
        <w:t>iných</w:t>
      </w:r>
      <w:r>
        <w:rPr>
          <w:rFonts w:ascii="Times New Roman" w:eastAsia="Times New Roman" w:hAnsi="Times New Roman"/>
          <w:lang w:val="sk-SK"/>
        </w:rPr>
        <w:t xml:space="preserve"> ľudí</w:t>
      </w:r>
      <w:r w:rsidRPr="00446DE6">
        <w:rPr>
          <w:rFonts w:ascii="Times New Roman" w:eastAsia="Times New Roman" w:hAnsi="Times New Roman"/>
          <w:lang w:val="sk-SK"/>
        </w:rPr>
        <w:t xml:space="preserve">. Dávajte pozor na </w:t>
      </w:r>
      <w:r>
        <w:rPr>
          <w:rFonts w:ascii="Times New Roman" w:eastAsia="Times New Roman" w:hAnsi="Times New Roman"/>
          <w:lang w:val="sk-SK"/>
        </w:rPr>
        <w:t>kliknutie</w:t>
      </w:r>
      <w:r w:rsidRPr="00446DE6">
        <w:rPr>
          <w:rFonts w:ascii="Times New Roman" w:eastAsia="Times New Roman" w:hAnsi="Times New Roman"/>
          <w:lang w:val="sk-SK"/>
        </w:rPr>
        <w:t xml:space="preserve"> a vizuálne sa presvedčte, že hrot ihly je úplne zakrytý.</w:t>
      </w:r>
    </w:p>
    <w:p w14:paraId="62192A2E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sk-SK"/>
        </w:rPr>
      </w:pPr>
    </w:p>
    <w:p w14:paraId="7A74227D" w14:textId="77777777" w:rsidR="00B71C7B" w:rsidRDefault="00B71C7B" w:rsidP="00B71C7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 wp14:anchorId="35084156" wp14:editId="5475EBD8">
            <wp:extent cx="1859280" cy="247904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184F" w14:textId="77777777" w:rsidR="00B71C7B" w:rsidRPr="00E26F30" w:rsidRDefault="00B71C7B" w:rsidP="00B71C7B">
      <w:pPr>
        <w:pStyle w:val="TableText"/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Obrázok 5</w:t>
      </w:r>
    </w:p>
    <w:p w14:paraId="6C1D7520" w14:textId="77777777" w:rsidR="00B71C7B" w:rsidRPr="000C254D" w:rsidRDefault="00B71C7B" w:rsidP="00B71C7B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14:paraId="224228A1" w14:textId="77777777" w:rsidR="008C7AE2" w:rsidRDefault="008C7AE2" w:rsidP="00B71C7B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</w:p>
    <w:p w14:paraId="41233214" w14:textId="029B7E1F" w:rsidR="00B71C7B" w:rsidRPr="000C254D" w:rsidRDefault="00B71C7B" w:rsidP="00B71C7B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0C254D">
        <w:rPr>
          <w:rFonts w:ascii="Times New Roman" w:hAnsi="Times New Roman"/>
          <w:bCs/>
          <w:u w:val="single"/>
          <w:lang w:val="sk-SK"/>
        </w:rPr>
        <w:t>Likvidácia</w:t>
      </w:r>
    </w:p>
    <w:p w14:paraId="7E450101" w14:textId="77777777" w:rsidR="00B71C7B" w:rsidRPr="000C254D" w:rsidRDefault="00B71C7B" w:rsidP="00B71C7B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bCs/>
          <w:lang w:val="sk-SK"/>
        </w:rPr>
        <w:t xml:space="preserve">Naplnené striekačky sú určené </w:t>
      </w:r>
      <w:r w:rsidRPr="000C254D">
        <w:rPr>
          <w:rFonts w:ascii="Times New Roman" w:hAnsi="Times New Roman"/>
          <w:b/>
          <w:bCs/>
          <w:lang w:val="sk-SK"/>
        </w:rPr>
        <w:t xml:space="preserve">len </w:t>
      </w:r>
      <w:r w:rsidRPr="000C254D">
        <w:rPr>
          <w:rFonts w:ascii="Times New Roman" w:hAnsi="Times New Roman"/>
          <w:bCs/>
          <w:lang w:val="sk-SK"/>
        </w:rPr>
        <w:t>na jednorazové použitie.</w:t>
      </w:r>
    </w:p>
    <w:p w14:paraId="3844781A" w14:textId="33BFF11F" w:rsidR="00B71C7B" w:rsidRPr="000C254D" w:rsidRDefault="00B71C7B" w:rsidP="00B71C7B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0C254D">
        <w:rPr>
          <w:rFonts w:ascii="Times New Roman" w:hAnsi="Times New Roman"/>
          <w:lang w:val="sk-SK" w:eastAsia="sk-SK"/>
        </w:rPr>
        <w:t>Tento liek môže predstavovať riziko pre vodné prostredie.</w:t>
      </w:r>
      <w:r w:rsidRPr="000C254D">
        <w:rPr>
          <w:rFonts w:ascii="Times New Roman" w:hAnsi="Times New Roman"/>
          <w:lang w:val="sk-SK"/>
        </w:rPr>
        <w:t xml:space="preserve"> </w:t>
      </w:r>
      <w:r w:rsidRPr="000C254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397D2C">
        <w:rPr>
          <w:rFonts w:ascii="Times New Roman" w:hAnsi="Times New Roman"/>
          <w:bCs/>
          <w:lang w:val="sk-SK"/>
        </w:rPr>
        <w:t>.</w:t>
      </w:r>
    </w:p>
    <w:p w14:paraId="2FC7D1F3" w14:textId="77777777" w:rsidR="00B71C7B" w:rsidRPr="000C254D" w:rsidRDefault="00B71C7B" w:rsidP="00ED16E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sectPr w:rsidR="00B71C7B" w:rsidRPr="000C254D" w:rsidSect="00523F66">
      <w:headerReference w:type="default" r:id="rId13"/>
      <w:footerReference w:type="default" r:id="rId1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2BE2F0" w16cid:durableId="234E94B4"/>
  <w16cid:commentId w16cid:paraId="3C2BFB70" w16cid:durableId="234E94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10F9" w14:textId="77777777" w:rsidR="00B97002" w:rsidRDefault="00B97002" w:rsidP="00ED16E6">
      <w:pPr>
        <w:spacing w:after="0" w:line="240" w:lineRule="auto"/>
      </w:pPr>
      <w:r>
        <w:separator/>
      </w:r>
    </w:p>
  </w:endnote>
  <w:endnote w:type="continuationSeparator" w:id="0">
    <w:p w14:paraId="104D5857" w14:textId="77777777" w:rsidR="00B97002" w:rsidRDefault="00B97002" w:rsidP="00ED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892711"/>
      <w:docPartObj>
        <w:docPartGallery w:val="Page Numbers (Bottom of Page)"/>
        <w:docPartUnique/>
      </w:docPartObj>
    </w:sdtPr>
    <w:sdtEndPr/>
    <w:sdtContent>
      <w:p w14:paraId="10505EDE" w14:textId="15453597" w:rsidR="00955DBC" w:rsidRDefault="00955DBC">
        <w:pPr>
          <w:pStyle w:val="Pta"/>
          <w:jc w:val="center"/>
        </w:pPr>
        <w:r w:rsidRPr="00B75F25">
          <w:rPr>
            <w:rFonts w:ascii="Times New Roman" w:hAnsi="Times New Roman"/>
            <w:sz w:val="18"/>
            <w:szCs w:val="18"/>
          </w:rPr>
          <w:fldChar w:fldCharType="begin"/>
        </w:r>
        <w:r w:rsidRPr="00B75F2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75F25">
          <w:rPr>
            <w:rFonts w:ascii="Times New Roman" w:hAnsi="Times New Roman"/>
            <w:sz w:val="18"/>
            <w:szCs w:val="18"/>
          </w:rPr>
          <w:fldChar w:fldCharType="separate"/>
        </w:r>
        <w:r w:rsidR="00B75F25" w:rsidRPr="00B75F25">
          <w:rPr>
            <w:rFonts w:ascii="Times New Roman" w:hAnsi="Times New Roman"/>
            <w:noProof/>
            <w:sz w:val="18"/>
            <w:szCs w:val="18"/>
            <w:lang w:val="sk-SK"/>
          </w:rPr>
          <w:t>8</w:t>
        </w:r>
        <w:r w:rsidRPr="00B75F2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0FF0290" w14:textId="77777777" w:rsidR="00955DBC" w:rsidRDefault="00955D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F399B" w14:textId="77777777" w:rsidR="00B97002" w:rsidRDefault="00B97002" w:rsidP="00ED16E6">
      <w:pPr>
        <w:spacing w:after="0" w:line="240" w:lineRule="auto"/>
      </w:pPr>
      <w:r>
        <w:separator/>
      </w:r>
    </w:p>
  </w:footnote>
  <w:footnote w:type="continuationSeparator" w:id="0">
    <w:p w14:paraId="423B8DA6" w14:textId="77777777" w:rsidR="00B97002" w:rsidRDefault="00B97002" w:rsidP="00ED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420F8" w14:textId="77777777" w:rsidR="00955DBC" w:rsidRPr="00CD26E5" w:rsidRDefault="00955DBC" w:rsidP="00955DBC">
    <w:pPr>
      <w:spacing w:after="0" w:line="240" w:lineRule="auto"/>
      <w:rPr>
        <w:rFonts w:ascii="Times New Roman" w:eastAsia="Times New Roman" w:hAnsi="Times New Roman"/>
        <w:sz w:val="18"/>
        <w:szCs w:val="18"/>
        <w:lang w:val="en-AU"/>
      </w:rPr>
    </w:pPr>
    <w:bookmarkStart w:id="1" w:name="_Hlk513112080"/>
    <w:r w:rsidRPr="00CD26E5">
      <w:rPr>
        <w:rFonts w:ascii="Times New Roman" w:eastAsia="Times New Roman" w:hAnsi="Times New Roman"/>
        <w:sz w:val="18"/>
        <w:szCs w:val="18"/>
        <w:lang w:val="en-AU"/>
      </w:rPr>
      <w:t>Schválený text k rozhodnutiu o regis</w:t>
    </w:r>
    <w:r>
      <w:rPr>
        <w:rFonts w:ascii="Times New Roman" w:eastAsia="Times New Roman" w:hAnsi="Times New Roman"/>
        <w:sz w:val="18"/>
        <w:szCs w:val="18"/>
        <w:lang w:val="en-AU"/>
      </w:rPr>
      <w:t>trácii lieku, ev. č.: 2020/00572-REG</w:t>
    </w:r>
  </w:p>
  <w:bookmarkEnd w:id="1"/>
  <w:p w14:paraId="6DE07367" w14:textId="77777777" w:rsidR="00955DBC" w:rsidRDefault="00955DB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087"/>
    <w:multiLevelType w:val="hybridMultilevel"/>
    <w:tmpl w:val="179C20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D2D"/>
    <w:multiLevelType w:val="hybridMultilevel"/>
    <w:tmpl w:val="23F011E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74B51"/>
    <w:multiLevelType w:val="hybridMultilevel"/>
    <w:tmpl w:val="558EBC1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60E"/>
    <w:multiLevelType w:val="hybridMultilevel"/>
    <w:tmpl w:val="497EE1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85F"/>
    <w:multiLevelType w:val="hybridMultilevel"/>
    <w:tmpl w:val="D9564E9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73DBA"/>
    <w:multiLevelType w:val="hybridMultilevel"/>
    <w:tmpl w:val="0BA6215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0E69"/>
    <w:multiLevelType w:val="hybridMultilevel"/>
    <w:tmpl w:val="DD1287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D56375"/>
    <w:multiLevelType w:val="hybridMultilevel"/>
    <w:tmpl w:val="04EE6B9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08BB"/>
    <w:multiLevelType w:val="hybridMultilevel"/>
    <w:tmpl w:val="9EA6AE5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682"/>
    <w:multiLevelType w:val="hybridMultilevel"/>
    <w:tmpl w:val="4A8650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C1E59"/>
    <w:multiLevelType w:val="hybridMultilevel"/>
    <w:tmpl w:val="7EE0D1A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74F91"/>
    <w:multiLevelType w:val="hybridMultilevel"/>
    <w:tmpl w:val="018EE5FE"/>
    <w:lvl w:ilvl="0" w:tplc="FFFFFFFF">
      <w:start w:val="1"/>
      <w:numFmt w:val="bullet"/>
      <w:lvlText w:val="-"/>
      <w:lvlJc w:val="left"/>
      <w:pPr>
        <w:ind w:left="502" w:hanging="360"/>
      </w:p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6"/>
    <w:rsid w:val="000065BC"/>
    <w:rsid w:val="00007EA0"/>
    <w:rsid w:val="00034986"/>
    <w:rsid w:val="00084699"/>
    <w:rsid w:val="000A28C7"/>
    <w:rsid w:val="000C231B"/>
    <w:rsid w:val="00117C9A"/>
    <w:rsid w:val="00131BE3"/>
    <w:rsid w:val="00140996"/>
    <w:rsid w:val="00173D99"/>
    <w:rsid w:val="001B59F5"/>
    <w:rsid w:val="00214C99"/>
    <w:rsid w:val="00243846"/>
    <w:rsid w:val="00286928"/>
    <w:rsid w:val="002A1C5F"/>
    <w:rsid w:val="002E20D9"/>
    <w:rsid w:val="003336AA"/>
    <w:rsid w:val="00346EF1"/>
    <w:rsid w:val="0039105F"/>
    <w:rsid w:val="00397D2C"/>
    <w:rsid w:val="003A19C7"/>
    <w:rsid w:val="003F7EDC"/>
    <w:rsid w:val="00411088"/>
    <w:rsid w:val="00433EE5"/>
    <w:rsid w:val="00434051"/>
    <w:rsid w:val="00474A08"/>
    <w:rsid w:val="00535DCF"/>
    <w:rsid w:val="00577B14"/>
    <w:rsid w:val="005C6944"/>
    <w:rsid w:val="005D288F"/>
    <w:rsid w:val="006276AA"/>
    <w:rsid w:val="00647509"/>
    <w:rsid w:val="0067182E"/>
    <w:rsid w:val="00694D63"/>
    <w:rsid w:val="006E027D"/>
    <w:rsid w:val="007121E2"/>
    <w:rsid w:val="00716755"/>
    <w:rsid w:val="007343C5"/>
    <w:rsid w:val="0073681E"/>
    <w:rsid w:val="0074578A"/>
    <w:rsid w:val="00750CFE"/>
    <w:rsid w:val="00764F8D"/>
    <w:rsid w:val="00792E15"/>
    <w:rsid w:val="00797381"/>
    <w:rsid w:val="00843F43"/>
    <w:rsid w:val="00871EF6"/>
    <w:rsid w:val="008800F8"/>
    <w:rsid w:val="008C7AE2"/>
    <w:rsid w:val="008D35AC"/>
    <w:rsid w:val="0090286B"/>
    <w:rsid w:val="0091698C"/>
    <w:rsid w:val="00925487"/>
    <w:rsid w:val="00952DA2"/>
    <w:rsid w:val="00955DBC"/>
    <w:rsid w:val="0095653A"/>
    <w:rsid w:val="00960E32"/>
    <w:rsid w:val="009645BA"/>
    <w:rsid w:val="00981EFD"/>
    <w:rsid w:val="009E1D28"/>
    <w:rsid w:val="009E59AD"/>
    <w:rsid w:val="00A52864"/>
    <w:rsid w:val="00A52C4F"/>
    <w:rsid w:val="00A90C22"/>
    <w:rsid w:val="00A92DC8"/>
    <w:rsid w:val="00AD383D"/>
    <w:rsid w:val="00AE1F87"/>
    <w:rsid w:val="00B121F1"/>
    <w:rsid w:val="00B14A17"/>
    <w:rsid w:val="00B43CDA"/>
    <w:rsid w:val="00B536B0"/>
    <w:rsid w:val="00B71C7B"/>
    <w:rsid w:val="00B73657"/>
    <w:rsid w:val="00B75F25"/>
    <w:rsid w:val="00B76B1F"/>
    <w:rsid w:val="00B97002"/>
    <w:rsid w:val="00BE6E56"/>
    <w:rsid w:val="00C110FC"/>
    <w:rsid w:val="00C315D3"/>
    <w:rsid w:val="00C61954"/>
    <w:rsid w:val="00C87BD4"/>
    <w:rsid w:val="00CC0385"/>
    <w:rsid w:val="00CD066F"/>
    <w:rsid w:val="00CF62EF"/>
    <w:rsid w:val="00D04504"/>
    <w:rsid w:val="00D36E50"/>
    <w:rsid w:val="00D87B26"/>
    <w:rsid w:val="00DA1199"/>
    <w:rsid w:val="00DF2D69"/>
    <w:rsid w:val="00E072C8"/>
    <w:rsid w:val="00E14413"/>
    <w:rsid w:val="00E80A91"/>
    <w:rsid w:val="00E96DD4"/>
    <w:rsid w:val="00EB4D41"/>
    <w:rsid w:val="00EC5C05"/>
    <w:rsid w:val="00ED16E6"/>
    <w:rsid w:val="00EE6DD7"/>
    <w:rsid w:val="00EF4B8F"/>
    <w:rsid w:val="00F0486A"/>
    <w:rsid w:val="00F31167"/>
    <w:rsid w:val="00F4292F"/>
    <w:rsid w:val="00F5343D"/>
    <w:rsid w:val="00F6129E"/>
    <w:rsid w:val="00F63A6C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17B0"/>
  <w15:chartTrackingRefBased/>
  <w15:docId w15:val="{4CF08182-EF60-4F2A-AE98-85035CB4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6E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16E6"/>
    <w:pPr>
      <w:ind w:left="720"/>
      <w:contextualSpacing/>
    </w:pPr>
  </w:style>
  <w:style w:type="character" w:styleId="Hypertextovprepojenie">
    <w:name w:val="Hyperlink"/>
    <w:uiPriority w:val="99"/>
    <w:unhideWhenUsed/>
    <w:rsid w:val="00ED16E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1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16E6"/>
    <w:rPr>
      <w:rFonts w:ascii="Calibri" w:eastAsia="Calibri" w:hAnsi="Calibri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ED16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16E6"/>
    <w:rPr>
      <w:rFonts w:ascii="Calibri" w:eastAsia="Calibri" w:hAnsi="Calibri" w:cs="Times New Roman"/>
      <w:lang w:val="en-US"/>
    </w:rPr>
  </w:style>
  <w:style w:type="paragraph" w:customStyle="1" w:styleId="yiv9287724709msonormal">
    <w:name w:val="yiv9287724709msonormal"/>
    <w:basedOn w:val="Normlny"/>
    <w:rsid w:val="00ED1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TableText">
    <w:name w:val="Table Text"/>
    <w:basedOn w:val="Normlny"/>
    <w:uiPriority w:val="99"/>
    <w:rsid w:val="00ED16E6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81EFD"/>
    <w:rPr>
      <w:color w:val="954F72" w:themeColor="followedHyperlink"/>
      <w:u w:val="single"/>
    </w:rPr>
  </w:style>
  <w:style w:type="paragraph" w:customStyle="1" w:styleId="Default">
    <w:name w:val="Default"/>
    <w:rsid w:val="00EC5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lid-translation">
    <w:name w:val="tlid-translation"/>
    <w:basedOn w:val="Predvolenpsmoodseku"/>
    <w:rsid w:val="00243846"/>
  </w:style>
  <w:style w:type="paragraph" w:styleId="Textbubliny">
    <w:name w:val="Balloon Text"/>
    <w:basedOn w:val="Normlny"/>
    <w:link w:val="TextbublinyChar"/>
    <w:uiPriority w:val="99"/>
    <w:semiHidden/>
    <w:unhideWhenUsed/>
    <w:rsid w:val="00A9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DC8"/>
    <w:rPr>
      <w:rFonts w:ascii="Segoe UI" w:eastAsia="Calibr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55D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D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DBC"/>
    <w:rPr>
      <w:rFonts w:ascii="Calibri" w:eastAsia="Calibri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D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DBC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1982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Babínová</dc:creator>
  <cp:keywords/>
  <dc:description/>
  <cp:lastModifiedBy>user</cp:lastModifiedBy>
  <cp:revision>2</cp:revision>
  <dcterms:created xsi:type="dcterms:W3CDTF">2020-11-19T12:12:00Z</dcterms:created>
  <dcterms:modified xsi:type="dcterms:W3CDTF">2020-11-19T12:12:00Z</dcterms:modified>
</cp:coreProperties>
</file>