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4A" w14:textId="77777777" w:rsidR="008C118E" w:rsidRPr="00CF3382" w:rsidRDefault="00F16F76" w:rsidP="00CF3382">
      <w:pPr>
        <w:ind w:left="0" w:firstLine="0"/>
        <w:jc w:val="center"/>
        <w:outlineLvl w:val="0"/>
        <w:rPr>
          <w:b/>
          <w:szCs w:val="22"/>
        </w:rPr>
      </w:pPr>
      <w:r w:rsidRPr="00CF3382">
        <w:rPr>
          <w:b/>
          <w:szCs w:val="22"/>
        </w:rPr>
        <w:t>Písomná informácia pre používateľa</w:t>
      </w:r>
    </w:p>
    <w:p w14:paraId="482AC032" w14:textId="77777777" w:rsidR="00D40DB8" w:rsidRPr="00CF3382" w:rsidRDefault="00D40DB8" w:rsidP="00CF3382">
      <w:pPr>
        <w:ind w:left="0" w:firstLine="0"/>
        <w:jc w:val="center"/>
        <w:outlineLvl w:val="0"/>
        <w:rPr>
          <w:b/>
          <w:szCs w:val="22"/>
        </w:rPr>
      </w:pPr>
    </w:p>
    <w:p w14:paraId="2B1C2BC9" w14:textId="3BF38D7A" w:rsidR="004B47C2" w:rsidRPr="00CF3382" w:rsidRDefault="00DA64B0" w:rsidP="00CF3382">
      <w:pPr>
        <w:ind w:left="0" w:firstLine="0"/>
        <w:jc w:val="center"/>
        <w:outlineLvl w:val="0"/>
        <w:rPr>
          <w:b/>
          <w:szCs w:val="22"/>
        </w:rPr>
      </w:pPr>
      <w:r w:rsidRPr="00CF3382">
        <w:rPr>
          <w:b/>
          <w:szCs w:val="22"/>
        </w:rPr>
        <w:t>GLIMBAX</w:t>
      </w:r>
    </w:p>
    <w:p w14:paraId="12F855CC" w14:textId="011D217E" w:rsidR="008C118E" w:rsidRPr="00CF3382" w:rsidRDefault="005C3A12" w:rsidP="00CF3382">
      <w:pPr>
        <w:ind w:left="0" w:firstLine="0"/>
        <w:jc w:val="center"/>
        <w:outlineLvl w:val="0"/>
        <w:rPr>
          <w:b/>
          <w:szCs w:val="22"/>
        </w:rPr>
      </w:pPr>
      <w:r w:rsidRPr="00CF3382">
        <w:rPr>
          <w:b/>
          <w:szCs w:val="22"/>
        </w:rPr>
        <w:t>0,074</w:t>
      </w:r>
      <w:r w:rsidR="00BE4767" w:rsidRPr="00CF3382">
        <w:rPr>
          <w:b/>
          <w:szCs w:val="22"/>
        </w:rPr>
        <w:t> </w:t>
      </w:r>
      <w:r w:rsidRPr="00CF3382">
        <w:rPr>
          <w:b/>
          <w:szCs w:val="22"/>
        </w:rPr>
        <w:t>g/100</w:t>
      </w:r>
      <w:r w:rsidR="00BE4767" w:rsidRPr="00CF3382">
        <w:rPr>
          <w:b/>
          <w:szCs w:val="22"/>
        </w:rPr>
        <w:t> </w:t>
      </w:r>
      <w:r w:rsidRPr="00CF3382">
        <w:rPr>
          <w:b/>
          <w:szCs w:val="22"/>
        </w:rPr>
        <w:t>ml</w:t>
      </w:r>
      <w:r w:rsidR="003E7A49" w:rsidRPr="00CF3382">
        <w:rPr>
          <w:b/>
          <w:szCs w:val="22"/>
        </w:rPr>
        <w:t xml:space="preserve"> </w:t>
      </w:r>
      <w:r w:rsidR="005C4478" w:rsidRPr="00CF3382">
        <w:rPr>
          <w:b/>
          <w:szCs w:val="22"/>
        </w:rPr>
        <w:t>orálny roztok</w:t>
      </w:r>
    </w:p>
    <w:p w14:paraId="5C003139" w14:textId="77777777" w:rsidR="008C118E" w:rsidRPr="00CF3382" w:rsidRDefault="00F16F76" w:rsidP="00CF3382">
      <w:pPr>
        <w:ind w:left="0" w:firstLine="0"/>
        <w:jc w:val="center"/>
        <w:rPr>
          <w:szCs w:val="22"/>
        </w:rPr>
      </w:pPr>
      <w:r w:rsidRPr="00CF3382">
        <w:rPr>
          <w:szCs w:val="22"/>
        </w:rPr>
        <w:t>d</w:t>
      </w:r>
      <w:r w:rsidR="00D40DB8" w:rsidRPr="00CF3382">
        <w:rPr>
          <w:szCs w:val="22"/>
        </w:rPr>
        <w:t>iklofenak</w:t>
      </w:r>
    </w:p>
    <w:p w14:paraId="0E6D47CE" w14:textId="77777777" w:rsidR="008C118E" w:rsidRPr="00CF3382" w:rsidRDefault="008C118E" w:rsidP="00CF3382">
      <w:pPr>
        <w:outlineLvl w:val="0"/>
        <w:rPr>
          <w:szCs w:val="22"/>
        </w:rPr>
      </w:pPr>
    </w:p>
    <w:p w14:paraId="11685320" w14:textId="60595E0B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  <w:r w:rsidRPr="00CF3382">
        <w:rPr>
          <w:b/>
          <w:szCs w:val="22"/>
        </w:rPr>
        <w:t>Pozorne si prečítajte</w:t>
      </w:r>
      <w:r w:rsidRPr="00CF3382">
        <w:rPr>
          <w:szCs w:val="22"/>
        </w:rPr>
        <w:t xml:space="preserve"> </w:t>
      </w:r>
      <w:r w:rsidRPr="00CF3382">
        <w:rPr>
          <w:b/>
          <w:szCs w:val="22"/>
        </w:rPr>
        <w:t xml:space="preserve">celú písomnú informáciu, </w:t>
      </w:r>
      <w:r w:rsidR="00D40DB8" w:rsidRPr="00CF3382">
        <w:rPr>
          <w:b/>
          <w:szCs w:val="22"/>
        </w:rPr>
        <w:t xml:space="preserve">predtým, </w:t>
      </w:r>
      <w:r w:rsidR="00B63BA2" w:rsidRPr="00CF3382">
        <w:rPr>
          <w:b/>
          <w:szCs w:val="22"/>
        </w:rPr>
        <w:t xml:space="preserve">ako </w:t>
      </w:r>
      <w:r w:rsidR="00D40DB8" w:rsidRPr="00CF3382">
        <w:rPr>
          <w:b/>
          <w:szCs w:val="22"/>
        </w:rPr>
        <w:t xml:space="preserve">začnete používať tento liek, </w:t>
      </w:r>
      <w:r w:rsidRPr="00CF3382">
        <w:rPr>
          <w:b/>
          <w:szCs w:val="22"/>
        </w:rPr>
        <w:t xml:space="preserve">pretože obsahuje pre </w:t>
      </w:r>
      <w:r w:rsidR="00D40DB8" w:rsidRPr="00CF3382">
        <w:rPr>
          <w:b/>
          <w:szCs w:val="22"/>
        </w:rPr>
        <w:t>v</w:t>
      </w:r>
      <w:r w:rsidRPr="00CF3382">
        <w:rPr>
          <w:b/>
          <w:szCs w:val="22"/>
        </w:rPr>
        <w:t>ás dôležité informácie</w:t>
      </w:r>
      <w:r w:rsidR="0024282A" w:rsidRPr="00CF3382">
        <w:rPr>
          <w:b/>
          <w:szCs w:val="22"/>
        </w:rPr>
        <w:t>.</w:t>
      </w:r>
    </w:p>
    <w:p w14:paraId="6A49A952" w14:textId="58CA9530" w:rsidR="00D40DB8" w:rsidRPr="00CF3382" w:rsidRDefault="00D40DB8" w:rsidP="00CF3382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CF3382">
        <w:rPr>
          <w:szCs w:val="22"/>
        </w:rPr>
        <w:t xml:space="preserve">Vždy používajte tento liek presne tak, ako je </w:t>
      </w:r>
      <w:r w:rsidR="00E121DC" w:rsidRPr="00CF3382">
        <w:rPr>
          <w:szCs w:val="22"/>
        </w:rPr>
        <w:t xml:space="preserve">to </w:t>
      </w:r>
      <w:r w:rsidRPr="00CF3382">
        <w:rPr>
          <w:szCs w:val="22"/>
        </w:rPr>
        <w:t xml:space="preserve">uvedené v tejto </w:t>
      </w:r>
      <w:r w:rsidR="00E121DC" w:rsidRPr="00CF3382">
        <w:rPr>
          <w:szCs w:val="22"/>
        </w:rPr>
        <w:t xml:space="preserve">písomnej </w:t>
      </w:r>
      <w:r w:rsidRPr="00CF3382">
        <w:rPr>
          <w:szCs w:val="22"/>
        </w:rPr>
        <w:t>informácii alebo ako vám povedal váš lekár alebo lekárnik.</w:t>
      </w:r>
    </w:p>
    <w:p w14:paraId="26F19F8F" w14:textId="77777777" w:rsidR="005B1140" w:rsidRPr="00CF3382" w:rsidRDefault="005B1140" w:rsidP="00CF3382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CF3382">
        <w:rPr>
          <w:kern w:val="22"/>
          <w:szCs w:val="22"/>
        </w:rPr>
        <w:t>Túto písomnú informáciu si uschovajte. Možno bude potrebné, aby ste si ju znovu prečítali.</w:t>
      </w:r>
    </w:p>
    <w:p w14:paraId="1E82F297" w14:textId="77777777" w:rsidR="005B1140" w:rsidRPr="00CF3382" w:rsidRDefault="005B1140" w:rsidP="00CF3382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CF3382">
        <w:rPr>
          <w:kern w:val="22"/>
          <w:szCs w:val="22"/>
        </w:rPr>
        <w:t>Ak potrebujete ďalšie informácie alebo radu, obráťte sa na svojho lekárnika.</w:t>
      </w:r>
    </w:p>
    <w:p w14:paraId="20A142D4" w14:textId="6ECA448D" w:rsidR="005B1140" w:rsidRPr="00CF3382" w:rsidRDefault="005B1140" w:rsidP="00CF3382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CF3382">
        <w:rPr>
          <w:kern w:val="22"/>
          <w:szCs w:val="22"/>
        </w:rPr>
        <w:t xml:space="preserve">Ak sa u vás vyskytne akýkoľvek vedľajší účinok, obráťte sa na svojho lekára alebo lekárnika. To sa týka </w:t>
      </w:r>
      <w:r w:rsidR="00E121DC" w:rsidRPr="00CF3382">
        <w:rPr>
          <w:kern w:val="22"/>
          <w:szCs w:val="22"/>
        </w:rPr>
        <w:t xml:space="preserve">aj </w:t>
      </w:r>
      <w:r w:rsidRPr="00CF3382">
        <w:rPr>
          <w:kern w:val="22"/>
          <w:szCs w:val="22"/>
        </w:rPr>
        <w:t>akýchkoľvek vedľajších účinkov, ktoré nie sú uvedené v tejto písomnej informácii. Pozri časť 4.</w:t>
      </w:r>
    </w:p>
    <w:p w14:paraId="658D8CCA" w14:textId="72E3BEEB" w:rsidR="005B1140" w:rsidRPr="00CF3382" w:rsidRDefault="005B1140" w:rsidP="00CF3382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CF3382">
        <w:rPr>
          <w:rFonts w:eastAsia="Arial Unicode MS"/>
          <w:kern w:val="22"/>
          <w:szCs w:val="22"/>
        </w:rPr>
        <w:t>Ak sa do 7 dní nebudete cítiť lepšie alebo sa budete cítiť horšie, musíte sa obrátiť na lekára.</w:t>
      </w:r>
    </w:p>
    <w:p w14:paraId="752FE08A" w14:textId="77777777" w:rsidR="00247CD8" w:rsidRPr="00CF3382" w:rsidRDefault="00247CD8" w:rsidP="00CF3382">
      <w:pPr>
        <w:numPr>
          <w:ilvl w:val="12"/>
          <w:numId w:val="0"/>
        </w:numPr>
        <w:ind w:right="-2"/>
        <w:rPr>
          <w:szCs w:val="22"/>
        </w:rPr>
      </w:pPr>
    </w:p>
    <w:p w14:paraId="1EDEDF3D" w14:textId="7FB06CFF" w:rsidR="008C118E" w:rsidRPr="00CF3382" w:rsidRDefault="008C118E" w:rsidP="00CF338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F3382">
        <w:rPr>
          <w:b/>
          <w:szCs w:val="22"/>
        </w:rPr>
        <w:t>V tejto písomnej informácii sa dozviete</w:t>
      </w:r>
      <w:r w:rsidRPr="00CF3382">
        <w:rPr>
          <w:szCs w:val="22"/>
        </w:rPr>
        <w:t>:</w:t>
      </w:r>
    </w:p>
    <w:p w14:paraId="0BBA33E5" w14:textId="77777777" w:rsidR="00CF3382" w:rsidRPr="00CF3382" w:rsidRDefault="00CF3382" w:rsidP="00CF338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726DB15" w14:textId="77777777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1.</w:t>
      </w:r>
      <w:r w:rsidRPr="00CF3382">
        <w:rPr>
          <w:szCs w:val="22"/>
        </w:rPr>
        <w:tab/>
        <w:t xml:space="preserve">Čo je </w:t>
      </w:r>
      <w:r w:rsidR="00DA64B0" w:rsidRPr="00CF3382">
        <w:rPr>
          <w:szCs w:val="22"/>
        </w:rPr>
        <w:t xml:space="preserve">GLIMBAX </w:t>
      </w:r>
      <w:r w:rsidRPr="00CF3382">
        <w:rPr>
          <w:szCs w:val="22"/>
        </w:rPr>
        <w:t>a na čo sa používa</w:t>
      </w:r>
    </w:p>
    <w:p w14:paraId="58AFB01C" w14:textId="2E5264E7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2.</w:t>
      </w:r>
      <w:r w:rsidRPr="00CF3382">
        <w:rPr>
          <w:szCs w:val="22"/>
        </w:rPr>
        <w:tab/>
      </w:r>
      <w:r w:rsidR="00D40DB8" w:rsidRPr="00CF3382">
        <w:rPr>
          <w:szCs w:val="22"/>
        </w:rPr>
        <w:t>Čo potrebujete vedieť predtým, ako použijete G</w:t>
      </w:r>
      <w:r w:rsidR="00A4601C" w:rsidRPr="00CF3382">
        <w:rPr>
          <w:szCs w:val="22"/>
        </w:rPr>
        <w:t>LIMBAX</w:t>
      </w:r>
    </w:p>
    <w:p w14:paraId="67040932" w14:textId="77777777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3.</w:t>
      </w:r>
      <w:r w:rsidRPr="00CF3382">
        <w:rPr>
          <w:szCs w:val="22"/>
        </w:rPr>
        <w:tab/>
        <w:t xml:space="preserve">Ako </w:t>
      </w:r>
      <w:r w:rsidR="00D40DB8" w:rsidRPr="00CF3382">
        <w:rPr>
          <w:szCs w:val="22"/>
        </w:rPr>
        <w:t>po</w:t>
      </w:r>
      <w:r w:rsidRPr="00CF3382">
        <w:rPr>
          <w:szCs w:val="22"/>
        </w:rPr>
        <w:t xml:space="preserve">užívať </w:t>
      </w:r>
      <w:r w:rsidR="00DA64B0" w:rsidRPr="00CF3382">
        <w:rPr>
          <w:szCs w:val="22"/>
        </w:rPr>
        <w:t>GLIMBAX</w:t>
      </w:r>
    </w:p>
    <w:p w14:paraId="20E1BA01" w14:textId="77777777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4.</w:t>
      </w:r>
      <w:r w:rsidRPr="00CF3382">
        <w:rPr>
          <w:szCs w:val="22"/>
        </w:rPr>
        <w:tab/>
        <w:t>Možné vedľajšie účinky</w:t>
      </w:r>
    </w:p>
    <w:p w14:paraId="0EA96EFD" w14:textId="29F5CBE9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5.</w:t>
      </w:r>
      <w:r w:rsidRPr="00CF3382">
        <w:rPr>
          <w:szCs w:val="22"/>
        </w:rPr>
        <w:tab/>
        <w:t xml:space="preserve">Ako uchovávať </w:t>
      </w:r>
      <w:r w:rsidR="00DA64B0" w:rsidRPr="00CF3382">
        <w:rPr>
          <w:szCs w:val="22"/>
        </w:rPr>
        <w:t>GLIMBAX</w:t>
      </w:r>
    </w:p>
    <w:p w14:paraId="1513A359" w14:textId="559C62E4" w:rsidR="008C118E" w:rsidRPr="00CF3382" w:rsidRDefault="008C118E" w:rsidP="00CF3382">
      <w:pPr>
        <w:ind w:right="-29"/>
        <w:rPr>
          <w:szCs w:val="22"/>
        </w:rPr>
      </w:pPr>
      <w:r w:rsidRPr="00CF3382">
        <w:rPr>
          <w:szCs w:val="22"/>
        </w:rPr>
        <w:t>6.</w:t>
      </w:r>
      <w:r w:rsidRPr="00CF3382">
        <w:rPr>
          <w:szCs w:val="22"/>
        </w:rPr>
        <w:tab/>
      </w:r>
      <w:r w:rsidR="00D40DB8" w:rsidRPr="00CF3382">
        <w:rPr>
          <w:szCs w:val="22"/>
        </w:rPr>
        <w:t>Obsah balenia a</w:t>
      </w:r>
      <w:r w:rsidR="0024282A" w:rsidRPr="00CF3382">
        <w:rPr>
          <w:szCs w:val="22"/>
        </w:rPr>
        <w:t> </w:t>
      </w:r>
      <w:r w:rsidR="00D40DB8" w:rsidRPr="00CF3382">
        <w:rPr>
          <w:szCs w:val="22"/>
        </w:rPr>
        <w:t>ď</w:t>
      </w:r>
      <w:r w:rsidRPr="00CF3382">
        <w:rPr>
          <w:szCs w:val="22"/>
        </w:rPr>
        <w:t>alšie informácie</w:t>
      </w:r>
    </w:p>
    <w:p w14:paraId="2D6E5317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7C767750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67CC2FB9" w14:textId="6B8A95F9" w:rsidR="008C118E" w:rsidRPr="00CF3382" w:rsidRDefault="00D40DB8" w:rsidP="00CF3382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CF3382">
        <w:rPr>
          <w:b/>
          <w:szCs w:val="22"/>
        </w:rPr>
        <w:t>Čo je GLIMBAX a na čo sa používa</w:t>
      </w:r>
    </w:p>
    <w:p w14:paraId="1F4FA932" w14:textId="77777777" w:rsidR="008C118E" w:rsidRPr="00CF3382" w:rsidRDefault="008C118E" w:rsidP="00CF3382">
      <w:pPr>
        <w:keepNext/>
        <w:ind w:right="-2"/>
        <w:outlineLvl w:val="0"/>
        <w:rPr>
          <w:szCs w:val="22"/>
        </w:rPr>
      </w:pPr>
    </w:p>
    <w:p w14:paraId="6F7627B3" w14:textId="14FE5DB2" w:rsidR="00D40DB8" w:rsidRPr="00CF3382" w:rsidRDefault="00DA64B0" w:rsidP="00CF3382">
      <w:pPr>
        <w:ind w:left="0" w:right="-2" w:firstLine="0"/>
        <w:outlineLvl w:val="0"/>
        <w:rPr>
          <w:szCs w:val="22"/>
        </w:rPr>
      </w:pPr>
      <w:r w:rsidRPr="00CF3382">
        <w:rPr>
          <w:szCs w:val="22"/>
        </w:rPr>
        <w:t xml:space="preserve">GLIMBAX </w:t>
      </w:r>
      <w:r w:rsidR="005C4478" w:rsidRPr="00CF3382">
        <w:rPr>
          <w:szCs w:val="22"/>
        </w:rPr>
        <w:t>obsahuje liečivo</w:t>
      </w:r>
      <w:r w:rsidR="008C118E" w:rsidRPr="00CF3382">
        <w:rPr>
          <w:szCs w:val="22"/>
        </w:rPr>
        <w:t xml:space="preserve"> diklofenak, </w:t>
      </w:r>
      <w:r w:rsidR="005C4478" w:rsidRPr="00CF3382">
        <w:rPr>
          <w:szCs w:val="22"/>
        </w:rPr>
        <w:t>ktorý patrí do skupiny nesteroidových protizápalových liekov (NSAID).</w:t>
      </w:r>
    </w:p>
    <w:p w14:paraId="4484371E" w14:textId="77777777" w:rsidR="005C4478" w:rsidRPr="00CF3382" w:rsidRDefault="005C4478" w:rsidP="00CF3382">
      <w:pPr>
        <w:pStyle w:val="Zkladntext"/>
        <w:rPr>
          <w:szCs w:val="22"/>
        </w:rPr>
      </w:pPr>
      <w:r w:rsidRPr="00CF3382">
        <w:rPr>
          <w:szCs w:val="22"/>
        </w:rPr>
        <w:t>Pri vnútornom podaní vykazuje diklofenak analgetický (bolesť tlmiaci), protizápalový a antipyretický (znižujúci horúčku) účinok. Pri miestnom použití, ako v prípade orálneho roztoku, vykazuje diklofenak analgetický a protizápalový účinok.</w:t>
      </w:r>
    </w:p>
    <w:p w14:paraId="4248DF29" w14:textId="093DB832" w:rsidR="008C118E" w:rsidRPr="00CF3382" w:rsidRDefault="00DA64B0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GLIMBAX </w:t>
      </w:r>
      <w:r w:rsidR="008C118E" w:rsidRPr="00CF3382">
        <w:rPr>
          <w:szCs w:val="22"/>
        </w:rPr>
        <w:t xml:space="preserve">sa </w:t>
      </w:r>
      <w:r w:rsidR="005C4478" w:rsidRPr="00CF3382">
        <w:rPr>
          <w:szCs w:val="22"/>
        </w:rPr>
        <w:t xml:space="preserve">používa </w:t>
      </w:r>
      <w:r w:rsidR="008C118E" w:rsidRPr="00CF3382">
        <w:rPr>
          <w:szCs w:val="22"/>
        </w:rPr>
        <w:t xml:space="preserve">na liečbu </w:t>
      </w:r>
      <w:r w:rsidR="00D40DB8" w:rsidRPr="00CF3382">
        <w:rPr>
          <w:szCs w:val="22"/>
        </w:rPr>
        <w:t>a</w:t>
      </w:r>
      <w:r w:rsidR="00BE4767" w:rsidRPr="00CF3382">
        <w:rPr>
          <w:szCs w:val="22"/>
        </w:rPr>
        <w:t> </w:t>
      </w:r>
      <w:r w:rsidR="005C4478" w:rsidRPr="00CF3382">
        <w:rPr>
          <w:szCs w:val="22"/>
        </w:rPr>
        <w:t>úľavu od</w:t>
      </w:r>
      <w:r w:rsidR="008C118E" w:rsidRPr="00CF3382">
        <w:rPr>
          <w:szCs w:val="22"/>
        </w:rPr>
        <w:t xml:space="preserve"> zápalov v ústnej dutine a</w:t>
      </w:r>
      <w:r w:rsidR="00B63BA2" w:rsidRPr="00CF3382">
        <w:rPr>
          <w:szCs w:val="22"/>
        </w:rPr>
        <w:t> </w:t>
      </w:r>
      <w:r w:rsidR="005C4478" w:rsidRPr="00CF3382">
        <w:rPr>
          <w:szCs w:val="22"/>
        </w:rPr>
        <w:t>hltane, ktoré sa môžu spájať s bolesťou</w:t>
      </w:r>
      <w:r w:rsidR="008C118E" w:rsidRPr="00CF3382">
        <w:rPr>
          <w:szCs w:val="22"/>
        </w:rPr>
        <w:t xml:space="preserve"> (napr</w:t>
      </w:r>
      <w:r w:rsidR="005C4478" w:rsidRPr="00CF3382">
        <w:rPr>
          <w:szCs w:val="22"/>
        </w:rPr>
        <w:t>.</w:t>
      </w:r>
      <w:r w:rsidR="008C118E" w:rsidRPr="00CF3382">
        <w:rPr>
          <w:szCs w:val="22"/>
        </w:rPr>
        <w:t xml:space="preserve"> zápal ďasien, zápal sliznice </w:t>
      </w:r>
      <w:r w:rsidR="005C4478" w:rsidRPr="00CF3382">
        <w:rPr>
          <w:szCs w:val="22"/>
        </w:rPr>
        <w:t xml:space="preserve">ústnej </w:t>
      </w:r>
      <w:r w:rsidR="008C118E" w:rsidRPr="00CF3382">
        <w:rPr>
          <w:szCs w:val="22"/>
        </w:rPr>
        <w:t>dutiny</w:t>
      </w:r>
      <w:r w:rsidR="005C4478" w:rsidRPr="00CF3382">
        <w:rPr>
          <w:szCs w:val="22"/>
        </w:rPr>
        <w:t>, zápal hltana</w:t>
      </w:r>
      <w:r w:rsidR="008C118E" w:rsidRPr="00CF3382">
        <w:rPr>
          <w:szCs w:val="22"/>
        </w:rPr>
        <w:t>)</w:t>
      </w:r>
      <w:r w:rsidR="005C4478" w:rsidRPr="00CF3382">
        <w:rPr>
          <w:szCs w:val="22"/>
        </w:rPr>
        <w:t>, a tiež môžu byť následkom konzervatívnej liečby</w:t>
      </w:r>
      <w:r w:rsidR="00D40DB8" w:rsidRPr="00CF3382">
        <w:rPr>
          <w:szCs w:val="22"/>
        </w:rPr>
        <w:t xml:space="preserve"> </w:t>
      </w:r>
      <w:r w:rsidR="008C118E" w:rsidRPr="00CF3382">
        <w:rPr>
          <w:szCs w:val="22"/>
        </w:rPr>
        <w:t xml:space="preserve">zubov </w:t>
      </w:r>
      <w:r w:rsidR="005C4478" w:rsidRPr="00CF3382">
        <w:rPr>
          <w:szCs w:val="22"/>
        </w:rPr>
        <w:t>alebo trhania zubov</w:t>
      </w:r>
      <w:r w:rsidR="008C118E" w:rsidRPr="00CF3382">
        <w:rPr>
          <w:szCs w:val="22"/>
        </w:rPr>
        <w:t>.</w:t>
      </w:r>
    </w:p>
    <w:p w14:paraId="12A1F25A" w14:textId="77777777" w:rsidR="005C4478" w:rsidRPr="00CF3382" w:rsidRDefault="005C4478" w:rsidP="00CF3382">
      <w:pPr>
        <w:pStyle w:val="Zkladntext"/>
        <w:rPr>
          <w:szCs w:val="22"/>
        </w:rPr>
      </w:pPr>
    </w:p>
    <w:p w14:paraId="69DB3225" w14:textId="77777777" w:rsidR="005C4478" w:rsidRPr="00CF3382" w:rsidRDefault="005C4478" w:rsidP="00CF3382">
      <w:pPr>
        <w:pStyle w:val="Zkladntext"/>
        <w:rPr>
          <w:szCs w:val="22"/>
        </w:rPr>
      </w:pPr>
      <w:r w:rsidRPr="00CF3382">
        <w:rPr>
          <w:szCs w:val="22"/>
        </w:rPr>
        <w:t>Ak sa do siedmich dní nebudete cítiť lepšie alebo sa budete cítiť horšie, musíte sa obrátiť na lekára.</w:t>
      </w:r>
    </w:p>
    <w:p w14:paraId="00A6057C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7C2D1480" w14:textId="77777777" w:rsidR="00D84200" w:rsidRPr="00CF3382" w:rsidRDefault="00D84200" w:rsidP="00CF3382">
      <w:pPr>
        <w:numPr>
          <w:ilvl w:val="12"/>
          <w:numId w:val="0"/>
        </w:numPr>
        <w:ind w:right="-2"/>
        <w:rPr>
          <w:szCs w:val="22"/>
        </w:rPr>
      </w:pPr>
    </w:p>
    <w:p w14:paraId="68786404" w14:textId="2DA628F0" w:rsidR="008C118E" w:rsidRPr="00CF3382" w:rsidRDefault="00C44A39" w:rsidP="00CF3382">
      <w:pPr>
        <w:keepNext/>
        <w:numPr>
          <w:ilvl w:val="0"/>
          <w:numId w:val="13"/>
        </w:numPr>
        <w:ind w:left="567" w:right="-2" w:hanging="567"/>
        <w:outlineLvl w:val="0"/>
        <w:rPr>
          <w:b/>
          <w:noProof/>
          <w:szCs w:val="22"/>
        </w:rPr>
      </w:pPr>
      <w:r w:rsidRPr="00CF3382">
        <w:rPr>
          <w:b/>
          <w:szCs w:val="22"/>
        </w:rPr>
        <w:t>Čo potrebujete vedieť predtým, ako použijete G</w:t>
      </w:r>
      <w:r w:rsidR="00A4601C" w:rsidRPr="00CF3382">
        <w:rPr>
          <w:b/>
          <w:szCs w:val="22"/>
        </w:rPr>
        <w:t>LIMBAX</w:t>
      </w:r>
    </w:p>
    <w:p w14:paraId="6DA1D9DF" w14:textId="77777777" w:rsidR="008C118E" w:rsidRPr="00CF3382" w:rsidRDefault="008C118E" w:rsidP="00CF3382">
      <w:pPr>
        <w:keepNext/>
        <w:ind w:right="-2"/>
        <w:outlineLvl w:val="0"/>
        <w:rPr>
          <w:noProof/>
          <w:szCs w:val="22"/>
        </w:rPr>
      </w:pPr>
    </w:p>
    <w:p w14:paraId="753039D8" w14:textId="77777777" w:rsidR="00C44A39" w:rsidRPr="00CF3382" w:rsidRDefault="00C44A39" w:rsidP="00CF3382">
      <w:pPr>
        <w:keepNext/>
        <w:rPr>
          <w:b/>
          <w:szCs w:val="22"/>
        </w:rPr>
      </w:pPr>
      <w:r w:rsidRPr="00CF3382">
        <w:rPr>
          <w:b/>
          <w:szCs w:val="22"/>
        </w:rPr>
        <w:t>Nepoužívajte G</w:t>
      </w:r>
      <w:r w:rsidR="00A4601C" w:rsidRPr="00CF3382">
        <w:rPr>
          <w:b/>
          <w:szCs w:val="22"/>
        </w:rPr>
        <w:t>LIMBAX</w:t>
      </w:r>
    </w:p>
    <w:p w14:paraId="5627FAA5" w14:textId="6471CC42" w:rsidR="00C44A39" w:rsidRPr="00CF3382" w:rsidRDefault="00C44A39" w:rsidP="00CF3382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CF3382">
        <w:rPr>
          <w:szCs w:val="22"/>
        </w:rPr>
        <w:t>ak ste alergický na diklofenak alebo na ktorúkoľvek z</w:t>
      </w:r>
      <w:r w:rsidR="00B63BA2" w:rsidRPr="00CF3382">
        <w:rPr>
          <w:szCs w:val="22"/>
        </w:rPr>
        <w:t> </w:t>
      </w:r>
      <w:r w:rsidRPr="00CF3382">
        <w:rPr>
          <w:szCs w:val="22"/>
        </w:rPr>
        <w:t>ďalších zložiek tohto lieku (uvedených v časti 6)</w:t>
      </w:r>
      <w:r w:rsidR="005C4478" w:rsidRPr="00CF3382">
        <w:rPr>
          <w:szCs w:val="22"/>
        </w:rPr>
        <w:t>;</w:t>
      </w:r>
    </w:p>
    <w:p w14:paraId="56C76A6D" w14:textId="7006F26E" w:rsidR="00C44A39" w:rsidRPr="00CF3382" w:rsidRDefault="00C44A39" w:rsidP="00CF3382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CF3382">
        <w:rPr>
          <w:szCs w:val="22"/>
        </w:rPr>
        <w:t xml:space="preserve">ak ste alergický na kyselinu acetylsalicylovú </w:t>
      </w:r>
      <w:r w:rsidR="005C4478" w:rsidRPr="00CF3382">
        <w:rPr>
          <w:szCs w:val="22"/>
        </w:rPr>
        <w:t>a jej podobné látky</w:t>
      </w:r>
      <w:r w:rsidRPr="00CF3382">
        <w:rPr>
          <w:szCs w:val="22"/>
        </w:rPr>
        <w:t xml:space="preserve"> alebo ktorýkoľvek</w:t>
      </w:r>
      <w:r w:rsidR="00B63BA2" w:rsidRPr="00CF3382">
        <w:rPr>
          <w:szCs w:val="22"/>
        </w:rPr>
        <w:t xml:space="preserve"> </w:t>
      </w:r>
      <w:r w:rsidRPr="00CF3382">
        <w:rPr>
          <w:szCs w:val="22"/>
        </w:rPr>
        <w:t xml:space="preserve">iný </w:t>
      </w:r>
      <w:r w:rsidRPr="00CF3382">
        <w:rPr>
          <w:szCs w:val="22"/>
        </w:rPr>
        <w:lastRenderedPageBreak/>
        <w:t>nesteroidový protizápalový liek.</w:t>
      </w:r>
    </w:p>
    <w:p w14:paraId="3BCDC420" w14:textId="0B2347E9" w:rsidR="008C118E" w:rsidRPr="00CF3382" w:rsidRDefault="008C118E" w:rsidP="00CF3382">
      <w:pPr>
        <w:rPr>
          <w:szCs w:val="22"/>
        </w:rPr>
      </w:pPr>
    </w:p>
    <w:p w14:paraId="5FE9E514" w14:textId="77777777" w:rsidR="006C64F5" w:rsidRPr="00CF3382" w:rsidRDefault="006C64F5" w:rsidP="00CF3382">
      <w:pPr>
        <w:keepNext/>
        <w:rPr>
          <w:b/>
          <w:szCs w:val="22"/>
        </w:rPr>
      </w:pPr>
      <w:r w:rsidRPr="00CF3382">
        <w:rPr>
          <w:b/>
          <w:szCs w:val="22"/>
        </w:rPr>
        <w:t>Upozornenia a opatrenia</w:t>
      </w:r>
    </w:p>
    <w:p w14:paraId="2B0607DC" w14:textId="77777777" w:rsidR="006C64F5" w:rsidRPr="00CF3382" w:rsidRDefault="006C64F5" w:rsidP="00CF3382">
      <w:pPr>
        <w:rPr>
          <w:szCs w:val="22"/>
        </w:rPr>
      </w:pPr>
      <w:r w:rsidRPr="00CF3382">
        <w:rPr>
          <w:szCs w:val="22"/>
        </w:rPr>
        <w:t>Predtým, ako začnete používať G</w:t>
      </w:r>
      <w:r w:rsidR="00A4601C" w:rsidRPr="00CF3382">
        <w:rPr>
          <w:szCs w:val="22"/>
        </w:rPr>
        <w:t>LIMBAX</w:t>
      </w:r>
      <w:r w:rsidRPr="00CF3382">
        <w:rPr>
          <w:szCs w:val="22"/>
        </w:rPr>
        <w:t>, obráťte sa na svojho lekára alebo lekárnika.</w:t>
      </w:r>
    </w:p>
    <w:p w14:paraId="2168435D" w14:textId="77777777" w:rsidR="006C64F5" w:rsidRPr="00CF3382" w:rsidRDefault="006C64F5" w:rsidP="00CF3382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80200C" w14:textId="5FE06C63" w:rsidR="006C64F5" w:rsidRPr="00CF3382" w:rsidRDefault="006C64F5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Pri </w:t>
      </w:r>
      <w:r w:rsidR="00AC679D" w:rsidRPr="00CF3382">
        <w:rPr>
          <w:szCs w:val="22"/>
        </w:rPr>
        <w:t>miestnom</w:t>
      </w:r>
      <w:r w:rsidRPr="00CF3382">
        <w:rPr>
          <w:szCs w:val="22"/>
        </w:rPr>
        <w:t xml:space="preserve"> používaní, najmä dlhodobom, sa môže vyvinúť precitlivenosť. </w:t>
      </w:r>
      <w:r w:rsidR="00AC679D" w:rsidRPr="00CF3382">
        <w:rPr>
          <w:szCs w:val="22"/>
        </w:rPr>
        <w:t>Ak sa u vás objaví precitlivenosť, prestaňte</w:t>
      </w:r>
      <w:r w:rsidRPr="00CF3382">
        <w:rPr>
          <w:szCs w:val="22"/>
        </w:rPr>
        <w:t xml:space="preserve"> G</w:t>
      </w:r>
      <w:r w:rsidR="00A4601C" w:rsidRPr="00CF3382">
        <w:rPr>
          <w:szCs w:val="22"/>
        </w:rPr>
        <w:t>LIMBAX</w:t>
      </w:r>
      <w:r w:rsidRPr="00CF3382">
        <w:rPr>
          <w:szCs w:val="22"/>
        </w:rPr>
        <w:t xml:space="preserve"> </w:t>
      </w:r>
      <w:r w:rsidR="00AC679D" w:rsidRPr="00CF3382">
        <w:rPr>
          <w:szCs w:val="22"/>
        </w:rPr>
        <w:t>používať</w:t>
      </w:r>
      <w:r w:rsidRPr="00CF3382">
        <w:rPr>
          <w:szCs w:val="22"/>
        </w:rPr>
        <w:t xml:space="preserve"> a </w:t>
      </w:r>
      <w:r w:rsidR="00AC679D" w:rsidRPr="00CF3382">
        <w:rPr>
          <w:szCs w:val="22"/>
        </w:rPr>
        <w:t>obráťte sa na svojho lekára alebo lekárnika</w:t>
      </w:r>
      <w:r w:rsidRPr="00CF3382">
        <w:rPr>
          <w:szCs w:val="22"/>
        </w:rPr>
        <w:t>.</w:t>
      </w:r>
    </w:p>
    <w:p w14:paraId="405A2EAC" w14:textId="77777777" w:rsidR="006C64F5" w:rsidRPr="00CF3382" w:rsidRDefault="006C64F5" w:rsidP="00CF3382">
      <w:pPr>
        <w:numPr>
          <w:ilvl w:val="12"/>
          <w:numId w:val="0"/>
        </w:numPr>
        <w:ind w:left="567" w:right="-2" w:hanging="567"/>
        <w:rPr>
          <w:b/>
          <w:szCs w:val="22"/>
        </w:rPr>
      </w:pPr>
    </w:p>
    <w:p w14:paraId="5EBD4CCE" w14:textId="3E5F4D2F" w:rsidR="008C118E" w:rsidRPr="00CF3382" w:rsidRDefault="006C64F5" w:rsidP="00CF3382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CF3382">
        <w:rPr>
          <w:b/>
          <w:szCs w:val="22"/>
        </w:rPr>
        <w:t>Iné lieky a</w:t>
      </w:r>
      <w:r w:rsidR="00BE4767" w:rsidRPr="00CF3382">
        <w:rPr>
          <w:b/>
          <w:szCs w:val="22"/>
        </w:rPr>
        <w:t> </w:t>
      </w:r>
      <w:r w:rsidRPr="00CF3382">
        <w:rPr>
          <w:b/>
          <w:szCs w:val="22"/>
        </w:rPr>
        <w:t>G</w:t>
      </w:r>
      <w:r w:rsidR="00A4601C" w:rsidRPr="00CF3382">
        <w:rPr>
          <w:b/>
          <w:szCs w:val="22"/>
        </w:rPr>
        <w:t>LIMBAX</w:t>
      </w:r>
    </w:p>
    <w:p w14:paraId="72B8A2BA" w14:textId="05E8D8A7" w:rsidR="006C64F5" w:rsidRPr="00CF3382" w:rsidRDefault="006C64F5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Ak teraz </w:t>
      </w:r>
      <w:r w:rsidR="00AC679D" w:rsidRPr="00CF3382">
        <w:rPr>
          <w:szCs w:val="22"/>
        </w:rPr>
        <w:t>po</w:t>
      </w:r>
      <w:r w:rsidRPr="00CF3382">
        <w:rPr>
          <w:szCs w:val="22"/>
        </w:rPr>
        <w:t xml:space="preserve">užívate alebo ste v poslednom čase </w:t>
      </w:r>
      <w:r w:rsidR="00AC679D" w:rsidRPr="00CF3382">
        <w:rPr>
          <w:szCs w:val="22"/>
        </w:rPr>
        <w:t>po</w:t>
      </w:r>
      <w:r w:rsidRPr="00CF3382">
        <w:rPr>
          <w:szCs w:val="22"/>
        </w:rPr>
        <w:t xml:space="preserve">užívali, či práve budete </w:t>
      </w:r>
      <w:r w:rsidR="00AC679D" w:rsidRPr="00CF3382">
        <w:rPr>
          <w:szCs w:val="22"/>
        </w:rPr>
        <w:t>po</w:t>
      </w:r>
      <w:r w:rsidRPr="00CF3382">
        <w:rPr>
          <w:szCs w:val="22"/>
        </w:rPr>
        <w:t>užívať ďalšie lieky, povedzte to svojmu lekárovi alebo lekárnikovi.</w:t>
      </w:r>
    </w:p>
    <w:p w14:paraId="4CE9BB96" w14:textId="77777777" w:rsidR="00AC679D" w:rsidRPr="00CF3382" w:rsidRDefault="00AC679D" w:rsidP="00CF3382">
      <w:pPr>
        <w:tabs>
          <w:tab w:val="left" w:pos="0"/>
          <w:tab w:val="right" w:pos="7670"/>
        </w:tabs>
        <w:ind w:left="0" w:hanging="15"/>
        <w:rPr>
          <w:szCs w:val="22"/>
        </w:rPr>
      </w:pPr>
      <w:r w:rsidRPr="00CF3382">
        <w:rPr>
          <w:szCs w:val="22"/>
        </w:rPr>
        <w:t>Neuskutočnili sa žiadne štúdie interakcií tohto lieku s inými liekmi určenými pre miestne použitie v ústnej dutine.</w:t>
      </w:r>
    </w:p>
    <w:p w14:paraId="48478E5A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7C2CF29A" w14:textId="77777777" w:rsidR="008C118E" w:rsidRPr="00CF3382" w:rsidRDefault="008C118E" w:rsidP="00CF3382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CF3382">
        <w:rPr>
          <w:b/>
          <w:szCs w:val="22"/>
        </w:rPr>
        <w:t>Tehotenstvo a dojčenie</w:t>
      </w:r>
    </w:p>
    <w:p w14:paraId="3DCE4B0D" w14:textId="77777777" w:rsidR="00AC679D" w:rsidRPr="00CF3382" w:rsidRDefault="00AC679D" w:rsidP="00CF3382">
      <w:pPr>
        <w:ind w:left="0" w:firstLine="0"/>
        <w:rPr>
          <w:szCs w:val="22"/>
        </w:rPr>
      </w:pPr>
      <w:r w:rsidRPr="00CF3382">
        <w:rPr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0B39EAAA" w14:textId="50CC251B" w:rsidR="008C118E" w:rsidRPr="00CF3382" w:rsidRDefault="008C118E" w:rsidP="00CF3382">
      <w:pPr>
        <w:rPr>
          <w:b/>
          <w:szCs w:val="22"/>
        </w:rPr>
      </w:pPr>
      <w:r w:rsidRPr="00CF3382">
        <w:rPr>
          <w:szCs w:val="22"/>
        </w:rPr>
        <w:t>Počas tehotenstva a</w:t>
      </w:r>
      <w:r w:rsidR="00BE4767" w:rsidRPr="00CF3382">
        <w:rPr>
          <w:szCs w:val="22"/>
        </w:rPr>
        <w:t> </w:t>
      </w:r>
      <w:r w:rsidRPr="00CF3382">
        <w:rPr>
          <w:szCs w:val="22"/>
        </w:rPr>
        <w:t xml:space="preserve">dojčenia </w:t>
      </w:r>
      <w:r w:rsidR="00AC679D" w:rsidRPr="00CF3382">
        <w:rPr>
          <w:szCs w:val="22"/>
        </w:rPr>
        <w:t xml:space="preserve">sa liek </w:t>
      </w:r>
      <w:r w:rsidRPr="00CF3382">
        <w:rPr>
          <w:szCs w:val="22"/>
        </w:rPr>
        <w:t xml:space="preserve">môže </w:t>
      </w:r>
      <w:r w:rsidR="00AC679D" w:rsidRPr="00CF3382">
        <w:rPr>
          <w:szCs w:val="22"/>
        </w:rPr>
        <w:t>používať</w:t>
      </w:r>
      <w:r w:rsidRPr="00CF3382">
        <w:rPr>
          <w:szCs w:val="22"/>
        </w:rPr>
        <w:t xml:space="preserve"> iba pod dohľadom lekára</w:t>
      </w:r>
      <w:r w:rsidR="00670581" w:rsidRPr="00CF3382">
        <w:rPr>
          <w:szCs w:val="22"/>
        </w:rPr>
        <w:t>.</w:t>
      </w:r>
    </w:p>
    <w:p w14:paraId="47EC2292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48F71853" w14:textId="77777777" w:rsidR="008C118E" w:rsidRPr="00CF3382" w:rsidRDefault="00670581" w:rsidP="00CF3382">
      <w:pPr>
        <w:keepNext/>
        <w:ind w:left="0" w:firstLine="0"/>
        <w:rPr>
          <w:b/>
          <w:szCs w:val="22"/>
        </w:rPr>
      </w:pPr>
      <w:r w:rsidRPr="00CF3382">
        <w:rPr>
          <w:b/>
          <w:szCs w:val="22"/>
        </w:rPr>
        <w:t>Vedenie vozidiel a obsluha strojov</w:t>
      </w:r>
    </w:p>
    <w:p w14:paraId="53C41581" w14:textId="75C617A6" w:rsidR="00670581" w:rsidRPr="00CF3382" w:rsidRDefault="00670581" w:rsidP="00CF3382">
      <w:pPr>
        <w:tabs>
          <w:tab w:val="left" w:pos="0"/>
          <w:tab w:val="left" w:pos="567"/>
          <w:tab w:val="right" w:pos="7655"/>
        </w:tabs>
        <w:rPr>
          <w:szCs w:val="22"/>
        </w:rPr>
      </w:pPr>
      <w:r w:rsidRPr="00CF3382">
        <w:rPr>
          <w:szCs w:val="22"/>
        </w:rPr>
        <w:t>G</w:t>
      </w:r>
      <w:r w:rsidR="00A4601C" w:rsidRPr="00CF3382">
        <w:rPr>
          <w:szCs w:val="22"/>
        </w:rPr>
        <w:t>LIMBAX</w:t>
      </w:r>
      <w:r w:rsidRPr="00CF3382">
        <w:rPr>
          <w:szCs w:val="22"/>
        </w:rPr>
        <w:t xml:space="preserve"> nemá žiadny vplyv na schopnosť viesť vozidlá a</w:t>
      </w:r>
      <w:r w:rsidR="00BE4767" w:rsidRPr="00CF3382">
        <w:rPr>
          <w:szCs w:val="22"/>
        </w:rPr>
        <w:t> </w:t>
      </w:r>
      <w:r w:rsidRPr="00CF3382">
        <w:rPr>
          <w:szCs w:val="22"/>
        </w:rPr>
        <w:t>obsluhovať stroje.</w:t>
      </w:r>
    </w:p>
    <w:p w14:paraId="2479D553" w14:textId="77777777" w:rsidR="00670581" w:rsidRPr="00CF3382" w:rsidRDefault="00670581" w:rsidP="00CF3382">
      <w:pPr>
        <w:tabs>
          <w:tab w:val="left" w:pos="-1701"/>
          <w:tab w:val="left" w:pos="0"/>
          <w:tab w:val="left" w:pos="360"/>
          <w:tab w:val="left" w:pos="540"/>
        </w:tabs>
        <w:rPr>
          <w:szCs w:val="22"/>
        </w:rPr>
      </w:pPr>
    </w:p>
    <w:p w14:paraId="31BD8B01" w14:textId="68EB3B94" w:rsidR="00670581" w:rsidRPr="00CF3382" w:rsidRDefault="00670581" w:rsidP="00CF3382">
      <w:pPr>
        <w:pStyle w:val="Zkladntext"/>
        <w:keepNext/>
        <w:rPr>
          <w:b/>
          <w:szCs w:val="22"/>
        </w:rPr>
      </w:pPr>
      <w:r w:rsidRPr="00CF3382">
        <w:rPr>
          <w:b/>
          <w:szCs w:val="22"/>
        </w:rPr>
        <w:t>G</w:t>
      </w:r>
      <w:r w:rsidR="00A4601C" w:rsidRPr="00CF3382">
        <w:rPr>
          <w:b/>
          <w:szCs w:val="22"/>
        </w:rPr>
        <w:t>LIMBAX</w:t>
      </w:r>
      <w:r w:rsidRPr="00CF3382">
        <w:rPr>
          <w:b/>
          <w:szCs w:val="22"/>
        </w:rPr>
        <w:t xml:space="preserve"> obsahuje </w:t>
      </w:r>
      <w:r w:rsidR="00CF3382" w:rsidRPr="00CF3382">
        <w:rPr>
          <w:b/>
          <w:szCs w:val="22"/>
        </w:rPr>
        <w:t>benzoát</w:t>
      </w:r>
      <w:r w:rsidR="00AC679D" w:rsidRPr="00CF3382">
        <w:rPr>
          <w:b/>
          <w:szCs w:val="22"/>
        </w:rPr>
        <w:t xml:space="preserve"> sodný</w:t>
      </w:r>
    </w:p>
    <w:p w14:paraId="4AA72119" w14:textId="22F0A5D9" w:rsidR="00AC679D" w:rsidRPr="00CF3382" w:rsidRDefault="00AC679D" w:rsidP="00CF3382">
      <w:pPr>
        <w:autoSpaceDE w:val="0"/>
        <w:autoSpaceDN w:val="0"/>
        <w:adjustRightInd w:val="0"/>
        <w:ind w:left="0" w:firstLine="0"/>
        <w:rPr>
          <w:szCs w:val="22"/>
        </w:rPr>
      </w:pPr>
      <w:r w:rsidRPr="00CF3382">
        <w:rPr>
          <w:szCs w:val="22"/>
        </w:rPr>
        <w:t>Te</w:t>
      </w:r>
      <w:r w:rsidR="00CF3382" w:rsidRPr="00CF3382">
        <w:rPr>
          <w:szCs w:val="22"/>
        </w:rPr>
        <w:t>nto liek obsahuje 10 mg benzoátu</w:t>
      </w:r>
      <w:r w:rsidRPr="00CF3382">
        <w:rPr>
          <w:szCs w:val="22"/>
        </w:rPr>
        <w:t xml:space="preserve"> sodného v 1 ml orálne</w:t>
      </w:r>
      <w:r w:rsidR="00154F95" w:rsidRPr="00CF3382">
        <w:rPr>
          <w:szCs w:val="22"/>
        </w:rPr>
        <w:t>ho roztoku</w:t>
      </w:r>
      <w:r w:rsidR="00CF3382" w:rsidRPr="00CF3382">
        <w:rPr>
          <w:szCs w:val="22"/>
        </w:rPr>
        <w:t>. Benzoát</w:t>
      </w:r>
      <w:r w:rsidRPr="00CF3382">
        <w:rPr>
          <w:szCs w:val="22"/>
        </w:rPr>
        <w:t xml:space="preserve"> sodný môže spôsobiť miestne podráždenie.</w:t>
      </w:r>
    </w:p>
    <w:p w14:paraId="0BF76554" w14:textId="77F1E381" w:rsidR="00C44A39" w:rsidRPr="00CF3382" w:rsidRDefault="00C44A39" w:rsidP="00CF3382">
      <w:pPr>
        <w:numPr>
          <w:ilvl w:val="12"/>
          <w:numId w:val="0"/>
        </w:numPr>
        <w:ind w:right="-2"/>
        <w:rPr>
          <w:szCs w:val="22"/>
        </w:rPr>
      </w:pPr>
    </w:p>
    <w:p w14:paraId="2CF708A1" w14:textId="538E0738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1C12DC69" w14:textId="2A96D6FF" w:rsidR="008C118E" w:rsidRPr="00CF3382" w:rsidRDefault="00C44A39" w:rsidP="00CF3382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CF3382">
        <w:rPr>
          <w:b/>
          <w:szCs w:val="22"/>
        </w:rPr>
        <w:t>Ako používať GLIMBAX</w:t>
      </w:r>
    </w:p>
    <w:p w14:paraId="4AB19777" w14:textId="77777777" w:rsidR="008C118E" w:rsidRPr="00CF3382" w:rsidRDefault="008C118E" w:rsidP="00CF3382">
      <w:pPr>
        <w:keepNext/>
        <w:rPr>
          <w:b/>
          <w:kern w:val="32"/>
          <w:szCs w:val="22"/>
        </w:rPr>
      </w:pPr>
    </w:p>
    <w:p w14:paraId="7BA2C461" w14:textId="0CB9769F" w:rsidR="00154F95" w:rsidRPr="00CF3382" w:rsidRDefault="00154F95" w:rsidP="00CF3382">
      <w:pPr>
        <w:ind w:left="0" w:firstLine="0"/>
        <w:rPr>
          <w:szCs w:val="22"/>
        </w:rPr>
      </w:pPr>
      <w:r w:rsidRPr="00CF3382">
        <w:rPr>
          <w:szCs w:val="22"/>
        </w:rPr>
        <w:t>Vždy používajte tento liek presne tak, ako je to uvedené v tejto písomnej informácii</w:t>
      </w:r>
      <w:r w:rsidR="008C118E" w:rsidRPr="00CF3382">
        <w:rPr>
          <w:szCs w:val="22"/>
        </w:rPr>
        <w:t xml:space="preserve"> alebo </w:t>
      </w:r>
      <w:r w:rsidRPr="00CF3382">
        <w:rPr>
          <w:szCs w:val="22"/>
        </w:rPr>
        <w:t>ako vám povedal váš lekár</w:t>
      </w:r>
      <w:r w:rsidR="008C118E" w:rsidRPr="00CF3382">
        <w:rPr>
          <w:szCs w:val="22"/>
        </w:rPr>
        <w:t xml:space="preserve"> alebo</w:t>
      </w:r>
      <w:r w:rsidRPr="00CF3382">
        <w:rPr>
          <w:szCs w:val="22"/>
        </w:rPr>
        <w:t xml:space="preserve"> lekárnik. Ak si nie ste niečím istý, overte si to u svojho lekára alebo lekárnika.</w:t>
      </w:r>
    </w:p>
    <w:p w14:paraId="2E54BC9E" w14:textId="77777777" w:rsidR="00154F95" w:rsidRPr="00CF3382" w:rsidRDefault="00154F95" w:rsidP="00CF3382">
      <w:pPr>
        <w:pStyle w:val="Zkladntext"/>
        <w:rPr>
          <w:szCs w:val="22"/>
        </w:rPr>
      </w:pPr>
    </w:p>
    <w:p w14:paraId="1A0C873A" w14:textId="67481765" w:rsidR="008C118E" w:rsidRPr="00CF3382" w:rsidRDefault="00154F95" w:rsidP="00CF3382">
      <w:pPr>
        <w:pStyle w:val="Zkladntext"/>
        <w:rPr>
          <w:szCs w:val="22"/>
        </w:rPr>
      </w:pPr>
      <w:r w:rsidRPr="00CF3382">
        <w:rPr>
          <w:szCs w:val="22"/>
        </w:rPr>
        <w:t>Odporúča sa vyplachovať ústnu dutinu alebo kloktať s </w:t>
      </w:r>
      <w:r w:rsidR="008C118E" w:rsidRPr="00CF3382">
        <w:rPr>
          <w:szCs w:val="22"/>
        </w:rPr>
        <w:t>15</w:t>
      </w:r>
      <w:r w:rsidR="003A105D" w:rsidRPr="00CF3382">
        <w:rPr>
          <w:szCs w:val="22"/>
        </w:rPr>
        <w:t> </w:t>
      </w:r>
      <w:r w:rsidR="008C118E" w:rsidRPr="00CF3382">
        <w:rPr>
          <w:szCs w:val="22"/>
        </w:rPr>
        <w:t>ml neriedeného roztoku</w:t>
      </w:r>
      <w:r w:rsidRPr="00CF3382">
        <w:rPr>
          <w:szCs w:val="22"/>
        </w:rPr>
        <w:t xml:space="preserve"> (</w:t>
      </w:r>
      <w:r w:rsidR="008C118E" w:rsidRPr="00CF3382">
        <w:rPr>
          <w:szCs w:val="22"/>
        </w:rPr>
        <w:t>čo zodpovedá naplnenej priloženej odmerke</w:t>
      </w:r>
      <w:r w:rsidRPr="00CF3382">
        <w:rPr>
          <w:szCs w:val="22"/>
        </w:rPr>
        <w:t>) 2- až 3-krát denne</w:t>
      </w:r>
      <w:r w:rsidR="008C118E" w:rsidRPr="00CF3382">
        <w:rPr>
          <w:szCs w:val="22"/>
        </w:rPr>
        <w:t xml:space="preserve">. Dávku </w:t>
      </w:r>
      <w:r w:rsidR="00106062" w:rsidRPr="00CF3382">
        <w:rPr>
          <w:szCs w:val="22"/>
        </w:rPr>
        <w:t xml:space="preserve">roztoku </w:t>
      </w:r>
      <w:r w:rsidR="008C118E" w:rsidRPr="00CF3382">
        <w:rPr>
          <w:szCs w:val="22"/>
        </w:rPr>
        <w:t xml:space="preserve">možno </w:t>
      </w:r>
      <w:r w:rsidRPr="00CF3382">
        <w:rPr>
          <w:szCs w:val="22"/>
        </w:rPr>
        <w:t>zriediť</w:t>
      </w:r>
      <w:r w:rsidR="008C118E" w:rsidRPr="00CF3382">
        <w:rPr>
          <w:szCs w:val="22"/>
        </w:rPr>
        <w:t xml:space="preserve"> malým množstvom vody.</w:t>
      </w:r>
    </w:p>
    <w:p w14:paraId="6DAC6B1F" w14:textId="77777777" w:rsidR="008C118E" w:rsidRPr="00CF3382" w:rsidRDefault="008C118E" w:rsidP="00CF3382">
      <w:pPr>
        <w:pStyle w:val="Zkladntext"/>
        <w:rPr>
          <w:szCs w:val="22"/>
        </w:rPr>
      </w:pPr>
    </w:p>
    <w:p w14:paraId="0A96872A" w14:textId="77777777" w:rsidR="00A4601C" w:rsidRPr="00CF3382" w:rsidRDefault="00A4601C" w:rsidP="00CF3382">
      <w:pPr>
        <w:keepNext/>
        <w:rPr>
          <w:b/>
          <w:szCs w:val="22"/>
        </w:rPr>
      </w:pPr>
      <w:r w:rsidRPr="00CF3382">
        <w:rPr>
          <w:b/>
          <w:szCs w:val="22"/>
        </w:rPr>
        <w:t>Ak použijete viac lieku GLIMBAX ako máte</w:t>
      </w:r>
    </w:p>
    <w:p w14:paraId="4BCC1652" w14:textId="53B672E1" w:rsidR="00A4601C" w:rsidRPr="00CF3382" w:rsidRDefault="00A4601C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Náhodné prehltnutie jednej aplikovanej dávky </w:t>
      </w:r>
      <w:r w:rsidR="00154F95" w:rsidRPr="00CF3382">
        <w:rPr>
          <w:szCs w:val="22"/>
        </w:rPr>
        <w:t xml:space="preserve">orálneho roztoku </w:t>
      </w:r>
      <w:r w:rsidRPr="00CF3382">
        <w:rPr>
          <w:szCs w:val="22"/>
        </w:rPr>
        <w:t>nie je pre pacienta zdraviu škodlivé.</w:t>
      </w:r>
    </w:p>
    <w:p w14:paraId="49B17B1D" w14:textId="26058B45" w:rsidR="008C118E" w:rsidRPr="00CF3382" w:rsidRDefault="008C118E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Nie </w:t>
      </w:r>
      <w:r w:rsidR="00154F95" w:rsidRPr="00CF3382">
        <w:rPr>
          <w:szCs w:val="22"/>
        </w:rPr>
        <w:t>je</w:t>
      </w:r>
      <w:r w:rsidRPr="00CF3382">
        <w:rPr>
          <w:szCs w:val="22"/>
        </w:rPr>
        <w:t xml:space="preserve"> znám</w:t>
      </w:r>
      <w:r w:rsidR="00154F95" w:rsidRPr="00CF3382">
        <w:rPr>
          <w:szCs w:val="22"/>
        </w:rPr>
        <w:t>y</w:t>
      </w:r>
      <w:r w:rsidRPr="00CF3382">
        <w:rPr>
          <w:szCs w:val="22"/>
        </w:rPr>
        <w:t xml:space="preserve"> </w:t>
      </w:r>
      <w:r w:rsidR="00A4601C" w:rsidRPr="00CF3382">
        <w:rPr>
          <w:szCs w:val="22"/>
        </w:rPr>
        <w:t>žiadn</w:t>
      </w:r>
      <w:r w:rsidR="00AC0F37" w:rsidRPr="00CF3382">
        <w:rPr>
          <w:szCs w:val="22"/>
        </w:rPr>
        <w:t>y</w:t>
      </w:r>
      <w:r w:rsidR="00A4601C" w:rsidRPr="00CF3382">
        <w:rPr>
          <w:szCs w:val="22"/>
        </w:rPr>
        <w:t xml:space="preserve"> </w:t>
      </w:r>
      <w:r w:rsidRPr="00CF3382">
        <w:rPr>
          <w:szCs w:val="22"/>
        </w:rPr>
        <w:t>prípad predávkovania</w:t>
      </w:r>
      <w:r w:rsidR="00A4601C" w:rsidRPr="00CF3382">
        <w:rPr>
          <w:szCs w:val="22"/>
        </w:rPr>
        <w:t xml:space="preserve"> liekom GLIMBAX</w:t>
      </w:r>
      <w:r w:rsidRPr="00CF3382">
        <w:rPr>
          <w:szCs w:val="22"/>
        </w:rPr>
        <w:t>.</w:t>
      </w:r>
    </w:p>
    <w:p w14:paraId="38CCEE6A" w14:textId="77777777" w:rsidR="00A27E6F" w:rsidRPr="00CF3382" w:rsidRDefault="00A27E6F" w:rsidP="00CF3382">
      <w:pPr>
        <w:rPr>
          <w:b/>
          <w:szCs w:val="22"/>
        </w:rPr>
      </w:pPr>
    </w:p>
    <w:p w14:paraId="28E31B0C" w14:textId="77777777" w:rsidR="00A27E6F" w:rsidRPr="00CF3382" w:rsidRDefault="00A27E6F" w:rsidP="00CF3382">
      <w:pPr>
        <w:keepNext/>
        <w:rPr>
          <w:b/>
          <w:szCs w:val="22"/>
        </w:rPr>
      </w:pPr>
      <w:r w:rsidRPr="00CF3382">
        <w:rPr>
          <w:b/>
          <w:szCs w:val="22"/>
        </w:rPr>
        <w:t>Ak zabudnete použiť GLIMBAX</w:t>
      </w:r>
    </w:p>
    <w:p w14:paraId="023F25C3" w14:textId="3DBC8E6A" w:rsidR="00A27E6F" w:rsidRPr="00CF3382" w:rsidRDefault="00A27E6F" w:rsidP="00CF3382">
      <w:pPr>
        <w:ind w:left="0" w:firstLine="0"/>
        <w:rPr>
          <w:szCs w:val="22"/>
        </w:rPr>
      </w:pPr>
      <w:r w:rsidRPr="00CF3382">
        <w:rPr>
          <w:szCs w:val="22"/>
        </w:rPr>
        <w:t>Ak zabudnete použiť GLIMBAX v</w:t>
      </w:r>
      <w:r w:rsidR="00BE4767" w:rsidRPr="00CF3382">
        <w:rPr>
          <w:szCs w:val="22"/>
        </w:rPr>
        <w:t> </w:t>
      </w:r>
      <w:r w:rsidRPr="00CF3382">
        <w:rPr>
          <w:szCs w:val="22"/>
        </w:rPr>
        <w:t>plánovanom čase, nepouž</w:t>
      </w:r>
      <w:r w:rsidR="00AC0F37" w:rsidRPr="00CF3382">
        <w:rPr>
          <w:szCs w:val="22"/>
        </w:rPr>
        <w:t>ívaj</w:t>
      </w:r>
      <w:r w:rsidRPr="00CF3382">
        <w:rPr>
          <w:szCs w:val="22"/>
        </w:rPr>
        <w:t>te dvojnásobnú dávku, aby ste nahradili vynechanú dávku. Ostatné dávky používajte podľa odporúčaného dávkovacieho režimu.</w:t>
      </w:r>
    </w:p>
    <w:p w14:paraId="4B985047" w14:textId="77777777" w:rsidR="00A27E6F" w:rsidRPr="00CF3382" w:rsidRDefault="00A27E6F" w:rsidP="00CF3382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</w:p>
    <w:p w14:paraId="6DEDBC7F" w14:textId="06D0EDC9" w:rsidR="00A27E6F" w:rsidRPr="00CF3382" w:rsidRDefault="00A27E6F" w:rsidP="00CF3382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  <w:r w:rsidRPr="00CF3382">
        <w:rPr>
          <w:szCs w:val="22"/>
        </w:rPr>
        <w:t>Ak máte akékoľvek ďalšie otázky týkajúce sa použitia tohto lieku, opýtajte sa svojho lekára alebo lekárnika.</w:t>
      </w:r>
    </w:p>
    <w:p w14:paraId="4D02AF21" w14:textId="4883A70E" w:rsidR="00C44A39" w:rsidRPr="00CF3382" w:rsidRDefault="00C44A39" w:rsidP="00CF3382">
      <w:pPr>
        <w:numPr>
          <w:ilvl w:val="12"/>
          <w:numId w:val="0"/>
        </w:numPr>
        <w:ind w:right="-2"/>
        <w:rPr>
          <w:szCs w:val="22"/>
        </w:rPr>
      </w:pPr>
    </w:p>
    <w:p w14:paraId="7DAC9BD3" w14:textId="77777777" w:rsidR="005E1875" w:rsidRPr="00CF3382" w:rsidRDefault="005E1875" w:rsidP="00CF3382">
      <w:pPr>
        <w:numPr>
          <w:ilvl w:val="12"/>
          <w:numId w:val="0"/>
        </w:numPr>
        <w:ind w:right="-2"/>
        <w:rPr>
          <w:szCs w:val="22"/>
        </w:rPr>
      </w:pPr>
    </w:p>
    <w:p w14:paraId="7B056964" w14:textId="46A28DC6" w:rsidR="00C44A39" w:rsidRPr="00CF3382" w:rsidRDefault="00C44A39" w:rsidP="00CF3382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CF3382">
        <w:rPr>
          <w:b/>
          <w:szCs w:val="22"/>
        </w:rPr>
        <w:t>Možné vedľajšie účinky</w:t>
      </w:r>
    </w:p>
    <w:p w14:paraId="19A90A75" w14:textId="77777777" w:rsidR="008C118E" w:rsidRPr="00CF3382" w:rsidRDefault="008C118E" w:rsidP="00CF3382">
      <w:pPr>
        <w:keepNext/>
        <w:ind w:right="-2"/>
        <w:outlineLvl w:val="0"/>
        <w:rPr>
          <w:szCs w:val="22"/>
        </w:rPr>
      </w:pPr>
    </w:p>
    <w:p w14:paraId="1B9B8623" w14:textId="77777777" w:rsidR="00E121DC" w:rsidRPr="00CF3382" w:rsidRDefault="00E121DC" w:rsidP="00CF3382">
      <w:pPr>
        <w:numPr>
          <w:ilvl w:val="12"/>
          <w:numId w:val="0"/>
        </w:numPr>
        <w:ind w:right="-29"/>
        <w:rPr>
          <w:szCs w:val="22"/>
        </w:rPr>
      </w:pPr>
      <w:r w:rsidRPr="00CF3382">
        <w:rPr>
          <w:szCs w:val="22"/>
        </w:rPr>
        <w:t>Tak ako všetky lieky, aj tento liek môže spôsobovať vedľajšie účinky, hoci sa neprejavia u každého.</w:t>
      </w:r>
    </w:p>
    <w:p w14:paraId="5C96ADEF" w14:textId="77777777" w:rsidR="00E121DC" w:rsidRPr="00CF3382" w:rsidRDefault="00E121DC" w:rsidP="00CF3382">
      <w:pPr>
        <w:ind w:left="0" w:right="-2" w:firstLine="0"/>
        <w:outlineLvl w:val="0"/>
        <w:rPr>
          <w:szCs w:val="22"/>
        </w:rPr>
      </w:pPr>
    </w:p>
    <w:p w14:paraId="107860B8" w14:textId="77777777" w:rsidR="00AC0F37" w:rsidRPr="00CF3382" w:rsidRDefault="00AC0F37" w:rsidP="00CF3382">
      <w:pPr>
        <w:rPr>
          <w:szCs w:val="22"/>
        </w:rPr>
      </w:pPr>
      <w:r w:rsidRPr="00CF3382">
        <w:rPr>
          <w:szCs w:val="22"/>
        </w:rPr>
        <w:t>Nasledujúce vedľajšie účinky sa vyskytli najmä počas dlhodobej liečby:</w:t>
      </w:r>
    </w:p>
    <w:p w14:paraId="7523239F" w14:textId="77777777" w:rsidR="00AC0F37" w:rsidRPr="00CF3382" w:rsidRDefault="00AC0F37" w:rsidP="00CF3382">
      <w:pPr>
        <w:pStyle w:val="Tekstpodstawowy31"/>
        <w:numPr>
          <w:ilvl w:val="0"/>
          <w:numId w:val="15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eastAsia="Times New Roman" w:cs="Times New Roman"/>
          <w:sz w:val="22"/>
          <w:szCs w:val="22"/>
          <w:lang w:val="sk-SK" w:bidi="ar-SA"/>
        </w:rPr>
        <w:t>nevoľnosť, porucha trávenia,</w:t>
      </w:r>
    </w:p>
    <w:p w14:paraId="601A6E1D" w14:textId="77777777" w:rsidR="00AC0F37" w:rsidRPr="00CF3382" w:rsidRDefault="00AC0F37" w:rsidP="00CF3382">
      <w:pPr>
        <w:pStyle w:val="Tekstpodstawowy31"/>
        <w:numPr>
          <w:ilvl w:val="0"/>
          <w:numId w:val="16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eastAsia="Times New Roman" w:cs="Times New Roman"/>
          <w:sz w:val="22"/>
          <w:szCs w:val="22"/>
          <w:lang w:val="sk-SK" w:bidi="ar-SA"/>
        </w:rPr>
        <w:t>bolesť hlavy,</w:t>
      </w:r>
    </w:p>
    <w:p w14:paraId="70FF4957" w14:textId="77777777" w:rsidR="00AC0F37" w:rsidRPr="00CF3382" w:rsidRDefault="00AC0F37" w:rsidP="00CF3382">
      <w:pPr>
        <w:pStyle w:val="Tekstpodstawowy31"/>
        <w:numPr>
          <w:ilvl w:val="0"/>
          <w:numId w:val="15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cs="Times New Roman"/>
          <w:sz w:val="22"/>
          <w:szCs w:val="22"/>
          <w:lang w:val="sk-SK"/>
        </w:rPr>
        <w:t>podráždenie sliznice</w:t>
      </w:r>
      <w:r w:rsidRPr="00CF3382">
        <w:rPr>
          <w:rFonts w:eastAsia="Times New Roman" w:cs="Times New Roman"/>
          <w:sz w:val="22"/>
          <w:szCs w:val="22"/>
          <w:lang w:val="sk-SK" w:bidi="ar-SA"/>
        </w:rPr>
        <w:t xml:space="preserve"> ústnej dutiny,</w:t>
      </w:r>
    </w:p>
    <w:p w14:paraId="0CAD83A6" w14:textId="77777777" w:rsidR="00AC0F37" w:rsidRPr="00CF3382" w:rsidRDefault="00AC0F37" w:rsidP="00CF3382">
      <w:pPr>
        <w:pStyle w:val="Tekstpodstawowy31"/>
        <w:numPr>
          <w:ilvl w:val="0"/>
          <w:numId w:val="15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eastAsia="Times New Roman" w:cs="Times New Roman"/>
          <w:sz w:val="22"/>
          <w:szCs w:val="22"/>
          <w:lang w:val="sk-SK" w:bidi="ar-SA"/>
        </w:rPr>
        <w:t>kašeľ</w:t>
      </w:r>
      <w:r w:rsidR="00F77251" w:rsidRPr="00CF3382">
        <w:rPr>
          <w:rFonts w:eastAsia="Times New Roman" w:cs="Times New Roman"/>
          <w:sz w:val="22"/>
          <w:szCs w:val="22"/>
          <w:lang w:val="sk-SK" w:bidi="ar-SA"/>
        </w:rPr>
        <w:t>,</w:t>
      </w:r>
    </w:p>
    <w:p w14:paraId="77A0204A" w14:textId="54F4678C" w:rsidR="00F77251" w:rsidRPr="00CF3382" w:rsidRDefault="00341292" w:rsidP="00CF3382">
      <w:pPr>
        <w:pStyle w:val="Tekstpodstawowy31"/>
        <w:numPr>
          <w:ilvl w:val="0"/>
          <w:numId w:val="15"/>
        </w:numPr>
        <w:tabs>
          <w:tab w:val="left" w:pos="1134"/>
        </w:tabs>
        <w:spacing w:after="0"/>
        <w:ind w:left="1134" w:hanging="567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eastAsia="Times New Roman" w:cs="Times New Roman"/>
          <w:sz w:val="22"/>
          <w:szCs w:val="22"/>
          <w:lang w:val="sk-SK" w:bidi="ar-SA"/>
        </w:rPr>
        <w:t>pocit pálenia v ústnej dutine</w:t>
      </w:r>
      <w:r w:rsidR="00F77251" w:rsidRPr="00CF3382">
        <w:rPr>
          <w:rFonts w:eastAsia="Times New Roman" w:cs="Times New Roman"/>
          <w:sz w:val="22"/>
          <w:szCs w:val="22"/>
          <w:lang w:val="sk-SK" w:bidi="ar-SA"/>
        </w:rPr>
        <w:t xml:space="preserve"> sa môže vyskytnúť </w:t>
      </w:r>
      <w:r w:rsidR="005218BA" w:rsidRPr="00CF3382">
        <w:rPr>
          <w:rFonts w:eastAsia="Times New Roman" w:cs="Times New Roman"/>
          <w:sz w:val="22"/>
          <w:szCs w:val="22"/>
          <w:lang w:val="sk-SK" w:bidi="ar-SA"/>
        </w:rPr>
        <w:t>s neznámou frekvenciou.</w:t>
      </w:r>
    </w:p>
    <w:p w14:paraId="001D0C2E" w14:textId="55039E6F" w:rsidR="00341292" w:rsidRPr="00CF3382" w:rsidRDefault="00AC0F37" w:rsidP="00CF3382">
      <w:pPr>
        <w:pStyle w:val="Tekstpodstawowy31"/>
        <w:tabs>
          <w:tab w:val="left" w:pos="0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CF3382">
        <w:rPr>
          <w:rFonts w:cs="Times New Roman"/>
          <w:sz w:val="22"/>
          <w:szCs w:val="22"/>
          <w:lang w:val="sk-SK"/>
        </w:rPr>
        <w:t>Tieto vedľajšie účinky sú zvyčajne mierne a samé odznejú</w:t>
      </w:r>
      <w:r w:rsidR="00341292" w:rsidRPr="00CF3382">
        <w:rPr>
          <w:rFonts w:eastAsia="Times New Roman" w:cs="Times New Roman"/>
          <w:sz w:val="22"/>
          <w:szCs w:val="22"/>
          <w:lang w:val="sk-SK" w:bidi="ar-SA"/>
        </w:rPr>
        <w:t>.</w:t>
      </w:r>
    </w:p>
    <w:p w14:paraId="11983819" w14:textId="1E83DA68" w:rsidR="008C118E" w:rsidRPr="00CF3382" w:rsidRDefault="008C118E" w:rsidP="00CF3382">
      <w:pPr>
        <w:numPr>
          <w:ilvl w:val="12"/>
          <w:numId w:val="0"/>
        </w:numPr>
        <w:ind w:right="-29"/>
        <w:rPr>
          <w:szCs w:val="22"/>
        </w:rPr>
      </w:pPr>
    </w:p>
    <w:p w14:paraId="21B0D527" w14:textId="61E2E264" w:rsidR="00247CD8" w:rsidRPr="00CF3382" w:rsidRDefault="00247CD8" w:rsidP="00CF3382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CF3382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5E1875" w:rsidRPr="00CF3382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CF3382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7EE01C7" w14:textId="06E1E35E" w:rsidR="00247CD8" w:rsidRPr="00CF3382" w:rsidRDefault="00247CD8" w:rsidP="00CF3382">
      <w:pPr>
        <w:pStyle w:val="Tekstpodstawowy31"/>
        <w:tabs>
          <w:tab w:val="left" w:pos="9071"/>
        </w:tabs>
        <w:spacing w:after="0"/>
        <w:rPr>
          <w:rFonts w:cs="Times New Roman"/>
          <w:sz w:val="22"/>
          <w:szCs w:val="22"/>
          <w:lang w:val="sk-SK"/>
        </w:rPr>
      </w:pPr>
      <w:r w:rsidRPr="00CF3382">
        <w:rPr>
          <w:rFonts w:eastAsia="Times New Roman" w:cs="Times New Roman"/>
          <w:sz w:val="22"/>
          <w:szCs w:val="22"/>
          <w:lang w:val="sk-SK" w:bidi="ar-SA"/>
        </w:rPr>
        <w:t xml:space="preserve">Ak sa u vás vyskytne akýkoľvek vedľajší účinok, obráťte sa na svojho lekára alebo lekárnika. To sa týka </w:t>
      </w:r>
      <w:r w:rsidR="00FA1290" w:rsidRPr="00CF3382">
        <w:rPr>
          <w:rFonts w:eastAsia="Times New Roman" w:cs="Times New Roman"/>
          <w:sz w:val="22"/>
          <w:szCs w:val="22"/>
          <w:lang w:val="sk-SK" w:bidi="ar-SA"/>
        </w:rPr>
        <w:t>aj</w:t>
      </w:r>
      <w:r w:rsidRPr="00CF3382">
        <w:rPr>
          <w:rFonts w:eastAsia="Times New Roman" w:cs="Times New Roman"/>
          <w:sz w:val="22"/>
          <w:szCs w:val="22"/>
          <w:lang w:val="sk-SK" w:bidi="ar-SA"/>
        </w:rPr>
        <w:t xml:space="preserve"> akýchkoľvek vedľajších účinkov, ktoré nie sú uvedené v tejto písomnej informácii. Vedľajšie účinky môžete hlásiť aj priamo na </w:t>
      </w:r>
      <w:r w:rsidRPr="00CF3382">
        <w:rPr>
          <w:rFonts w:cs="Times New Roman"/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CF3382">
          <w:rPr>
            <w:rStyle w:val="Hypertextovprepojenie"/>
            <w:rFonts w:cs="Times New Roman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CF3382">
          <w:rPr>
            <w:rStyle w:val="Hypertextovprepojenie"/>
            <w:rFonts w:cs="Times New Roman"/>
            <w:color w:val="auto"/>
            <w:sz w:val="22"/>
            <w:szCs w:val="22"/>
            <w:highlight w:val="lightGray"/>
            <w:lang w:val="sk-SK"/>
          </w:rPr>
          <w:t>rílohe V</w:t>
        </w:r>
      </w:hyperlink>
      <w:r w:rsidRPr="00CF3382">
        <w:rPr>
          <w:rFonts w:cs="Times New Roman"/>
          <w:noProof/>
          <w:sz w:val="22"/>
          <w:szCs w:val="22"/>
          <w:lang w:val="sk-SK"/>
        </w:rPr>
        <w:t xml:space="preserve">. </w:t>
      </w:r>
      <w:r w:rsidRPr="00CF3382">
        <w:rPr>
          <w:rFonts w:cs="Times New Roman"/>
          <w:sz w:val="22"/>
          <w:szCs w:val="22"/>
          <w:lang w:val="sk-SK"/>
        </w:rPr>
        <w:t>Hlásením vedľajších účinkov môžete prispieť k</w:t>
      </w:r>
      <w:r w:rsidR="00BE4767" w:rsidRPr="00CF3382">
        <w:rPr>
          <w:rFonts w:cs="Times New Roman"/>
          <w:sz w:val="22"/>
          <w:szCs w:val="22"/>
          <w:lang w:val="sk-SK"/>
        </w:rPr>
        <w:t> </w:t>
      </w:r>
      <w:r w:rsidRPr="00CF3382">
        <w:rPr>
          <w:rFonts w:cs="Times New Roman"/>
          <w:sz w:val="22"/>
          <w:szCs w:val="22"/>
          <w:lang w:val="sk-SK"/>
        </w:rPr>
        <w:t>získaniu ďalších informácií o</w:t>
      </w:r>
      <w:r w:rsidR="00BE4767" w:rsidRPr="00CF3382">
        <w:rPr>
          <w:rFonts w:cs="Times New Roman"/>
          <w:sz w:val="22"/>
          <w:szCs w:val="22"/>
          <w:lang w:val="sk-SK"/>
        </w:rPr>
        <w:t> </w:t>
      </w:r>
      <w:r w:rsidRPr="00CF3382">
        <w:rPr>
          <w:rFonts w:cs="Times New Roman"/>
          <w:sz w:val="22"/>
          <w:szCs w:val="22"/>
          <w:lang w:val="sk-SK"/>
        </w:rPr>
        <w:t>bezpečnosti tohto lieku.</w:t>
      </w:r>
    </w:p>
    <w:p w14:paraId="6146CE25" w14:textId="77777777" w:rsidR="00A27E6F" w:rsidRPr="00CF3382" w:rsidRDefault="00A27E6F" w:rsidP="00CF3382">
      <w:pPr>
        <w:numPr>
          <w:ilvl w:val="12"/>
          <w:numId w:val="0"/>
        </w:numPr>
        <w:ind w:right="-29"/>
        <w:rPr>
          <w:szCs w:val="22"/>
        </w:rPr>
      </w:pPr>
    </w:p>
    <w:p w14:paraId="745F5773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08AADA35" w14:textId="05F777CA" w:rsidR="00A27E6F" w:rsidRPr="00CF3382" w:rsidRDefault="00A27E6F" w:rsidP="00CF3382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CF3382">
        <w:rPr>
          <w:b/>
          <w:szCs w:val="22"/>
        </w:rPr>
        <w:t>Ako uchovávať GLIMBAX</w:t>
      </w:r>
    </w:p>
    <w:p w14:paraId="16C77040" w14:textId="77777777" w:rsidR="008C118E" w:rsidRPr="00CF3382" w:rsidRDefault="008C118E" w:rsidP="00CF3382">
      <w:pPr>
        <w:keepNext/>
        <w:ind w:left="0" w:firstLine="0"/>
        <w:outlineLvl w:val="0"/>
        <w:rPr>
          <w:szCs w:val="22"/>
        </w:rPr>
      </w:pPr>
    </w:p>
    <w:p w14:paraId="7C29FF38" w14:textId="3F0D53B8" w:rsidR="008B4B73" w:rsidRPr="00CF3382" w:rsidRDefault="008B4B73" w:rsidP="00CF3382">
      <w:pPr>
        <w:ind w:left="0" w:firstLine="0"/>
        <w:rPr>
          <w:szCs w:val="22"/>
        </w:rPr>
      </w:pPr>
      <w:r w:rsidRPr="00CF3382">
        <w:rPr>
          <w:szCs w:val="22"/>
        </w:rPr>
        <w:t>Tento liek uchovávajte mimo dohľadu a</w:t>
      </w:r>
      <w:r w:rsidR="00BE4767" w:rsidRPr="00CF3382">
        <w:rPr>
          <w:szCs w:val="22"/>
        </w:rPr>
        <w:t> </w:t>
      </w:r>
      <w:r w:rsidRPr="00CF3382">
        <w:rPr>
          <w:szCs w:val="22"/>
        </w:rPr>
        <w:t>dosahu detí.</w:t>
      </w:r>
    </w:p>
    <w:p w14:paraId="7230FB7B" w14:textId="3F353AE7" w:rsidR="008B4B73" w:rsidRPr="00CF3382" w:rsidRDefault="008B4B73" w:rsidP="00CF3382">
      <w:pPr>
        <w:ind w:left="0" w:firstLine="0"/>
        <w:rPr>
          <w:szCs w:val="22"/>
        </w:rPr>
      </w:pPr>
      <w:r w:rsidRPr="00CF3382">
        <w:rPr>
          <w:szCs w:val="22"/>
        </w:rPr>
        <w:t xml:space="preserve">Nepoužívajte </w:t>
      </w:r>
      <w:r w:rsidR="00AC0F37" w:rsidRPr="00CF3382">
        <w:rPr>
          <w:szCs w:val="22"/>
        </w:rPr>
        <w:t>tento liek</w:t>
      </w:r>
      <w:r w:rsidRPr="00CF3382">
        <w:rPr>
          <w:szCs w:val="22"/>
        </w:rPr>
        <w:t xml:space="preserve"> po dátume exspirácie, ktorý je uvedený na škatuľke</w:t>
      </w:r>
      <w:r w:rsidR="00AC0F37" w:rsidRPr="00CF3382">
        <w:rPr>
          <w:szCs w:val="22"/>
        </w:rPr>
        <w:t xml:space="preserve"> a štítku po EXP</w:t>
      </w:r>
      <w:r w:rsidRPr="00CF3382">
        <w:rPr>
          <w:szCs w:val="22"/>
        </w:rPr>
        <w:t>.</w:t>
      </w:r>
      <w:r w:rsidR="00AC0F37" w:rsidRPr="00CF3382">
        <w:rPr>
          <w:szCs w:val="22"/>
        </w:rPr>
        <w:t xml:space="preserve"> Dátum exspirácie sa vzťahuje na posledný deň v danom mesiaci</w:t>
      </w:r>
      <w:r w:rsidRPr="00CF3382">
        <w:rPr>
          <w:szCs w:val="22"/>
        </w:rPr>
        <w:t>.</w:t>
      </w:r>
    </w:p>
    <w:p w14:paraId="06AA79AB" w14:textId="77777777" w:rsidR="00AC0F37" w:rsidRPr="00CF3382" w:rsidRDefault="00AC0F37" w:rsidP="00CF3382">
      <w:pPr>
        <w:ind w:left="0" w:firstLine="0"/>
        <w:rPr>
          <w:szCs w:val="22"/>
        </w:rPr>
      </w:pPr>
    </w:p>
    <w:p w14:paraId="5C2C8C5A" w14:textId="01BB306A" w:rsidR="008B4B73" w:rsidRPr="00CF3382" w:rsidRDefault="008B4B73" w:rsidP="00CF3382">
      <w:pPr>
        <w:ind w:left="0" w:firstLine="0"/>
        <w:rPr>
          <w:szCs w:val="22"/>
        </w:rPr>
      </w:pPr>
      <w:r w:rsidRPr="00CF3382">
        <w:rPr>
          <w:szCs w:val="22"/>
        </w:rPr>
        <w:t>Uchovávajte pri teplote do 25</w:t>
      </w:r>
      <w:r w:rsidR="003E7A49" w:rsidRPr="00CF3382">
        <w:rPr>
          <w:szCs w:val="22"/>
        </w:rPr>
        <w:t> </w:t>
      </w:r>
      <w:r w:rsidRPr="00CF3382">
        <w:rPr>
          <w:szCs w:val="22"/>
        </w:rPr>
        <w:t>°C.</w:t>
      </w:r>
    </w:p>
    <w:p w14:paraId="550A4EE4" w14:textId="77777777" w:rsidR="00AC0F37" w:rsidRPr="00CF3382" w:rsidRDefault="00AC0F37" w:rsidP="00CF3382">
      <w:pPr>
        <w:rPr>
          <w:szCs w:val="22"/>
        </w:rPr>
      </w:pPr>
    </w:p>
    <w:p w14:paraId="14703090" w14:textId="7D51885D" w:rsidR="008B4B73" w:rsidRPr="00CF3382" w:rsidRDefault="008B4B73" w:rsidP="00CF3382">
      <w:pPr>
        <w:autoSpaceDE w:val="0"/>
        <w:ind w:left="0" w:firstLine="0"/>
        <w:rPr>
          <w:szCs w:val="22"/>
        </w:rPr>
      </w:pPr>
      <w:r w:rsidRPr="00CF3382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F03C37A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3E6EFDE1" w14:textId="77777777" w:rsidR="00A4601C" w:rsidRPr="00CF3382" w:rsidRDefault="00A4601C" w:rsidP="00CF3382">
      <w:pPr>
        <w:numPr>
          <w:ilvl w:val="12"/>
          <w:numId w:val="0"/>
        </w:numPr>
        <w:ind w:right="-2"/>
        <w:rPr>
          <w:szCs w:val="22"/>
        </w:rPr>
      </w:pPr>
    </w:p>
    <w:p w14:paraId="430E836B" w14:textId="3BE965C6" w:rsidR="008B4B73" w:rsidRPr="00CF3382" w:rsidRDefault="008B4B73" w:rsidP="00CF3382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CF3382">
        <w:rPr>
          <w:b/>
          <w:szCs w:val="22"/>
        </w:rPr>
        <w:t>Obsah balenia a</w:t>
      </w:r>
      <w:r w:rsidR="003A105D" w:rsidRPr="00CF3382">
        <w:rPr>
          <w:b/>
          <w:szCs w:val="22"/>
        </w:rPr>
        <w:t> </w:t>
      </w:r>
      <w:r w:rsidRPr="00CF3382">
        <w:rPr>
          <w:b/>
          <w:szCs w:val="22"/>
        </w:rPr>
        <w:t>ďalšie informácie</w:t>
      </w:r>
    </w:p>
    <w:p w14:paraId="1ED4822E" w14:textId="77777777" w:rsidR="00A4601C" w:rsidRPr="00CF3382" w:rsidRDefault="00A4601C" w:rsidP="00CF3382">
      <w:pPr>
        <w:keepNext/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14:paraId="5992DE2D" w14:textId="3A9D3E6A" w:rsidR="008C118E" w:rsidRPr="00CF3382" w:rsidRDefault="008C118E" w:rsidP="00CF3382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CF3382">
        <w:rPr>
          <w:b/>
          <w:szCs w:val="22"/>
        </w:rPr>
        <w:t xml:space="preserve">Čo </w:t>
      </w:r>
      <w:r w:rsidR="00DA64B0" w:rsidRPr="00CF3382">
        <w:rPr>
          <w:b/>
          <w:szCs w:val="22"/>
        </w:rPr>
        <w:t>GLIMBAX</w:t>
      </w:r>
      <w:r w:rsidR="00FA1290" w:rsidRPr="00CF3382">
        <w:rPr>
          <w:b/>
          <w:szCs w:val="22"/>
        </w:rPr>
        <w:t xml:space="preserve"> </w:t>
      </w:r>
      <w:r w:rsidRPr="00CF3382">
        <w:rPr>
          <w:b/>
          <w:szCs w:val="22"/>
        </w:rPr>
        <w:t>obsahuje</w:t>
      </w:r>
    </w:p>
    <w:p w14:paraId="08C240D2" w14:textId="77777777" w:rsidR="00897CB7" w:rsidRPr="00CF3382" w:rsidRDefault="00897CB7" w:rsidP="00CF3382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</w:p>
    <w:p w14:paraId="37CC976B" w14:textId="77777777" w:rsidR="00CF3382" w:rsidRDefault="008B4B73" w:rsidP="00CF3382">
      <w:pPr>
        <w:widowControl w:val="0"/>
        <w:numPr>
          <w:ilvl w:val="0"/>
          <w:numId w:val="17"/>
        </w:numPr>
        <w:suppressAutoHyphens/>
        <w:ind w:left="567" w:hanging="567"/>
        <w:rPr>
          <w:kern w:val="22"/>
          <w:szCs w:val="22"/>
        </w:rPr>
      </w:pPr>
      <w:r w:rsidRPr="00CF3382">
        <w:rPr>
          <w:kern w:val="22"/>
          <w:szCs w:val="22"/>
        </w:rPr>
        <w:t>L</w:t>
      </w:r>
      <w:r w:rsidR="008C118E" w:rsidRPr="00CF3382">
        <w:rPr>
          <w:kern w:val="22"/>
          <w:szCs w:val="22"/>
        </w:rPr>
        <w:t>iečivo</w:t>
      </w:r>
      <w:r w:rsidR="00612B6B" w:rsidRPr="00CF3382">
        <w:rPr>
          <w:kern w:val="22"/>
          <w:szCs w:val="22"/>
        </w:rPr>
        <w:t xml:space="preserve"> je diklofenak. </w:t>
      </w:r>
    </w:p>
    <w:p w14:paraId="3D1B3311" w14:textId="3ED9C341" w:rsidR="008C118E" w:rsidRPr="00CF3382" w:rsidRDefault="00612B6B" w:rsidP="00CF3382">
      <w:pPr>
        <w:widowControl w:val="0"/>
        <w:suppressAutoHyphens/>
        <w:ind w:left="0" w:firstLine="0"/>
        <w:rPr>
          <w:kern w:val="22"/>
          <w:szCs w:val="22"/>
        </w:rPr>
      </w:pPr>
      <w:r w:rsidRPr="00CF3382">
        <w:rPr>
          <w:kern w:val="22"/>
          <w:szCs w:val="22"/>
        </w:rPr>
        <w:t>100</w:t>
      </w:r>
      <w:r w:rsidR="00BE4767" w:rsidRPr="00CF3382">
        <w:rPr>
          <w:kern w:val="22"/>
          <w:szCs w:val="22"/>
        </w:rPr>
        <w:t> </w:t>
      </w:r>
      <w:r w:rsidRPr="00CF3382">
        <w:rPr>
          <w:kern w:val="22"/>
          <w:szCs w:val="22"/>
        </w:rPr>
        <w:t>ml roztoku obsahuje</w:t>
      </w:r>
      <w:r w:rsidR="008C118E" w:rsidRPr="00CF3382">
        <w:rPr>
          <w:kern w:val="22"/>
          <w:szCs w:val="22"/>
        </w:rPr>
        <w:t xml:space="preserve"> 0,074</w:t>
      </w:r>
      <w:r w:rsidR="00BE4767" w:rsidRPr="00CF3382">
        <w:rPr>
          <w:kern w:val="22"/>
          <w:szCs w:val="22"/>
        </w:rPr>
        <w:t> </w:t>
      </w:r>
      <w:r w:rsidR="008C118E" w:rsidRPr="00CF3382">
        <w:rPr>
          <w:kern w:val="22"/>
          <w:szCs w:val="22"/>
        </w:rPr>
        <w:t xml:space="preserve">g </w:t>
      </w:r>
      <w:r w:rsidRPr="00CF3382">
        <w:rPr>
          <w:kern w:val="22"/>
          <w:szCs w:val="22"/>
        </w:rPr>
        <w:t>diklofenaku vo forme voľnej kyseliny.</w:t>
      </w:r>
    </w:p>
    <w:p w14:paraId="5774065D" w14:textId="05B54F2A" w:rsidR="008C118E" w:rsidRPr="00CF3382" w:rsidRDefault="00612B6B" w:rsidP="00CF3382">
      <w:pPr>
        <w:ind w:left="0" w:firstLine="0"/>
        <w:rPr>
          <w:kern w:val="22"/>
          <w:szCs w:val="22"/>
        </w:rPr>
      </w:pPr>
      <w:r w:rsidRPr="00CF3382">
        <w:rPr>
          <w:kern w:val="22"/>
          <w:szCs w:val="22"/>
        </w:rPr>
        <w:lastRenderedPageBreak/>
        <w:t>Ďalšie zložky sú:</w:t>
      </w:r>
      <w:r w:rsidR="008C118E" w:rsidRPr="00CF3382">
        <w:rPr>
          <w:kern w:val="22"/>
          <w:szCs w:val="22"/>
        </w:rPr>
        <w:t xml:space="preserve"> nekryštalizujúci</w:t>
      </w:r>
      <w:r w:rsidR="00790AEE" w:rsidRPr="00CF3382">
        <w:rPr>
          <w:snapToGrid w:val="0"/>
          <w:kern w:val="22"/>
          <w:szCs w:val="22"/>
        </w:rPr>
        <w:t xml:space="preserve"> roztok </w:t>
      </w:r>
      <w:r w:rsidR="008C118E" w:rsidRPr="00CF3382">
        <w:rPr>
          <w:snapToGrid w:val="0"/>
          <w:kern w:val="22"/>
          <w:szCs w:val="22"/>
        </w:rPr>
        <w:t>sorbitol</w:t>
      </w:r>
      <w:r w:rsidR="00790AEE" w:rsidRPr="00CF3382">
        <w:rPr>
          <w:snapToGrid w:val="0"/>
          <w:kern w:val="22"/>
          <w:szCs w:val="22"/>
        </w:rPr>
        <w:t>u</w:t>
      </w:r>
      <w:r w:rsidR="008C118E" w:rsidRPr="00CF3382">
        <w:rPr>
          <w:kern w:val="22"/>
          <w:szCs w:val="22"/>
        </w:rPr>
        <w:t xml:space="preserve">, cholín, </w:t>
      </w:r>
      <w:r w:rsidR="00CF3382">
        <w:rPr>
          <w:szCs w:val="22"/>
        </w:rPr>
        <w:t>benzoát</w:t>
      </w:r>
      <w:r w:rsidR="00AC0F37" w:rsidRPr="00CF3382">
        <w:rPr>
          <w:szCs w:val="22"/>
        </w:rPr>
        <w:t xml:space="preserve"> sodný (E211),</w:t>
      </w:r>
      <w:r w:rsidR="00BE4767" w:rsidRPr="00CF3382">
        <w:rPr>
          <w:szCs w:val="22"/>
        </w:rPr>
        <w:t xml:space="preserve"> </w:t>
      </w:r>
      <w:r w:rsidR="008C118E" w:rsidRPr="00CF3382">
        <w:rPr>
          <w:kern w:val="22"/>
          <w:szCs w:val="22"/>
        </w:rPr>
        <w:t>edetan disodný,</w:t>
      </w:r>
      <w:r w:rsidR="00A4601C" w:rsidRPr="00CF3382">
        <w:rPr>
          <w:kern w:val="22"/>
          <w:szCs w:val="22"/>
        </w:rPr>
        <w:t xml:space="preserve"> </w:t>
      </w:r>
      <w:r w:rsidR="00922158" w:rsidRPr="00CF3382">
        <w:rPr>
          <w:snapToGrid w:val="0"/>
          <w:kern w:val="22"/>
          <w:szCs w:val="22"/>
        </w:rPr>
        <w:t xml:space="preserve">draseľná soľ </w:t>
      </w:r>
      <w:r w:rsidR="00A4601C" w:rsidRPr="00CF3382">
        <w:rPr>
          <w:szCs w:val="22"/>
        </w:rPr>
        <w:t>acesulf</w:t>
      </w:r>
      <w:r w:rsidR="00922158" w:rsidRPr="00CF3382">
        <w:rPr>
          <w:szCs w:val="22"/>
        </w:rPr>
        <w:t>á</w:t>
      </w:r>
      <w:r w:rsidR="00A4601C" w:rsidRPr="00CF3382">
        <w:rPr>
          <w:szCs w:val="22"/>
        </w:rPr>
        <w:t>m</w:t>
      </w:r>
      <w:r w:rsidR="00922158" w:rsidRPr="00CF3382">
        <w:rPr>
          <w:szCs w:val="22"/>
        </w:rPr>
        <w:t>u</w:t>
      </w:r>
      <w:r w:rsidR="008C118E" w:rsidRPr="00CF3382">
        <w:rPr>
          <w:snapToGrid w:val="0"/>
          <w:kern w:val="22"/>
          <w:szCs w:val="22"/>
        </w:rPr>
        <w:t xml:space="preserve">, </w:t>
      </w:r>
      <w:bookmarkStart w:id="0" w:name="_Hlk22217934"/>
      <w:r w:rsidR="00AC0F37" w:rsidRPr="00CF3382">
        <w:rPr>
          <w:szCs w:val="22"/>
        </w:rPr>
        <w:t>prírodná</w:t>
      </w:r>
      <w:r w:rsidR="008C118E" w:rsidRPr="00CF3382">
        <w:rPr>
          <w:szCs w:val="22"/>
        </w:rPr>
        <w:t xml:space="preserve"> príchuť</w:t>
      </w:r>
      <w:r w:rsidR="00AC0F37" w:rsidRPr="00CF3382">
        <w:rPr>
          <w:szCs w:val="22"/>
        </w:rPr>
        <w:t xml:space="preserve"> mäty piepornej, prírodná</w:t>
      </w:r>
      <w:r w:rsidR="008C118E" w:rsidRPr="00CF3382">
        <w:rPr>
          <w:szCs w:val="22"/>
        </w:rPr>
        <w:t xml:space="preserve"> broskyňová príchuť,</w:t>
      </w:r>
      <w:r w:rsidR="008C118E" w:rsidRPr="00CF3382">
        <w:rPr>
          <w:kern w:val="22"/>
          <w:szCs w:val="22"/>
        </w:rPr>
        <w:t xml:space="preserve"> ponceau 4R (E124), čistená voda</w:t>
      </w:r>
      <w:bookmarkEnd w:id="0"/>
      <w:r w:rsidR="008C118E" w:rsidRPr="00CF3382">
        <w:rPr>
          <w:kern w:val="22"/>
          <w:szCs w:val="22"/>
        </w:rPr>
        <w:t>.</w:t>
      </w:r>
    </w:p>
    <w:p w14:paraId="1924F7DA" w14:textId="77777777" w:rsidR="00A4601C" w:rsidRPr="00CF3382" w:rsidRDefault="00A4601C" w:rsidP="00CF3382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3A452669" w14:textId="0FBF91D6" w:rsidR="008C118E" w:rsidRPr="00CF3382" w:rsidRDefault="008C118E" w:rsidP="00CF3382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CF3382">
        <w:rPr>
          <w:b/>
          <w:szCs w:val="22"/>
        </w:rPr>
        <w:t>Ako vyzerá</w:t>
      </w:r>
      <w:r w:rsidR="00612B6B" w:rsidRPr="00CF3382">
        <w:rPr>
          <w:b/>
          <w:szCs w:val="22"/>
        </w:rPr>
        <w:t xml:space="preserve"> GLIMBAX</w:t>
      </w:r>
      <w:r w:rsidRPr="00CF3382">
        <w:rPr>
          <w:b/>
          <w:szCs w:val="22"/>
        </w:rPr>
        <w:t xml:space="preserve"> a</w:t>
      </w:r>
      <w:r w:rsidR="00BE4767" w:rsidRPr="00CF3382">
        <w:rPr>
          <w:b/>
          <w:szCs w:val="22"/>
        </w:rPr>
        <w:t> </w:t>
      </w:r>
      <w:r w:rsidRPr="00CF3382">
        <w:rPr>
          <w:b/>
          <w:szCs w:val="22"/>
        </w:rPr>
        <w:t>obsah balenia</w:t>
      </w:r>
    </w:p>
    <w:p w14:paraId="35B0B765" w14:textId="7A1199F8" w:rsidR="00AC0F37" w:rsidRPr="00CF3382" w:rsidRDefault="00DA64B0" w:rsidP="00CF3382">
      <w:pPr>
        <w:numPr>
          <w:ilvl w:val="12"/>
          <w:numId w:val="0"/>
        </w:numPr>
        <w:ind w:right="-2"/>
        <w:rPr>
          <w:szCs w:val="22"/>
        </w:rPr>
      </w:pPr>
      <w:r w:rsidRPr="00CF3382">
        <w:rPr>
          <w:szCs w:val="22"/>
        </w:rPr>
        <w:t xml:space="preserve">GLIMBAX </w:t>
      </w:r>
      <w:r w:rsidR="008C118E" w:rsidRPr="00CF3382">
        <w:rPr>
          <w:szCs w:val="22"/>
        </w:rPr>
        <w:t xml:space="preserve">je číry </w:t>
      </w:r>
      <w:r w:rsidR="00AC0F37" w:rsidRPr="00CF3382">
        <w:rPr>
          <w:szCs w:val="22"/>
        </w:rPr>
        <w:t xml:space="preserve">až mierne opalescenčný červenooranžový </w:t>
      </w:r>
      <w:r w:rsidR="00922158" w:rsidRPr="00CF3382">
        <w:rPr>
          <w:szCs w:val="22"/>
        </w:rPr>
        <w:t xml:space="preserve">orálny </w:t>
      </w:r>
      <w:r w:rsidR="008C118E" w:rsidRPr="00CF3382">
        <w:rPr>
          <w:szCs w:val="22"/>
        </w:rPr>
        <w:t xml:space="preserve">roztok </w:t>
      </w:r>
      <w:r w:rsidR="00612B6B" w:rsidRPr="00CF3382">
        <w:rPr>
          <w:szCs w:val="22"/>
        </w:rPr>
        <w:t>s </w:t>
      </w:r>
      <w:r w:rsidR="00AC0F37" w:rsidRPr="00CF3382">
        <w:rPr>
          <w:szCs w:val="22"/>
        </w:rPr>
        <w:t>výraznou mätovou a </w:t>
      </w:r>
      <w:r w:rsidR="00612B6B" w:rsidRPr="00CF3382">
        <w:rPr>
          <w:szCs w:val="22"/>
        </w:rPr>
        <w:t>broskyňovou príchuťou</w:t>
      </w:r>
      <w:r w:rsidR="00BE4767" w:rsidRPr="00CF3382">
        <w:rPr>
          <w:szCs w:val="22"/>
        </w:rPr>
        <w:t>.</w:t>
      </w:r>
    </w:p>
    <w:p w14:paraId="5F065E6E" w14:textId="51574DCD" w:rsidR="008C118E" w:rsidRPr="00CF3382" w:rsidRDefault="00612B6B" w:rsidP="00CF3382">
      <w:pPr>
        <w:numPr>
          <w:ilvl w:val="12"/>
          <w:numId w:val="0"/>
        </w:numPr>
        <w:ind w:right="-2"/>
        <w:rPr>
          <w:szCs w:val="22"/>
        </w:rPr>
      </w:pPr>
      <w:r w:rsidRPr="00CF3382">
        <w:rPr>
          <w:szCs w:val="22"/>
        </w:rPr>
        <w:t xml:space="preserve">Balenie </w:t>
      </w:r>
      <w:r w:rsidR="008C118E" w:rsidRPr="00CF3382">
        <w:rPr>
          <w:szCs w:val="22"/>
        </w:rPr>
        <w:t xml:space="preserve">obsahuje </w:t>
      </w:r>
      <w:r w:rsidR="00AC0F37" w:rsidRPr="00CF3382">
        <w:rPr>
          <w:szCs w:val="22"/>
        </w:rPr>
        <w:t xml:space="preserve">jednu </w:t>
      </w:r>
      <w:r w:rsidR="008C118E" w:rsidRPr="00CF3382">
        <w:rPr>
          <w:szCs w:val="22"/>
        </w:rPr>
        <w:t>fľašku</w:t>
      </w:r>
      <w:r w:rsidR="009841D1" w:rsidRPr="00CF3382">
        <w:rPr>
          <w:szCs w:val="22"/>
        </w:rPr>
        <w:t xml:space="preserve"> z </w:t>
      </w:r>
      <w:r w:rsidR="00AC0F37" w:rsidRPr="00CF3382">
        <w:rPr>
          <w:szCs w:val="22"/>
        </w:rPr>
        <w:t>jantárového</w:t>
      </w:r>
      <w:r w:rsidR="009841D1" w:rsidRPr="00CF3382">
        <w:rPr>
          <w:szCs w:val="22"/>
        </w:rPr>
        <w:t xml:space="preserve"> skla</w:t>
      </w:r>
      <w:r w:rsidR="00AC0F37" w:rsidRPr="00CF3382">
        <w:rPr>
          <w:szCs w:val="22"/>
        </w:rPr>
        <w:t xml:space="preserve"> s obsahom 200</w:t>
      </w:r>
      <w:r w:rsidR="000F2F7C" w:rsidRPr="00CF3382">
        <w:rPr>
          <w:szCs w:val="22"/>
        </w:rPr>
        <w:t> </w:t>
      </w:r>
      <w:r w:rsidR="00AC0F37" w:rsidRPr="00CF3382">
        <w:rPr>
          <w:szCs w:val="22"/>
        </w:rPr>
        <w:t>ml s</w:t>
      </w:r>
      <w:r w:rsidR="00FA1290" w:rsidRPr="00CF3382">
        <w:rPr>
          <w:szCs w:val="22"/>
        </w:rPr>
        <w:t xml:space="preserve"> plastovým </w:t>
      </w:r>
      <w:r w:rsidR="000F2F7C" w:rsidRPr="00CF3382">
        <w:rPr>
          <w:szCs w:val="22"/>
        </w:rPr>
        <w:t>detským bezpečnostným uzáverom a</w:t>
      </w:r>
      <w:r w:rsidR="00FA1290" w:rsidRPr="00CF3382">
        <w:rPr>
          <w:szCs w:val="22"/>
        </w:rPr>
        <w:t> </w:t>
      </w:r>
      <w:r w:rsidR="000F2F7C" w:rsidRPr="00CF3382">
        <w:rPr>
          <w:szCs w:val="22"/>
        </w:rPr>
        <w:t>odmerkou</w:t>
      </w:r>
      <w:r w:rsidR="00FA1290" w:rsidRPr="00CF3382">
        <w:rPr>
          <w:szCs w:val="22"/>
        </w:rPr>
        <w:t xml:space="preserve"> s objemom 15 ml</w:t>
      </w:r>
      <w:r w:rsidR="008C118E" w:rsidRPr="00CF3382">
        <w:rPr>
          <w:szCs w:val="22"/>
        </w:rPr>
        <w:t>.</w:t>
      </w:r>
    </w:p>
    <w:p w14:paraId="40FF7756" w14:textId="77777777" w:rsidR="008C118E" w:rsidRPr="00CF3382" w:rsidRDefault="008C118E" w:rsidP="00CF3382">
      <w:pPr>
        <w:numPr>
          <w:ilvl w:val="12"/>
          <w:numId w:val="0"/>
        </w:numPr>
        <w:ind w:right="-2"/>
        <w:rPr>
          <w:szCs w:val="22"/>
        </w:rPr>
      </w:pPr>
    </w:p>
    <w:p w14:paraId="4FA5A33A" w14:textId="77777777" w:rsidR="009841D1" w:rsidRPr="00CF3382" w:rsidRDefault="009841D1" w:rsidP="00CF3382">
      <w:pPr>
        <w:keepNext/>
        <w:rPr>
          <w:szCs w:val="22"/>
        </w:rPr>
      </w:pPr>
      <w:r w:rsidRPr="00CF3382">
        <w:rPr>
          <w:b/>
          <w:szCs w:val="22"/>
        </w:rPr>
        <w:t>Držiteľ rozhodnutia o registrácii</w:t>
      </w:r>
    </w:p>
    <w:p w14:paraId="2073C67B" w14:textId="77777777" w:rsidR="009841D1" w:rsidRPr="00CF3382" w:rsidRDefault="009841D1" w:rsidP="00CF3382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CF3382">
        <w:rPr>
          <w:szCs w:val="22"/>
        </w:rPr>
        <w:t>Angelini Pharma Österreich GmbH</w:t>
      </w:r>
    </w:p>
    <w:p w14:paraId="2925D1C3" w14:textId="77777777" w:rsidR="003E7A49" w:rsidRPr="00CF3382" w:rsidRDefault="003E7A49" w:rsidP="00CF3382">
      <w:pPr>
        <w:pStyle w:val="Default"/>
        <w:keepNext/>
        <w:rPr>
          <w:color w:val="auto"/>
          <w:sz w:val="22"/>
          <w:szCs w:val="22"/>
        </w:rPr>
      </w:pPr>
      <w:r w:rsidRPr="00CF3382">
        <w:rPr>
          <w:color w:val="auto"/>
          <w:sz w:val="22"/>
          <w:szCs w:val="22"/>
        </w:rPr>
        <w:t>Brigittenauer Lände 50-54</w:t>
      </w:r>
    </w:p>
    <w:p w14:paraId="2AECE3CF" w14:textId="77777777" w:rsidR="003E7A49" w:rsidRPr="00CF3382" w:rsidRDefault="003E7A49" w:rsidP="00CF3382">
      <w:pPr>
        <w:pStyle w:val="Default"/>
        <w:keepNext/>
        <w:rPr>
          <w:color w:val="auto"/>
          <w:sz w:val="22"/>
          <w:szCs w:val="22"/>
        </w:rPr>
      </w:pPr>
      <w:r w:rsidRPr="00CF3382">
        <w:rPr>
          <w:color w:val="auto"/>
          <w:sz w:val="22"/>
          <w:szCs w:val="22"/>
        </w:rPr>
        <w:t>1200 Viedeň</w:t>
      </w:r>
    </w:p>
    <w:p w14:paraId="70282984" w14:textId="77777777" w:rsidR="009841D1" w:rsidRPr="00CF3382" w:rsidRDefault="009841D1" w:rsidP="00CF3382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CF3382">
        <w:rPr>
          <w:szCs w:val="22"/>
        </w:rPr>
        <w:t>Rakúsko</w:t>
      </w:r>
    </w:p>
    <w:p w14:paraId="4FCDAE6E" w14:textId="77777777" w:rsidR="009841D1" w:rsidRPr="00CF3382" w:rsidRDefault="009841D1" w:rsidP="00CF3382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</w:p>
    <w:p w14:paraId="20A98702" w14:textId="77777777" w:rsidR="009841D1" w:rsidRPr="00CF3382" w:rsidRDefault="009841D1" w:rsidP="00CF3382">
      <w:pPr>
        <w:keepNext/>
        <w:rPr>
          <w:b/>
          <w:szCs w:val="22"/>
        </w:rPr>
      </w:pPr>
      <w:r w:rsidRPr="00CF3382">
        <w:rPr>
          <w:b/>
          <w:szCs w:val="22"/>
        </w:rPr>
        <w:t>Výrobca</w:t>
      </w:r>
    </w:p>
    <w:p w14:paraId="5AB02C04" w14:textId="1F17E2D4" w:rsidR="00CE78B4" w:rsidRPr="00CF3382" w:rsidRDefault="00CE78B4" w:rsidP="00CF3382">
      <w:pPr>
        <w:keepNext/>
        <w:rPr>
          <w:szCs w:val="22"/>
        </w:rPr>
      </w:pPr>
      <w:r w:rsidRPr="00CF3382">
        <w:rPr>
          <w:szCs w:val="22"/>
        </w:rPr>
        <w:t>Doppel Farmaceutici srl</w:t>
      </w:r>
    </w:p>
    <w:p w14:paraId="648230D4" w14:textId="653A23F5" w:rsidR="009841D1" w:rsidRPr="00CF3382" w:rsidRDefault="009841D1" w:rsidP="00CF3382">
      <w:pPr>
        <w:keepNext/>
        <w:rPr>
          <w:szCs w:val="22"/>
        </w:rPr>
      </w:pPr>
      <w:r w:rsidRPr="00CF3382">
        <w:rPr>
          <w:szCs w:val="22"/>
        </w:rPr>
        <w:t>Via Martir</w:t>
      </w:r>
      <w:r w:rsidR="004552E8" w:rsidRPr="00CF3382">
        <w:rPr>
          <w:szCs w:val="22"/>
        </w:rPr>
        <w:t>i</w:t>
      </w:r>
      <w:r w:rsidRPr="00CF3382">
        <w:rPr>
          <w:szCs w:val="22"/>
        </w:rPr>
        <w:t xml:space="preserve"> delle Foibe, 1</w:t>
      </w:r>
    </w:p>
    <w:p w14:paraId="719811A0" w14:textId="5B585E34" w:rsidR="009841D1" w:rsidRPr="00CF3382" w:rsidRDefault="00CE78B4" w:rsidP="00CF3382">
      <w:pPr>
        <w:keepNext/>
        <w:rPr>
          <w:szCs w:val="22"/>
        </w:rPr>
      </w:pPr>
      <w:r w:rsidRPr="00CF3382">
        <w:rPr>
          <w:szCs w:val="22"/>
        </w:rPr>
        <w:t xml:space="preserve">29016 </w:t>
      </w:r>
      <w:r w:rsidR="009841D1" w:rsidRPr="00CF3382">
        <w:rPr>
          <w:szCs w:val="22"/>
        </w:rPr>
        <w:t>Cortemaggiore (PC)</w:t>
      </w:r>
    </w:p>
    <w:p w14:paraId="71E91471" w14:textId="77777777" w:rsidR="009841D1" w:rsidRPr="00CF3382" w:rsidRDefault="009841D1" w:rsidP="00CF3382">
      <w:pPr>
        <w:rPr>
          <w:szCs w:val="22"/>
        </w:rPr>
      </w:pPr>
      <w:r w:rsidRPr="00CF3382">
        <w:rPr>
          <w:szCs w:val="22"/>
        </w:rPr>
        <w:t>Taliansko</w:t>
      </w:r>
    </w:p>
    <w:p w14:paraId="15C233DB" w14:textId="77777777" w:rsidR="009841D1" w:rsidRPr="00CF3382" w:rsidRDefault="009841D1" w:rsidP="00CF3382">
      <w:pPr>
        <w:rPr>
          <w:szCs w:val="22"/>
        </w:rPr>
      </w:pPr>
    </w:p>
    <w:p w14:paraId="000E5551" w14:textId="77777777" w:rsidR="00B87249" w:rsidRPr="00CF3382" w:rsidRDefault="00B87249" w:rsidP="00CF3382">
      <w:pPr>
        <w:keepNext/>
        <w:rPr>
          <w:snapToGrid w:val="0"/>
          <w:szCs w:val="22"/>
          <w:shd w:val="clear" w:color="auto" w:fill="D9D9D9"/>
        </w:rPr>
      </w:pPr>
      <w:bookmarkStart w:id="1" w:name="_Hlk22817816"/>
      <w:r w:rsidRPr="00CF3382">
        <w:rPr>
          <w:snapToGrid w:val="0"/>
          <w:szCs w:val="22"/>
          <w:shd w:val="clear" w:color="auto" w:fill="D9D9D9"/>
        </w:rPr>
        <w:t>Vamfarma srl</w:t>
      </w:r>
    </w:p>
    <w:p w14:paraId="40EBB581" w14:textId="77777777" w:rsidR="00B87249" w:rsidRPr="00CF3382" w:rsidRDefault="00B87249" w:rsidP="00CF3382">
      <w:pPr>
        <w:keepNext/>
        <w:rPr>
          <w:snapToGrid w:val="0"/>
          <w:szCs w:val="22"/>
          <w:shd w:val="clear" w:color="auto" w:fill="D9D9D9"/>
        </w:rPr>
      </w:pPr>
      <w:r w:rsidRPr="00CF3382">
        <w:rPr>
          <w:snapToGrid w:val="0"/>
          <w:szCs w:val="22"/>
          <w:shd w:val="clear" w:color="auto" w:fill="D9D9D9"/>
        </w:rPr>
        <w:t>Via Kennedy, 5</w:t>
      </w:r>
    </w:p>
    <w:p w14:paraId="2D9EEEBB" w14:textId="77777777" w:rsidR="00B87249" w:rsidRPr="00CF3382" w:rsidRDefault="00B87249" w:rsidP="00CF3382">
      <w:pPr>
        <w:keepNext/>
        <w:rPr>
          <w:szCs w:val="22"/>
          <w:shd w:val="clear" w:color="auto" w:fill="D9D9D9"/>
        </w:rPr>
      </w:pPr>
      <w:r w:rsidRPr="00CF3382">
        <w:rPr>
          <w:snapToGrid w:val="0"/>
          <w:szCs w:val="22"/>
          <w:shd w:val="clear" w:color="auto" w:fill="D9D9D9"/>
        </w:rPr>
        <w:t>26833 Comazzo (LO)</w:t>
      </w:r>
    </w:p>
    <w:p w14:paraId="45394D61" w14:textId="77777777" w:rsidR="00B87249" w:rsidRPr="00CF3382" w:rsidRDefault="00B87249" w:rsidP="00CF3382">
      <w:pPr>
        <w:rPr>
          <w:szCs w:val="22"/>
          <w:shd w:val="clear" w:color="auto" w:fill="D9D9D9"/>
        </w:rPr>
      </w:pPr>
      <w:r w:rsidRPr="00CF3382">
        <w:rPr>
          <w:snapToGrid w:val="0"/>
          <w:szCs w:val="22"/>
          <w:shd w:val="clear" w:color="auto" w:fill="D9D9D9"/>
        </w:rPr>
        <w:t>Taliansko</w:t>
      </w:r>
    </w:p>
    <w:bookmarkEnd w:id="1"/>
    <w:p w14:paraId="17AAAB98" w14:textId="77777777" w:rsidR="00CF3382" w:rsidRDefault="00CF3382" w:rsidP="00CF3382">
      <w:pPr>
        <w:rPr>
          <w:b/>
          <w:szCs w:val="22"/>
        </w:rPr>
      </w:pPr>
    </w:p>
    <w:p w14:paraId="564C1553" w14:textId="1F5CE2E9" w:rsidR="008C118E" w:rsidRPr="00CF3382" w:rsidRDefault="008C118E" w:rsidP="00CF3382">
      <w:pPr>
        <w:rPr>
          <w:szCs w:val="22"/>
        </w:rPr>
      </w:pPr>
      <w:bookmarkStart w:id="2" w:name="_GoBack"/>
      <w:bookmarkEnd w:id="2"/>
      <w:r w:rsidRPr="00CF3382">
        <w:rPr>
          <w:b/>
          <w:szCs w:val="22"/>
        </w:rPr>
        <w:t xml:space="preserve">Táto písomná informácia bola </w:t>
      </w:r>
      <w:r w:rsidR="0044460D" w:rsidRPr="00CF3382">
        <w:rPr>
          <w:b/>
          <w:szCs w:val="22"/>
        </w:rPr>
        <w:t xml:space="preserve">naposledy </w:t>
      </w:r>
      <w:r w:rsidR="009841D1" w:rsidRPr="00CF3382">
        <w:rPr>
          <w:b/>
          <w:szCs w:val="22"/>
        </w:rPr>
        <w:t>aktualizovaná</w:t>
      </w:r>
      <w:r w:rsidR="003A72D5" w:rsidRPr="00CF3382">
        <w:rPr>
          <w:b/>
          <w:szCs w:val="22"/>
        </w:rPr>
        <w:t xml:space="preserve"> v</w:t>
      </w:r>
      <w:r w:rsidR="00E3745C" w:rsidRPr="00CF3382">
        <w:rPr>
          <w:b/>
          <w:szCs w:val="22"/>
        </w:rPr>
        <w:t xml:space="preserve"> 11/2020. </w:t>
      </w:r>
    </w:p>
    <w:sectPr w:rsidR="008C118E" w:rsidRPr="00CF3382" w:rsidSect="00CF3382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4464B1" w16cid:durableId="232838F9"/>
  <w16cid:commentId w16cid:paraId="4922F863" w16cid:durableId="235944E6"/>
  <w16cid:commentId w16cid:paraId="087079B9" w16cid:durableId="235944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467CC" w14:textId="77777777" w:rsidR="00417859" w:rsidRDefault="00417859" w:rsidP="00D83A3D">
      <w:r>
        <w:separator/>
      </w:r>
    </w:p>
  </w:endnote>
  <w:endnote w:type="continuationSeparator" w:id="0">
    <w:p w14:paraId="2F714CF2" w14:textId="77777777" w:rsidR="00417859" w:rsidRDefault="00417859" w:rsidP="00D83A3D">
      <w:r>
        <w:continuationSeparator/>
      </w:r>
    </w:p>
  </w:endnote>
  <w:endnote w:type="continuationNotice" w:id="1">
    <w:p w14:paraId="5D1B4CE8" w14:textId="77777777" w:rsidR="00417859" w:rsidRDefault="00417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1DBD" w14:textId="298B3601" w:rsidR="00D83A3D" w:rsidRPr="00CF3382" w:rsidRDefault="00D83A3D" w:rsidP="00FB3F07">
    <w:pPr>
      <w:pStyle w:val="Pta"/>
      <w:jc w:val="center"/>
    </w:pPr>
    <w:r w:rsidRPr="00E7555C">
      <w:rPr>
        <w:sz w:val="18"/>
        <w:szCs w:val="18"/>
      </w:rPr>
      <w:fldChar w:fldCharType="begin"/>
    </w:r>
    <w:r w:rsidRPr="00E7555C">
      <w:rPr>
        <w:sz w:val="18"/>
        <w:szCs w:val="18"/>
      </w:rPr>
      <w:instrText>PAGE   \* MERGEFORMAT</w:instrText>
    </w:r>
    <w:r w:rsidRPr="00E7555C">
      <w:rPr>
        <w:sz w:val="18"/>
        <w:szCs w:val="18"/>
      </w:rPr>
      <w:fldChar w:fldCharType="separate"/>
    </w:r>
    <w:r w:rsidR="00CF3382">
      <w:rPr>
        <w:noProof/>
        <w:sz w:val="18"/>
        <w:szCs w:val="18"/>
      </w:rPr>
      <w:t>1</w:t>
    </w:r>
    <w:r w:rsidRPr="00E755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ECDBC" w14:textId="77777777" w:rsidR="00417859" w:rsidRDefault="00417859" w:rsidP="00D83A3D">
      <w:r>
        <w:separator/>
      </w:r>
    </w:p>
  </w:footnote>
  <w:footnote w:type="continuationSeparator" w:id="0">
    <w:p w14:paraId="5E2DA77D" w14:textId="77777777" w:rsidR="00417859" w:rsidRDefault="00417859" w:rsidP="00D83A3D">
      <w:r>
        <w:continuationSeparator/>
      </w:r>
    </w:p>
  </w:footnote>
  <w:footnote w:type="continuationNotice" w:id="1">
    <w:p w14:paraId="656BE1F0" w14:textId="77777777" w:rsidR="00417859" w:rsidRDefault="004178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8A8A1" w14:textId="4979B50C" w:rsidR="00A60496" w:rsidRDefault="00B87249" w:rsidP="00A60496">
    <w:pPr>
      <w:pStyle w:val="Hlavika"/>
    </w:pPr>
    <w:r>
      <w:rPr>
        <w:sz w:val="18"/>
        <w:szCs w:val="18"/>
      </w:rPr>
      <w:t>Príloha č.</w:t>
    </w:r>
    <w:r w:rsidR="00A60496" w:rsidRPr="0032034B">
      <w:rPr>
        <w:sz w:val="18"/>
        <w:szCs w:val="18"/>
      </w:rPr>
      <w:t xml:space="preserve"> </w:t>
    </w:r>
    <w:r w:rsidR="00A60496">
      <w:rPr>
        <w:sz w:val="18"/>
        <w:szCs w:val="18"/>
      </w:rPr>
      <w:t>2</w:t>
    </w:r>
    <w:r>
      <w:rPr>
        <w:sz w:val="18"/>
        <w:szCs w:val="18"/>
      </w:rPr>
      <w:t xml:space="preserve"> k notifikácii o zmene, ev. č.: </w:t>
    </w:r>
    <w:r w:rsidR="00EB283F" w:rsidRPr="00EB283F">
      <w:rPr>
        <w:sz w:val="18"/>
        <w:szCs w:val="18"/>
      </w:rPr>
      <w:t>2020/05441-Z1B</w:t>
    </w:r>
  </w:p>
  <w:p w14:paraId="4E3EEF62" w14:textId="5D23743C" w:rsidR="00D83A3D" w:rsidRDefault="00D83A3D" w:rsidP="00CF3382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296F5A"/>
    <w:multiLevelType w:val="hybridMultilevel"/>
    <w:tmpl w:val="CA0605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8556F"/>
    <w:multiLevelType w:val="hybridMultilevel"/>
    <w:tmpl w:val="8912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07B4"/>
    <w:multiLevelType w:val="hybridMultilevel"/>
    <w:tmpl w:val="D3F289F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13E3"/>
    <w:multiLevelType w:val="hybridMultilevel"/>
    <w:tmpl w:val="3E48A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C476F"/>
    <w:multiLevelType w:val="hybridMultilevel"/>
    <w:tmpl w:val="42565816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063BB"/>
    <w:multiLevelType w:val="hybridMultilevel"/>
    <w:tmpl w:val="365244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51"/>
    <w:multiLevelType w:val="hybridMultilevel"/>
    <w:tmpl w:val="A4D87040"/>
    <w:lvl w:ilvl="0" w:tplc="2AF41E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52734B77"/>
    <w:multiLevelType w:val="hybridMultilevel"/>
    <w:tmpl w:val="D10EB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A2D5C"/>
    <w:multiLevelType w:val="hybridMultilevel"/>
    <w:tmpl w:val="9E4682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9E3DB0"/>
    <w:multiLevelType w:val="hybridMultilevel"/>
    <w:tmpl w:val="573E4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304BC"/>
    <w:multiLevelType w:val="hybridMultilevel"/>
    <w:tmpl w:val="7C7627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93EEA"/>
    <w:multiLevelType w:val="hybridMultilevel"/>
    <w:tmpl w:val="E2081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8E"/>
    <w:rsid w:val="00005B5B"/>
    <w:rsid w:val="00093F0E"/>
    <w:rsid w:val="000A0214"/>
    <w:rsid w:val="000A4621"/>
    <w:rsid w:val="000F2F7C"/>
    <w:rsid w:val="000F7302"/>
    <w:rsid w:val="00106062"/>
    <w:rsid w:val="00154F95"/>
    <w:rsid w:val="00162B07"/>
    <w:rsid w:val="00170C61"/>
    <w:rsid w:val="001B29E5"/>
    <w:rsid w:val="001B2A7E"/>
    <w:rsid w:val="001F3F60"/>
    <w:rsid w:val="0024282A"/>
    <w:rsid w:val="00247CD8"/>
    <w:rsid w:val="002A3414"/>
    <w:rsid w:val="002E68D7"/>
    <w:rsid w:val="00301118"/>
    <w:rsid w:val="00341292"/>
    <w:rsid w:val="003A105D"/>
    <w:rsid w:val="003A72D5"/>
    <w:rsid w:val="003E7A49"/>
    <w:rsid w:val="00417859"/>
    <w:rsid w:val="0042443D"/>
    <w:rsid w:val="00436873"/>
    <w:rsid w:val="0044460D"/>
    <w:rsid w:val="004552E8"/>
    <w:rsid w:val="00463AC6"/>
    <w:rsid w:val="004664CA"/>
    <w:rsid w:val="004B47C2"/>
    <w:rsid w:val="005218BA"/>
    <w:rsid w:val="005B1140"/>
    <w:rsid w:val="005B695F"/>
    <w:rsid w:val="005C3A12"/>
    <w:rsid w:val="005C4478"/>
    <w:rsid w:val="005E1875"/>
    <w:rsid w:val="005E6A11"/>
    <w:rsid w:val="00612B6B"/>
    <w:rsid w:val="0061657E"/>
    <w:rsid w:val="00644870"/>
    <w:rsid w:val="00670581"/>
    <w:rsid w:val="006C64F5"/>
    <w:rsid w:val="00743637"/>
    <w:rsid w:val="00747D8E"/>
    <w:rsid w:val="00767842"/>
    <w:rsid w:val="00790AEE"/>
    <w:rsid w:val="007A6185"/>
    <w:rsid w:val="007D7C15"/>
    <w:rsid w:val="008201FD"/>
    <w:rsid w:val="00853E55"/>
    <w:rsid w:val="00887EA2"/>
    <w:rsid w:val="00897CB7"/>
    <w:rsid w:val="008B4B73"/>
    <w:rsid w:val="008C118E"/>
    <w:rsid w:val="008C3A9D"/>
    <w:rsid w:val="00904F99"/>
    <w:rsid w:val="009165F9"/>
    <w:rsid w:val="00922158"/>
    <w:rsid w:val="00947062"/>
    <w:rsid w:val="009841D1"/>
    <w:rsid w:val="00996DB7"/>
    <w:rsid w:val="00A27E6F"/>
    <w:rsid w:val="00A4601C"/>
    <w:rsid w:val="00A60496"/>
    <w:rsid w:val="00AC0F37"/>
    <w:rsid w:val="00AC679D"/>
    <w:rsid w:val="00B139A4"/>
    <w:rsid w:val="00B50725"/>
    <w:rsid w:val="00B63BA2"/>
    <w:rsid w:val="00B87249"/>
    <w:rsid w:val="00BE4767"/>
    <w:rsid w:val="00C44A39"/>
    <w:rsid w:val="00CD356B"/>
    <w:rsid w:val="00CE78B4"/>
    <w:rsid w:val="00CF3382"/>
    <w:rsid w:val="00D162B9"/>
    <w:rsid w:val="00D40DB8"/>
    <w:rsid w:val="00D64628"/>
    <w:rsid w:val="00D83A3D"/>
    <w:rsid w:val="00D84200"/>
    <w:rsid w:val="00DA0973"/>
    <w:rsid w:val="00DA64B0"/>
    <w:rsid w:val="00E121DC"/>
    <w:rsid w:val="00E3745C"/>
    <w:rsid w:val="00E7555C"/>
    <w:rsid w:val="00EB283F"/>
    <w:rsid w:val="00F16F76"/>
    <w:rsid w:val="00F17107"/>
    <w:rsid w:val="00F33136"/>
    <w:rsid w:val="00F77251"/>
    <w:rsid w:val="00FA1290"/>
    <w:rsid w:val="00FA6645"/>
    <w:rsid w:val="00FB3F07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7E5043"/>
  <w15:docId w15:val="{DFB1778B-823D-4B4D-92A4-176CE964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CA5E-03F9-4EDD-9459-D25FA1DE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5518</Characters>
  <Application>Microsoft Office Word</Application>
  <DocSecurity>4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CSC Pharmaceuticals</Company>
  <LinksUpToDate>false</LinksUpToDate>
  <CharactersWithSpaces>6473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CSC Pharmaceuticals</dc:creator>
  <cp:lastModifiedBy>Skladaná, Judita</cp:lastModifiedBy>
  <cp:revision>2</cp:revision>
  <cp:lastPrinted>2018-07-20T11:15:00Z</cp:lastPrinted>
  <dcterms:created xsi:type="dcterms:W3CDTF">2020-11-20T07:57:00Z</dcterms:created>
  <dcterms:modified xsi:type="dcterms:W3CDTF">2020-11-20T07:57:00Z</dcterms:modified>
</cp:coreProperties>
</file>